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Baker Gail</w:t>
              </w:r>
            </w:hyperlink>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Leonardo DRS,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DRS</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00EE"/>
            </w:tcBorders>
            <w:vMerge w:val="continue"/>
          </w:tcPr>
          <w:p>
            <w:pPr>
              <w:spacing w:after="0"/>
              <w:rPr>
                <w:sz w:val="4"/>
                <w:szCs w:val="4"/>
                <w:color w:val="auto"/>
              </w:rPr>
            </w:pPr>
          </w:p>
        </w:tc>
        <w:tc>
          <w:tcPr>
            <w:tcW w:w="30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8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80" w:type="dxa"/>
            <w:vAlign w:val="bottom"/>
            <w:gridSpan w:val="7"/>
            <w:vMerge w:val="continue"/>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LEONARDO DRS, INC.</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5"/>
          </w:tcPr>
          <w:p>
            <w:pPr>
              <w:ind w:left="320"/>
              <w:spacing w:after="0"/>
              <w:rPr>
                <w:sz w:val="20"/>
                <w:szCs w:val="20"/>
                <w:color w:val="auto"/>
              </w:rPr>
            </w:pPr>
            <w:r>
              <w:rPr>
                <w:rFonts w:ascii="Times New Roman" w:cs="Times New Roman" w:eastAsia="Times New Roman" w:hAnsi="Times New Roman"/>
                <w:sz w:val="13"/>
                <w:szCs w:val="13"/>
                <w:color w:val="0000FF"/>
              </w:rPr>
              <w:t>05/14/2026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2345 CRYSTAL DRIVE</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gridSpan w:val="3"/>
          </w:tcPr>
          <w:p>
            <w:pPr>
              <w:spacing w:after="0"/>
              <w:rPr>
                <w:sz w:val="6"/>
                <w:szCs w:val="6"/>
                <w:color w:val="auto"/>
              </w:rPr>
            </w:pPr>
          </w:p>
        </w:tc>
        <w:tc>
          <w:tcPr>
            <w:tcW w:w="1340" w:type="dxa"/>
            <w:vAlign w:val="bottom"/>
            <w:tcBorders>
              <w:bottom w:val="single" w:sz="8" w:color="2C2C2C"/>
            </w:tcBorders>
            <w:gridSpan w:val="4"/>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ARLINGTON</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VA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22202</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246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3"/>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3"/>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gridSpan w:val="3"/>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900" w:type="dxa"/>
            <w:vAlign w:val="bottom"/>
            <w:vMerge w:val="restart"/>
          </w:tcPr>
          <w:p>
            <w:pPr>
              <w:ind w:left="44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80" w:type="dxa"/>
            <w:vAlign w:val="bottom"/>
            <w:tcBorders>
              <w:bottom w:val="single" w:sz="8" w:color="2C2C2C"/>
            </w:tcBorders>
            <w:gridSpan w:val="7"/>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90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05/14/2026</w:t>
            </w:r>
          </w:p>
        </w:tc>
        <w:tc>
          <w:tcPr>
            <w:tcW w:w="1040" w:type="dxa"/>
            <w:vAlign w:val="bottom"/>
          </w:tcPr>
          <w:p>
            <w:pPr>
              <w:spacing w:after="0"/>
              <w:rPr>
                <w:sz w:val="17"/>
                <w:szCs w:val="17"/>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3,733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(2)</w:t>
            </w:r>
          </w:p>
        </w:tc>
        <w:tc>
          <w:tcPr>
            <w:tcW w:w="26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9"/>
                <w:szCs w:val="9"/>
                <w:color w:val="008000"/>
              </w:rPr>
              <w:t>(2)</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3,733</w:t>
            </w:r>
          </w:p>
        </w:tc>
        <w:tc>
          <w:tcPr>
            <w:tcW w:w="72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00FF"/>
              </w:rPr>
              <w:t>3,733</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one share of the common stock of the Issuer.</w:t>
      </w:r>
    </w:p>
    <w:p>
      <w:pPr>
        <w:spacing w:after="0" w:line="40" w:lineRule="exact"/>
        <w:rPr>
          <w:rFonts w:ascii="Times New Roman" w:cs="Times New Roman" w:eastAsia="Times New Roman" w:hAnsi="Times New Roman"/>
          <w:sz w:val="10"/>
          <w:szCs w:val="10"/>
          <w:color w:val="008000"/>
        </w:rPr>
      </w:pPr>
    </w:p>
    <w:p>
      <w:pPr>
        <w:ind w:left="40" w:right="60" w:hanging="6"/>
        <w:spacing w:after="0" w:line="259"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RSUs were granted on May 14, 2026, under the Issuer's 2022 Omnibus Equity Compensation Plan. The RSUs will vest in full on May 14, 2027, subject to the Reporting Person's continued service as a member of the Issuer's Board of Directors through such date.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Oriana D. Pietrangelo, Attorney-in-</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Fact</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51842" TargetMode="External"/><Relationship Id="rId14" Type="http://schemas.openxmlformats.org/officeDocument/2006/relationships/hyperlink" Target="http://www.sec.gov/cgi-bin/browse-edgar?action=getcompany&amp;CIK=00018337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2026-05-18T06:41:26Z</dcterms:created>
  <dcterms:modified xsi:type="dcterms:W3CDTF">2026-05-18T06:41:26Z</dcterms:modified>
</cp:coreProperties>
</file>