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March 15, 2021</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333-253583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57785</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Leonardo DRS,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57785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87" w:lineRule="exact"/>
        <w:rPr>
          <w:sz w:val="24"/>
          <w:szCs w:val="24"/>
          <w:color w:val="auto"/>
        </w:rPr>
      </w:pPr>
    </w:p>
    <w:tbl>
      <w:tblPr>
        <w:tblLayout w:type="fixed"/>
        <w:tblInd w:w="740" w:type="dxa"/>
        <w:tblCellMar>
          <w:top w:w="0" w:type="dxa"/>
          <w:left w:w="0" w:type="dxa"/>
          <w:bottom w:w="0" w:type="dxa"/>
          <w:right w:w="0" w:type="dxa"/>
        </w:tblCellMar>
      </w:tblPr>
      <w:tr>
        <w:trPr>
          <w:trHeight w:val="162"/>
        </w:trPr>
        <w:tc>
          <w:tcPr>
            <w:tcW w:w="308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ind w:right="108"/>
              <w:spacing w:after="0"/>
              <w:rPr>
                <w:sz w:val="20"/>
                <w:szCs w:val="20"/>
                <w:color w:val="auto"/>
              </w:rPr>
            </w:pPr>
            <w:r>
              <w:rPr>
                <w:rFonts w:ascii="Arial" w:cs="Arial" w:eastAsia="Arial" w:hAnsi="Arial"/>
                <w:sz w:val="14"/>
                <w:szCs w:val="14"/>
                <w:b w:val="1"/>
                <w:bCs w:val="1"/>
                <w:color w:val="auto"/>
              </w:rPr>
              <w:t>3812</w:t>
            </w:r>
          </w:p>
        </w:tc>
        <w:tc>
          <w:tcPr>
            <w:tcW w:w="2520" w:type="dxa"/>
            <w:vAlign w:val="bottom"/>
          </w:tcPr>
          <w:p>
            <w:pPr>
              <w:jc w:val="center"/>
              <w:ind w:left="928"/>
              <w:spacing w:after="0"/>
              <w:rPr>
                <w:sz w:val="20"/>
                <w:szCs w:val="20"/>
                <w:color w:val="auto"/>
              </w:rPr>
            </w:pPr>
            <w:r>
              <w:rPr>
                <w:rFonts w:ascii="Arial" w:cs="Arial" w:eastAsia="Arial" w:hAnsi="Arial"/>
                <w:sz w:val="14"/>
                <w:szCs w:val="14"/>
                <w:b w:val="1"/>
                <w:bCs w:val="1"/>
                <w:color w:val="auto"/>
              </w:rPr>
              <w:t>13-2632319</w:t>
            </w:r>
          </w:p>
        </w:tc>
      </w:tr>
      <w:tr>
        <w:trPr>
          <w:trHeight w:val="162"/>
        </w:trPr>
        <w:tc>
          <w:tcPr>
            <w:tcW w:w="3080" w:type="dxa"/>
            <w:vAlign w:val="bottom"/>
          </w:tcPr>
          <w:p>
            <w:pPr>
              <w:jc w:val="center"/>
              <w:ind w:right="748"/>
              <w:spacing w:after="0"/>
              <w:rPr>
                <w:sz w:val="20"/>
                <w:szCs w:val="20"/>
                <w:color w:val="auto"/>
              </w:rPr>
            </w:pPr>
            <w:r>
              <w:rPr>
                <w:rFonts w:ascii="Arial" w:cs="Arial" w:eastAsia="Arial" w:hAnsi="Arial"/>
                <w:sz w:val="14"/>
                <w:szCs w:val="14"/>
                <w:b w:val="1"/>
                <w:bCs w:val="1"/>
                <w:color w:val="auto"/>
              </w:rPr>
              <w:t>(State or Other Jurisdiction</w:t>
            </w:r>
          </w:p>
        </w:tc>
        <w:tc>
          <w:tcPr>
            <w:tcW w:w="3780" w:type="dxa"/>
            <w:vAlign w:val="bottom"/>
          </w:tcPr>
          <w:p>
            <w:pPr>
              <w:jc w:val="center"/>
              <w:ind w:right="128"/>
              <w:spacing w:after="0"/>
              <w:rPr>
                <w:sz w:val="20"/>
                <w:szCs w:val="20"/>
                <w:color w:val="auto"/>
              </w:rPr>
            </w:pPr>
            <w:r>
              <w:rPr>
                <w:rFonts w:ascii="Arial" w:cs="Arial" w:eastAsia="Arial" w:hAnsi="Arial"/>
                <w:sz w:val="14"/>
                <w:szCs w:val="14"/>
                <w:b w:val="1"/>
                <w:bCs w:val="1"/>
                <w:color w:val="auto"/>
              </w:rPr>
              <w:t>(Primary Standard Industrial</w:t>
            </w:r>
          </w:p>
        </w:tc>
        <w:tc>
          <w:tcPr>
            <w:tcW w:w="2520" w:type="dxa"/>
            <w:vAlign w:val="bottom"/>
          </w:tcPr>
          <w:p>
            <w:pPr>
              <w:jc w:val="center"/>
              <w:ind w:left="94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080" w:type="dxa"/>
            <w:vAlign w:val="bottom"/>
          </w:tcPr>
          <w:p>
            <w:pPr>
              <w:jc w:val="center"/>
              <w:ind w:right="748"/>
              <w:spacing w:after="0"/>
              <w:rPr>
                <w:sz w:val="20"/>
                <w:szCs w:val="20"/>
                <w:color w:val="auto"/>
              </w:rPr>
            </w:pPr>
            <w:r>
              <w:rPr>
                <w:rFonts w:ascii="Arial" w:cs="Arial" w:eastAsia="Arial" w:hAnsi="Arial"/>
                <w:sz w:val="14"/>
                <w:szCs w:val="14"/>
                <w:b w:val="1"/>
                <w:bCs w:val="1"/>
                <w:color w:val="auto"/>
              </w:rPr>
              <w:t>of Incorporation or Organization)</w:t>
            </w:r>
          </w:p>
        </w:tc>
        <w:tc>
          <w:tcPr>
            <w:tcW w:w="3780" w:type="dxa"/>
            <w:vAlign w:val="bottom"/>
          </w:tcPr>
          <w:p>
            <w:pPr>
              <w:jc w:val="center"/>
              <w:ind w:right="128"/>
              <w:spacing w:after="0"/>
              <w:rPr>
                <w:sz w:val="20"/>
                <w:szCs w:val="20"/>
                <w:color w:val="auto"/>
              </w:rPr>
            </w:pPr>
            <w:r>
              <w:rPr>
                <w:rFonts w:ascii="Arial" w:cs="Arial" w:eastAsia="Arial" w:hAnsi="Arial"/>
                <w:sz w:val="14"/>
                <w:szCs w:val="14"/>
                <w:b w:val="1"/>
                <w:bCs w:val="1"/>
                <w:color w:val="auto"/>
              </w:rPr>
              <w:t>Classification Code Number)</w:t>
            </w:r>
          </w:p>
        </w:tc>
        <w:tc>
          <w:tcPr>
            <w:tcW w:w="2520" w:type="dxa"/>
            <w:vAlign w:val="bottom"/>
          </w:tcPr>
          <w:p>
            <w:pPr>
              <w:jc w:val="center"/>
              <w:ind w:left="928"/>
              <w:spacing w:after="0"/>
              <w:rPr>
                <w:sz w:val="20"/>
                <w:szCs w:val="20"/>
                <w:color w:val="auto"/>
              </w:rPr>
            </w:pPr>
            <w:r>
              <w:rPr>
                <w:rFonts w:ascii="Arial" w:cs="Arial" w:eastAsia="Arial" w:hAnsi="Arial"/>
                <w:sz w:val="14"/>
                <w:szCs w:val="14"/>
                <w:b w:val="1"/>
                <w:bCs w:val="1"/>
                <w:color w:val="auto"/>
              </w:rPr>
              <w:t>Identification Number)</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2345 Crystal Drive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Arlington, Virginia 22202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(703) 416-8000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53340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William J. Lynn III</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2345 Crystal Drive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Arlington, Virginia 22202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(703) 416-8000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53340</wp:posOffset>
            </wp:positionV>
            <wp:extent cx="131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6" w:lineRule="exact"/>
        <w:rPr>
          <w:sz w:val="24"/>
          <w:szCs w:val="24"/>
          <w:color w:val="auto"/>
        </w:rPr>
      </w:pPr>
    </w:p>
    <w:tbl>
      <w:tblPr>
        <w:tblLayout w:type="fixed"/>
        <w:tblInd w:w="860" w:type="dxa"/>
        <w:tblCellMar>
          <w:top w:w="0" w:type="dxa"/>
          <w:left w:w="0" w:type="dxa"/>
          <w:bottom w:w="0" w:type="dxa"/>
          <w:right w:w="0" w:type="dxa"/>
        </w:tblCellMar>
      </w:tblPr>
      <w:tr>
        <w:trPr>
          <w:trHeight w:val="211"/>
        </w:trPr>
        <w:tc>
          <w:tcPr>
            <w:tcW w:w="2480" w:type="dxa"/>
            <w:vAlign w:val="bottom"/>
          </w:tcPr>
          <w:p>
            <w:pPr>
              <w:spacing w:after="0"/>
              <w:rPr>
                <w:sz w:val="18"/>
                <w:szCs w:val="18"/>
                <w:color w:val="auto"/>
              </w:rPr>
            </w:pPr>
          </w:p>
        </w:tc>
        <w:tc>
          <w:tcPr>
            <w:tcW w:w="4340" w:type="dxa"/>
            <w:vAlign w:val="bottom"/>
          </w:tcPr>
          <w:p>
            <w:pPr>
              <w:jc w:val="center"/>
              <w:ind w:left="139"/>
              <w:spacing w:after="0"/>
              <w:rPr>
                <w:sz w:val="20"/>
                <w:szCs w:val="20"/>
                <w:color w:val="auto"/>
              </w:rPr>
            </w:pPr>
            <w:r>
              <w:rPr>
                <w:rFonts w:ascii="Arial" w:cs="Arial" w:eastAsia="Arial" w:hAnsi="Arial"/>
                <w:sz w:val="16"/>
                <w:szCs w:val="16"/>
                <w:i w:val="1"/>
                <w:iCs w:val="1"/>
                <w:color w:val="auto"/>
                <w:w w:val="99"/>
              </w:rPr>
              <w:t>Copies to:</w:t>
            </w:r>
          </w:p>
        </w:tc>
        <w:tc>
          <w:tcPr>
            <w:tcW w:w="3120" w:type="dxa"/>
            <w:vAlign w:val="bottom"/>
          </w:tcPr>
          <w:p>
            <w:pPr>
              <w:spacing w:after="0"/>
              <w:rPr>
                <w:sz w:val="18"/>
                <w:szCs w:val="18"/>
                <w:color w:val="auto"/>
              </w:rPr>
            </w:pPr>
          </w:p>
        </w:tc>
      </w:tr>
      <w:tr>
        <w:trPr>
          <w:trHeight w:val="217"/>
        </w:trPr>
        <w:tc>
          <w:tcPr>
            <w:tcW w:w="2480" w:type="dxa"/>
            <w:vAlign w:val="bottom"/>
          </w:tcPr>
          <w:p>
            <w:pPr>
              <w:jc w:val="center"/>
              <w:ind w:right="359"/>
              <w:spacing w:after="0"/>
              <w:rPr>
                <w:sz w:val="20"/>
                <w:szCs w:val="20"/>
                <w:color w:val="auto"/>
              </w:rPr>
            </w:pPr>
            <w:r>
              <w:rPr>
                <w:rFonts w:ascii="Arial" w:cs="Arial" w:eastAsia="Arial" w:hAnsi="Arial"/>
                <w:sz w:val="16"/>
                <w:szCs w:val="16"/>
                <w:b w:val="1"/>
                <w:bCs w:val="1"/>
                <w:color w:val="auto"/>
              </w:rPr>
              <w:t>Scott D. Miller</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Mark A. Dorfman</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Craig B. Brod</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rPr>
              <w:t>Sullivan &amp; Cromwell LLP</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Executive Vice President, General Counsel and</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Jeffrey D. Karpf</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rPr>
              <w:t>125 Broad Street</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Secretary</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Cleary Gottlieb Steen &amp; Hamilton LLP</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w w:val="99"/>
              </w:rPr>
              <w:t>New York, New York 10004</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2345 Crystal Drive</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One Liberty Plaza</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rPr>
              <w:t>(212) 558-4000</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Suite 1000</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New York, New York 10006</w:t>
            </w:r>
          </w:p>
        </w:tc>
      </w:tr>
      <w:tr>
        <w:trPr>
          <w:trHeight w:val="189"/>
        </w:trPr>
        <w:tc>
          <w:tcPr>
            <w:tcW w:w="2480" w:type="dxa"/>
            <w:vAlign w:val="bottom"/>
          </w:tcPr>
          <w:p>
            <w:pPr>
              <w:spacing w:after="0"/>
              <w:rPr>
                <w:sz w:val="16"/>
                <w:szCs w:val="16"/>
                <w:color w:val="auto"/>
              </w:rPr>
            </w:pP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Arlington, Virginia 22202</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(212) 225-2000</w:t>
            </w:r>
          </w:p>
        </w:tc>
      </w:tr>
      <w:tr>
        <w:trPr>
          <w:trHeight w:val="215"/>
        </w:trPr>
        <w:tc>
          <w:tcPr>
            <w:tcW w:w="2480" w:type="dxa"/>
            <w:vAlign w:val="bottom"/>
          </w:tcPr>
          <w:p>
            <w:pPr>
              <w:spacing w:after="0"/>
              <w:rPr>
                <w:sz w:val="18"/>
                <w:szCs w:val="18"/>
                <w:color w:val="auto"/>
              </w:rPr>
            </w:pP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(703) 416-8000</w:t>
            </w:r>
          </w:p>
        </w:tc>
        <w:tc>
          <w:tcPr>
            <w:tcW w:w="31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123825</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32" w:lineRule="exact"/>
        <w:rPr>
          <w:sz w:val="24"/>
          <w:szCs w:val="24"/>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Approximate date of commencement of proposed sale of the securities to the public: </w:t>
      </w:r>
      <w:r>
        <w:rPr>
          <w:rFonts w:ascii="Arial" w:cs="Arial" w:eastAsia="Arial" w:hAnsi="Arial"/>
          <w:sz w:val="16"/>
          <w:szCs w:val="16"/>
          <w:color w:val="auto"/>
        </w:rPr>
        <w:t>As soon as practicable after this registration statement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w:t>
      </w:r>
    </w:p>
    <w:p>
      <w:pPr>
        <w:spacing w:after="0" w:line="14" w:lineRule="exact"/>
        <w:rPr>
          <w:sz w:val="24"/>
          <w:szCs w:val="24"/>
          <w:color w:val="auto"/>
        </w:rPr>
      </w:pPr>
    </w:p>
    <w:p>
      <w:pPr>
        <w:ind w:right="360"/>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2"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2" w:lineRule="exact"/>
        <w:rPr>
          <w:sz w:val="24"/>
          <w:szCs w:val="24"/>
          <w:color w:val="auto"/>
        </w:rPr>
      </w:pPr>
    </w:p>
    <w:p>
      <w:pPr>
        <w:ind w:right="74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2" w:lineRule="exact"/>
        <w:rPr>
          <w:sz w:val="24"/>
          <w:szCs w:val="24"/>
          <w:color w:val="auto"/>
        </w:rPr>
      </w:pPr>
    </w:p>
    <w:p>
      <w:pPr>
        <w:ind w:right="74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2" w:lineRule="exact"/>
        <w:rPr>
          <w:sz w:val="24"/>
          <w:szCs w:val="24"/>
          <w:color w:val="auto"/>
        </w:rPr>
      </w:pPr>
    </w:p>
    <w:p>
      <w:pPr>
        <w:ind w:right="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an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2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2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700" w:type="dxa"/>
            <w:vAlign w:val="bottom"/>
          </w:tcPr>
          <w:p>
            <w:pPr>
              <w:ind w:left="22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63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2240" w:type="dxa"/>
            <w:vAlign w:val="bottom"/>
            <w:tcBorders>
              <w:top w:val="single" w:sz="8" w:color="auto"/>
              <w:right w:val="single" w:sz="8" w:color="auto"/>
            </w:tcBorders>
          </w:tcPr>
          <w:p>
            <w:pPr>
              <w:spacing w:after="0"/>
              <w:rPr>
                <w:sz w:val="14"/>
                <w:szCs w:val="14"/>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Proposed Maximum Offering Price</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Proposed Maximum</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Amount of</w:t>
            </w:r>
          </w:p>
        </w:tc>
        <w:tc>
          <w:tcPr>
            <w:tcW w:w="0" w:type="dxa"/>
            <w:vAlign w:val="bottom"/>
          </w:tcPr>
          <w:p>
            <w:pPr>
              <w:spacing w:after="0"/>
              <w:rPr>
                <w:sz w:val="1"/>
                <w:szCs w:val="1"/>
                <w:color w:val="auto"/>
              </w:rPr>
            </w:pPr>
          </w:p>
        </w:tc>
      </w:tr>
      <w:tr>
        <w:trPr>
          <w:trHeight w:val="197"/>
        </w:trPr>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Amount to be Registered</w:t>
            </w:r>
            <w:r>
              <w:rPr>
                <w:rFonts w:ascii="Arial" w:cs="Arial" w:eastAsia="Arial" w:hAnsi="Arial"/>
                <w:sz w:val="16"/>
                <w:szCs w:val="16"/>
                <w:b w:val="1"/>
                <w:bCs w:val="1"/>
                <w:color w:val="auto"/>
                <w:w w:val="95"/>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Per Share</w:t>
            </w:r>
            <w:r>
              <w:rPr>
                <w:rFonts w:ascii="Arial" w:cs="Arial" w:eastAsia="Arial" w:hAnsi="Arial"/>
                <w:sz w:val="16"/>
                <w:szCs w:val="16"/>
                <w:b w:val="1"/>
                <w:bCs w:val="1"/>
                <w:color w:val="auto"/>
                <w:w w:val="94"/>
                <w:vertAlign w:val="superscript"/>
              </w:rPr>
              <w:t>(2)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Aggregate Offering Price</w:t>
            </w:r>
            <w:r>
              <w:rPr>
                <w:rFonts w:ascii="Arial" w:cs="Arial" w:eastAsia="Arial" w:hAnsi="Arial"/>
                <w:sz w:val="16"/>
                <w:szCs w:val="16"/>
                <w:b w:val="1"/>
                <w:bCs w:val="1"/>
                <w:color w:val="auto"/>
                <w:w w:val="94"/>
                <w:vertAlign w:val="superscript"/>
              </w:rPr>
              <w:t>(2)</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Registration Fee</w:t>
            </w:r>
          </w:p>
        </w:tc>
        <w:tc>
          <w:tcPr>
            <w:tcW w:w="0" w:type="dxa"/>
            <w:vAlign w:val="bottom"/>
          </w:tcPr>
          <w:p>
            <w:pPr>
              <w:spacing w:after="0"/>
              <w:rPr>
                <w:sz w:val="1"/>
                <w:szCs w:val="1"/>
                <w:color w:val="auto"/>
              </w:rPr>
            </w:pPr>
          </w:p>
        </w:tc>
      </w:tr>
      <w:tr>
        <w:trPr>
          <w:trHeight w:val="187"/>
        </w:trPr>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Common Stock, par value $0.01</w:t>
            </w:r>
          </w:p>
        </w:tc>
        <w:tc>
          <w:tcPr>
            <w:tcW w:w="22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w w:val="99"/>
              </w:rPr>
              <w:t>$88,051.34</w:t>
            </w:r>
            <w:r>
              <w:rPr>
                <w:rFonts w:ascii="Arial" w:cs="Arial" w:eastAsia="Arial" w:hAnsi="Arial"/>
                <w:sz w:val="18"/>
                <w:szCs w:val="18"/>
                <w:color w:val="auto"/>
                <w:w w:val="99"/>
                <w:vertAlign w:val="superscript"/>
              </w:rPr>
              <w:t>(3)</w:t>
            </w:r>
          </w:p>
        </w:tc>
        <w:tc>
          <w:tcPr>
            <w:tcW w:w="0" w:type="dxa"/>
            <w:vAlign w:val="bottom"/>
          </w:tcPr>
          <w:p>
            <w:pPr>
              <w:spacing w:after="0"/>
              <w:rPr>
                <w:sz w:val="1"/>
                <w:szCs w:val="1"/>
                <w:color w:val="auto"/>
              </w:rPr>
            </w:pPr>
          </w:p>
        </w:tc>
      </w:tr>
      <w:tr>
        <w:trPr>
          <w:trHeight w:val="184"/>
        </w:trPr>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per share</w:t>
            </w:r>
          </w:p>
        </w:tc>
        <w:tc>
          <w:tcPr>
            <w:tcW w:w="2240" w:type="dxa"/>
            <w:vAlign w:val="bottom"/>
            <w:tcBorders>
              <w:bottom w:val="single" w:sz="8" w:color="auto"/>
              <w:right w:val="single" w:sz="8" w:color="auto"/>
            </w:tcBorders>
          </w:tcPr>
          <w:p>
            <w:pPr>
              <w:jc w:val="right"/>
              <w:ind w:right="713"/>
              <w:spacing w:after="0"/>
              <w:rPr>
                <w:sz w:val="20"/>
                <w:szCs w:val="20"/>
                <w:color w:val="auto"/>
              </w:rPr>
            </w:pPr>
            <w:r>
              <w:rPr>
                <w:rFonts w:ascii="Arial" w:cs="Arial" w:eastAsia="Arial" w:hAnsi="Arial"/>
                <w:sz w:val="14"/>
                <w:szCs w:val="14"/>
                <w:color w:val="auto"/>
              </w:rPr>
              <w:t>36,685,000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$807,070,000</w:t>
            </w:r>
          </w:p>
        </w:tc>
        <w:tc>
          <w:tcPr>
            <w:tcW w:w="2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4,785,000 shares of common stock subject to the underwriters’ option to purchase additional shares.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457(o) of the Securities Act of 1933, as amended.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previously paid a registration fee of $10,910.00 in connection with the initial filing of this registration statement.</w:t>
      </w:r>
    </w:p>
    <w:p>
      <w:pPr>
        <w:spacing w:after="0" w:line="3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right="120"/>
        <w:spacing w:after="0" w:line="263" w:lineRule="auto"/>
        <w:rPr>
          <w:sz w:val="20"/>
          <w:szCs w:val="20"/>
          <w:color w:val="auto"/>
        </w:rPr>
      </w:pPr>
      <w:r>
        <w:rPr>
          <w:rFonts w:ascii="Arial" w:cs="Arial" w:eastAsia="Arial" w:hAnsi="Arial"/>
          <w:sz w:val="14"/>
          <w:szCs w:val="14"/>
          <w:b w:val="1"/>
          <w:bCs w:val="1"/>
          <w:color w:val="DE1A1E"/>
        </w:rPr>
        <w:t>The information in this preliminary prospectus is not complete and may be changed. We and the selling stockholder may not sell these securities until the U.S. Securities and Exchange Commission declares our registration statement effective. This preliminary prospectus is not an offer to sell these securities and it is not soliciting offers to buy these securities in any state or jurisdiction where the offer or sale is not permitted.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SUBJECT TO COMPLETION, DATED MARCH 15, 2021</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5"/>
          <w:szCs w:val="25"/>
          <w:color w:val="auto"/>
        </w:rPr>
        <w:t>31,900,000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-2540</wp:posOffset>
            </wp:positionV>
            <wp:extent cx="3000375"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03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Leonardo DRS,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169"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This is an initial public offering of shares of common stock of Leonardo DRS, Inc. The selling stockholder, Leonardo US Holding, Inc., a wholly owned subsidiary of Leonardo – Società per azioni, is offering 31,900,000 shares of common stock. We will not receive any of the proceeds from the sale of the shares being sold by the selling stockholder in this offering.</w:t>
      </w:r>
    </w:p>
    <w:p>
      <w:pPr>
        <w:spacing w:after="0" w:line="148"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Prior to this offering, there has been no public market for our common stock. We have applied to list our common stock on the New York Stock Exchange (“NYSE”), under the symbol “DRS.”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the initial public offering price will be between $20.00 and $22.00 per share.</w:t>
      </w:r>
    </w:p>
    <w:p>
      <w:pPr>
        <w:spacing w:after="0" w:line="171"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After the completion of this offering, the selling stockholder will continue to hold up to 78.0% of our common stock and we expect to be a “controlled company” within the meaning of the corporate governance standards of the NYSE.</w:t>
      </w:r>
    </w:p>
    <w:p>
      <w:pPr>
        <w:spacing w:after="0" w:line="122"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b w:val="1"/>
          <w:bCs w:val="1"/>
          <w:color w:val="auto"/>
        </w:rPr>
        <w:t>Investing in our common stock involves risks. See “Risk Factors” beginning on page 16 of this prospectus to read about factors you should consider before buying shares of our common stock.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 Share</w:t>
            </w: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Initial public offering price</w:t>
            </w:r>
          </w:p>
        </w:tc>
        <w:tc>
          <w:tcPr>
            <w:tcW w:w="1560" w:type="dxa"/>
            <w:vAlign w:val="bottom"/>
            <w:tcBorders>
              <w:top w:val="single" w:sz="8" w:color="auto"/>
            </w:tcBorders>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560" w:type="dxa"/>
            <w:vAlign w:val="bottom"/>
            <w:tcBorders>
              <w:top w:val="single" w:sz="8" w:color="auto"/>
            </w:tcBorders>
          </w:tcPr>
          <w:p>
            <w:pPr>
              <w:jc w:val="right"/>
              <w:ind w:right="1355"/>
              <w:spacing w:after="0"/>
              <w:rPr>
                <w:sz w:val="20"/>
                <w:szCs w:val="20"/>
                <w:color w:val="auto"/>
              </w:rPr>
            </w:pPr>
            <w:r>
              <w:rPr>
                <w:rFonts w:ascii="Arial" w:cs="Arial" w:eastAsia="Arial" w:hAnsi="Arial"/>
                <w:sz w:val="18"/>
                <w:szCs w:val="18"/>
                <w:color w:val="auto"/>
                <w:w w:val="99"/>
              </w:rPr>
              <w:t>$</w:t>
            </w:r>
          </w:p>
        </w:tc>
      </w:tr>
      <w:tr>
        <w:trPr>
          <w:trHeight w:val="323"/>
        </w:trPr>
        <w:tc>
          <w:tcPr>
            <w:tcW w:w="802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17"/>
        </w:trPr>
        <w:tc>
          <w:tcPr>
            <w:tcW w:w="8020" w:type="dxa"/>
            <w:vAlign w:val="bottom"/>
          </w:tcPr>
          <w:p>
            <w:pPr>
              <w:ind w:left="20"/>
              <w:spacing w:after="0"/>
              <w:rPr>
                <w:sz w:val="20"/>
                <w:szCs w:val="20"/>
                <w:color w:val="auto"/>
              </w:rPr>
            </w:pPr>
            <w:r>
              <w:rPr>
                <w:rFonts w:ascii="Arial" w:cs="Arial" w:eastAsia="Arial" w:hAnsi="Arial"/>
                <w:sz w:val="18"/>
                <w:szCs w:val="18"/>
                <w:color w:val="auto"/>
              </w:rPr>
              <w:t>Proceeds, before expenses, to the selling stockholder</w:t>
            </w: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18"/>
        </w:trPr>
        <w:tc>
          <w:tcPr>
            <w:tcW w:w="8020" w:type="dxa"/>
            <w:vAlign w:val="bottom"/>
          </w:tcPr>
          <w:p>
            <w:pPr>
              <w:spacing w:after="0"/>
              <w:rPr>
                <w:sz w:val="20"/>
                <w:szCs w:val="20"/>
                <w:color w:val="auto"/>
              </w:rPr>
            </w:pPr>
            <w:r>
              <w:rPr>
                <w:rFonts w:ascii="Arial" w:cs="Arial" w:eastAsia="Arial" w:hAnsi="Arial"/>
                <w:sz w:val="16"/>
                <w:szCs w:val="16"/>
                <w:color w:val="auto"/>
              </w:rPr>
              <w:t>______________</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6"/>
          <w:szCs w:val="16"/>
          <w:color w:val="auto"/>
        </w:rPr>
        <w:t>(1)  We have agreed to reimburse the underwriters for certain expenses in connection with this offering. See “Underwriting.”</w:t>
      </w:r>
    </w:p>
    <w:p>
      <w:pPr>
        <w:spacing w:after="0" w:line="164"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underwriters also may purchase up to 4,785,000 additional shares from the selling stockholder at the initial offering price less the underwriting discounts and commissions, within 30 days from the date of this prospectus.</w:t>
      </w:r>
    </w:p>
    <w:p>
      <w:pPr>
        <w:spacing w:after="0" w:line="12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the securities described herein or determined if this prospectus is truthful or complete. Any representation to the contrary is a criminal offense.</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The underwriters expect to deliver the shares to purchasers on or about</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154305</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383"/>
        </w:trPr>
        <w:tc>
          <w:tcPr>
            <w:tcW w:w="5460" w:type="dxa"/>
            <w:vAlign w:val="bottom"/>
            <w:gridSpan w:val="3"/>
          </w:tcPr>
          <w:p>
            <w:pPr>
              <w:spacing w:after="0"/>
              <w:rPr>
                <w:sz w:val="20"/>
                <w:szCs w:val="20"/>
                <w:color w:val="auto"/>
              </w:rPr>
            </w:pPr>
            <w:r>
              <w:rPr>
                <w:rFonts w:ascii="Arial" w:cs="Arial" w:eastAsia="Arial" w:hAnsi="Arial"/>
                <w:sz w:val="29"/>
                <w:szCs w:val="29"/>
                <w:b w:val="1"/>
                <w:bCs w:val="1"/>
                <w:color w:val="auto"/>
              </w:rPr>
              <w:t>Goldman Sachs &amp; Co. LLC</w:t>
            </w:r>
          </w:p>
        </w:tc>
        <w:tc>
          <w:tcPr>
            <w:tcW w:w="320" w:type="dxa"/>
            <w:vAlign w:val="bottom"/>
          </w:tcPr>
          <w:p>
            <w:pPr>
              <w:spacing w:after="0"/>
              <w:rPr>
                <w:sz w:val="24"/>
                <w:szCs w:val="24"/>
                <w:color w:val="auto"/>
              </w:rPr>
            </w:pPr>
          </w:p>
        </w:tc>
        <w:tc>
          <w:tcPr>
            <w:tcW w:w="2720" w:type="dxa"/>
            <w:vAlign w:val="bottom"/>
            <w:gridSpan w:val="2"/>
          </w:tcPr>
          <w:p>
            <w:pPr>
              <w:jc w:val="center"/>
              <w:ind w:right="420"/>
              <w:spacing w:after="0"/>
              <w:rPr>
                <w:sz w:val="20"/>
                <w:szCs w:val="20"/>
                <w:color w:val="auto"/>
              </w:rPr>
            </w:pPr>
            <w:r>
              <w:rPr>
                <w:rFonts w:ascii="Arial" w:cs="Arial" w:eastAsia="Arial" w:hAnsi="Arial"/>
                <w:sz w:val="29"/>
                <w:szCs w:val="29"/>
                <w:b w:val="1"/>
                <w:bCs w:val="1"/>
                <w:color w:val="auto"/>
                <w:w w:val="99"/>
              </w:rPr>
              <w:t>BofA Securities</w:t>
            </w:r>
          </w:p>
        </w:tc>
        <w:tc>
          <w:tcPr>
            <w:tcW w:w="2700" w:type="dxa"/>
            <w:vAlign w:val="bottom"/>
          </w:tcPr>
          <w:p>
            <w:pPr>
              <w:ind w:left="1100"/>
              <w:spacing w:after="0"/>
              <w:rPr>
                <w:sz w:val="20"/>
                <w:szCs w:val="20"/>
                <w:color w:val="auto"/>
              </w:rPr>
            </w:pPr>
            <w:r>
              <w:rPr>
                <w:rFonts w:ascii="Arial" w:cs="Arial" w:eastAsia="Arial" w:hAnsi="Arial"/>
                <w:sz w:val="29"/>
                <w:szCs w:val="29"/>
                <w:b w:val="1"/>
                <w:bCs w:val="1"/>
                <w:color w:val="auto"/>
                <w:w w:val="96"/>
              </w:rPr>
              <w:t>J.P. Morgan</w:t>
            </w:r>
          </w:p>
        </w:tc>
      </w:tr>
      <w:tr>
        <w:trPr>
          <w:trHeight w:val="543"/>
        </w:trPr>
        <w:tc>
          <w:tcPr>
            <w:tcW w:w="224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3220" w:type="dxa"/>
            <w:vAlign w:val="bottom"/>
            <w:gridSpan w:val="2"/>
          </w:tcPr>
          <w:p>
            <w:pPr>
              <w:ind w:left="580"/>
              <w:spacing w:after="0"/>
              <w:rPr>
                <w:sz w:val="20"/>
                <w:szCs w:val="20"/>
                <w:color w:val="auto"/>
              </w:rPr>
            </w:pPr>
            <w:r>
              <w:rPr>
                <w:rFonts w:ascii="Arial" w:cs="Arial" w:eastAsia="Arial" w:hAnsi="Arial"/>
                <w:sz w:val="25"/>
                <w:szCs w:val="25"/>
                <w:b w:val="1"/>
                <w:bCs w:val="1"/>
                <w:color w:val="auto"/>
              </w:rPr>
              <w:t>Citigroup</w:t>
            </w:r>
          </w:p>
        </w:tc>
        <w:tc>
          <w:tcPr>
            <w:tcW w:w="3040" w:type="dxa"/>
            <w:vAlign w:val="bottom"/>
            <w:gridSpan w:val="3"/>
          </w:tcPr>
          <w:p>
            <w:pPr>
              <w:jc w:val="right"/>
              <w:ind w:right="1260"/>
              <w:spacing w:after="0"/>
              <w:rPr>
                <w:sz w:val="20"/>
                <w:szCs w:val="20"/>
                <w:color w:val="auto"/>
              </w:rPr>
            </w:pPr>
            <w:r>
              <w:rPr>
                <w:rFonts w:ascii="Arial" w:cs="Arial" w:eastAsia="Arial" w:hAnsi="Arial"/>
                <w:sz w:val="25"/>
                <w:szCs w:val="25"/>
                <w:b w:val="1"/>
                <w:bCs w:val="1"/>
                <w:color w:val="auto"/>
              </w:rPr>
              <w:t>Credit Suisse</w:t>
            </w:r>
          </w:p>
        </w:tc>
        <w:tc>
          <w:tcPr>
            <w:tcW w:w="2700" w:type="dxa"/>
            <w:vAlign w:val="bottom"/>
          </w:tcPr>
          <w:p>
            <w:pPr>
              <w:ind w:left="780"/>
              <w:spacing w:after="0"/>
              <w:rPr>
                <w:sz w:val="20"/>
                <w:szCs w:val="20"/>
                <w:color w:val="auto"/>
              </w:rPr>
            </w:pPr>
            <w:r>
              <w:rPr>
                <w:rFonts w:ascii="Arial" w:cs="Arial" w:eastAsia="Arial" w:hAnsi="Arial"/>
                <w:sz w:val="25"/>
                <w:szCs w:val="25"/>
                <w:b w:val="1"/>
                <w:bCs w:val="1"/>
                <w:color w:val="auto"/>
              </w:rPr>
              <w:t>Morgan Stanley</w:t>
            </w:r>
          </w:p>
        </w:tc>
      </w:tr>
      <w:tr>
        <w:trPr>
          <w:trHeight w:val="451"/>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Credit Agricole CIB</w:t>
            </w:r>
          </w:p>
        </w:tc>
        <w:tc>
          <w:tcPr>
            <w:tcW w:w="3220" w:type="dxa"/>
            <w:vAlign w:val="bottom"/>
            <w:gridSpan w:val="2"/>
          </w:tcPr>
          <w:p>
            <w:pPr>
              <w:ind w:left="1280"/>
              <w:spacing w:after="0"/>
              <w:rPr>
                <w:sz w:val="20"/>
                <w:szCs w:val="20"/>
                <w:color w:val="auto"/>
              </w:rPr>
            </w:pPr>
            <w:r>
              <w:rPr>
                <w:rFonts w:ascii="Arial" w:cs="Arial" w:eastAsia="Arial" w:hAnsi="Arial"/>
                <w:sz w:val="18"/>
                <w:szCs w:val="18"/>
                <w:b w:val="1"/>
                <w:bCs w:val="1"/>
                <w:color w:val="auto"/>
              </w:rPr>
              <w:t>IMI - Intesa Sanpaolo</w:t>
            </w:r>
          </w:p>
        </w:tc>
        <w:tc>
          <w:tcPr>
            <w:tcW w:w="320" w:type="dxa"/>
            <w:vAlign w:val="bottom"/>
          </w:tcPr>
          <w:p>
            <w:pPr>
              <w:spacing w:after="0"/>
              <w:rPr>
                <w:sz w:val="24"/>
                <w:szCs w:val="24"/>
                <w:color w:val="auto"/>
              </w:rPr>
            </w:pPr>
          </w:p>
        </w:tc>
        <w:tc>
          <w:tcPr>
            <w:tcW w:w="2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MUFG</w:t>
            </w:r>
          </w:p>
        </w:tc>
        <w:tc>
          <w:tcPr>
            <w:tcW w:w="2700" w:type="dxa"/>
            <w:vAlign w:val="bottom"/>
          </w:tcPr>
          <w:p>
            <w:pPr>
              <w:ind w:left="500"/>
              <w:spacing w:after="0"/>
              <w:rPr>
                <w:sz w:val="20"/>
                <w:szCs w:val="20"/>
                <w:color w:val="auto"/>
              </w:rPr>
            </w:pPr>
            <w:r>
              <w:rPr>
                <w:rFonts w:ascii="Arial" w:cs="Arial" w:eastAsia="Arial" w:hAnsi="Arial"/>
                <w:sz w:val="18"/>
                <w:szCs w:val="18"/>
                <w:b w:val="1"/>
                <w:bCs w:val="1"/>
                <w:color w:val="auto"/>
                <w:w w:val="99"/>
              </w:rPr>
              <w:t>UniCredit Capital Markets</w:t>
            </w:r>
          </w:p>
        </w:tc>
      </w:tr>
      <w:tr>
        <w:trPr>
          <w:trHeight w:val="216"/>
        </w:trPr>
        <w:tc>
          <w:tcPr>
            <w:tcW w:w="2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71"/>
        </w:trPr>
        <w:tc>
          <w:tcPr>
            <w:tcW w:w="2240" w:type="dxa"/>
            <w:vAlign w:val="bottom"/>
          </w:tcPr>
          <w:p>
            <w:pPr>
              <w:spacing w:after="0"/>
              <w:rPr>
                <w:sz w:val="24"/>
                <w:szCs w:val="24"/>
                <w:color w:val="auto"/>
              </w:rPr>
            </w:pPr>
          </w:p>
        </w:tc>
        <w:tc>
          <w:tcPr>
            <w:tcW w:w="3540" w:type="dxa"/>
            <w:vAlign w:val="bottom"/>
            <w:gridSpan w:val="3"/>
          </w:tcPr>
          <w:p>
            <w:pPr>
              <w:ind w:left="2060"/>
              <w:spacing w:after="0"/>
              <w:rPr>
                <w:sz w:val="20"/>
                <w:szCs w:val="20"/>
                <w:color w:val="auto"/>
              </w:rPr>
            </w:pPr>
            <w:r>
              <w:rPr>
                <w:rFonts w:ascii="Arial" w:cs="Arial" w:eastAsia="Arial" w:hAnsi="Arial"/>
                <w:sz w:val="18"/>
                <w:szCs w:val="18"/>
                <w:color w:val="auto"/>
              </w:rPr>
              <w:t>Prospectus dated</w:t>
            </w:r>
          </w:p>
        </w:tc>
        <w:tc>
          <w:tcPr>
            <w:tcW w:w="2720" w:type="dxa"/>
            <w:vAlign w:val="bottom"/>
            <w:gridSpan w:val="2"/>
          </w:tcPr>
          <w:p>
            <w:pPr>
              <w:jc w:val="right"/>
              <w:ind w:right="1600"/>
              <w:spacing w:after="0"/>
              <w:rPr>
                <w:sz w:val="20"/>
                <w:szCs w:val="20"/>
                <w:color w:val="auto"/>
              </w:rPr>
            </w:pPr>
            <w:r>
              <w:rPr>
                <w:rFonts w:ascii="Arial" w:cs="Arial" w:eastAsia="Arial" w:hAnsi="Arial"/>
                <w:sz w:val="18"/>
                <w:szCs w:val="18"/>
                <w:color w:val="auto"/>
              </w:rPr>
              <w:t>, 2021</w:t>
            </w:r>
          </w:p>
        </w:tc>
        <w:tc>
          <w:tcPr>
            <w:tcW w:w="2700" w:type="dxa"/>
            <w:vAlign w:val="bottom"/>
          </w:tcPr>
          <w:p>
            <w:pPr>
              <w:spacing w:after="0"/>
              <w:rPr>
                <w:sz w:val="24"/>
                <w:szCs w:val="24"/>
                <w:color w:val="auto"/>
              </w:rPr>
            </w:pPr>
          </w:p>
        </w:tc>
      </w:tr>
    </w:tbl>
    <w:p>
      <w:pPr>
        <w:sectPr>
          <w:pgSz w:w="11900" w:h="16838" w:orient="portrait"/>
          <w:cols w:equalWidth="0" w:num="1">
            <w:col w:w="11240"/>
          </w:cols>
          <w:pgMar w:left="320" w:top="936" w:right="339" w:bottom="1440" w:gutter="0" w:footer="0" w:header="0"/>
        </w:sectPr>
      </w:pPr>
    </w:p>
    <w:bookmarkStart w:id="3" w:name="page4"/>
    <w:bookmarkEnd w:id="3"/>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23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82"/>
        </w:trPr>
        <w:tc>
          <w:tcPr>
            <w:tcW w:w="89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Certain Defined Terms</w:t>
              </w:r>
            </w:hyperlink>
          </w:p>
        </w:tc>
        <w:tc>
          <w:tcPr>
            <w:tcW w:w="204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w:t>
              </w:r>
            </w:hyperlink>
          </w:p>
        </w:tc>
      </w:tr>
      <w:tr>
        <w:trPr>
          <w:trHeight w:val="243"/>
        </w:trPr>
        <w:tc>
          <w:tcPr>
            <w:tcW w:w="890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Special Note Regarding Forward-Looking Statements and Information</w:t>
              </w:r>
            </w:hyperlink>
          </w:p>
        </w:tc>
        <w:tc>
          <w:tcPr>
            <w:tcW w:w="2040" w:type="dxa"/>
            <w:vAlign w:val="bottom"/>
          </w:tcPr>
          <w:p>
            <w:pPr>
              <w:spacing w:after="0"/>
              <w:rPr>
                <w:sz w:val="21"/>
                <w:szCs w:val="21"/>
                <w:color w:val="auto"/>
              </w:rPr>
            </w:pPr>
          </w:p>
        </w:tc>
        <w:tc>
          <w:tcPr>
            <w:tcW w:w="2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ii</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Prospectus Summary</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1</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The Offering</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14</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Summary Consolidated Financial Data</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15</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Risk Factors</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16</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Use of Proceeds</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57</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Capitalization</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58</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Dividend Policy</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60</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Recapitalization</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61</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Selected Historical Consolidated Financial Data</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63</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Unaudited Pro Forma Consolidated Financial Information</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65</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Management’s Discussion and Analysis of Financial Condition and Results of Operations</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72</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Business</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105</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Management</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125</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Executive Compensation</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134</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168">
              <w:r>
                <w:rPr>
                  <w:rFonts w:ascii="Arial" w:cs="Arial" w:eastAsia="Arial" w:hAnsi="Arial"/>
                  <w:sz w:val="18"/>
                  <w:szCs w:val="18"/>
                  <w:u w:val="single" w:color="auto"/>
                  <w:color w:val="0000FF"/>
                </w:rPr>
                <w:t>Principal and Selling Stockholders</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168">
              <w:r>
                <w:rPr>
                  <w:rFonts w:ascii="Arial" w:cs="Arial" w:eastAsia="Arial" w:hAnsi="Arial"/>
                  <w:sz w:val="18"/>
                  <w:szCs w:val="18"/>
                  <w:u w:val="single" w:color="auto"/>
                  <w:color w:val="0000FF"/>
                </w:rPr>
                <w:t>162</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Certain Relationships and Related Party Transactions</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164</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183">
              <w:r>
                <w:rPr>
                  <w:rFonts w:ascii="Arial" w:cs="Arial" w:eastAsia="Arial" w:hAnsi="Arial"/>
                  <w:sz w:val="18"/>
                  <w:szCs w:val="18"/>
                  <w:u w:val="single" w:color="auto"/>
                  <w:color w:val="0000FF"/>
                </w:rPr>
                <w:t>Description of Capital Stock</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183">
              <w:r>
                <w:rPr>
                  <w:rFonts w:ascii="Arial" w:cs="Arial" w:eastAsia="Arial" w:hAnsi="Arial"/>
                  <w:sz w:val="18"/>
                  <w:szCs w:val="18"/>
                  <w:u w:val="single" w:color="auto"/>
                  <w:color w:val="0000FF"/>
                </w:rPr>
                <w:t>177</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Shares Eligible for Future Sale</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184</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Material U.S. Federal Tax Considerations For Non-U.S. Holders</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186</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Underwriting</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189</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202">
              <w:r>
                <w:rPr>
                  <w:rFonts w:ascii="Arial" w:cs="Arial" w:eastAsia="Arial" w:hAnsi="Arial"/>
                  <w:sz w:val="18"/>
                  <w:szCs w:val="18"/>
                  <w:u w:val="single" w:color="auto"/>
                  <w:color w:val="0000FF"/>
                </w:rPr>
                <w:t>Validity of Common Stock</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202">
              <w:r>
                <w:rPr>
                  <w:rFonts w:ascii="Arial" w:cs="Arial" w:eastAsia="Arial" w:hAnsi="Arial"/>
                  <w:sz w:val="18"/>
                  <w:szCs w:val="18"/>
                  <w:u w:val="single" w:color="auto"/>
                  <w:color w:val="0000FF"/>
                </w:rPr>
                <w:t>196</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203">
              <w:r>
                <w:rPr>
                  <w:rFonts w:ascii="Arial" w:cs="Arial" w:eastAsia="Arial" w:hAnsi="Arial"/>
                  <w:sz w:val="18"/>
                  <w:szCs w:val="18"/>
                  <w:u w:val="single" w:color="auto"/>
                  <w:color w:val="0000FF"/>
                </w:rPr>
                <w:t>Experts</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202">
              <w:r>
                <w:rPr>
                  <w:rFonts w:ascii="Arial" w:cs="Arial" w:eastAsia="Arial" w:hAnsi="Arial"/>
                  <w:sz w:val="18"/>
                  <w:szCs w:val="18"/>
                  <w:u w:val="single" w:color="auto"/>
                  <w:color w:val="0000FF"/>
                </w:rPr>
                <w:t>196</w:t>
              </w:r>
            </w:hyperlink>
          </w:p>
        </w:tc>
      </w:tr>
      <w:tr>
        <w:trPr>
          <w:trHeight w:val="270"/>
        </w:trPr>
        <w:tc>
          <w:tcPr>
            <w:tcW w:w="8900" w:type="dxa"/>
            <w:vAlign w:val="bottom"/>
          </w:tcPr>
          <w:p>
            <w:pPr>
              <w:spacing w:after="0"/>
              <w:rPr>
                <w:rFonts w:ascii="Arial" w:cs="Arial" w:eastAsia="Arial" w:hAnsi="Arial"/>
                <w:sz w:val="18"/>
                <w:szCs w:val="18"/>
                <w:u w:val="single" w:color="auto"/>
                <w:color w:val="0000FF"/>
              </w:rPr>
            </w:pPr>
            <w:hyperlink w:anchor="page203">
              <w:r>
                <w:rPr>
                  <w:rFonts w:ascii="Arial" w:cs="Arial" w:eastAsia="Arial" w:hAnsi="Arial"/>
                  <w:sz w:val="18"/>
                  <w:szCs w:val="18"/>
                  <w:u w:val="single" w:color="auto"/>
                  <w:color w:val="0000FF"/>
                </w:rPr>
                <w:t>Where You Can Find More Information</w:t>
              </w:r>
            </w:hyperlink>
          </w:p>
        </w:tc>
        <w:tc>
          <w:tcPr>
            <w:tcW w:w="2300" w:type="dxa"/>
            <w:vAlign w:val="bottom"/>
            <w:gridSpan w:val="2"/>
          </w:tcPr>
          <w:p>
            <w:pPr>
              <w:jc w:val="right"/>
              <w:spacing w:after="0"/>
              <w:rPr>
                <w:rFonts w:ascii="Arial" w:cs="Arial" w:eastAsia="Arial" w:hAnsi="Arial"/>
                <w:sz w:val="18"/>
                <w:szCs w:val="18"/>
                <w:u w:val="single" w:color="auto"/>
                <w:color w:val="0000FF"/>
              </w:rPr>
            </w:pPr>
            <w:hyperlink w:anchor="page203">
              <w:r>
                <w:rPr>
                  <w:rFonts w:ascii="Arial" w:cs="Arial" w:eastAsia="Arial" w:hAnsi="Arial"/>
                  <w:sz w:val="18"/>
                  <w:szCs w:val="18"/>
                  <w:u w:val="single" w:color="auto"/>
                  <w:color w:val="0000FF"/>
                </w:rPr>
                <w:t>196</w:t>
              </w:r>
            </w:hyperlink>
          </w:p>
        </w:tc>
      </w:tr>
      <w:tr>
        <w:trPr>
          <w:trHeight w:val="230"/>
        </w:trPr>
        <w:tc>
          <w:tcPr>
            <w:tcW w:w="8900" w:type="dxa"/>
            <w:vAlign w:val="bottom"/>
          </w:tcPr>
          <w:p>
            <w:pPr>
              <w:spacing w:after="0"/>
              <w:rPr>
                <w:rFonts w:ascii="Arial" w:cs="Arial" w:eastAsia="Arial" w:hAnsi="Arial"/>
                <w:sz w:val="18"/>
                <w:szCs w:val="18"/>
                <w:u w:val="single" w:color="auto"/>
                <w:color w:val="0000FF"/>
              </w:rPr>
            </w:pPr>
            <w:hyperlink w:anchor="page203">
              <w:r>
                <w:rPr>
                  <w:rFonts w:ascii="Arial" w:cs="Arial" w:eastAsia="Arial" w:hAnsi="Arial"/>
                  <w:sz w:val="18"/>
                  <w:szCs w:val="18"/>
                  <w:u w:val="single" w:color="auto"/>
                  <w:color w:val="0000FF"/>
                </w:rPr>
                <w:t>Index to Consolidated Financial Statements</w:t>
              </w:r>
            </w:hyperlink>
          </w:p>
        </w:tc>
        <w:tc>
          <w:tcPr>
            <w:tcW w:w="2040" w:type="dxa"/>
            <w:vAlign w:val="bottom"/>
          </w:tcPr>
          <w:p>
            <w:pPr>
              <w:spacing w:after="0"/>
              <w:rPr>
                <w:sz w:val="19"/>
                <w:szCs w:val="19"/>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203">
              <w:r>
                <w:rPr>
                  <w:rFonts w:ascii="Arial" w:cs="Arial" w:eastAsia="Arial" w:hAnsi="Arial"/>
                  <w:sz w:val="18"/>
                  <w:szCs w:val="18"/>
                  <w:color w:val="0000FF"/>
                  <w:w w:val="88"/>
                </w:rPr>
                <w:t>F-1</w:t>
              </w:r>
            </w:hyperlink>
          </w:p>
        </w:tc>
      </w:tr>
    </w:tbl>
    <w:p>
      <w:pPr>
        <w:spacing w:after="0" w:line="247"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this prospectus and any free writing prospectus we may authorize to be delivered to you. We have not, and the selling stockholder and the underwriters have not, authorized anyone to provide you with information different from, or in addition to, that contained in this prospectus and any related free writing prospectus. We, the selling stockholder and the underwriters take no responsibility for, and can provide no assurances as to the reliability of, any information that others may give you. This prospectus is an offer to sell only the shares offered hereby, but only under circumstances and in jurisdictions where it is lawful to do so. The information contained in this prospectus is only accurate as of the date of this prospectus, regardless of the time of delivery of this prospectus and any sale of shares of our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DEFINED TERMS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following terms in this prospectus:</w:t>
      </w:r>
    </w:p>
    <w:p>
      <w:pPr>
        <w:spacing w:after="0" w:line="171" w:lineRule="exact"/>
        <w:rPr>
          <w:sz w:val="20"/>
          <w:szCs w:val="20"/>
          <w:color w:val="auto"/>
        </w:rPr>
      </w:pPr>
    </w:p>
    <w:p>
      <w:pPr>
        <w:ind w:left="660" w:right="24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Holding” means Leonardo US Holding, Inc., a Delaware corporation, the selling stockholder in this offering and a direct wholly owned subsidiary of Leonardo S.p.A.;</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“Leonardo S.p.A.” means Leonardo – Società per azioni, an Italian società per azioni listed on the Milan Stock Exchange; and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type w:val="continuous"/>
        </w:sectPr>
      </w:pPr>
    </w:p>
    <w:bookmarkStart w:id="4" w:name="page5"/>
    <w:bookmarkEnd w:id="4"/>
    <w:p>
      <w:pPr>
        <w:spacing w:after="0" w:line="157" w:lineRule="exact"/>
        <w:rPr>
          <w:sz w:val="20"/>
          <w:szCs w:val="20"/>
          <w:color w:val="auto"/>
        </w:rPr>
      </w:pPr>
    </w:p>
    <w:p>
      <w:pPr>
        <w:ind w:left="660" w:right="3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“DRS” and the “Company” mean Leonardo DRS, Inc. and its consolidated subsidiaries, unless the context refers only to Leonardo DRS, Inc. as a corporate entity.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 AND INFORMATION</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This prospectus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matters that are not historical facts. They appear in a number of places throughout this prospectus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prospectus. In addition, even if future performance and outcomes are consistent with the forward-looking statements contained in this prospectus,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w:t>
      </w:r>
    </w:p>
    <w:p>
      <w:pPr>
        <w:spacing w:after="0" w:line="153" w:lineRule="exact"/>
        <w:rPr>
          <w:sz w:val="20"/>
          <w:szCs w:val="20"/>
          <w:color w:val="auto"/>
        </w:rPr>
      </w:pPr>
    </w:p>
    <w:p>
      <w:pPr>
        <w:jc w:val="both"/>
        <w:ind w:left="660" w:right="38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spacing w:after="0" w:line="147"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changes in U.S. government priorities and spending levels more broadly;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comply with the proxy agreement with the U.S. Department of Defense (the “DoD”);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coronavirus pandemic (“COVID-19”) and related impacts on our business, financial condition and results of operations;</w:t>
      </w:r>
    </w:p>
    <w:p>
      <w:pPr>
        <w:spacing w:after="0" w:line="171"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mix of fixed-price, cost-plus and time-and-material type contracts and any resulting impact on our cash flows due to cost overruns;</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U.S. government contracts, which often are only partially funded and are subject to immediate termination, and the concentration of our customer base in the U.S. defense industry;</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estimates in pricing and accounting for many of our programs that are inherently uncertain and which may not prove to be accurate;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full value of our backlog;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predict future capital needs or to obtain additional financing if we need it;</w:t>
      </w:r>
    </w:p>
    <w:p>
      <w:pPr>
        <w:spacing w:after="0" w:line="171"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efficiently, including due to U.S. government organizational conflict of interest rules which may limit new contract opportunities or require us to wind down existing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20" w:top="1440" w:right="379" w:bottom="1440" w:gutter="0" w:footer="0" w:header="0"/>
        </w:sectPr>
      </w:pPr>
    </w:p>
    <w:bookmarkStart w:id="5" w:name="page6"/>
    <w:bookmarkEnd w:id="5"/>
    <w:p>
      <w:pPr>
        <w:spacing w:after="0" w:line="157" w:lineRule="exact"/>
        <w:rPr>
          <w:sz w:val="20"/>
          <w:szCs w:val="20"/>
          <w:color w:val="auto"/>
        </w:rPr>
      </w:pPr>
    </w:p>
    <w:p>
      <w:pPr>
        <w:ind w:left="660" w:right="4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relationships with other industry participants, including any contractual disputes or the inability of our key suppliers to timely deliver our components, parts or services;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failure to meet our contractual obligations;</w:t>
      </w:r>
    </w:p>
    <w:p>
      <w:pPr>
        <w:spacing w:after="0" w:line="171"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security breach, including any cyber attack, cyber intrusion, insider threat, or other significant disruption of our IT networks and related systems as well as any act of terrorism or other threat to our physical security and personnel;</w:t>
      </w:r>
    </w:p>
    <w:p>
      <w:pPr>
        <w:spacing w:after="0" w:line="143" w:lineRule="exact"/>
        <w:rPr>
          <w:rFonts w:ascii="Arial" w:cs="Arial" w:eastAsia="Arial" w:hAnsi="Arial"/>
          <w:sz w:val="18"/>
          <w:szCs w:val="18"/>
          <w:color w:val="auto"/>
        </w:rPr>
      </w:pPr>
    </w:p>
    <w:p>
      <w:pPr>
        <w:jc w:val="both"/>
        <w:ind w:left="660" w:right="20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w:t>
      </w:r>
    </w:p>
    <w:p>
      <w:pPr>
        <w:spacing w:after="0" w:line="147" w:lineRule="exact"/>
        <w:rPr>
          <w:rFonts w:ascii="Arial" w:cs="Arial" w:eastAsia="Arial" w:hAnsi="Arial"/>
          <w:sz w:val="18"/>
          <w:szCs w:val="18"/>
          <w:color w:val="auto"/>
        </w:rPr>
      </w:pPr>
    </w:p>
    <w:p>
      <w:pPr>
        <w:ind w:left="660" w:right="8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conduct of our employees, agents, affiliates, subcontractors, suppliers, business partners or joint ventures in which we participate which may impact our reputation and ability to do business;</w:t>
      </w:r>
    </w:p>
    <w:p>
      <w:pPr>
        <w:spacing w:after="0" w:line="14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with environmental laws and regulations, and any environmental liabilities that may affect our reputation or financial position;</w:t>
      </w:r>
    </w:p>
    <w:p>
      <w:pPr>
        <w:spacing w:after="0" w:line="143"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 arbitration, investigations, claims, disputes, enforcement actions and other legal proceedings in which we are involved;</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Various geopolitical and economic factors, laws and regulations including the Foreign Corrupt Practices Act (“FCPA”), the Export Control Act, the International Traffic in Arms Regulations (“ITAR”), the Export Administration Regulations (“EAR”), and those that we are exposed to as a result of our international business;</w:t>
      </w:r>
    </w:p>
    <w:p>
      <w:pPr>
        <w:spacing w:after="0" w:line="14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export licenses necessary to conduct certain operations abroad, including any attempts by Congress to prevent proposed sales to certain foreign governments;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technical and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prolonged work stoppages;</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unavailability or inadequacy of our insurance coverage, customer indemnifications or other liability protections to cover all of our significant risks or to pay for material losses we incur;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changes in U.S. tax laws and regulations or interpretations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estimates used in accounting for our pension plans, including in respect of the funding status thereof;</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future business or other market conditions that could cause business investments and/or recorded goodwill or other long-term assets to become impaired;</w:t>
      </w:r>
    </w:p>
    <w:p>
      <w:pPr>
        <w:spacing w:after="0" w:line="143" w:lineRule="exact"/>
        <w:rPr>
          <w:rFonts w:ascii="Arial" w:cs="Arial" w:eastAsia="Arial" w:hAnsi="Arial"/>
          <w:sz w:val="18"/>
          <w:szCs w:val="18"/>
          <w:color w:val="auto"/>
        </w:rPr>
      </w:pPr>
    </w:p>
    <w:p>
      <w:pPr>
        <w:ind w:left="660" w:right="52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consequences from any acquisitions such as operating difficulties, dilution and other harmful consequences or any modification, delay or prevention of any future acquisition or investment activity by the Committee on Foreign Investment in the United States (“CFIUS”);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or other significant disruptions; or</w:t>
      </w:r>
    </w:p>
    <w:p>
      <w:pPr>
        <w:spacing w:after="0" w:line="171"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conflict of interest that may arise because our majority stockholder, US Holding, or ultimate parent, Leonardo S.p.A., may have interests that are different from those of our other stockholders, including as a result of any ongoing business relationships Leonardo S.p.A. may have with us, and their significant ownership in us may discourage change of control transactions.</w:t>
      </w:r>
    </w:p>
    <w:p>
      <w:pPr>
        <w:spacing w:after="0" w:line="148"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You should read this prospectus completely and with the understanding that actual future results may be materially different from expectations. All forward-looking statements made in this prospectus 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15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qualified by these cautionary statements. These forward-looking statements are made only as of the date of this prospectus,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spacing w:after="0" w:line="15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Other risks, uncertainties and factors, including those discussed under “Risk Factors,” could cause our actual results to differ materially from those projected in any forward-looking statements we make. Readers should read carefully the factors described in “Risk Factors” to better understand the risks and uncertainties inherent in our business and underlying any forward-looking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This prospectus includes estimates regarding market and industry data and forecasts, which are based on publicly available information, industry publications and surveys, reports from government agencies, reports by market research firms and our own estimates based on our management’s knowledge of, and experience in, the defense industry and market segments in which we compete. Third-party industry publications and forecasts generally state that the information contained therein has been obtained from sources generally believed to be reliable. Furthermore, certain reports, industry publications and surveys from which we have obtained industry and market data that are used in this prospectus had been based on information available before the outbreak of COVID-19 and therefore may not reflect any impact of COVID-19 or actions or inactions by any governmental agency or private party resulting therefrom on any specific market or globally. Our estimates involve risks and uncertainties, including risks and uncertainties related to COVID-19, and are subject to change based on various factors, including those discussed under the captions “Risk Factors,” “Special Note Regarding Forward-Looking Statements and Information” and “Management’s Discussion and Analysis of Financial Condition and Results of Operations.”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 MARKS, TRADEMARKS AND TRADE NAMES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hold and license various service marks, trademarks and trade names that we deem particularly important to the marketing conducted by our business. This prospectus also contains trademarks, service marks and trade names of other companies which are the property of their respective holders. We do not intend our use or display of such names or marks to imply relationships with, or endorsements of us by, any other company other than explicitly stated.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 them. Unless otherwise indicated, all references to “U.S. dollars,” “dollars,” “U.S. $” and “$” in this prospectus are to the lawful currency of the United States of America.</w:t>
      </w:r>
    </w:p>
    <w:p>
      <w:pPr>
        <w:spacing w:after="0" w:line="148"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In this prospectus, we present certain financial measures that are not calculated in accordance with accounting principles generally accepted in the United States of America (“U.S. GAAP”), such measures referred to herein as “non-GAAP,” including Adjusted EBITDA, Adjusted EBITDA Margin, Adjusted EPS, Leverage Ratio, and Free Cash Flow. You should review the reconciliation and accompanying disclosures carefully in connection with your consideration of such non-GAAP measures and note that the way in which we calculate these measures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The following summary highlights selected information about our company and this offering that is included elsewhere in this prospectus in greater detail.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“Special Note Regarding Forward-Looking Statements and Information,” “Selected Historical Consolidated Financial Data,” “Management’s Discussion and Analysis of Financial Condition and Results of Operations” and in our consolidated financial statements and notes thereto.</w:t>
      </w:r>
    </w:p>
    <w:p>
      <w:pPr>
        <w:spacing w:after="0" w:line="135"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i w:val="1"/>
          <w:iCs w:val="1"/>
          <w:color w:val="auto"/>
        </w:rPr>
        <w:t>In this prospectus, unless we indicate otherwise or the context requires, “DRS,” “we,” “our,” “ours,” “us” and the “Company” refer to Leonardo DRS, Inc. and its consolidated subsidiaries and joint ventures.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DRS is a leading provider of defense products and technologies that are used across land, air, sea, space and cyber domains. Our diverse array of defense systems and solutions is offered to all branches of the U.S. military, major aerospace and defense prime contractors, government intelligence agencies and international military customers for deployment on a wide range of military platforms. We focus our capabilities in areas of critical importance to the U.S. military, such as sensing, electronic warfare (“EW”), cyber security, network computing, communications, force protection and electrical power conversion and propulsion. As a mid-tier defense company with a portfolio that includes internally developed proprietary intellectual property (“IP”) and offerings at the component, sub-system and system level, we are able to serve as either prime contractor or a sub-contractor on key contracts, affording us flexibility in how we approach the market.</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alignment with the nation’s top defense priorities has allowed us to achieve a 12% compounded annual growth rate (“CAGR”) in revenues from the year ended December 31, 2016 through the year ended December 31, 2020. This growth, which exceeded the DoD budget CAGR of 5.3% during such perio</w:t>
      </w:r>
      <w:r>
        <w:rPr>
          <w:rFonts w:ascii="Arial" w:cs="Arial" w:eastAsia="Arial" w:hAnsi="Arial"/>
          <w:sz w:val="18"/>
          <w:szCs w:val="18"/>
          <w:color w:val="1F497D"/>
        </w:rPr>
        <w:t>d</w:t>
      </w:r>
      <w:r>
        <w:rPr>
          <w:rFonts w:ascii="Arial" w:cs="Arial" w:eastAsia="Arial" w:hAnsi="Arial"/>
          <w:sz w:val="18"/>
          <w:szCs w:val="18"/>
          <w:color w:val="auto"/>
        </w:rPr>
        <w:t xml:space="preserve"> and drove our annual revenue to approximately $2.8 billion for the year ended December 31, 2020, was driven by organic growth. During the same period, our net earnings (loss) improved by $247 million to $85 million, our operating earnings grew $ 178 million to $181 million and our Adjusted EBITDA grew $117 million to $268 million (CAGR of 16%). Adjusted EBITDA is a non-GAAP measure. See “Management’s Discussion and Analysis of Financial Condition and Results of Operations—Key Financial and Operating Measures—Non-GAAP Financial Measures” for a reconciliation of Adjusted EBITDA to net earnings.</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a 50-year legacy of designing and manufacturing innovative and differentiated products and solutions for military applications. From our earliest sonar systems that were instrumental in detecting enemy submarines, to today’s best-in-class electro-optical sensors, we have continually developed advanced technologies to address complex military challenges. Throughout much of our history, we have targeted our investments towards the highest growth areas of the DoD defense budgets. Today, we employ approximately 6,500 people including a substantial number of highly trained engineers and personnel with security clearances to support classified programs for the U.S military.</w:t>
      </w:r>
    </w:p>
    <w:p>
      <w:pPr>
        <w:spacing w:after="0" w:line="15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focus on products, systems and solutions that can be adapted for installation on a wide range of military platforms. This allows us to leverage our technology investments to expand revenue opportunities. Our high-technology solutions are designed to transition from one military platform to another. In addition, we have a significant installed base of products and solutions, which allows us to enhance revenue opportunities by providing upgrades to existing platforms. This gives us a resilient position to offer new solutions and technology in changing budget environments. Our growth has been facilitated by our longstanding relationships and position as a trusted partner with the U.S. military, intelligence community and industry customers. Together, these characteristics allow us to pivot quickly to</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880"/>
          </w:cols>
          <w:pgMar w:left="1000"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 emerging needs for our customers and generate growth opportunities in today’s dynamic defense market.</w:t>
      </w:r>
    </w:p>
    <w:p>
      <w:pPr>
        <w:spacing w:after="0" w:line="171"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We operate in three segments: Advanced Sensor Technologies, Network Computing &amp; Communications and Integrated Mission Systems. We have achieved significant growth over the past five years by aligning our investments and technology development to address the greatest threats to U.S. defense interests.</w:t>
      </w:r>
    </w:p>
    <w:p>
      <w:pPr>
        <w:spacing w:after="0" w:line="12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 xml:space="preserve">Advanced Sensor Technologies: </w:t>
      </w:r>
      <w:r>
        <w:rPr>
          <w:rFonts w:ascii="Arial" w:cs="Arial" w:eastAsia="Arial" w:hAnsi="Arial"/>
          <w:sz w:val="18"/>
          <w:szCs w:val="18"/>
          <w:color w:val="auto"/>
        </w:rPr>
        <w:t>Our Advanced Sensor Technologies segment provides world-class electro-optical</w:t>
      </w:r>
      <w:r>
        <w:rPr>
          <w:rFonts w:ascii="Arial" w:cs="Arial" w:eastAsia="Arial" w:hAnsi="Arial"/>
          <w:sz w:val="18"/>
          <w:szCs w:val="18"/>
          <w:b w:val="1"/>
          <w:bCs w:val="1"/>
          <w:color w:val="auto"/>
        </w:rPr>
        <w:t xml:space="preserve"> </w:t>
      </w:r>
      <w:r>
        <w:rPr>
          <w:rFonts w:ascii="Arial" w:cs="Arial" w:eastAsia="Arial" w:hAnsi="Arial"/>
          <w:sz w:val="18"/>
          <w:szCs w:val="18"/>
          <w:color w:val="auto"/>
        </w:rPr>
        <w:t>sensor technologies, laser systems, EW systems and intelligence and surveillance solutions to U.S. military and intelligence community customers. We are a leading provider of ground vehicle targeting and surveillance sensors, including electro-optical and advanced detection systems. We are also a leading provider of soldier sensor systems in high priority modernization areas such as infrared imaging and precision targeting systems. Our infrared focal plane array foundry is recognized as a leading provider of high performance and small sized cryogenically cooled and uncooled detector arrays. We are also a leading and world-recognized provider of signals intelligence high-performance radio frequency receivers and transceivers for U.S. and international customers. Our quantum cascade laser technology has promising military and commercial medical applications. Collectively, these sensor technologies provide our warfighters with a distinct battlefield advantage.</w:t>
      </w:r>
    </w:p>
    <w:p>
      <w:pPr>
        <w:spacing w:after="0" w:line="1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b w:val="1"/>
          <w:bCs w:val="1"/>
          <w:color w:val="auto"/>
        </w:rPr>
        <w:t xml:space="preserve">Network Computing &amp; Communications: </w:t>
      </w:r>
      <w:r>
        <w:rPr>
          <w:rFonts w:ascii="Arial" w:cs="Arial" w:eastAsia="Arial" w:hAnsi="Arial"/>
          <w:sz w:val="18"/>
          <w:szCs w:val="18"/>
          <w:color w:val="auto"/>
        </w:rPr>
        <w:t>Our Network Computing &amp; Communications segment provides advanced</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electronics solutions across warfare domains. Our technologies and products are used on legacy and new military platforms, end-to-end network communication systems, network services and cyber solutions. We are a leading provider of ruggedized computing equipment, having provided advanced tactical computing units for ground combat vehicles and command post operations for more than two decades. During this period we have delivered more than 125,000 units. For the U.S. Navy and its allies, we provide naval computing infrastructure, network and data distribution, radar and rugged naval control systems, which are present on naval surface and subsurface combatant vessels. Across the full spectrum of our network computing capabilities, we have leadership positions at both the product and sub-systems levels. Our global communications network is a worldwide network of terrestrial and satellite bandwidth that ensures our customers’ data is secure and reliable. As a result of this capability, we are positioned as one of the leading providers of secured commercial satellite communications to the U.S. military.</w:t>
      </w:r>
    </w:p>
    <w:p>
      <w:pPr>
        <w:spacing w:after="0" w:line="12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b w:val="1"/>
          <w:bCs w:val="1"/>
          <w:color w:val="auto"/>
        </w:rPr>
        <w:t xml:space="preserve">Integrated Mission Systems: </w:t>
      </w:r>
      <w:r>
        <w:rPr>
          <w:rFonts w:ascii="Arial" w:cs="Arial" w:eastAsia="Arial" w:hAnsi="Arial"/>
          <w:sz w:val="17"/>
          <w:szCs w:val="17"/>
          <w:color w:val="auto"/>
        </w:rPr>
        <w:t>Our Integrated Mission Systems segment provides critical force protection, vehicle</w:t>
      </w:r>
      <w:r>
        <w:rPr>
          <w:rFonts w:ascii="Arial" w:cs="Arial" w:eastAsia="Arial" w:hAnsi="Arial"/>
          <w:sz w:val="17"/>
          <w:szCs w:val="17"/>
          <w:b w:val="1"/>
          <w:bCs w:val="1"/>
          <w:color w:val="auto"/>
        </w:rPr>
        <w:t xml:space="preserve"> </w:t>
      </w:r>
      <w:r>
        <w:rPr>
          <w:rFonts w:ascii="Arial" w:cs="Arial" w:eastAsia="Arial" w:hAnsi="Arial"/>
          <w:sz w:val="17"/>
          <w:szCs w:val="17"/>
          <w:color w:val="auto"/>
        </w:rPr>
        <w:t>integration, 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In 2018, we were awarded the Expedited Active Protection System program by bringing the TROPHY™ Active Protection System (“APS”) to the U.S. market, making us the leading U.S. provider of active protection systems for the U.S. Army. We were also awarded the Initial Maneuver Short-Range Air Defense (“IM-SHORAD”) Mission Equipment Package Program for the U.S. Army that year, culminating an 18-month cycle from development to customer delivery. We have military transportation and logistics offerings and ground vehicle integration capabilities to support U.S. forces in a wide range of operational environments.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Defense Market Trends and Market Opportunities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core markets have experienced strong growth. The DoD defense budget has grown at a CAGR of 5.3% from 2016 to 2020, reflecting the shift of the DoD’s priorities from a focus on global terrorism to emerging threats from more sophisticated and technologically advanced adversaries requiring enhanced</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840"/>
          </w:cols>
          <w:pgMar w:left="1000" w:top="1440" w:right="105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capabilities across the DoD. Additionally, we foresee growth opportunities in foreign military sales and direct commercial sales, particularly as international allies require similar force modernization.</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DoD is our largest customer and, for the year ended December 31, 2020, accounted for approximately 84% of our business as an end-user, with revenues principally derived directly or indirectly from contracts with the U.S. Army and U.S. Navy, which represented 43% and 32%, respectively, of our total revenues for the year ended December 31, 2020. The stated U.S. National Defense Strategy is to “compete, win and deter” in a challenging and complex international security environment. The current landscape is defined by rapid technological change and competition from emerging peer and near-peer adversaries who are nation states that are becoming great powers. Every domain of U.S. military advantage is expected to be contested, including air, land, sea, space and cyberspace. U.S. forces facing these new threats are in need of modernization as readiness has been strained following nearly two decades of continuous conflict with both traditional and novel adversaries. In order to face these challenges, the U.S. military will likely need to balance limited resources between new high-cost technological capabilities and upgrades of existing equipment.</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today’s threat environment, the U.S. military is positioning itself for non-stop, continuous competition against these rising nation state threats. Military services are increasingly moving towards multi-domain operations that now include both space and cyberspace domains in addition to the air, land and sea domains. The creation of the U.S. Space Force is also expected to drive new requirements for high technology defense capabilities, including increased space sensing and evolution of communications approaches. Even as new spending priorities shift towards addressing high-end threats, the U.S. military knows that it cannot compete with yesterday’s weapons or equipment. Military modernization programs and priorities are expected to provide both opportunities for new solutions and for upgrades to existing platforms. We believe that companies with an existing installed base of hardware will be able to perform upgrades to provide modernization solutions at a lower cost. Companies with strong customer relationships and outstanding execution will more effectively maintain program positions.</w:t>
      </w:r>
    </w:p>
    <w:p>
      <w:pPr>
        <w:spacing w:after="0" w:line="15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this new military environment, U.S. forces are seeking the ability to sense further from a greater distance and enhance their reach across the spectrum of warfare. Increased use of sensor technologies enables forces to detect threats further and more quickly and deliver rapid, forceful responses. Sensors and laser systems are expected to enable optionally manned and autonomous platforms for the future.</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need for greater situational understanding for the warfighter also drives the need for increased data and communications bandwidth to and from command centers to forward-positioned military platforms and dismounted soldiers. Network computing and communications systems need to provide deployed forces with access to secure data to promote information-sharing and situational understanding for faster decision-making. Battlefield management systems and individual soldier communications systems require secure rugged computing solutions and are becoming increasingly interoperable with current combat air forces and naval computing infrastructure. Encrypted data and cyber protection capabilities aim to ensure that the data U.S. forces receive is trusted and protected from enemies. This capability is intended to allow forces to be more mobile and geographically dispersed while operating with immediate access to trusted information. Satellite communications systems also provide data to U.S. warfighters around the globe and are projected to increasingly utilize satellite constellations at all altitudes for redundancy, lower latency, expanded bandwidth and security.</w:t>
      </w:r>
    </w:p>
    <w:p>
      <w:pPr>
        <w:spacing w:after="0" w:line="1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U.S. forces are in need of greater force protection technologies. Emerging requirements for counter-unmanned aerial systems, active protection, infrared countermeasures and air defense systems require rapid deployment to keep U.S. military platforms and personnel safe from growing threats. The U.S. military is also focusing efforts on transportation and logistics capabilities, ensuring that their trained and equipped personnel and supplies can make it to the battlefield wherever that may be. All of the increased sensing, self-protection, directed energy, communications and computing needs for the warfighter require significantly higher levels of mobile power than in the past. Electrical power generation, conversion, storage and distribution and on-board vehicle power solutions will provide U.S. forces the energy they need in the future to win in this era of competition.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880"/>
          </w:cols>
          <w:pgMar w:left="1000" w:top="1440" w:right="101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U.S. military budget accounts for nearly 40% of the world’s defense spending and foreign military allies often select U.S. military solutions to train, equip and modernize their forces to enhance interoperability. Beyond the opportunity for direct commercial and foreign military sales to these foreign countries, many allies leverage U.S. funding and equipment, providing opportunities for U.S. defense contractors offering solutions that can be sold internationally.</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global community is in a period of rapid technological change and new commercial technologies may change society and, ultimately, the character of conflicts. We believe that investing in high technological capabilities, developing proprietary intellectual capability, as well as integrating leading-edge commercial technology into our solutions will provide us with a competitive advantage. New acquisition programs are expected to seek innovative solutions. The need for innovation is more critical than ever, and to accelerate innovation, the DoD has deployed more rapid acquisition methods. We believe that these methods will provide greater opportunities for companies with proven abilities to quickly develop and deploy new technologies. The DoD has placed a high priority on defense procurement reform to speed up the development of new key capabilities, increase responsibility and accountability for major acquisition programs and reduce acquisition risk. As a result, we believe that mid-tier companies, such as DRS, with proven technological capabilities and an agile decision-making structure are positioned to rapidly respond to emerging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Solutions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DoD is placing its focus and investment priorities in several platforms and capabilities where we have compelling offerings and market share. These offerings include: Ground Vehicle Sensors; Soldier Sensor Systems; EW &amp; Cyber; Network Computing; Communications; Force Protection; Transportation and Logistics; and Electrical Power &amp; Propulsion. These directly align with our three segments: Advanced Sensor Technologies, Network Computing &amp; Communications, and Integrated Mission Systems. In these areas, we have distinguishing capabilities, core technologies and IP underlying our product portfolio that we believe provide us with a sustainable differentiation from our competitors. We believe that our installed base of existing products and platform-agnostic offerings provide an opportunity for our business to continue to grow.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Sensor Technologies</w:t>
      </w:r>
    </w:p>
    <w:p>
      <w:pPr>
        <w:spacing w:after="0" w:line="19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Our Advanced Sensor Technologies segment provides world-class cryogenically cooled and uncooled infrared sensor technologies, laser systems, EW systems and intelligence and surveillance solutions to the U.S. military and intelligence community customers. Our products and solutions have significant capabilities and core technologies to meet the warfighter’s need for increased battlefield awareness and longer range sensing. Our infrared focal plane array foundry produces cooled and uncooled infrared sensors and our IP provides us with key technology differentiators and builds upon our long legacy of market-leading technology.</w:t>
      </w:r>
    </w:p>
    <w:p>
      <w:pPr>
        <w:spacing w:after="0" w:line="13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b w:val="1"/>
          <w:bCs w:val="1"/>
          <w:color w:val="auto"/>
        </w:rPr>
        <w:t xml:space="preserve">Ground Vehicle Sensors – </w:t>
      </w:r>
      <w:r>
        <w:rPr>
          <w:rFonts w:ascii="Arial" w:cs="Arial" w:eastAsia="Arial" w:hAnsi="Arial"/>
          <w:sz w:val="18"/>
          <w:szCs w:val="18"/>
          <w:color w:val="auto"/>
        </w:rPr>
        <w:t>The U.S. military has identified specific needs for advanced sensor technology for ground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including electro-optical and advanced detection capabilities to enhance battlefield understanding, vehicle protection and vehicle targeting capabilities. Our market-leading sensor products include third-generation infrared sensing, fused sensing and sensors for threat detection and situational awareness, which we believe position us well for these opportunities. We are a leading provider of uncooled focal plane arrays and brownout solutions (which are sensors that can see through blowing sand). We are also a leader in ground vehicle sensor sighting systems led by our third-generation infrared imaging systems.</w:t>
      </w:r>
    </w:p>
    <w:p>
      <w:pPr>
        <w:spacing w:after="0" w:line="1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color w:val="auto"/>
        </w:rPr>
        <w:t xml:space="preserve">Soldier Sensors – </w:t>
      </w:r>
      <w:r>
        <w:rPr>
          <w:rFonts w:ascii="Arial" w:cs="Arial" w:eastAsia="Arial" w:hAnsi="Arial"/>
          <w:sz w:val="18"/>
          <w:szCs w:val="18"/>
          <w:color w:val="auto"/>
        </w:rPr>
        <w:t>Our complement of soldier sensor systems employs state-of-the-art sensors, precision targeting</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and optics designed to improve infantry combat effectiveness. We have produced a family of innovative electro-optical and infrared systems for soldiers, from our legacy imaging system, the Thermal Weapons Sight, to the next generation of thermal weapon sights being produced today. We believe that our current position on next-generation soldier precision targeting programs will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enable us to compete effectively in this area of growing need. Our uncooled sensor technology also positions us well to support the future of soldier goggle systems.</w:t>
      </w:r>
    </w:p>
    <w:p>
      <w:pPr>
        <w:spacing w:after="0" w:line="122" w:lineRule="exact"/>
        <w:rPr>
          <w:sz w:val="20"/>
          <w:szCs w:val="20"/>
          <w:color w:val="auto"/>
        </w:rPr>
      </w:pPr>
    </w:p>
    <w:p>
      <w:pPr>
        <w:ind w:right="240" w:firstLine="324"/>
        <w:spacing w:after="0" w:line="274" w:lineRule="auto"/>
        <w:rPr>
          <w:sz w:val="20"/>
          <w:szCs w:val="20"/>
          <w:color w:val="auto"/>
        </w:rPr>
      </w:pPr>
      <w:r>
        <w:rPr>
          <w:rFonts w:ascii="Arial" w:cs="Arial" w:eastAsia="Arial" w:hAnsi="Arial"/>
          <w:sz w:val="17"/>
          <w:szCs w:val="17"/>
          <w:b w:val="1"/>
          <w:bCs w:val="1"/>
          <w:color w:val="auto"/>
        </w:rPr>
        <w:t xml:space="preserve">EW &amp; Cyber </w:t>
      </w:r>
      <w:r>
        <w:rPr>
          <w:rFonts w:ascii="Arial" w:cs="Arial" w:eastAsia="Arial" w:hAnsi="Arial"/>
          <w:sz w:val="17"/>
          <w:szCs w:val="17"/>
          <w:color w:val="auto"/>
        </w:rPr>
        <w:t>– We have significant technological capabilities and program experience in EW &amp; Cyber and offer</w:t>
      </w:r>
      <w:r>
        <w:rPr>
          <w:rFonts w:ascii="Arial" w:cs="Arial" w:eastAsia="Arial" w:hAnsi="Arial"/>
          <w:sz w:val="17"/>
          <w:szCs w:val="17"/>
          <w:b w:val="1"/>
          <w:bCs w:val="1"/>
          <w:color w:val="auto"/>
        </w:rPr>
        <w:t xml:space="preserve"> </w:t>
      </w:r>
      <w:r>
        <w:rPr>
          <w:rFonts w:ascii="Arial" w:cs="Arial" w:eastAsia="Arial" w:hAnsi="Arial"/>
          <w:sz w:val="17"/>
          <w:szCs w:val="17"/>
          <w:color w:val="auto"/>
        </w:rPr>
        <w:t>integrated capabilities for multi-domain operations to supplement kinetic warfare. We have developed mounted and dismounted EW systems, EW software and training systems and intelligence solutions across a broad range of platforms. We believe that our capabilities in integrated mounted and dismounted ground EW, exploitation and cyber-based multi-domain operations position us well in this area of growing DoD priority. We have leveraged international EW programs to develop our capabilities for DoD offerings and have invested to meet developing U.S. Army and U.S. Marine Corps requirements for integrated solutions to address threats which are emanating from peer and near-peer adversaries.</w:t>
      </w:r>
    </w:p>
    <w:p>
      <w:pPr>
        <w:spacing w:after="0" w:line="112"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b w:val="1"/>
          <w:bCs w:val="1"/>
          <w:color w:val="auto"/>
        </w:rPr>
        <w:t xml:space="preserve">Force Protection </w:t>
      </w:r>
      <w:r>
        <w:rPr>
          <w:rFonts w:ascii="Arial" w:cs="Arial" w:eastAsia="Arial" w:hAnsi="Arial"/>
          <w:sz w:val="18"/>
          <w:szCs w:val="18"/>
          <w:color w:val="auto"/>
        </w:rPr>
        <w:t>– Aircraft Survivability – Our Advanced Sensors Technology segment also features quantum cascade</w:t>
      </w:r>
      <w:r>
        <w:rPr>
          <w:rFonts w:ascii="Arial" w:cs="Arial" w:eastAsia="Arial" w:hAnsi="Arial"/>
          <w:sz w:val="18"/>
          <w:szCs w:val="18"/>
          <w:b w:val="1"/>
          <w:bCs w:val="1"/>
          <w:color w:val="auto"/>
        </w:rPr>
        <w:t xml:space="preserve"> </w:t>
      </w:r>
      <w:r>
        <w:rPr>
          <w:rFonts w:ascii="Arial" w:cs="Arial" w:eastAsia="Arial" w:hAnsi="Arial"/>
          <w:sz w:val="18"/>
          <w:szCs w:val="18"/>
          <w:color w:val="auto"/>
        </w:rPr>
        <w:t>laser (“QCL”) technology which, along with our advanced two-color infrared sensors, have enabled us to support a high-profile U.S. Navy contract for advanced systems to protect aircraft from ground-launch missiles. We are also a critical partner on the U.S. Army’s common infrared countermeasures program and the next generation missile warning program.</w:t>
      </w:r>
    </w:p>
    <w:p>
      <w:pPr>
        <w:spacing w:after="0" w:line="12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color w:val="auto"/>
        </w:rPr>
        <w:t xml:space="preserve">Other Advanced Sensor Technologies Capabilities </w:t>
      </w:r>
      <w:r>
        <w:rPr>
          <w:rFonts w:ascii="Arial" w:cs="Arial" w:eastAsia="Arial" w:hAnsi="Arial"/>
          <w:sz w:val="18"/>
          <w:szCs w:val="18"/>
          <w:color w:val="auto"/>
        </w:rPr>
        <w:t>– Our aircraft training instrumentation systems were selected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high-profile Joint Strike Fighter program that has been the leading U.S. and allied forces military air platform in development over the past two decades. We are also a leading provider of the aircraft training instrumentation which deploy on both legacy and modern aircraft and are required for aircraft training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Computing &amp; Communications</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Our Network Computing &amp; Communications segment provides an array of network computing products and sub-systems that bring trusted and resilient communications and computational resources to U.S. and international military forces, allowing them to rapidly share data and improve situational understanding. We provide trusted computing systems for ground vehicles, naval computing infrastructure, network and data distribution programs, rugged naval computational and control systems and networked communications. We also provide terrestrial and satellite communications for the U.S. Army, U.S. Navy, U.S. Special Forces, and intelligence communities.</w:t>
      </w:r>
    </w:p>
    <w:p>
      <w:pPr>
        <w:spacing w:after="0" w:line="13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b w:val="1"/>
          <w:bCs w:val="1"/>
          <w:color w:val="auto"/>
        </w:rPr>
        <w:t xml:space="preserve">Network Computing - </w:t>
      </w:r>
      <w:r>
        <w:rPr>
          <w:rFonts w:ascii="Arial" w:cs="Arial" w:eastAsia="Arial" w:hAnsi="Arial"/>
          <w:sz w:val="18"/>
          <w:szCs w:val="18"/>
          <w:color w:val="auto"/>
        </w:rPr>
        <w:t>The U.S. military has recently shifted its computing paradigm for command,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computers, intelligence, surveillance and reconnaissance to include cyber capabilities. Our Mounted Family of Computing Systems (“MFoCs”) and MFoCs-II have earned us a reputation as a leading provider of mounted battle management systems hardware in the U.S. We have invested in cyber defense and trusted computing capabilities over the past several years to protect information at the edge of the battlefield. We have also transformed our legacy of naval display and computing equipment over the past several years, to secure a position as a leading provider of surface combat system components, submarine combat systems and command and control system components. We are a leading provider of naval ship communications, integrated logistics support and sustainment and manufacturing services to U.S. and allied military customers. We hold a leading market share in Command, Control, Communications, Computers and Intelligence (“C4I”) programs for the U.S. Navy, including those that will be upgraded as the fleet continues to modernize. For submarines, we provide hardware which is planned to be upgraded continuously over a two-year cycle. In addition, our joint venture, Advanced Acoustic Concepts, LLC (“AAC”), focuses on underwater products, acoustic training systems, and related products and services.</w:t>
      </w:r>
    </w:p>
    <w:p>
      <w:pPr>
        <w:spacing w:after="0" w:line="13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b w:val="1"/>
          <w:bCs w:val="1"/>
          <w:color w:val="auto"/>
        </w:rPr>
        <w:t xml:space="preserve">Communications – </w:t>
      </w:r>
      <w:r>
        <w:rPr>
          <w:rFonts w:ascii="Arial" w:cs="Arial" w:eastAsia="Arial" w:hAnsi="Arial"/>
          <w:sz w:val="18"/>
          <w:szCs w:val="18"/>
          <w:color w:val="auto"/>
        </w:rPr>
        <w:t>We are contracted on two of the U.S. military’s top five satellite communications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its largest, serving special operations forces with terrestrial and space bandwidth. This long-standing program provides secure and reliable communications for the U.S.’s forward-deployed military forces across the globe, and is well positioned to meet future needs. Our contracts on these programs make us one of the largest satellite communications providers for the U.S. military. We believe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80"/>
          </w:cols>
          <w:pgMar w:left="1000" w:top="1440" w:right="101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that our legacy and outstanding reputation with the U.S. military will enable us to continue to be a leading communications provider for all DoD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Mission Systems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Integrated Mission Systems segment supports the U.S. military’s need to deter and defend against increasingly lethal adversaries through a wide range of force protection solutions, integrated mission equipment, transportation and logistics products, naval power technologies and forward-deployed electrical power solutions. This segment enables us to maximize our customer offerings by integrating our products and systems onto platforms. We believe that our leading position in naval electrical power and propulsion will position us to help meet the U.S. military’s future electrical power needs as it increasingly deploys high technology capabilities to its forces.</w:t>
      </w:r>
    </w:p>
    <w:p>
      <w:pPr>
        <w:spacing w:after="0" w:line="13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 xml:space="preserve">Force Protection – </w:t>
      </w:r>
      <w:r>
        <w:rPr>
          <w:rFonts w:ascii="Arial" w:cs="Arial" w:eastAsia="Arial" w:hAnsi="Arial"/>
          <w:sz w:val="18"/>
          <w:szCs w:val="18"/>
          <w:color w:val="auto"/>
        </w:rPr>
        <w:t>DRS is an integrator of systems in ground vehicles, including reconnaissance and surveillance,</w:t>
      </w:r>
      <w:r>
        <w:rPr>
          <w:rFonts w:ascii="Arial" w:cs="Arial" w:eastAsia="Arial" w:hAnsi="Arial"/>
          <w:sz w:val="18"/>
          <w:szCs w:val="18"/>
          <w:b w:val="1"/>
          <w:bCs w:val="1"/>
          <w:color w:val="auto"/>
        </w:rPr>
        <w:t xml:space="preserve"> </w:t>
      </w:r>
      <w:r>
        <w:rPr>
          <w:rFonts w:ascii="Arial" w:cs="Arial" w:eastAsia="Arial" w:hAnsi="Arial"/>
          <w:sz w:val="18"/>
          <w:szCs w:val="18"/>
          <w:color w:val="auto"/>
        </w:rPr>
        <w:t>mission support and vehicle survivability and protection. Protecting U.S. service members and valuable defense assets is always a top DoD priority. To help accomplish this mission, we have a family of key force protection systems, including counter-unmanned aerial systems and portable ground radar, active protection systems, modular combat vehicle turrets and stabilized sensor suites. We believe that our record providing the TROPHY™ APS to the U.S. Army enhances our reputation and positions us well to provide future vehicle protection systems. Our short-range air defense mission equipment package and mounted counter-unmanned aerial systems integrate market-leading technologies that are ready to rapidly deploy to the field in upcoming competitive pursuits.</w:t>
      </w:r>
    </w:p>
    <w:p>
      <w:pPr>
        <w:spacing w:after="0" w:line="131" w:lineRule="exact"/>
        <w:rPr>
          <w:sz w:val="20"/>
          <w:szCs w:val="20"/>
          <w:color w:val="auto"/>
        </w:rPr>
      </w:pPr>
    </w:p>
    <w:p>
      <w:pPr>
        <w:ind w:right="300" w:firstLine="324"/>
        <w:spacing w:after="0" w:line="274" w:lineRule="auto"/>
        <w:rPr>
          <w:sz w:val="20"/>
          <w:szCs w:val="20"/>
          <w:color w:val="auto"/>
        </w:rPr>
      </w:pPr>
      <w:r>
        <w:rPr>
          <w:rFonts w:ascii="Arial" w:cs="Arial" w:eastAsia="Arial" w:hAnsi="Arial"/>
          <w:sz w:val="17"/>
          <w:szCs w:val="17"/>
          <w:b w:val="1"/>
          <w:bCs w:val="1"/>
          <w:color w:val="auto"/>
        </w:rPr>
        <w:t xml:space="preserve">Transportation and Logistics – </w:t>
      </w:r>
      <w:r>
        <w:rPr>
          <w:rFonts w:ascii="Arial" w:cs="Arial" w:eastAsia="Arial" w:hAnsi="Arial"/>
          <w:sz w:val="17"/>
          <w:szCs w:val="17"/>
          <w:color w:val="auto"/>
        </w:rPr>
        <w:t>DRS is a provider of transportation and logistics solutions for the DoD,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bridging systems, cargo loaders and trailers. Our Tunner and Halvorsen programs have provided the U.S. Air Force with rapidly deployable, high-reach mechanized aircraft loaders that can lift up to 60,000 and 25,000 pounds, respectively, of cargo onto military aircraft. The Joint Assault Bridge program positions us well as the U.S. Army is looking to expand its tactical bridging capabilities. We believe that our legacy position in heavy military trailers will allow us to win new opportunities as the U.S. Army looks for increased solutions. We also have capabilities in military fuel and water handling and distribution which can support U.S. military forces in a variety of challenging forward deployed environments.</w:t>
      </w:r>
    </w:p>
    <w:p>
      <w:pPr>
        <w:spacing w:after="0" w:line="112" w:lineRule="exact"/>
        <w:rPr>
          <w:sz w:val="20"/>
          <w:szCs w:val="20"/>
          <w:color w:val="auto"/>
        </w:rPr>
      </w:pPr>
    </w:p>
    <w:p>
      <w:pPr>
        <w:jc w:val="both"/>
        <w:ind w:right="280" w:firstLine="324"/>
        <w:spacing w:after="0" w:line="274" w:lineRule="auto"/>
        <w:rPr>
          <w:sz w:val="20"/>
          <w:szCs w:val="20"/>
          <w:color w:val="auto"/>
        </w:rPr>
      </w:pPr>
      <w:r>
        <w:rPr>
          <w:rFonts w:ascii="Arial" w:cs="Arial" w:eastAsia="Arial" w:hAnsi="Arial"/>
          <w:sz w:val="17"/>
          <w:szCs w:val="17"/>
          <w:b w:val="1"/>
          <w:bCs w:val="1"/>
          <w:color w:val="auto"/>
        </w:rPr>
        <w:t xml:space="preserve">Electrical Power &amp; Propulsion – </w:t>
      </w:r>
      <w:r>
        <w:rPr>
          <w:rFonts w:ascii="Arial" w:cs="Arial" w:eastAsia="Arial" w:hAnsi="Arial"/>
          <w:sz w:val="17"/>
          <w:szCs w:val="17"/>
          <w:color w:val="auto"/>
        </w:rPr>
        <w:t>DRS is a leading provider of next generation electrical propulsion components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for the U.S. Navy, with significant capabilities to service the fleet’s future needs, including on the Columbia-class submarine program which is integral to the United States’ deterrence strategy and among its highest priority programs.</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Beyond electrification of its fleet, the U.S. Navy will require increased power to expand and modernize its vessels, including for the introduction of laser weapons. This increased power demand will require improved power generation, storage, conversion, management and distribution, which align with the core competencies of this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As a diverse, defense technology company that is primarily focused on U.S. military programs, we have significant attributes that make us well positioned in the market. With a heritage of excellence in defense products, systems and solutions, we have transformed ourselves into a leading defense technology company with capabilities in sensing, electro-optics and laser systems, a critical provider of trusted network computing and communications systems and a key leader in integrated mission systems. We believe that we are positioned to grow our market position as a leading mid-tier U.S. defense technologies provider.</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innovative portfolio is well positioned for core platform wins.</w:t>
      </w:r>
    </w:p>
    <w:p>
      <w:pPr>
        <w:spacing w:after="0" w:line="193"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Over the past five decades, DRS has advanced its portfolio through focused innovation, targeted investments, selective partnerships and mergers and acquisitions. DRS has solutions for a number of military platforms and serves the branches of the U.S. military, and competes at the prime contractor,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systems, supplier, or component level. Our core set of defense technologies and capabilities have applications that cross our three segments, allowing us to leverage research and development (“R&amp;D”) and IP across multiple product lines, platforms and end markets. We also provide higher-value integrated sub-systems and systems and have a goal of increasing scope and market share by integrating our own products and technologies.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portfolio of defense technologies is strategically aligned with key DoD priorities.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that our product and technology portfolio aligns with rising great power competition needs and modernization efforts, which are high priorities for DoD spending. Our technology portfolio and knowledge of the U.S. military enable us to win positions on key programs and adapt quickly to changing customer dynamics. Our size and lean management structure allow us to shift our focus to changing priorities rapidly to best serve our customers’ growing needs. Our recent execution performance in short-range air defense exemplifies this ability, as we were able to rapidly develop and field new technology to address urgent needs of the warfighter in an extremely short procurement cycle.</w:t>
      </w:r>
    </w:p>
    <w:p>
      <w:pPr>
        <w:spacing w:after="0" w:line="132" w:lineRule="exact"/>
        <w:rPr>
          <w:sz w:val="20"/>
          <w:szCs w:val="20"/>
          <w:color w:val="auto"/>
        </w:rPr>
      </w:pPr>
    </w:p>
    <w:p>
      <w:pPr>
        <w:ind w:right="740" w:firstLine="324"/>
        <w:spacing w:after="0" w:line="287" w:lineRule="auto"/>
        <w:rPr>
          <w:sz w:val="20"/>
          <w:szCs w:val="20"/>
          <w:color w:val="auto"/>
        </w:rPr>
      </w:pPr>
      <w:r>
        <w:rPr>
          <w:rFonts w:ascii="Arial" w:cs="Arial" w:eastAsia="Arial" w:hAnsi="Arial"/>
          <w:sz w:val="18"/>
          <w:szCs w:val="18"/>
          <w:b w:val="1"/>
          <w:bCs w:val="1"/>
          <w:i w:val="1"/>
          <w:iCs w:val="1"/>
          <w:color w:val="auto"/>
        </w:rPr>
        <w:t>We hold an embedded position on key defense platforms and with prime contractors, supported by our installed base of existing products spanning U.S. Army, U.S. Navy and U.S. Air Force platforms.</w:t>
      </w:r>
    </w:p>
    <w:p>
      <w:pPr>
        <w:spacing w:after="0" w:line="12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current installed base of existing products spans over 300,000 computer and display systems that are fielded globally, approximately 60,000 enhanced driver vision systems for military combat vehicles, over 50,000 thermal weapon systems and critical naval computing infrastructure and technology on every U.S. naval combatant vessel in service. The notable platforms for this installed base include: surface ships, submarines, tracked and wheeled ground vehicles, fixed and rotary wing aircraft, unmanned aircraft, operating bases, and commercial vehicles and facilities. This installed base of existing products provide us opportunities for upgrades and new business that leverages these solutions.</w:t>
      </w:r>
    </w:p>
    <w:p>
      <w:pPr>
        <w:spacing w:after="0" w:line="132"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Our record of growth should drive profitability due to program lifecycle evolution, sole source positions and operational efficiencies.</w:t>
      </w:r>
    </w:p>
    <w:p>
      <w:pPr>
        <w:spacing w:after="0" w:line="12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Over the past five years through 2020, we have had a revenue CAGR of 12%, operating earnings expanded by $178 million and our Adjusted EBITDA Margin has increased to 9.6%. We have accomplished this through key program wins and sole-source positions, including prominent positions on the Columbia-class submarine program, MFoCS ruggedized computing battle management program, next generation of thermal weapon sights and our active protection system awards. Going forward, we anticipate that recent investments will drive profitability expansion and corresponding cash flow generation. As our program lifecycle in several key programs shifts from lower-margin, fixed-price development efforts to production, and topline growth brings more operational efficiencies, we expect to improve margin. Across our business, our continuous improvement culture is embodied in our Operational Excellence initiative called “Always Performing For Excellence,” or “APEX,” which strives to reduce cost and improves efficiencies while increasing the quality of our products and services.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highly experienced management team and talented workforce have transformed DRS.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management team has transformed DRS into the market-leading, high-growth, technology company it is today by focusing attention and investment on the fastest growing areas of the DoD budget. We have done this through an active portfolio management process that targeted investment to growing technological capabilities and acquisitions of smaller accretive companies that fill key strategic gaps in our portfolio, and by creating partnerships or joint ventures to supplement our own IP. The result of these efforts has led DRS to be well positioned in the U.S. defense market. Our management team has an average tenure of 15 years with the Company and nearly 30 years in the industry.</w:t>
      </w:r>
    </w:p>
    <w:p>
      <w:pPr>
        <w:spacing w:after="0" w:line="154"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Our work force of approximately 6,500 people is highly innovative and we maintain a culture that fosters and rewards growth, problem-solving, technology development and process improvements. We have approximately 1,350 world-class engineers highly trained to work on programs in sensing, electro-</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optical infrared systems, laser systems, network computing, communications systems, integration and power propulsion. Our employees maintain over 2,000 security clearances to allow engineers and management to carry on business activities for our customers’ classified programs. Our strong commitment to diversity, inclusion, succession planning and training has fostered a highly collaborative and motivated work force. Our human resources policies and benefits have been designed to allow us to recruit and retain top talent.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are focused on sustainability and diversity.</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We strongly believe that in order to succeed as a company, we must remain a strong and positive contributor to the communities where we do business, and the greater world around us. Sustainability to us means taking important steps towards protecting the environment, engaging in corporate social responsibility, ensuring a safe work force and promoting diversity. We have enacted a sustainability risk management model to take action towards responsible consumption. We have focused our corporate giving program on military veterans and have initiated a program called MyCommunity that matches donations to local charities and provides paid volunteer hours to employees. We created a Diversity Advisory Group to improve our diversity and inclusiveness so that we look like the communities in which we operate. We have targeted increases in minority hiring and women in management and overall women in the workforce, which is 2.6% higher than our industry average.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growth strategy is focused on four pillars: targeting investment to drive organic growth; executing on our programs to enhance profitability; actively managing our portfolio for optimization; and taking care of our people. Our goal is to grow and increase margins faster than the overall defense market through focused market selection, technology differentiation and operational excellence. Our vision is to be the best mid-tier defense technology company in the U.S. market.</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Targeting Investment to Drive Organic Growth</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strategically select the markets where we compete and the programs on which we bid.</w:t>
      </w:r>
    </w:p>
    <w:p>
      <w:pPr>
        <w:spacing w:after="0" w:line="171" w:lineRule="exact"/>
        <w:rPr>
          <w:sz w:val="20"/>
          <w:szCs w:val="20"/>
          <w:color w:val="auto"/>
        </w:rPr>
      </w:pPr>
    </w:p>
    <w:p>
      <w:pPr>
        <w:ind w:left="640" w:right="40" w:hanging="322"/>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target programs in markets where we have strong core technology and where the DoD is focused. We seek to compete only in the areas in which we have a technological or market advantage, and which will attract funding. As an example, our core technology in high-performance receivers/transceivers is sought after by our customers for their wide-bandwidth and high signal dynamic range. These features are required for modern EW systems being developed for the U.S. Army, U.S. Marine Corp. and other customers to capture, exploit and/or disrupt modern signals.</w:t>
      </w:r>
    </w:p>
    <w:p>
      <w:pPr>
        <w:spacing w:after="0" w:line="154" w:lineRule="exact"/>
        <w:rPr>
          <w:rFonts w:ascii="Arial" w:cs="Arial" w:eastAsia="Arial" w:hAnsi="Arial"/>
          <w:sz w:val="18"/>
          <w:szCs w:val="18"/>
          <w:color w:val="auto"/>
        </w:rPr>
      </w:pPr>
    </w:p>
    <w:p>
      <w:pPr>
        <w:ind w:left="640" w:right="300" w:hanging="322"/>
        <w:spacing w:after="0" w:line="25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target our investments in core technologies in areas of high market growth. Our investments fill gaps, create leading market offerings and make capital improvements to our business. We are also awarded, and leverage, significant customer research and development funding to complement our investments.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Executing on Our Programs to Enhance Profitability</w:t>
      </w:r>
    </w:p>
    <w:p>
      <w:pPr>
        <w:spacing w:after="0" w:line="193"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We remain focused on continuing to drive operational enhancements and efficiencies, which we believe will result in improved profitability over time. We believe that our world-class technology and innovative solutions coupled with the transition of development programs into production will serve as the foundation for continued profitable growth.</w:t>
      </w:r>
    </w:p>
    <w:p>
      <w:pPr>
        <w:spacing w:after="0" w:line="148" w:lineRule="exact"/>
        <w:rPr>
          <w:sz w:val="20"/>
          <w:szCs w:val="20"/>
          <w:color w:val="auto"/>
        </w:rPr>
      </w:pPr>
    </w:p>
    <w:p>
      <w:pPr>
        <w:jc w:val="both"/>
        <w:ind w:left="640" w:right="60" w:hanging="322"/>
        <w:spacing w:after="0" w:line="25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that outstanding performance and timely execution on our programs will win us new business and lead to profitable growth, including new opportunities for follow-on orders which will add to our growing production base. Our recent short-range air defense program is an example of</w:t>
      </w:r>
    </w:p>
    <w:p>
      <w:pPr>
        <w:sectPr>
          <w:pgSz w:w="11900" w:h="16838" w:orient="portrait"/>
          <w:cols w:equalWidth="0" w:num="1">
            <w:col w:w="9820"/>
          </w:cols>
          <w:pgMar w:left="100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820"/>
          </w:cols>
          <w:pgMar w:left="1000" w:top="1440" w:right="107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280"/>
        <w:spacing w:after="0" w:line="261" w:lineRule="auto"/>
        <w:rPr>
          <w:sz w:val="20"/>
          <w:szCs w:val="20"/>
          <w:color w:val="auto"/>
        </w:rPr>
      </w:pPr>
      <w:r>
        <w:rPr>
          <w:rFonts w:ascii="Arial" w:cs="Arial" w:eastAsia="Arial" w:hAnsi="Arial"/>
          <w:sz w:val="18"/>
          <w:szCs w:val="18"/>
          <w:color w:val="auto"/>
        </w:rPr>
        <w:t>a program that we were able to win because of our reputation with the customer and our ability to quickly react to their needs.</w:t>
      </w:r>
    </w:p>
    <w:p>
      <w:pPr>
        <w:spacing w:after="0" w:line="144" w:lineRule="exact"/>
        <w:rPr>
          <w:sz w:val="20"/>
          <w:szCs w:val="20"/>
          <w:color w:val="auto"/>
        </w:rPr>
      </w:pPr>
    </w:p>
    <w:p>
      <w:pPr>
        <w:jc w:val="both"/>
        <w:ind w:left="640" w:hanging="322"/>
        <w:spacing w:after="0" w:line="25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Integrated systems offerings of our products and systems should further expand margins as we continue to grow the topline. Our Integrated Missions Systems business, for example, has strong integration capabilities which will enable us to grow content on programs as we increase our role from smaller sub-systems into full systems integration.</w:t>
      </w:r>
    </w:p>
    <w:p>
      <w:pPr>
        <w:spacing w:after="0" w:line="147" w:lineRule="exact"/>
        <w:rPr>
          <w:rFonts w:ascii="Arial" w:cs="Arial" w:eastAsia="Arial" w:hAnsi="Arial"/>
          <w:sz w:val="18"/>
          <w:szCs w:val="18"/>
          <w:color w:val="auto"/>
        </w:rPr>
      </w:pPr>
    </w:p>
    <w:p>
      <w:pPr>
        <w:ind w:left="640" w:right="100" w:hanging="322"/>
        <w:spacing w:after="0" w:line="25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execution on key development programs in early phases is expected to drive a transition to higher margin business in production, bringing sustained profitable success. Our Columbia-class submarine program is an example of a fixed-price development program that we invested in while recognizing that it will deliver long-term profitable growth, beginning in 2021, when it transitions into production.</w:t>
      </w:r>
    </w:p>
    <w:p>
      <w:pPr>
        <w:spacing w:after="0" w:line="149" w:lineRule="exact"/>
        <w:rPr>
          <w:rFonts w:ascii="Arial" w:cs="Arial" w:eastAsia="Arial" w:hAnsi="Arial"/>
          <w:sz w:val="18"/>
          <w:szCs w:val="18"/>
          <w:color w:val="auto"/>
        </w:rPr>
      </w:pPr>
    </w:p>
    <w:p>
      <w:pPr>
        <w:ind w:left="640" w:right="80" w:hanging="322"/>
        <w:spacing w:after="0" w:line="253"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APEX program focuses on the achievement of operational savings in production, supply chain and our overall cost structure. The APEX program’s goal is to strive for continuous improvement through unification of our business practices, tools and metrics, ongoing employee training and innovation. Commitment to excellence requires us to challenge ourselves to exceed our customers’ expectations. A culture of continuous improvement will allow us to improve our efficiency and increase our margins.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Actively Managing our Portfolio for Optimization</w:t>
      </w:r>
    </w:p>
    <w:p>
      <w:pPr>
        <w:spacing w:after="0" w:line="193"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We manage our portfolio to optimize our growth in areas where we have the strongest core technology base, where we have a competitive cost structure and where the defense market is growing.</w:t>
      </w:r>
    </w:p>
    <w:p>
      <w:pPr>
        <w:spacing w:after="0" w:line="144" w:lineRule="exact"/>
        <w:rPr>
          <w:sz w:val="20"/>
          <w:szCs w:val="20"/>
          <w:color w:val="auto"/>
        </w:rPr>
      </w:pPr>
    </w:p>
    <w:p>
      <w:pPr>
        <w:ind w:left="640" w:right="120" w:hanging="322"/>
        <w:spacing w:after="0" w:line="25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DRS has a portfolio of products and services that we believe are positioned to move up the value chain to provide sub-systems and integrated systems and solutions. We regularly assess our portfolio to ensure strong alignment with our customers’ needs and priorities and consider accretive acquisitions in areas where we have strategic gaps to address our customer’s needs.</w:t>
      </w:r>
    </w:p>
    <w:p>
      <w:pPr>
        <w:spacing w:after="0" w:line="149" w:lineRule="exact"/>
        <w:rPr>
          <w:rFonts w:ascii="Arial" w:cs="Arial" w:eastAsia="Arial" w:hAnsi="Arial"/>
          <w:sz w:val="18"/>
          <w:szCs w:val="18"/>
          <w:color w:val="auto"/>
        </w:rPr>
      </w:pPr>
    </w:p>
    <w:p>
      <w:pPr>
        <w:ind w:left="640" w:right="180" w:hanging="322"/>
        <w:spacing w:after="0" w:line="25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employ a strategy of active IP management to acquire technologies and IP through partnerships, teaming arrangements, strategic licenses and other business arrangements. This active IP management strategy allows us access to new technologies in a disciplined manner to maintain the strength of our diversified portfolio.</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Continue to Take Care of Our People</w:t>
      </w:r>
    </w:p>
    <w:p>
      <w:pPr>
        <w:spacing w:after="0" w:line="193"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We seek to recruit and retain the highest caliber of talent through competitive pay and benefits packages, diverse and inclusive personnel policies and fostering an innovative and modern workforce.</w:t>
      </w:r>
    </w:p>
    <w:p>
      <w:pPr>
        <w:spacing w:after="0" w:line="144" w:lineRule="exact"/>
        <w:rPr>
          <w:sz w:val="20"/>
          <w:szCs w:val="20"/>
          <w:color w:val="auto"/>
        </w:rPr>
      </w:pPr>
    </w:p>
    <w:p>
      <w:pPr>
        <w:ind w:left="640" w:right="40" w:hanging="322"/>
        <w:spacing w:after="0" w:line="26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strive to maintain the highest ethical standards and foster a collaborative workplace to ensure a strong culture in our people.</w:t>
      </w:r>
    </w:p>
    <w:p>
      <w:pPr>
        <w:spacing w:after="0" w:line="143" w:lineRule="exact"/>
        <w:rPr>
          <w:rFonts w:ascii="Arial" w:cs="Arial" w:eastAsia="Arial" w:hAnsi="Arial"/>
          <w:sz w:val="18"/>
          <w:szCs w:val="18"/>
          <w:color w:val="auto"/>
        </w:rPr>
      </w:pPr>
    </w:p>
    <w:p>
      <w:pPr>
        <w:jc w:val="both"/>
        <w:ind w:left="640" w:right="240" w:hanging="322"/>
        <w:spacing w:after="0" w:line="26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constantly assess and make thoughtful changes to our personnel practices, including changes to our pay and benefits packages and increased training and growth opportunities, to ensure that we attract and retain top talent.</w:t>
      </w:r>
    </w:p>
    <w:p>
      <w:pPr>
        <w:spacing w:after="0" w:line="143" w:lineRule="exact"/>
        <w:rPr>
          <w:rFonts w:ascii="Arial" w:cs="Arial" w:eastAsia="Arial" w:hAnsi="Arial"/>
          <w:sz w:val="18"/>
          <w:szCs w:val="18"/>
          <w:color w:val="auto"/>
        </w:rPr>
      </w:pPr>
    </w:p>
    <w:p>
      <w:pPr>
        <w:ind w:left="640" w:right="260" w:hanging="322"/>
        <w:spacing w:after="0" w:line="25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implemented a strong diversity and inclusion program to ensure that our workforce looks like the communities in which they operate. This helps us to bring diverse ideas and perspectives to decision-making and problem-solving and allows us to draw from the largest pool of available talent.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the Company</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DRS was founded in 1969, in Mount Vernon, New York, as Diagnostic Retrieval Systems, and soon became best known by its acronym, DRS. In 1981, we first became a publicly traded company. Over the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subsequent decades, DRS experienced a period of rapid growth driven in large part by numerous acquisitions. In 2008, our stock ceased to be publicly traded when we were acquired by the Italian-headquartered Finmeccanica S.p.A. (now known as Leonardo S.p.A.) and we subsequently rebranded ourselves as Leonardo DRS. Since the Leonardo acquisition, we have operated under agreements with the DoD and related security policies in order to limit our foreign parent’s ability to control our business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Structure</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Following completion of this offering, we expect that Leonardo S.p.A. will indirectly hold 78.0% of our common stock through US Holding (or 74.7% if the underwriters exercise their option to purchase additional shares from the selling stockholder). As a U.S. defense contractor with high level personal and facility security clearances, DRS, US Holding and Leonardo S.p.A. have entered into an agreement with the DoD to mitigate against the potential for undue foreign ownership control and influence (“FOCI”) on the performance of classified programs by implementing various limitations on US Holding’s and Leonardo S.p.A.’s rights as the direct stockholder and ultimate foreign parent company of DRS, respectively. Specifically, US Holding has authorized certain cleared US persons to operate as its proxies and exercise the key prerogatives of stock ownership. The proxy agreement requires that DRS have the financial and operational ability to operate as an independent entity under an independent board of directors, subject to certain limited, enumerated consent rights of the majority stockholder (including material mergers and acquisitions and incurrence of debt). For additional information, see “Certain Relationships and Related Party Transactions—Transactions with Leonardo S.p.A. Affiliates— Proxy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Ultimate Parent</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Leonardo S.p.A., a global high-technology company, is among the top ten world players in Aerospace, Defense and Security and Italy’s main industrial company. Organized into five business divisions, Leonardo S.p.A. has a significant industrial presence in Italy, the United Kingdom, Poland and the USA, where it also operates through subsidiaries such as Leonardo DRS (defense electronics), and joint ventures and partnerships: ATR, MBDA, Telespazio, Thales Alenia Space and Avio. Leonardo S.p.A. competes in the most important international markets by leveraging its areas of technological and product leadership (Helicopters, Aircraft, Aerostructures, Electronics, Cyber Security and Space). Listed on the Milan Stock Exchange (LDO), in 2020 Leonardo S.p.A. recorded consolidated revenues of €13.4 billion and invested €1.6 billion in Research and Development. The group has been part of the Dow Jones Sustainability Index (“DJSI”) since 2010 and is named as sustainability global leader in the Aerospace &amp; Defense sector of DJSI for the second year in a row in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93"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DRS is a wholly owned subsidiary of US Holding and, indirectly, of Leonardo S.p.A., which operates under a U.S. defense proxy board. We believe this offering will enable us to show the full potential of DRS’s value and provide focused capital allocation to fuel growth. Following this transaction, US Holding will remain a majority stockholder in the Company and will manage its ownership stake in accordance with an amended and restated proxy agreement and a cooperation agreement that will address rights that US Holding and Leonardo S.p.A. will have with respect to business and financial information and financial accounting matters and certain consent rights.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9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After the completion of this offering, we expect that Leonardo S.p.A. will indirectly hold 78.0% of our common stock through US Holding (or 74.7% if the underwriters exercise their option to purchase additional shares from the selling stockholder). As a result, we expect to be a “controlled company” within the meaning of NYSE rules, following the completion of this offering. This status will allow us to rely on exemptions from certain corporate governance requirements otherwise applicable to listed companies,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880"/>
          </w:cols>
          <w:pgMar w:left="1000" w:top="1440" w:right="10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83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383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although we currently do not intend to use these exemptions. See “Management—Corporate Governance—Controlled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To prepare for this offering and operation as a stand-alone public company, we have undertaken recapitalization initiatives to align our capital structure more closely with other U.S. public companies, including the expected repayment in full of our outstanding related-party borrowings of $237 million and entry into financing arrangements providing for the issuance of $450 million of third-party debt. The third-party debt is expected to consist of (i) $100 million of Term A debt at the London Inter-Bank Offered Rate (“LIBOR”) plus 2.25% (the “Term A Loan”) under a credit agreement providing for $300 million of senior unsecured credit facilities, and (ii) a bridge loan in an aggregate principal amount of $350 million with an interest rate of LIBOR plus 2.25% subject to quarterly 0.25% duration increases through the 364 day loan duration (the “Bridge Loan,” and together with the Term A Loan, our “New Debt”), in each case subject to the consummation of this offering. We anticipate that the Bridge Loan will be repaid with the net proceeds from the issuance of unsecured senior notes following this offering. Any such unsecured senior notes would be offered pursuant to a separate offering memorandum and nothing contained in this prospectus shall constitute an offer to sell or solicitation of an offer to buy such unsecured senior notes. See “Recapitalization” and “Unaudited Pro Forma Consolidated Financial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We are a Delaware corporation. Our principal executive offices are located at 2345 Crystal Drive Suite 1000, Arlington, Virginia 22202 and our telephone number is (703) 416-8000.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780"/>
          </w:cols>
          <w:pgMar w:left="1000" w:top="1440" w:right="111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“Risk Factors” in this prospectus. These risks include, but are not limited to, the following:</w:t>
      </w:r>
    </w:p>
    <w:p>
      <w:pPr>
        <w:spacing w:after="0" w:line="150" w:lineRule="exact"/>
        <w:rPr>
          <w:sz w:val="20"/>
          <w:szCs w:val="20"/>
          <w:color w:val="auto"/>
        </w:rPr>
      </w:pPr>
    </w:p>
    <w:p>
      <w:pPr>
        <w:ind w:left="640" w:right="42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640" w:right="4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640" w:right="4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COVID-19 pandemic and related impacts have had and are likely to continue to have an adverse impact on our business, financial condition and results of operations.</w:t>
      </w:r>
    </w:p>
    <w:p>
      <w:pPr>
        <w:spacing w:after="0" w:line="1" w:lineRule="exact"/>
        <w:rPr>
          <w:rFonts w:ascii="Arial" w:cs="Arial" w:eastAsia="Arial" w:hAnsi="Arial"/>
          <w:sz w:val="18"/>
          <w:szCs w:val="18"/>
          <w:color w:val="auto"/>
        </w:rPr>
      </w:pPr>
    </w:p>
    <w:p>
      <w:pPr>
        <w:jc w:val="both"/>
        <w:ind w:left="640" w:right="4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p>
    <w:p>
      <w:pPr>
        <w:spacing w:after="0" w:line="2" w:lineRule="exact"/>
        <w:rPr>
          <w:rFonts w:ascii="Arial" w:cs="Arial" w:eastAsia="Arial" w:hAnsi="Arial"/>
          <w:sz w:val="18"/>
          <w:szCs w:val="18"/>
          <w:color w:val="auto"/>
        </w:rPr>
      </w:pPr>
    </w:p>
    <w:p>
      <w:pPr>
        <w:ind w:left="640" w:right="14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spacing w:after="0" w:line="2" w:lineRule="exact"/>
        <w:rPr>
          <w:rFonts w:ascii="Arial" w:cs="Arial" w:eastAsia="Arial" w:hAnsi="Arial"/>
          <w:sz w:val="18"/>
          <w:szCs w:val="18"/>
          <w:color w:val="auto"/>
        </w:rPr>
      </w:pPr>
    </w:p>
    <w:p>
      <w:pPr>
        <w:ind w:left="640" w:right="10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640" w:right="16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operate in a highly regulated environment and are routinely audited and reviewed by the U.S. government and its agencies.</w:t>
      </w:r>
    </w:p>
    <w:p>
      <w:pPr>
        <w:spacing w:after="0" w:line="1" w:lineRule="exact"/>
        <w:rPr>
          <w:rFonts w:ascii="Arial" w:cs="Arial" w:eastAsia="Arial" w:hAnsi="Arial"/>
          <w:sz w:val="18"/>
          <w:szCs w:val="18"/>
          <w:color w:val="auto"/>
        </w:rPr>
      </w:pPr>
    </w:p>
    <w:p>
      <w:pPr>
        <w:ind w:left="640" w:hanging="322"/>
        <w:spacing w:after="0" w:line="248"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spacing w:after="0" w:line="1" w:lineRule="exact"/>
        <w:rPr>
          <w:rFonts w:ascii="Arial" w:cs="Arial" w:eastAsia="Arial" w:hAnsi="Arial"/>
          <w:sz w:val="17"/>
          <w:szCs w:val="17"/>
          <w:color w:val="auto"/>
        </w:rPr>
      </w:pPr>
    </w:p>
    <w:p>
      <w:pPr>
        <w:ind w:left="640" w:right="6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spacing w:after="0" w:line="2" w:lineRule="exact"/>
        <w:rPr>
          <w:rFonts w:ascii="Arial" w:cs="Arial" w:eastAsia="Arial" w:hAnsi="Arial"/>
          <w:sz w:val="18"/>
          <w:szCs w:val="18"/>
          <w:color w:val="auto"/>
        </w:rPr>
      </w:pPr>
    </w:p>
    <w:p>
      <w:pPr>
        <w:ind w:left="640" w:right="22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government has and may continue to implement initiatives focused on efficiencies, affordability and cost growth and other changes to its procurement practices.</w:t>
      </w:r>
    </w:p>
    <w:p>
      <w:pPr>
        <w:spacing w:after="0" w:line="1" w:lineRule="exact"/>
        <w:rPr>
          <w:rFonts w:ascii="Arial" w:cs="Arial" w:eastAsia="Arial" w:hAnsi="Arial"/>
          <w:sz w:val="18"/>
          <w:szCs w:val="18"/>
          <w:color w:val="auto"/>
        </w:rPr>
      </w:pPr>
    </w:p>
    <w:p>
      <w:pPr>
        <w:ind w:left="640" w:right="76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use estimates in pricing and accounting for many of our programs, and changes in our estimates could adversely impact our business, financial condition and results of operations.</w:t>
      </w:r>
    </w:p>
    <w:p>
      <w:pPr>
        <w:spacing w:after="0" w:line="1" w:lineRule="exact"/>
        <w:rPr>
          <w:rFonts w:ascii="Arial" w:cs="Arial" w:eastAsia="Arial" w:hAnsi="Arial"/>
          <w:sz w:val="18"/>
          <w:szCs w:val="18"/>
          <w:color w:val="auto"/>
        </w:rPr>
      </w:pPr>
    </w:p>
    <w:p>
      <w:pPr>
        <w:ind w:left="640" w:right="6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640" w:hanging="322"/>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may be harmed if we are unable to appropriately manage our inventory.</w:t>
      </w:r>
    </w:p>
    <w:p>
      <w:pPr>
        <w:ind w:left="64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working capital requirements and cash flows are extremely variable and subject to fluctuation, which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640" w:right="44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cannot predict future capital needs, the sufficiency of our current financing or our ability to obtain additional financing if we need it.</w:t>
      </w:r>
    </w:p>
    <w:p>
      <w:pPr>
        <w:spacing w:after="0" w:line="1" w:lineRule="exact"/>
        <w:rPr>
          <w:rFonts w:ascii="Arial" w:cs="Arial" w:eastAsia="Arial" w:hAnsi="Arial"/>
          <w:sz w:val="18"/>
          <w:szCs w:val="18"/>
          <w:color w:val="auto"/>
        </w:rPr>
      </w:pPr>
    </w:p>
    <w:p>
      <w:pPr>
        <w:ind w:left="640" w:right="16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agreements governing our debt may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spacing w:after="0" w:line="2" w:lineRule="exact"/>
        <w:rPr>
          <w:rFonts w:ascii="Arial" w:cs="Arial" w:eastAsia="Arial" w:hAnsi="Arial"/>
          <w:sz w:val="18"/>
          <w:szCs w:val="18"/>
          <w:color w:val="auto"/>
        </w:rPr>
      </w:pPr>
    </w:p>
    <w:p>
      <w:pPr>
        <w:ind w:left="640" w:right="180" w:hanging="322"/>
        <w:spacing w:after="0" w:line="23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service indebtedness and fund other cash needs, we will require a significant amount of cash, and our ability to generate cash depends on many factors beyond our control.</w:t>
      </w:r>
    </w:p>
    <w:p>
      <w:pPr>
        <w:spacing w:after="0" w:line="1" w:lineRule="exact"/>
        <w:rPr>
          <w:rFonts w:ascii="Arial" w:cs="Arial" w:eastAsia="Arial" w:hAnsi="Arial"/>
          <w:sz w:val="18"/>
          <w:szCs w:val="18"/>
          <w:color w:val="auto"/>
        </w:rPr>
      </w:pPr>
    </w:p>
    <w:p>
      <w:pPr>
        <w:ind w:left="640" w:hanging="322"/>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intense competition and may suffer losses if we fail to compete efficiently.</w:t>
      </w: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in part upon our relationships and alliances with industry participants in order to</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860"/>
          </w:cols>
          <w:pgMar w:left="1000" w:top="1440" w:right="103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2"/>
        <w:spacing w:after="0"/>
        <w:rPr>
          <w:sz w:val="20"/>
          <w:szCs w:val="20"/>
          <w:color w:val="auto"/>
        </w:rPr>
      </w:pPr>
      <w:r>
        <w:rPr>
          <w:rFonts w:ascii="Arial" w:cs="Arial" w:eastAsia="Arial" w:hAnsi="Arial"/>
          <w:sz w:val="18"/>
          <w:szCs w:val="18"/>
          <w:color w:val="auto"/>
        </w:rPr>
        <w:t>generate revenue, which involves risks and uncertainties.</w:t>
      </w:r>
    </w:p>
    <w:p>
      <w:pPr>
        <w:ind w:left="322" w:right="14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Contractual disputes with industry participants or the inability of our key suppliers to timely deliver our components, parts or services, could cause our products, systems or services to be produced or delivered in an untimely or unsatisfactory manner.</w:t>
      </w:r>
    </w:p>
    <w:p>
      <w:pPr>
        <w:spacing w:after="0" w:line="2" w:lineRule="exact"/>
        <w:rPr>
          <w:rFonts w:ascii="Arial" w:cs="Arial" w:eastAsia="Arial" w:hAnsi="Arial"/>
          <w:sz w:val="18"/>
          <w:szCs w:val="18"/>
          <w:color w:val="auto"/>
        </w:rPr>
      </w:pPr>
    </w:p>
    <w:p>
      <w:pPr>
        <w:ind w:left="322" w:right="26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susceptible to a security breach, through cyber attack, cyber intrusion, insider threats or otherwise, and to other significant disruptions of our IT networks and related systems or of those we operate for our customers.</w:t>
      </w:r>
    </w:p>
    <w:p>
      <w:pPr>
        <w:spacing w:after="0" w:line="1" w:lineRule="exact"/>
        <w:rPr>
          <w:rFonts w:ascii="Arial" w:cs="Arial" w:eastAsia="Arial" w:hAnsi="Arial"/>
          <w:sz w:val="18"/>
          <w:szCs w:val="18"/>
          <w:color w:val="auto"/>
        </w:rPr>
      </w:pPr>
    </w:p>
    <w:p>
      <w:pPr>
        <w:ind w:left="322" w:right="64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at greater risk from terrorism and other threats to our physical security and personnel, than other companies.</w:t>
      </w:r>
    </w:p>
    <w:p>
      <w:pPr>
        <w:spacing w:after="0" w:line="1" w:lineRule="exact"/>
        <w:rPr>
          <w:rFonts w:ascii="Arial" w:cs="Arial" w:eastAsia="Arial" w:hAnsi="Arial"/>
          <w:sz w:val="18"/>
          <w:szCs w:val="18"/>
          <w:color w:val="auto"/>
        </w:rPr>
      </w:pPr>
    </w:p>
    <w:p>
      <w:pPr>
        <w:ind w:left="322" w:right="18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success will depend on our ability to respond to the rapid technological changes in the markets in which we compete, our ability to introduce new or enhanced products and to enter into new markets.</w:t>
      </w:r>
    </w:p>
    <w:p>
      <w:pPr>
        <w:spacing w:after="0" w:line="1" w:lineRule="exact"/>
        <w:rPr>
          <w:rFonts w:ascii="Arial" w:cs="Arial" w:eastAsia="Arial" w:hAnsi="Arial"/>
          <w:sz w:val="18"/>
          <w:szCs w:val="18"/>
          <w:color w:val="auto"/>
        </w:rPr>
      </w:pPr>
    </w:p>
    <w:p>
      <w:pPr>
        <w:ind w:left="322"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business, financial condition, results of operations, reputation and future prospects.</w:t>
      </w:r>
    </w:p>
    <w:p>
      <w:pPr>
        <w:spacing w:after="0" w:line="2" w:lineRule="exact"/>
        <w:rPr>
          <w:rFonts w:ascii="Arial" w:cs="Arial" w:eastAsia="Arial" w:hAnsi="Arial"/>
          <w:sz w:val="18"/>
          <w:szCs w:val="18"/>
          <w:color w:val="auto"/>
        </w:rPr>
      </w:pPr>
    </w:p>
    <w:p>
      <w:pPr>
        <w:ind w:left="322" w:right="26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fully exploit or obtain patents or other intellectual property protections necessary to secure our proprietary technology.</w:t>
      </w:r>
    </w:p>
    <w:p>
      <w:pPr>
        <w:spacing w:after="0" w:line="1" w:lineRule="exact"/>
        <w:rPr>
          <w:rFonts w:ascii="Arial" w:cs="Arial" w:eastAsia="Arial" w:hAnsi="Arial"/>
          <w:sz w:val="18"/>
          <w:szCs w:val="18"/>
          <w:color w:val="auto"/>
        </w:rPr>
      </w:pPr>
    </w:p>
    <w:p>
      <w:pPr>
        <w:ind w:left="322" w:right="30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 parties have claimed in the past and may claim in the future that we are infringing directly or indirectly upon their intellectual property rights, and third parties may infringe upon our intellectual property rights.</w:t>
      </w:r>
    </w:p>
    <w:p>
      <w:pPr>
        <w:spacing w:after="0" w:line="1" w:lineRule="exact"/>
        <w:rPr>
          <w:rFonts w:ascii="Arial" w:cs="Arial" w:eastAsia="Arial" w:hAnsi="Arial"/>
          <w:sz w:val="18"/>
          <w:szCs w:val="18"/>
          <w:color w:val="auto"/>
        </w:rPr>
      </w:pPr>
    </w:p>
    <w:p>
      <w:pPr>
        <w:ind w:left="322" w:right="52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and ability to do business may be impacted by the improper conduct of our employees, agents, affiliates, subcontractors, suppliers, business partners or joint ventures in which we participate.</w:t>
      </w:r>
    </w:p>
    <w:p>
      <w:pPr>
        <w:spacing w:after="0" w:line="1" w:lineRule="exact"/>
        <w:rPr>
          <w:rFonts w:ascii="Arial" w:cs="Arial" w:eastAsia="Arial" w:hAnsi="Arial"/>
          <w:sz w:val="18"/>
          <w:szCs w:val="18"/>
          <w:color w:val="auto"/>
        </w:rPr>
      </w:pPr>
    </w:p>
    <w:p>
      <w:pPr>
        <w:ind w:left="322" w:right="62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international business exposes us to additional risks, including risks related to geopolitical and economic factors, laws and regulations.</w:t>
      </w:r>
    </w:p>
    <w:p>
      <w:pPr>
        <w:spacing w:after="0" w:line="1" w:lineRule="exact"/>
        <w:rPr>
          <w:rFonts w:ascii="Arial" w:cs="Arial" w:eastAsia="Arial" w:hAnsi="Arial"/>
          <w:sz w:val="18"/>
          <w:szCs w:val="18"/>
          <w:color w:val="auto"/>
        </w:rPr>
      </w:pPr>
    </w:p>
    <w:p>
      <w:pPr>
        <w:ind w:left="322" w:right="40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successful in obtaining the export licenses necessary to conduct certain operations abroad, and Congress may prevent proposed sales to certain foreign governments.</w:t>
      </w:r>
    </w:p>
    <w:p>
      <w:pPr>
        <w:spacing w:after="0" w:line="1" w:lineRule="exact"/>
        <w:rPr>
          <w:rFonts w:ascii="Arial" w:cs="Arial" w:eastAsia="Arial" w:hAnsi="Arial"/>
          <w:sz w:val="18"/>
          <w:szCs w:val="18"/>
          <w:color w:val="auto"/>
        </w:rPr>
      </w:pPr>
    </w:p>
    <w:p>
      <w:pPr>
        <w:ind w:left="322" w:right="48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failure to attract and retain technical and other key personnel could reduce our revenues and our operational effectiveness.</w:t>
      </w:r>
    </w:p>
    <w:p>
      <w:pPr>
        <w:spacing w:after="0" w:line="1" w:lineRule="exact"/>
        <w:rPr>
          <w:rFonts w:ascii="Arial" w:cs="Arial" w:eastAsia="Arial" w:hAnsi="Arial"/>
          <w:sz w:val="18"/>
          <w:szCs w:val="18"/>
          <w:color w:val="auto"/>
        </w:rPr>
      </w:pPr>
    </w:p>
    <w:p>
      <w:pPr>
        <w:ind w:left="322" w:right="2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spacing w:after="0" w:line="2" w:lineRule="exact"/>
        <w:rPr>
          <w:rFonts w:ascii="Arial" w:cs="Arial" w:eastAsia="Arial" w:hAnsi="Arial"/>
          <w:sz w:val="18"/>
          <w:szCs w:val="18"/>
          <w:color w:val="auto"/>
        </w:rPr>
      </w:pPr>
    </w:p>
    <w:p>
      <w:pPr>
        <w:ind w:left="322" w:right="18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liable for certain tax liabilities, including tax liabilities of US Holding and its subsidiaries, under tax law and the tax allocation agreement.</w:t>
      </w:r>
    </w:p>
    <w:p>
      <w:pPr>
        <w:spacing w:after="0" w:line="1" w:lineRule="exact"/>
        <w:rPr>
          <w:rFonts w:ascii="Arial" w:cs="Arial" w:eastAsia="Arial" w:hAnsi="Arial"/>
          <w:sz w:val="18"/>
          <w:szCs w:val="18"/>
          <w:color w:val="auto"/>
        </w:rPr>
      </w:pPr>
    </w:p>
    <w:p>
      <w:pPr>
        <w:ind w:left="322" w:right="8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significant operations in locations that could be materially and adversely impacted in the event of a natural disaster or other significant disruption.</w:t>
      </w:r>
    </w:p>
    <w:p>
      <w:pPr>
        <w:spacing w:after="0" w:line="1" w:lineRule="exact"/>
        <w:rPr>
          <w:rFonts w:ascii="Arial" w:cs="Arial" w:eastAsia="Arial" w:hAnsi="Arial"/>
          <w:sz w:val="18"/>
          <w:szCs w:val="18"/>
          <w:color w:val="auto"/>
        </w:rPr>
      </w:pPr>
    </w:p>
    <w:p>
      <w:pPr>
        <w:ind w:left="322" w:right="46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leases may be terminated or we may be unable to renew our leases on acceptable terms and if we wish to relocate, we may incur additional costs if we terminate a lease.</w:t>
      </w:r>
    </w:p>
    <w:p>
      <w:pPr>
        <w:spacing w:after="0" w:line="1" w:lineRule="exact"/>
        <w:rPr>
          <w:rFonts w:ascii="Arial" w:cs="Arial" w:eastAsia="Arial" w:hAnsi="Arial"/>
          <w:sz w:val="18"/>
          <w:szCs w:val="18"/>
          <w:color w:val="auto"/>
        </w:rPr>
      </w:pPr>
    </w:p>
    <w:p>
      <w:pPr>
        <w:ind w:left="322" w:right="8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322" w:hanging="322"/>
        <w:spacing w:after="0" w:line="234" w:lineRule="auto"/>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CFIUS may modify, delay or prevent our future acquisition or investment activities.</w:t>
      </w:r>
    </w:p>
    <w:p>
      <w:pPr>
        <w:ind w:left="322" w:right="80" w:hanging="322"/>
        <w:spacing w:after="0" w:line="248" w:lineRule="auto"/>
        <w:tabs>
          <w:tab w:leader="none" w:pos="317"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ultimate majority stockholder, Leonardo S.p.A., may have interests that are different from, or conflict with, those of our other stockholders, and their significant ownership in us may discourage change of control transactions.</w:t>
      </w:r>
    </w:p>
    <w:p>
      <w:pPr>
        <w:spacing w:after="0" w:line="1" w:lineRule="exact"/>
        <w:rPr>
          <w:rFonts w:ascii="Arial" w:cs="Arial" w:eastAsia="Arial" w:hAnsi="Arial"/>
          <w:sz w:val="17"/>
          <w:szCs w:val="17"/>
          <w:color w:val="auto"/>
        </w:rPr>
      </w:pPr>
    </w:p>
    <w:p>
      <w:pPr>
        <w:ind w:left="322" w:right="22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Following this offering, we expect to be a “controlled company” within the meaning of NYSE rules and, as a result, we will qualify for exemptions from certain corporate governance requirements. You may not have the same protections afforded to stockholders of companies that are subject to such requirements.</w:t>
      </w:r>
    </w:p>
    <w:p>
      <w:pPr>
        <w:spacing w:after="0" w:line="2" w:lineRule="exact"/>
        <w:rPr>
          <w:rFonts w:ascii="Arial" w:cs="Arial" w:eastAsia="Arial" w:hAnsi="Arial"/>
          <w:sz w:val="18"/>
          <w:szCs w:val="18"/>
          <w:color w:val="auto"/>
        </w:rPr>
      </w:pPr>
    </w:p>
    <w:p>
      <w:pPr>
        <w:ind w:left="322" w:hanging="322"/>
        <w:spacing w:after="0" w:line="234" w:lineRule="auto"/>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have obligations in favor of Leonardo S.p.A. after this offering.</w:t>
      </w:r>
    </w:p>
    <w:p>
      <w:pPr>
        <w:ind w:left="322" w:right="220" w:hanging="322"/>
        <w:spacing w:after="0" w:line="23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of our contracts with the U.S. government are classified, which may limit investor insight into portions of our business.</w:t>
      </w:r>
    </w:p>
    <w:p>
      <w:pPr>
        <w:spacing w:after="0" w:line="1" w:lineRule="exact"/>
        <w:rPr>
          <w:rFonts w:ascii="Arial" w:cs="Arial" w:eastAsia="Arial" w:hAnsi="Arial"/>
          <w:sz w:val="18"/>
          <w:szCs w:val="18"/>
          <w:color w:val="auto"/>
        </w:rPr>
      </w:pPr>
    </w:p>
    <w:p>
      <w:pPr>
        <w:ind w:left="322" w:hanging="322"/>
        <w:spacing w:after="0"/>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expect to declare any dividends in the near term.</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582"/>
          </w:cols>
          <w:pgMar w:left="1318" w:top="1440" w:right="9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22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840"/>
          </w:cols>
          <w:pgMar w:left="1000" w:top="1440" w:right="1059" w:bottom="1440" w:gutter="0" w:footer="0" w:header="0"/>
        </w:sectPr>
      </w:pPr>
    </w:p>
    <w:p>
      <w:pPr>
        <w:spacing w:after="0" w:line="259"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Common stock offered by the 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31,900,000 shares.</w:t>
      </w:r>
    </w:p>
    <w:p>
      <w:pPr>
        <w:spacing w:after="0" w:line="211" w:lineRule="exact"/>
        <w:rPr>
          <w:sz w:val="20"/>
          <w:szCs w:val="20"/>
          <w:color w:val="auto"/>
        </w:rPr>
      </w:pPr>
    </w:p>
    <w:p>
      <w:pPr>
        <w:sectPr>
          <w:pgSz w:w="11900" w:h="16838" w:orient="portrait"/>
          <w:cols w:equalWidth="0" w:num="2">
            <w:col w:w="2920" w:space="540"/>
            <w:col w:w="6380"/>
          </w:cols>
          <w:pgMar w:left="1000" w:top="1440" w:right="1059" w:bottom="1440" w:gutter="0" w:footer="0" w:header="0"/>
          <w:type w:val="continuous"/>
        </w:sectPr>
      </w:pPr>
    </w:p>
    <w:p>
      <w:pPr>
        <w:ind w:left="20"/>
        <w:spacing w:after="0" w:line="261" w:lineRule="auto"/>
        <w:rPr>
          <w:sz w:val="20"/>
          <w:szCs w:val="20"/>
          <w:color w:val="auto"/>
        </w:rPr>
      </w:pPr>
      <w:r>
        <w:rPr>
          <w:rFonts w:ascii="Arial" w:cs="Arial" w:eastAsia="Arial" w:hAnsi="Arial"/>
          <w:sz w:val="18"/>
          <w:szCs w:val="18"/>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145,000,000 shares.</w:t>
      </w:r>
    </w:p>
    <w:p>
      <w:pPr>
        <w:spacing w:after="0" w:line="222" w:lineRule="exact"/>
        <w:rPr>
          <w:sz w:val="20"/>
          <w:szCs w:val="20"/>
          <w:color w:val="auto"/>
        </w:rPr>
      </w:pPr>
    </w:p>
    <w:p>
      <w:pPr>
        <w:sectPr>
          <w:pgSz w:w="11900" w:h="16838" w:orient="portrait"/>
          <w:cols w:equalWidth="0" w:num="2">
            <w:col w:w="3380" w:space="80"/>
            <w:col w:w="6380"/>
          </w:cols>
          <w:pgMar w:left="1000" w:top="1440" w:right="10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Option to purchase additional shares</w:t>
      </w:r>
    </w:p>
    <w:p>
      <w:pPr>
        <w:spacing w:after="0" w:line="20" w:lineRule="exact"/>
        <w:rPr>
          <w:sz w:val="20"/>
          <w:szCs w:val="20"/>
          <w:color w:val="auto"/>
        </w:rPr>
      </w:pPr>
      <w:r>
        <w:rPr>
          <w:sz w:val="20"/>
          <w:szCs w:val="20"/>
          <w:color w:val="auto"/>
        </w:rPr>
        <w:br w:type="column"/>
      </w:r>
    </w:p>
    <w:p>
      <w:pPr>
        <w:ind w:right="380"/>
        <w:spacing w:after="0"/>
        <w:rPr>
          <w:sz w:val="20"/>
          <w:szCs w:val="20"/>
          <w:color w:val="auto"/>
        </w:rPr>
      </w:pPr>
      <w:r>
        <w:rPr>
          <w:rFonts w:ascii="Arial" w:cs="Arial" w:eastAsia="Arial" w:hAnsi="Arial"/>
          <w:sz w:val="18"/>
          <w:szCs w:val="18"/>
          <w:color w:val="auto"/>
        </w:rPr>
        <w:t>The underwriters have a 30-day option to purchase up to an additional 4,785,000 shares of common stock from the selling stockholder at the initial public offering price, less underwriting discounts and commissions.</w:t>
      </w:r>
    </w:p>
    <w:p>
      <w:pPr>
        <w:spacing w:after="0" w:line="189" w:lineRule="exact"/>
        <w:rPr>
          <w:sz w:val="20"/>
          <w:szCs w:val="20"/>
          <w:color w:val="auto"/>
        </w:rPr>
      </w:pPr>
    </w:p>
    <w:p>
      <w:pPr>
        <w:sectPr>
          <w:pgSz w:w="11900" w:h="16838" w:orient="portrait"/>
          <w:cols w:equalWidth="0" w:num="2">
            <w:col w:w="2940" w:space="520"/>
            <w:col w:w="6380"/>
          </w:cols>
          <w:pgMar w:left="1000" w:top="1440" w:right="10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right="360"/>
        <w:spacing w:after="0" w:line="256" w:lineRule="auto"/>
        <w:rPr>
          <w:sz w:val="20"/>
          <w:szCs w:val="20"/>
          <w:color w:val="auto"/>
        </w:rPr>
      </w:pPr>
      <w:r>
        <w:rPr>
          <w:rFonts w:ascii="Arial" w:cs="Arial" w:eastAsia="Arial" w:hAnsi="Arial"/>
          <w:sz w:val="18"/>
          <w:szCs w:val="18"/>
          <w:color w:val="auto"/>
        </w:rPr>
        <w:t>We will not receive any proceeds from the sale of common stock in this offering; the selling stockholder will receive all of the proceeds from the sale of shares of our common stock.</w:t>
      </w:r>
    </w:p>
    <w:p>
      <w:pPr>
        <w:spacing w:after="0" w:line="188" w:lineRule="exact"/>
        <w:rPr>
          <w:sz w:val="20"/>
          <w:szCs w:val="20"/>
          <w:color w:val="auto"/>
        </w:rPr>
      </w:pPr>
    </w:p>
    <w:p>
      <w:pPr>
        <w:sectPr>
          <w:pgSz w:w="11900" w:h="16838" w:orient="portrait"/>
          <w:cols w:equalWidth="0" w:num="2">
            <w:col w:w="2740" w:space="720"/>
            <w:col w:w="6380"/>
          </w:cols>
          <w:pgMar w:left="1000" w:top="1440" w:right="10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320"/>
        <w:spacing w:after="0" w:line="254" w:lineRule="auto"/>
        <w:rPr>
          <w:sz w:val="20"/>
          <w:szCs w:val="20"/>
          <w:color w:val="auto"/>
        </w:rPr>
      </w:pPr>
      <w:r>
        <w:rPr>
          <w:rFonts w:ascii="Arial" w:cs="Arial" w:eastAsia="Arial" w:hAnsi="Arial"/>
          <w:sz w:val="18"/>
          <w:szCs w:val="18"/>
          <w:color w:val="auto"/>
        </w:rPr>
        <w:t>We do not currently anticipate declaring or paying regular cash dividends on our common stock in the near term. We expect that we will retain all of our future earnings for use in the operation and expansion of our business. See “Dividend Policy.”</w:t>
      </w:r>
    </w:p>
    <w:p>
      <w:pPr>
        <w:spacing w:after="0" w:line="190" w:lineRule="exact"/>
        <w:rPr>
          <w:sz w:val="20"/>
          <w:szCs w:val="20"/>
          <w:color w:val="auto"/>
        </w:rPr>
      </w:pPr>
    </w:p>
    <w:p>
      <w:pPr>
        <w:sectPr>
          <w:pgSz w:w="11900" w:h="16838" w:orient="portrait"/>
          <w:cols w:equalWidth="0" w:num="2">
            <w:col w:w="2740" w:space="720"/>
            <w:col w:w="6380"/>
          </w:cols>
          <w:pgMar w:left="1000" w:top="1440" w:right="10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Proposed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“DRS.”</w:t>
      </w:r>
    </w:p>
    <w:p>
      <w:pPr>
        <w:spacing w:after="0" w:line="198" w:lineRule="exact"/>
        <w:rPr>
          <w:sz w:val="20"/>
          <w:szCs w:val="20"/>
          <w:color w:val="auto"/>
        </w:rPr>
      </w:pPr>
    </w:p>
    <w:p>
      <w:pPr>
        <w:sectPr>
          <w:pgSz w:w="11900" w:h="16838" w:orient="portrait"/>
          <w:cols w:equalWidth="0" w:num="2">
            <w:col w:w="2740" w:space="720"/>
            <w:col w:w="6380"/>
          </w:cols>
          <w:pgMar w:left="1000" w:top="1440" w:right="1059" w:bottom="1440" w:gutter="0" w:footer="0" w:header="0"/>
          <w:type w:val="continuous"/>
        </w:sectPr>
      </w:pPr>
    </w:p>
    <w:p>
      <w:pPr>
        <w:ind w:firstLine="324"/>
        <w:spacing w:after="0" w:line="254" w:lineRule="auto"/>
        <w:rPr>
          <w:sz w:val="20"/>
          <w:szCs w:val="20"/>
          <w:color w:val="auto"/>
        </w:rPr>
      </w:pPr>
      <w:r>
        <w:rPr>
          <w:rFonts w:ascii="Arial" w:cs="Arial" w:eastAsia="Arial" w:hAnsi="Arial"/>
          <w:sz w:val="18"/>
          <w:szCs w:val="18"/>
          <w:color w:val="auto"/>
        </w:rPr>
        <w:t>The number of shares of our common stock to be outstanding immediately following this offering is based on 145,000,000 shares outstanding as of March 15, 2021, and excludes 3,511,400 shares of common stock reserved for future issuance following this offering under the Leonardo DRS 2021 Omnibus Equity Compensation Plan (the “Omnibus Plan”) adopted in connection with this offering.</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171" w:lineRule="exact"/>
        <w:rPr>
          <w:sz w:val="20"/>
          <w:szCs w:val="20"/>
          <w:color w:val="auto"/>
        </w:rPr>
      </w:pPr>
    </w:p>
    <w:p>
      <w:pPr>
        <w:ind w:left="640" w:hanging="322"/>
        <w:spacing w:after="0"/>
        <w:tabs>
          <w:tab w:leader="none" w:pos="640" w:val="left"/>
        </w:tabs>
        <w:numPr>
          <w:ilvl w:val="0"/>
          <w:numId w:val="13"/>
        </w:numPr>
        <w:rPr>
          <w:rFonts w:ascii="Arial" w:cs="Arial" w:eastAsia="Arial" w:hAnsi="Arial"/>
          <w:sz w:val="18"/>
          <w:szCs w:val="18"/>
          <w:color w:val="auto"/>
          <w:highlight w:val="white"/>
        </w:rPr>
      </w:pPr>
      <w:r>
        <w:rPr>
          <w:rFonts w:ascii="Arial" w:cs="Arial" w:eastAsia="Arial" w:hAnsi="Arial"/>
          <w:sz w:val="18"/>
          <w:szCs w:val="18"/>
          <w:color w:val="auto"/>
        </w:rPr>
        <w:t xml:space="preserve">gives effect to a </w:t>
      </w:r>
      <w:r>
        <w:rPr>
          <w:rFonts w:ascii="Arial" w:cs="Arial" w:eastAsia="Arial" w:hAnsi="Arial"/>
          <w:sz w:val="18"/>
          <w:szCs w:val="18"/>
          <w:color w:val="auto"/>
          <w:highlight w:val="white"/>
        </w:rPr>
        <w:t>1,450,000-for-1 forward stock split on our common stock effected on February 25, 2021</w:t>
      </w:r>
      <w:r>
        <w:rPr>
          <w:rFonts w:ascii="Arial" w:cs="Arial" w:eastAsia="Arial" w:hAnsi="Arial"/>
          <w:sz w:val="18"/>
          <w:szCs w:val="18"/>
          <w:color w:val="auto"/>
        </w:rPr>
        <w:t>;</w:t>
      </w:r>
    </w:p>
    <w:p>
      <w:pPr>
        <w:spacing w:after="0" w:line="171" w:lineRule="exact"/>
        <w:rPr>
          <w:rFonts w:ascii="Arial" w:cs="Arial" w:eastAsia="Arial" w:hAnsi="Arial"/>
          <w:sz w:val="18"/>
          <w:szCs w:val="18"/>
          <w:color w:val="auto"/>
          <w:highlight w:val="white"/>
        </w:rPr>
      </w:pPr>
    </w:p>
    <w:p>
      <w:pPr>
        <w:ind w:left="640" w:right="80" w:hanging="322"/>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gives effect to the transactions described in the section “Recapitalization”, including the anticipated repayment of $237 million of related-party borrowings and the expected issuance of $450 million of third-party debt (consisting of the Term A Loan and the Bridge Loan) in connection with this offering;</w:t>
      </w:r>
    </w:p>
    <w:p>
      <w:pPr>
        <w:spacing w:after="0" w:line="147" w:lineRule="exact"/>
        <w:rPr>
          <w:rFonts w:ascii="Arial" w:cs="Arial" w:eastAsia="Arial" w:hAnsi="Arial"/>
          <w:sz w:val="18"/>
          <w:szCs w:val="18"/>
          <w:color w:val="auto"/>
        </w:rPr>
      </w:pPr>
    </w:p>
    <w:p>
      <w:pPr>
        <w:ind w:left="640" w:right="10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from the selling stockholder; and</w:t>
      </w:r>
    </w:p>
    <w:p>
      <w:pPr>
        <w:spacing w:after="0" w:line="143" w:lineRule="exact"/>
        <w:rPr>
          <w:rFonts w:ascii="Arial" w:cs="Arial" w:eastAsia="Arial" w:hAnsi="Arial"/>
          <w:sz w:val="18"/>
          <w:szCs w:val="18"/>
          <w:color w:val="auto"/>
        </w:rPr>
      </w:pPr>
    </w:p>
    <w:p>
      <w:pPr>
        <w:ind w:left="640" w:right="32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amended and restated bylaws adopted effective as of March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840"/>
          </w:cols>
          <w:pgMar w:left="1000" w:top="1440" w:right="105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93" w:lineRule="exact"/>
        <w:rPr>
          <w:sz w:val="20"/>
          <w:szCs w:val="20"/>
          <w:color w:val="auto"/>
        </w:rPr>
      </w:pPr>
    </w:p>
    <w:p>
      <w:pPr>
        <w:ind w:left="20" w:right="140" w:firstLine="324"/>
        <w:spacing w:after="0" w:line="251" w:lineRule="auto"/>
        <w:rPr>
          <w:sz w:val="20"/>
          <w:szCs w:val="20"/>
          <w:color w:val="auto"/>
        </w:rPr>
      </w:pPr>
      <w:r>
        <w:rPr>
          <w:rFonts w:ascii="Arial" w:cs="Arial" w:eastAsia="Arial" w:hAnsi="Arial"/>
          <w:sz w:val="18"/>
          <w:szCs w:val="18"/>
          <w:color w:val="auto"/>
        </w:rPr>
        <w:t>The financial information included in the Consolidated Statements of Earnings (Loss) Data for the years ended December 31, 2020, 2019 and 2018, and for the Consolidated Balance Sheet Data as of December 31, 2020 and 2019 have been derived from our audited consolidated financial statements included elsewhere in this prospectus. The Balance Sheet Data as of December 31, 2018 has been derived from unaudited financial statements not included herein. The unaudited portion of the Consolidated Balance Sheet Data has been prepared on the same basis as the audited Consolidated Financial Statements and in the opinion of management, reflects all adjustments necessary for the fair presentation of the 2018 Balance Sheet Data. This summary consolidated financial data should be read in conjunction with “Selected Historical Consolidated Financial Data,” “Management’s Discussion and Analysis of Financial Condition and Results of Operations” and the financial statements included elsewhere in this prospectus. Historical results are not indicative of future operating results.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09"/>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6"/>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Earnings (Loss) Data:</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2,778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2,333</w:t>
            </w:r>
          </w:p>
        </w:tc>
      </w:tr>
      <w:tr>
        <w:trPr>
          <w:trHeight w:val="27"/>
        </w:trPr>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earnings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85</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Basic and diluted earnings (loss) per share: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0.59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(0.07)</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w:t>
            </w:r>
          </w:p>
        </w:tc>
        <w:tc>
          <w:tcPr>
            <w:tcW w:w="4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2,956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2,429</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552</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6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1,427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956</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Cash Flows Data: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125</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105</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268</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187</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23"/>
                <w:szCs w:val="23"/>
                <w:color w:val="auto"/>
                <w:vertAlign w:val="superscript"/>
              </w:rPr>
              <w:t>(2)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74</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65</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Backlog </w:t>
            </w:r>
            <w:r>
              <w:rPr>
                <w:rFonts w:ascii="Arial" w:cs="Arial" w:eastAsia="Arial" w:hAnsi="Arial"/>
                <w:sz w:val="23"/>
                <w:szCs w:val="23"/>
                <w:color w:val="auto"/>
                <w:vertAlign w:val="superscript"/>
              </w:rPr>
              <w:t>(3)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3,291</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2,684</w:t>
            </w:r>
          </w:p>
        </w:tc>
      </w:tr>
      <w:tr>
        <w:trPr>
          <w:trHeight w:val="272"/>
        </w:trPr>
        <w:tc>
          <w:tcPr>
            <w:tcW w:w="5180" w:type="dxa"/>
            <w:vAlign w:val="bottom"/>
          </w:tcPr>
          <w:p>
            <w:pPr>
              <w:ind w:left="40"/>
              <w:spacing w:after="0"/>
              <w:rPr>
                <w:sz w:val="20"/>
                <w:szCs w:val="20"/>
                <w:color w:val="auto"/>
              </w:rPr>
            </w:pPr>
            <w:r>
              <w:rPr>
                <w:rFonts w:ascii="Arial" w:cs="Arial" w:eastAsia="Arial" w:hAnsi="Arial"/>
                <w:sz w:val="18"/>
                <w:szCs w:val="18"/>
                <w:color w:val="auto"/>
              </w:rPr>
              <w:t xml:space="preserve">Bookings </w:t>
            </w:r>
            <w:r>
              <w:rPr>
                <w:rFonts w:ascii="Arial" w:cs="Arial" w:eastAsia="Arial" w:hAnsi="Arial"/>
                <w:sz w:val="23"/>
                <w:szCs w:val="23"/>
                <w:color w:val="auto"/>
                <w:vertAlign w:val="superscript"/>
              </w:rPr>
              <w:t>(3)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3,055</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2,879</w:t>
            </w:r>
          </w:p>
        </w:tc>
      </w:tr>
      <w:tr>
        <w:trPr>
          <w:trHeight w:val="189"/>
        </w:trPr>
        <w:tc>
          <w:tcPr>
            <w:tcW w:w="5180" w:type="dxa"/>
            <w:vAlign w:val="bottom"/>
          </w:tcPr>
          <w:p>
            <w:pPr>
              <w:ind w:left="20"/>
              <w:spacing w:after="0"/>
              <w:rPr>
                <w:sz w:val="20"/>
                <w:szCs w:val="20"/>
                <w:color w:val="auto"/>
              </w:rPr>
            </w:pPr>
            <w:r>
              <w:rPr>
                <w:rFonts w:ascii="Arial" w:cs="Arial" w:eastAsia="Arial" w:hAnsi="Arial"/>
                <w:sz w:val="16"/>
                <w:szCs w:val="16"/>
                <w:color w:val="auto"/>
              </w:rPr>
              <w:t>________________</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ind w:left="340" w:hanging="326"/>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5" w:lineRule="exact"/>
        <w:rPr>
          <w:rFonts w:ascii="Arial" w:cs="Arial" w:eastAsia="Arial" w:hAnsi="Arial"/>
          <w:sz w:val="16"/>
          <w:szCs w:val="16"/>
          <w:color w:val="auto"/>
        </w:rPr>
      </w:pPr>
    </w:p>
    <w:p>
      <w:pPr>
        <w:ind w:left="340" w:hanging="326"/>
        <w:spacing w:after="0" w:line="246"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Adjusted EBITDA Margin and free cash flow are non-GAAP measures. Refer to “Management’s Discussion and Analysis of Financial Condition and Results of Operations—Key Financial and Operating Measures—Non-GAAP Financial Measures” for definitions, additional discussion of management’s use of non-GAAP measures as supplemental financial measures and reconciliations of net earnings (loss) to Adjusted EBITDA and net cash provided by operating activities to free cash flow. Adjusted EBITDA, Adjusted EBITDA Margin and free cash flow may not be comparable to similarly titled non-GAAP measures of other companies as other companies may have calculated the measures differently.</w:t>
      </w:r>
    </w:p>
    <w:p>
      <w:pPr>
        <w:spacing w:after="0" w:line="2" w:lineRule="exact"/>
        <w:rPr>
          <w:rFonts w:ascii="Arial" w:cs="Arial" w:eastAsia="Arial" w:hAnsi="Arial"/>
          <w:sz w:val="16"/>
          <w:szCs w:val="16"/>
          <w:color w:val="auto"/>
        </w:rPr>
      </w:pPr>
    </w:p>
    <w:p>
      <w:pPr>
        <w:ind w:left="340" w:right="180" w:hanging="326"/>
        <w:spacing w:after="0" w:line="253"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Operations—Key Financial and Operating Measures” for the definition and additional discussion of management’s use of backlog and bookings as key operating and financial measures.</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900"/>
          </w:cols>
          <w:pgMar w:left="980" w:top="1440" w:right="1019" w:bottom="1440" w:gutter="0" w:footer="0" w:header="0"/>
          <w:type w:val="continuous"/>
        </w:sectPr>
      </w:pPr>
    </w:p>
    <w:bookmarkStart w:id="22" w:name="page23"/>
    <w:bookmarkEnd w:id="22"/>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Investing in our common stock involves risk. You should consider carefully the risks and uncertainties described below, as well as other information contained in this prospectus, including our financial statements and the section titled “Management’s Discussion and Analysis of Financial Condition and Results of Operations,” before making an investment decision. The risks described below are not the only ones facing us, and are not necessarily presented in the order of importance. The occurrence of any of the following risks or additional risks and uncertainties not presently known to us or that we currently believe to be immaterial could materially and adversely affect our business, financial condition and results of operations. In any such case, the trading price of our common stock could decline, and you could lose all or part of your investment. This prospectus also contains forward-looking statements and estimates that involve risks and uncertainties. Our actual results could differ materially from those anticipated in the forward-looking statements as a result of a number of factors, including the risks and uncertainties described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spacing w:after="0" w:line="13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depend on revenues from contracts and subcontracts with the U.S. government, including defense-related programs with the DoD and a broad range of programs with all branches of the U.S. military. Revenues derived directly or indirectly from contracts with the U.S. government represented approximately 84%, 89% and 86% of our total revenues for the years ended December 31, 2020, 2019 and 2018, respectively, with revenues principally derived directly or indirectly from contracts with the U.S. Army and U.S. Navy, which represented 43% and 32%, respectively, of our total revenues for the year ended December 31, 2020. Because our customer base is concentrated within the U.S. defense industry, any disruption or deterioration in our relationship with the U.S. government and its prime contractors, or any change in the U.S. government’s willingness to commit substantial resources to the continued purchase of our products, could significantly reduce our revenues and have a material adverse impact on our business, financial condition and results of operations.</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spacing w:after="0" w:line="139"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availability of U.S. government funding for significant programs in which we participate may be impacted by a number of factors beyond our control including the overall federal budget, changes in spending priorities and defense spending levels, sequestration, the appropriations process, use of continuing resolutions (with restrictions, e.g., on starting new programs) and the permissible level of federal debt. These factors may also delay purchasing or payment decisions by our customers. In the event government funding for significant programs in which we participate becomes unavailable, or is reduced or delayed, our contract or subcontract under such programs may be terminated or adjusted by the U.S. government or the prime contractor. U.S. government priorities and spending levels have fluctuated and may continue to fluctuate over time. We cannot predict the impact on existing, follow-on, replacement or future programs from potential changes in priorities whether due to changes in defense spending levels, the threat environment, procurement strategy, military strategy and planning and/or changes in social, economic or political priorities, including in response to the COVID-19 pandemic. As the DoD budget represents the largest part of the federal discretionary budget, it is possible that the various COVID-19 relief legislative actions might exert downward pressure on defense spending, as well as other non-defense discretionary outlays. The U.S. government may also delay, modify or cancel ongoing competitive bidding processes, procurements and programs, as well as change its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strategy. A significant shift in government priorities, programs or acquisition strategies could have a material adverse impact on our business, financial condition and results of operations.</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Considerable uncertainty exists regarding future budget and program decisions, including U.S. defense spending priorities, what challenges budget reductions will present for the defense industry, whether annual appropriations bills for all agencies will be enacted for U.S. government fiscal year 2021 and thereafter, and how the Biden administration will approach those decisions through the budgeting process. The U.S. government’s budget deficit and the national debt could significantly affect government budgeting priorities and could have an adverse impact on our business, financial condition and results of operations in a number of ways, including the following:</w:t>
      </w:r>
    </w:p>
    <w:p>
      <w:pPr>
        <w:spacing w:after="0" w:line="151" w:lineRule="exact"/>
        <w:rPr>
          <w:sz w:val="20"/>
          <w:szCs w:val="20"/>
          <w:color w:val="auto"/>
        </w:rPr>
      </w:pPr>
    </w:p>
    <w:p>
      <w:pPr>
        <w:ind w:left="660" w:right="3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 government could reduce or delay its spending on, or reprioritize its spending away from, defense programs in which we participate;</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defense spending could be impacted by alternate arrangements to sequestration, which increases the uncertainty as to, and the difficulty in predicting, U.S. government spending priorities and levels;</w:t>
      </w:r>
    </w:p>
    <w:p>
      <w:pPr>
        <w:spacing w:after="0" w:line="143" w:lineRule="exact"/>
        <w:rPr>
          <w:rFonts w:ascii="Arial" w:cs="Arial" w:eastAsia="Arial" w:hAnsi="Arial"/>
          <w:sz w:val="18"/>
          <w:szCs w:val="18"/>
          <w:color w:val="auto"/>
        </w:rPr>
      </w:pPr>
    </w:p>
    <w:p>
      <w:pPr>
        <w:ind w:left="660" w:right="8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reduced or delayed orders or payments or other responses to economic difficulties experienced by our customers and prospective customers, including U.S. Federal, state and local governments; and</w:t>
      </w:r>
    </w:p>
    <w:p>
      <w:pPr>
        <w:spacing w:after="0" w:line="143"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 government could reduce the outsourcing of functions that we are currently contracted to provide, including as a result of increased insourcing by various U.S. government agencies due to changes in the definition of “inherently governmental” work, such as proposals to limit contractor access to sensitive or classified information and work assignments.</w:t>
      </w:r>
    </w:p>
    <w:p>
      <w:pPr>
        <w:spacing w:after="0" w:line="12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The COVID-19 pandemic and related impacts have had and are likely to continue to have an adverse impact on our business, financial condition and results of operations.</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March 2020, COVID-19 was recognized as a pandemic by the World Health Organization and declared a national emergency by the U.S. government. We are closely monitoring the impact of the COVID-19 pandemic on all aspects of our business and geographies, including how it is impacting our workforce, communities, suppliers, subcontractors and customers. The COVID-19 pandemic has created significant volatility, uncertainty and economic disruption, which has adversely affected, and is expected to continue to adversely affect, our business operations, and could materially and adversely affect our business, financial condition and results of operations.</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to volatility in the overall demand environment for our products, systems and services, we have restricted the operations in our facilities, and we may continue to restrict operations if we deem it necessary or if recommended or mandated by governmental authorities which would have a further adverse impact on us. For example, we have temporarily closed portions of, and in some cases, entire facilities, including our manufacturing and engineering facility in St. Louis, Missouri for a two-week period, and implemented operational and travel restrictions, which have disrupted how we operate our business. We have also implemented enhanced health leave benefits and incurred other costs related to the COVID-19 pandemic. We incurred $ 12 million of expenditures from March 1, 2020 through December 31, 2020 to ensure a safe work environment for our employees. Although we offset a portion of the cash impacts from COVID-19 pursuant to Section 3610 of the Coronavirus Aid, Relief and Economic Securities Act (the “CARES Act”), allowing for a deferral of social security payroll tax payments and pension related contributions, we may not be able to fully offset COVID-19 related costs. We are designated as an essential business in the primary jurisdictions in which we operate, but if we lose that designation we may be subject to additional restrictions on our operations. We may be unable to perform fully on our contracts and our costs may increase as a result of the COVID-19 outbreak. These cost increases may not be fully recoverable or adequately covered by insurance. See “Management’s Discussion and Analysis of Financial Condition—Business Overview and Considerations—Impacts of COVID-19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COVID-19 pandemic has the potential to significantly impact our supply chains, including our access to vital products and services we source from suppliers and vendors. Our supply chains could be impacted if the operations of our suppliers, logistics and other service providers are disrupted, temporarily closed or experience worker shortages. In particular, we rely on smaller suppliers for some materials and underlying components needed for our products and these suppliers may be particularly vulnerable to COVID-19 related disruptions. To the extent that there is a slow-down in production from our suppliers, limiting our own production capacity, this could adversely affect our revenues and profit for a reporting period or beyond. Further, the COVID-19 pandemic could cause delay, or limit the ability of the U.S. government and other customers to perform, including in making timely payments to us. Any effect on our suppliers, other service providers and customers could materially adversely impact our business, financial condition and results of operations.</w:t>
      </w:r>
    </w:p>
    <w:p>
      <w:pPr>
        <w:spacing w:after="0" w:line="1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our management is focused on mitigating the effects of COVID-19, which has required and is expected to continue to require, a large investment of time and resources across our enterprise and which may delay other value-added services or initiatives. Additionally, many of our employees are currently working remotely. An extended period of remote work arrangements could strain our business continuity plans, introduce operational and compliance risk, including but not limited to cyber security risks, and impair our ability to manage our business.</w:t>
      </w:r>
    </w:p>
    <w:p>
      <w:pPr>
        <w:spacing w:after="0" w:line="15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extent to which the COVID-19 pandemic, or any mutation of this virus or a new virus that necessitates a similar national response, will impact us in the future will depend on numerous evolving factors and developments that we are unable to predict, including: the severity and transmission rate of the virus(es); the duration of the outbreak, including the risk of a resurgence of the virus in areas in which it appears to have been contained; the extent and effectiveness of containment actions; governmental, business and other actions (which could include limitations on our operations or mandates to provide products, systems or services); the continued success of measures taken by governmental authorities worldwide to stabilize the markets and support economic growth, which is unknown and may not be sufficient to address future market dislocations or avert severe and prolonged reductions in economic activity; the impacts on our supply chain; the impact of the pandemic on economic activity; the effects of additional business or facility closures or other changes to our operations; the health of and the effect on our workforce and our ability to meet staffing needs in our businesses and facilities, particularly if members of our workforce are quarantined as a result of exposure; any impairment in value of our tangible or intangible assets which could be recorded as a result of a weaker economic conditions; and the potential effects on our internal controls, including those over financial reporting, as a result of remote working environments and other conditions such as shelter-in-place and similar orders that apply to our employees and business partners, among others. In addition, disruptions in the credit or financial markets or impacts on our credit ratings from the pandemic could adversely affect our ability to access capital on favorable terms and continue to meet our liquidity needs, all of which are highly uncertain and cannot be predicted. This situation continues to evolve, sometimes rapidly, and additional impacts may arise that we are not aware of currently.</w:t>
      </w:r>
    </w:p>
    <w:p>
      <w:pPr>
        <w:spacing w:after="0" w:line="154"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The impacts of the COVID-19 pandemic may exacerbate other risks described in this section, any of which could have a material adverse impact on our business, financial condition and results of operations.</w:t>
      </w:r>
    </w:p>
    <w:p>
      <w:pPr>
        <w:spacing w:after="0" w:line="12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p>
    <w:p>
      <w:pPr>
        <w:spacing w:after="0" w:line="13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generate revenue through various fixed-price, cost-plus and time-and-material contracts. For a general description of our U.S. government contracts and subcontracts, including a discussion of revenue generated thereunder and of cost-reimbursable versus fixed-price contracts please see “Management’s Discussion and Analysis of Financial Condition and Results of Operations.”</w:t>
      </w:r>
    </w:p>
    <w:p>
      <w:pPr>
        <w:spacing w:after="0" w:line="14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For the years ended December 31, 2020, 2019 and 2018, approximately 87%, 86% and 82%, respectively, of our revenue was derived from fixed-price contracts. We assume financial risk on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price contracts due to the risk of potential cost overruns, particularly for firm fixed-price contracts in which we assume all of the cost burden. Our failure to anticipate risks or technical problems, estimate costs accurately or control costs during performance will reduce our profit or cause a loss on these contracts. U.S. government contracts can expose us to potentially large losses because the U.S. government can hold us responsible for completing a project or, in certain circumstances, paying the entire cost of its replacement by another provider regardless of the size or foreseeability of any cost overruns that occur over the life of the contract. Because many of these contracts involve new technologies and applications and can last for years, unforeseen events, such as technological difficulties, engineering or development challenges, fluctuations in raw materials prices, higher than expected inflation, increased labor costs,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significant losses if the customer terminates our contract. In addition, some of our contracts have provisions relating to cost controls and audit rights, and if we fail to meet the terms specified in those contracts, we may not realize their full benefits. For further information, see “—</w:t>
      </w:r>
      <w:r>
        <w:rPr>
          <w:rFonts w:ascii="Arial" w:cs="Arial" w:eastAsia="Arial" w:hAnsi="Arial"/>
          <w:sz w:val="18"/>
          <w:szCs w:val="18"/>
          <w:i w:val="1"/>
          <w:iCs w:val="1"/>
          <w:color w:val="auto"/>
        </w:rPr>
        <w:t>We operate in a highly regulated environment and are routinely audited and reviewed by the U.S. government and its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agencies.” </w:t>
      </w:r>
      <w:r>
        <w:rPr>
          <w:rFonts w:ascii="Arial" w:cs="Arial" w:eastAsia="Arial" w:hAnsi="Arial"/>
          <w:sz w:val="18"/>
          <w:szCs w:val="18"/>
          <w:color w:val="auto"/>
        </w:rPr>
        <w:t>Our results of operations depend on our ability to maximize our earnings from our contracts. Cost overruns could have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impact on our business, financial condition and results of operations.</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spacing w:after="0" w:line="13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require a facility security clearance to perform on classified contracts for the DoD and certain other agencies of the U.S. government. Security clearances are subject to regulations and requirements including, among others, the National Industrial Security Program Operating Manual (the “NISPOM”), which specifies the requirements for the protection of classified information released or disclosed in connection with classified U.S. government contracts. The Defense Counterintelligence and Security Agency (the “DCSA”) manages the facility clearance process under the NISPOM and conducts various facility audits and inspections throughout the lifecycle of a respective facility clearance.</w:t>
      </w:r>
    </w:p>
    <w:p>
      <w:pPr>
        <w:spacing w:after="0" w:line="13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require certain facility and personnel security clearances to perform our classified U.S. government business. Any facility not audit ready, not staffed by appropriately cleared personnel, and/or that fails a routine inspection places that contract in jeopardy. As such, we must comply with the requirements of the NISPOM and other applicable U.S. government industrial security regulations, including extensive requirements related to cybersecurity. If we were to violate the terms and requirements of the NISPOM or such industrial security regulations (which apply to us under the terms of classified contracts), or if one or more of our facility or personnel security clearances is invalidated or terminated, we may not be able to continue to perform our existing classified contracts and may not be able to enter into new classified contracts, which could adversely affect our revenues. Failure to comply with the NISPOM or other security requirements may result in loss of access to classified information and subject us to civil and criminal penalties and administrative sanctions, including termination of contracts, forfeiture of profits, suspension of payments, fines and suspension or prohibition from doing business with the U.S. government, which could have a material adverse impact on our business, financial condition and results of operations.</w:t>
      </w:r>
    </w:p>
    <w:p>
      <w:pPr>
        <w:spacing w:after="0" w:line="15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Additionally, the NISPOM requires that a corporation maintaining a facility security clearance be effectively insulated from FOCI. A company is considered to be operating under FOCI whenever a foreign interest has the power, direct or indirect, whether or not exercised, and whether or not exercisable, to direct or decide matters affecting the management or operations of that company in a manner that may result in unauthorized access to classified information, may adversely affect the performance of classified contracts, or may undermine U.S. security or export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440" w:right="379" w:bottom="1440" w:gutter="0" w:footer="0" w:header="0"/>
        </w:sectPr>
      </w:pPr>
    </w:p>
    <w:bookmarkStart w:id="26" w:name="page27"/>
    <w:bookmarkEnd w:id="26"/>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Following this offering, Leonardo S.p.A., an Italian company listed on the Milan Stock Exchange, will continue to own the entire share capital of US Holding which, in turn, will beneficially own 78.0% of the voting power of our outstanding common stock (or 74.7% if the underwriters exercise their option to purchase additional shares in full). As a result, we are deemed to be under FOCI. Furthermore, the Italian state beneficially owns approximately 30.2% of Leonardo S.p.A.’s voting power (through its ownership of approximately 30.2% of the outstanding ordinary shares of Leonardo S.p.A.). In order to be permitted to maintain our security clearances and our access to classified data and to perform or bid on classified programs, we are required to mitigate FOCI through a proxy agreement, which we have done by entering into a proxy agreement, dated as of October 26, 2017, with the DoD. Following this offering we expect to enter into an amended and restated proxy agreement and the parties to the proxy agreement have entered into a commitment letter, dated as of February 26, 2021, as to the form and content of the amended and restated proxy agreement which allows us to operate as if the amended and restated proxy agreement was already in effect. The description of the proxy agreement in this prospectus therefore reflects the terms of the proxy agreement as it will be amended and restated, in accordance with the commitment letter, following this offering. For additional information on the terms and requirements of the proxy agreement, see “—</w:t>
      </w:r>
      <w:r>
        <w:rPr>
          <w:rFonts w:ascii="Arial" w:cs="Arial" w:eastAsia="Arial" w:hAnsi="Arial"/>
          <w:sz w:val="18"/>
          <w:szCs w:val="18"/>
          <w:i w:val="1"/>
          <w:iCs w:val="1"/>
          <w:color w:val="auto"/>
        </w:rPr>
        <w:t>We operate under a proxy agreement with the DoD that regulates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areas of our governance. If we fail to comply with the proxy agreement our classified U.S. government contracts could be terminated, which could have a material adverse impact on our business, financial condition and results of operations</w:t>
      </w:r>
      <w:r>
        <w:rPr>
          <w:rFonts w:ascii="Arial" w:cs="Arial" w:eastAsia="Arial" w:hAnsi="Arial"/>
          <w:sz w:val="18"/>
          <w:szCs w:val="18"/>
          <w:color w:val="auto"/>
        </w:rPr>
        <w:t>.”</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While we currently mitigate FOCI under the proxy agreement, the DoD reserves the right to impose such additional security safeguards as it believes necessary in order to prevent unauthorized access to classified and controlled unclassified information and any U.S. government agency may deny or revoke our access to classified and controlled unclassified information under its jurisdiction if it considers it necessary to protect national security. Failure to maintain an agreement with the DoD regarding the appropriate FOCI mitigation arrangement could result in invalidation or termination of our facility security clearances, which in turn would mean that we would not be able to perform under current or enter into future contracts with the U.S. government requiring facility security clearances.</w:t>
      </w:r>
    </w:p>
    <w:p>
      <w:pPr>
        <w:spacing w:after="0" w:line="154"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depend on revenues from contracts and subcontracts with the U.S. government, including defense-related programs with the DoD and a broad range of programs with each of the service branches. Revenues derived directly or indirectly from contracts with the U.S. government were approximately 84%, 89% and 86% for the years ended December 31, 2020, 2019 and 2018, respectively. If we fail to maintain an agreement with the DoD regarding the appropriate FOCI mitigation arrangement or otherwise fail to comply with the NISPOM, this could have a material adverse impact on our business, financial condition and results of operations. For further information, see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depend on U.S. defense spending for the vast majority of our revenues. Disruptions or deteriorations in our relationships with the relevant agencies of the U.S. government could have a material adverse impact on our business, financial condition and results of operations.</w:t>
      </w:r>
      <w:r>
        <w:rPr>
          <w:rFonts w:ascii="Arial" w:cs="Arial" w:eastAsia="Arial" w:hAnsi="Arial"/>
          <w:sz w:val="18"/>
          <w:szCs w:val="18"/>
          <w:color w:val="auto"/>
        </w:rPr>
        <w:t>”</w:t>
      </w:r>
    </w:p>
    <w:p>
      <w:pPr>
        <w:spacing w:after="0" w:line="1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spacing w:after="0" w:line="13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Over its lifetime, a U.S. government program may be implemented by the award of many different individual contracts and subcontracts. The funding of U.S. government programs is subject to Congressional appropriations. U.S. government appropriations in turn are affected by general U.S. government budgetary issues and related legislation. Although multi-year contracts may be authorized and appropriated in connection with major procurements, Congress generally appropriates funds on a government fiscal year basis, which runs from October 1 to September 30. Procurement funds are typically made available for obligation over the course of one to three years. Consequently, programs often initially receive only partial funding, and additional funds are obligated only as Congress makes further appropriations. We cannot predict the extent to which total funding and/or funding for individual programs will be included, increased or reduced as part of the annual appropriations process ultimately approved by Congress and the President or in separate supplemental appropriations or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resolutions, as applicable. The termination of funding for a U.S. government program would result in a loss of anticipated future revenue attributable to that program, which could have a material adverse impact on our business, financial condition and results of operations. In addition, the termination of a program or the failure to commit additional funds to a program that already has been started could result in lost revenue and increase our overall costs of doing business. The loss of revenues from our possible failure to obtain renewal or follow-on contracts may be significant because we depend on the U.S. government for a significant portion of our revenues. For further information, see “—</w:t>
      </w:r>
      <w:r>
        <w:rPr>
          <w:rFonts w:ascii="Arial" w:cs="Arial" w:eastAsia="Arial" w:hAnsi="Arial"/>
          <w:sz w:val="18"/>
          <w:szCs w:val="18"/>
          <w:i w:val="1"/>
          <w:iCs w:val="1"/>
          <w:color w:val="auto"/>
        </w:rPr>
        <w:t>We depend on U.S. defense spending for the vast majority of our revenues. Disruptions or deteriorations in our relationships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relevant agencies of the U.S. government could have a material adverse impact on our business, financial condition and results of operations</w:t>
      </w:r>
      <w:r>
        <w:rPr>
          <w:rFonts w:ascii="Arial" w:cs="Arial" w:eastAsia="Arial" w:hAnsi="Arial"/>
          <w:sz w:val="18"/>
          <w:szCs w:val="18"/>
          <w:color w:val="auto"/>
        </w:rPr>
        <w:t>.”</w:t>
      </w:r>
    </w:p>
    <w:p>
      <w:pPr>
        <w:spacing w:after="0" w:line="15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addition, U.S. government contracts may generally be terminated, in whole or in part, without prior notice at the U.S. government’s convenience upon payment only for work done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contracts will not be terminated under those circumstances. Also, we can give no assurance that we would be able to procure new contracts to offset the revenue or backlog lost as a result of any termination of our contracts. Because a significant portion of our revenue depends on our performance and payment under our contracts, the loss of one or more large contracts could have a material adverse impact on our business, financial condition and results of operations.</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to termination for convenience, U.S. defense contracts are generally also terminable for default based on performance. Termination by the U.S. government, or one of its prime contractors, of a contract due to default could in addition to the loss of future revenue obligate us to pay for re-procurement costs in excess of the original contract price, net of the value of work accepted from the original contract, as well as other damages. Termination of a contract due to our default could also impair our reputation and our ability to compete for other contracts which could have a material adverse impact on our business, financial condition and results of operations. Additionally, our U.S. government contracts are heavily regulated and subject to audit and negative audit findings could result in the termination of these or other contracts or the failure to receive future awards, see “—</w:t>
      </w:r>
      <w:r>
        <w:rPr>
          <w:rFonts w:ascii="Arial" w:cs="Arial" w:eastAsia="Arial" w:hAnsi="Arial"/>
          <w:sz w:val="18"/>
          <w:szCs w:val="18"/>
          <w:i w:val="1"/>
          <w:iCs w:val="1"/>
          <w:color w:val="auto"/>
        </w:rPr>
        <w:t>We operate in a highly regulated environment and are routinely audited and</w:t>
      </w:r>
      <w:r>
        <w:rPr>
          <w:rFonts w:ascii="Arial" w:cs="Arial" w:eastAsia="Arial" w:hAnsi="Arial"/>
          <w:sz w:val="18"/>
          <w:szCs w:val="18"/>
          <w:color w:val="auto"/>
        </w:rPr>
        <w:t xml:space="preserve"> </w:t>
      </w:r>
      <w:r>
        <w:rPr>
          <w:rFonts w:ascii="Arial" w:cs="Arial" w:eastAsia="Arial" w:hAnsi="Arial"/>
          <w:sz w:val="18"/>
          <w:szCs w:val="18"/>
          <w:i w:val="1"/>
          <w:iCs w:val="1"/>
          <w:color w:val="auto"/>
        </w:rPr>
        <w:t>reviewed by the U.S. government and its agencies</w:t>
      </w:r>
      <w:r>
        <w:rPr>
          <w:rFonts w:ascii="Arial" w:cs="Arial" w:eastAsia="Arial" w:hAnsi="Arial"/>
          <w:sz w:val="18"/>
          <w:szCs w:val="18"/>
          <w:color w:val="auto"/>
        </w:rPr>
        <w:t>.”</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U.S. government also has the ability to stop work under a contract for a limited period of time for its convenience. It is possible that the U.S. government, or one of its prime contractors, could invoke this ability across a limited or broad number of contracts. In the event of a stop work order, contractors are typically protected by provisions covering reimbursement for costs incurred on the contract to date and for costs associated with the temporary stoppage of work on the contract plus a reasonable fee. However, such temporary stoppages and delays could introduce inefficiencies and result in financial and other damages for which we may not be able to receive full recovery. They could also ultimately result in termination of a contract (or contracts) for convenience or reduced future orders.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regulated environment and are routinely audited and reviewed by the U.S. government and its agencies.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depend on U.S. government contracts, which are heavily regulated and subject to audit by the U.S. government and its agencies, such as the Defense Contract Audit Agency (“DCAA”), Defense Contract Management Agency (“DCMA”), the DoD Inspector General, and others. These agencies review performance on government contracts, direct and indirect rates and pricing practices, and compliance with applicable contracting and procurement laws, regulations and standards. They also review compliance with government standards for our business systems and the adequacy of our internal control systems and policies. Negative findings related to our business and accounting systems and financial controls and capability could result in our ineligibility for future cost-plus contracts. Costs ultimately disallowed or found to be improperly allocated to a specific contract will not be reimbursed or must be refunded if already reimbursed. We record contract revenue based on costs on which we expect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paid after any final audit. However, we do not know the outcome of any future audits and adjustments in advance, and we may be required to reduce our revenue or profits materially upon completion and final negotiation of audits. As a result of certain cost reduction initiatives across our industry, we have experienced and may continue to experience an increased number of audits and/or a lengthened period of time required to close open audits. For example, the thresholds for certain allowable costs in the U.S., including compensation costs, have been significantly reduced; the allowability of other types of costs are being challenged, debated and, in certain cases, modified, all with potentially significant financial costs to the Company.</w:t>
      </w:r>
    </w:p>
    <w:p>
      <w:pPr>
        <w:spacing w:after="0" w:line="15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If an audit uncovers improper or illegal activities, we may be subject to civil and criminal penalties, sanctions, termination of contracts, forfeiture of profits or suspension or debarment from doing business with the U.S. government. Whether or not illegal activities are alleged, the U.S. government has the ability to decrease or withhold certain payments when it deems systems subject to its review to be inadequate, with significant financial impact. In addition, we could suffer serious reputational harm if allegations of impropriety were made against us or our business partners and suppliers.</w:t>
      </w:r>
    </w:p>
    <w:p>
      <w:pPr>
        <w:spacing w:after="0" w:line="151"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Additionally, we are reviewed and rated by our government clients on a contract by contract basis. The receipt of a negative review on one contract could cause us reputational harm and adversely affect our ability to win future contracts.</w:t>
      </w:r>
    </w:p>
    <w:p>
      <w:pPr>
        <w:spacing w:after="0" w:line="144"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Due to our reliance on government contracts, negative audit findings or reviews for one or more of these contracts could have a material adverse impact on our business, financial condition and results of operations.</w:t>
      </w:r>
    </w:p>
    <w:p>
      <w:pPr>
        <w:spacing w:after="0" w:line="1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spacing w:after="0" w:line="13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evolving and strengthening regulations related to cybersecurity, privacy, recovery of employee compensation costs, counterfeit and/or substitute parts, anti-human trafficking, organizational conflicts of interest, specialty metals and conflict minerals) can significantly increase our costs and risks and negatively affect our results of operations.</w:t>
      </w:r>
    </w:p>
    <w:p>
      <w:pPr>
        <w:spacing w:after="0" w:line="15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(again, including our subcontractors and others with whom we do business) are also subject to, and expected to perform in compliance with, a vast array of federal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 Control, as well as rules and regulations administered by the U.S. Customs and Border Protection and the Bureau of Alcohol, Tobacco, Firearms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and Explosives. While we have implemented compliance programs that are intended to avoid violations of these federal laws, regulations and requirements, given the nature of our operations and the constant evolution of applicable laws, regulations and requirements, we may not be able to prevent future violations. If we are found to have violated such laws, regulations or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153"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If we or those with whom we do business do not comply with the laws, regulations and processes to which we are subject or if U.S. government practices or requirements change significantly, including with respect to the thresholds for allowable costs, it could affect our ability to compete and adversely impact our business, financial condition and results of operations.</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spacing w:after="0" w:line="139"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Past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14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impaired objectivity during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unfair access to non-public information;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set the “ground rules” for another procurement for which the contractor competes.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focus on organizational conflicts of interest issues has resulted in legislation and regulations aimed at increasing organizational conflicts of interest requirements, including, among other things, separating sellers of products and providers of advisory services in major defense acquisition programs. These organizational conflicts of interest regulations have led to increased bid protests related to arguments to disqualify or overturn awards based on conflict grounds.</w:t>
      </w:r>
    </w:p>
    <w:p>
      <w:pPr>
        <w:spacing w:after="0" w:line="15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Future legislation and regulations may increase the restrictions in current organizational conflicts of interest regulations and rules. To the extent that organizational conflicts of interest laws, regulations and rules limit our ability to successfully compete for new contracts or task orders with the U.S. government and/or commercial entities, or require us to exit certain existing contracts or wind down certain existing contracts, either because of organizational conflicts of interest issues arising from our business or because companies with which we are affiliated, including Leonardo S.p.A. and its subsidiaries (including US Holding), or with which we otherwise conduct business create organizational conflicts of interest issues for us, our business, financial condition, results of operations and prospects could be materially and adversely affected.</w:t>
      </w:r>
    </w:p>
    <w:p>
      <w:pPr>
        <w:spacing w:after="0" w:line="13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The U.S. government has and may continue to implement initiatives focused on efficiencies, affordability and cost growth and other changes to its procurement practices.</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industry has experienced, and we expect will continue to experience, significant changes to business practices globally as a result of an increased focus on affordability, efficiencies, business systems, recovery of costs and a reprioritization of available defense funds to key areas for future defense spending.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For example, in connection with these cost reduction initiatives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5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U.S. government is pursuing alternatives to shift additional responsibility and performance risks to the contractor. Changes in procurement practices favoring incentive-based fee arrangements, different award criteria, non-traditional contract provisions and government contract negotiation offers also may affect our results of operations and predictability. The U.S. government has been pursuing and may continue to pursue these and other policies that could negatively impact our profitability and adversely impact our business, financial condition and results of operations.</w:t>
      </w:r>
    </w:p>
    <w:p>
      <w:pPr>
        <w:spacing w:after="0" w:line="12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use estimates in pricing and accounting for many of our programs, and changes in our estimates could adversely impact our business, financial condition and results of operations.</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enter into forward pricing rate agreements with our U.S. government clients that establish specific direct and indirect rates to be used in pricing all contracts with the applicable government agency for a specified period of time. This requires us to estimate the costs that we will incur in connection with future contracts. Failure to accurately estimate the costs that we will incur including as a result of changes in underlying assumptions, circumstances or estimates may materially reduce our profit or cause a loss on these contracts and adversely impact our business, financial condition and results of operations.</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Additionally, accounting for our contracts requires judgment relative to assessing costs, including costs associated with customer-directed delays and reductions in scheduled deliveries, unfavorable resolutions of claims and contractual matters, judgments associated with estimating contract revenue and costs and assumptions for schedule and technical issues. Due to the size, nature and performance period of many of our contracts, the estimation of total revenue and cost at completion is complicated and subject to many variables. For example, we must make assumptions regarding: (i) the length of time to complete the contract because costs also include expected increases in wages and prices for supplies and materials; (ii) whether contracts should be accounted for as having one or more performance obligations based on the goods and services promised to the customer; (iii) incentives or penalties related to performance on contracts in estimating revenue and profit rates, and recording them when there is sufficient information for us to assess anticipated performance; and (iv) estimates of award fees in estimating revenue and profit rates based on actual and anticipated awards. Because of the significance of the judgments and estimation processes involved in accounting for our contracts, materially different amounts could be recorded if we used different assumptions or if the underlying circumstances were to change. Changes in underlying assumptions, circumstances or estimates may adversely impact our business, financial condition and results of operations.</w:t>
      </w:r>
    </w:p>
    <w:p>
      <w:pPr>
        <w:spacing w:after="0" w:line="13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We may not realize the full value of our total estimated remaining contract value or bookings, including as a result of reduction of funding or cancellation of our U.S. government contracts, which could have a material adverse impact on our business, financial condition and results of operations.</w:t>
      </w:r>
    </w:p>
    <w:p>
      <w:pPr>
        <w:spacing w:after="0" w:line="13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In addition to backlog, we also evaluate estimated potential remaining contract value, which represents unexercised options associated with existing firm contracts and primarily includes options and agreements with existing customers to purchase new services. Estimated potential remaining contract value together with backlog represents total estimated contract value. Lastly, we evaluate bookings which we define as the total value of contract awards received from the U.S. government for which it has appropriated funds and legally obligated such funds to the Company through a contract or purchase order, plus the value of contract awards and orders received from customers other than the U.S. government. As of December 31, 2020, our total estimated remaining contract value was approximately $11,272 million, consisting of approximately $ 7,981 million of estimated potential remaining contract value and approximately $3,291 million of total backlog. Our bookings for the period were 3,055 million. We historically have not realized all of the revenue included in our total estimated contract value or bookings, and we may not realize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revenue included in our total estimated contract value or bookings in the future. There is a higher degree of risk in this regard with respect to estimated potential remaining contract value and unfunded backlog. In addition, there can be no assurance that our total estimated contract value or bookings will result in actual revenue in any particular period. This is because the actual receipt, timing, and amount of revenue under contracts included in total estimated contract value and bookings are subject to various contingencies, including Congressional appropriations, many of which are beyond our control. The actual receipt of revenue from contracts included in total estimated contract value and bookings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estimated potential remaining contract value, our clients may not exercise their options. Our failure to replace canceled or reduced total estimated contract value or bookings could have a material adverse impact on our business, financial condition and results of operations. See “—</w:t>
      </w:r>
      <w:r>
        <w:rPr>
          <w:rFonts w:ascii="Arial" w:cs="Arial" w:eastAsia="Arial" w:hAnsi="Arial"/>
          <w:sz w:val="18"/>
          <w:szCs w:val="18"/>
          <w:i w:val="1"/>
          <w:iCs w:val="1"/>
          <w:color w:val="auto"/>
        </w:rPr>
        <w:t>We have unfunded obligations under our</w:t>
      </w:r>
      <w:r>
        <w:rPr>
          <w:rFonts w:ascii="Arial" w:cs="Arial" w:eastAsia="Arial" w:hAnsi="Arial"/>
          <w:sz w:val="18"/>
          <w:szCs w:val="18"/>
          <w:color w:val="auto"/>
        </w:rPr>
        <w:t xml:space="preserve"> </w:t>
      </w:r>
      <w:r>
        <w:rPr>
          <w:rFonts w:ascii="Arial" w:cs="Arial" w:eastAsia="Arial" w:hAnsi="Arial"/>
          <w:sz w:val="18"/>
          <w:szCs w:val="18"/>
          <w:i w:val="1"/>
          <w:iCs w:val="1"/>
          <w:color w:val="auto"/>
        </w:rPr>
        <w:t>pension plans, and we use estimates in accounting for our pension plans and changes in our estimates could adversely affect our financial condition and results of operations</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are unable to appropriately manage our inventory.</w:t>
      </w:r>
    </w:p>
    <w:p>
      <w:pPr>
        <w:spacing w:after="0" w:line="193"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are subject to the risk that the inventory we carry may decrease in value over time due to, among other things, changes in customer priorities and needs. Any increase in the level of inventories of finished goods, components and raw materials that we carry, including due to any failure to replace cancelled or reduced backlog or other shortfalls in anticipated sales, may increase our risk of inventory obsolescence and corresponding inventory write-downs and write-offs, and such amounts could be material. If we are unable to appropriately manage our inventory balances it could have a material adverse impact on our business, financial condition and results of operations.</w:t>
      </w:r>
    </w:p>
    <w:p>
      <w:pPr>
        <w:spacing w:after="0" w:line="11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Our working capital requirements and cash flows are extremely variable and subject to fluctuation, which could have a material adverse effect on our business, financial condition and results of operations.</w:t>
      </w:r>
    </w:p>
    <w:p>
      <w:pPr>
        <w:spacing w:after="0" w:line="121"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Our working capital requirements and cash flows have historically been, and are expected to continue to be, subject to significant fluctuations. Historically we have had negative cash flows in some quarters of the year, and we expect this pattern to continue in the future. See “Management’s Discussion and Analysis of Financial Condition and Results of Operations.” If we are unable to manage fluctuations in cash flow, it could have a material adverse impact on our liquidity, as well as on our business, financial condition and results of operations. Factors which could result in fluctuations in our working capital and cash flows include:</w:t>
      </w:r>
    </w:p>
    <w:p>
      <w:pPr>
        <w:spacing w:after="0" w:line="15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quantity of product and service sales revenue achieved;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margins achieved on sales of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collection of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size of inventory and related component purchases;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payment on payables and accrued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current financing arrangements and access to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cannot predict future capital needs, the sufficiency of our current financing or our ability to obtain additional financing if we need it.</w:t>
      </w:r>
    </w:p>
    <w:p>
      <w:pPr>
        <w:spacing w:after="0" w:line="121"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Our operations are capital intensive and we rely heavily on financing, including working capital financing, such as factoring and supply chain financing. We may also enter into other types of financings in the future, including bank and bond financing. Although we believe that our available cash resources, together with our retained earnings, are sufficient to meet our presently anticipated liquidity needs and capital expenditure requirements, we might in the future need to raise additional funds to, among other things:</w:t>
      </w:r>
    </w:p>
    <w:p>
      <w:pPr>
        <w:spacing w:after="0" w:line="15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fluctuations in cash flow (including negative cash flow periods);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support more rapid growth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new or enhanced products and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to competitive pressures;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companies or technologies.</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cannot guarantee that we will continue to be able to extend existing working capital financing on commercially reasonable terms or at all and we might be unable to obtain additional financing, if needed, on terms acceptable to us, if at all. In the past we have been reliant on our parent company for financing. If sufficient funds are not available or are not available on terms acceptable to us, our ability to fund our current operations, fund expansion, take advantage of acquisition opportunities, develop or enhance services or products, or otherwise respond to competitive pressures would be significantly limited. We may be required to obtain the consent of US Holding in order to obtain financing and there is no guarantee that their consent will be granted. See “—</w:t>
      </w:r>
      <w:r>
        <w:rPr>
          <w:rFonts w:ascii="Arial" w:cs="Arial" w:eastAsia="Arial" w:hAnsi="Arial"/>
          <w:sz w:val="18"/>
          <w:szCs w:val="18"/>
          <w:i w:val="1"/>
          <w:iCs w:val="1"/>
          <w:color w:val="auto"/>
        </w:rPr>
        <w:t>Risks Relating to Our Status as a Controlled Company and</w:t>
      </w:r>
      <w:r>
        <w:rPr>
          <w:rFonts w:ascii="Arial" w:cs="Arial" w:eastAsia="Arial" w:hAnsi="Arial"/>
          <w:sz w:val="18"/>
          <w:szCs w:val="18"/>
          <w:color w:val="auto"/>
        </w:rPr>
        <w:t xml:space="preserve"> </w:t>
      </w:r>
      <w:r>
        <w:rPr>
          <w:rFonts w:ascii="Arial" w:cs="Arial" w:eastAsia="Arial" w:hAnsi="Arial"/>
          <w:sz w:val="18"/>
          <w:szCs w:val="18"/>
          <w:i w:val="1"/>
          <w:iCs w:val="1"/>
          <w:color w:val="auto"/>
        </w:rPr>
        <w:t>under the Proxy Agreement</w:t>
      </w:r>
      <w:r>
        <w:rPr>
          <w:rFonts w:ascii="Arial" w:cs="Arial" w:eastAsia="Arial" w:hAnsi="Arial"/>
          <w:sz w:val="18"/>
          <w:szCs w:val="18"/>
          <w:color w:val="auto"/>
        </w:rPr>
        <w:t>—</w:t>
      </w:r>
      <w:r>
        <w:rPr>
          <w:rFonts w:ascii="Arial" w:cs="Arial" w:eastAsia="Arial" w:hAnsi="Arial"/>
          <w:sz w:val="18"/>
          <w:szCs w:val="18"/>
          <w:i w:val="1"/>
          <w:iCs w:val="1"/>
          <w:color w:val="auto"/>
        </w:rPr>
        <w:t>Our ultimate majority stockholder, Leonardo S.p.A., may have interests that are different from, or conflict with, those of our other stockholders, and their significant ownership in us may discourage change of control transactions</w:t>
      </w:r>
      <w:r>
        <w:rPr>
          <w:rFonts w:ascii="Arial" w:cs="Arial" w:eastAsia="Arial" w:hAnsi="Arial"/>
          <w:sz w:val="18"/>
          <w:szCs w:val="18"/>
          <w:color w:val="auto"/>
        </w:rPr>
        <w:t>.” The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Leonardo S.p.A., which contain restrictions applicable to subsidiaries of Leonardo S.p.A., including us, may also negatively impact our ability to obtain additional financing on terms acceptable to us, if at all. In addition, any decline in the ratings of our corporate credit or any indications from the rating agencies that their ratings on our corporate credit are under surveillance or review with possible negative implications could adversely impact our ability to access capital. These limitations could have a material adverse impact on our business, financial condition and results of operations.</w:t>
      </w:r>
    </w:p>
    <w:p>
      <w:pPr>
        <w:spacing w:after="0" w:line="13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spacing w:after="0" w:line="139"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including those described in the section “Recapitalization” in this prospectus, could contain similar restrictions and additionally could require us to comply with similar, new or additional financial tests or to maintain similar, new or additional financial ratios. For example, we expect to repay in full our outstanding related-party financing arrangements of $237 million and enter into financing arrangements providing for the issuance of $450 million of third-party debt (consisting of the Term A Loan and the Bridge Loan, in each case subject to the consummation of this offering). We anticipate that the Bridge Loan will be repaid with the net proceeds from the issuance of unsecured senior notes following this offering. Any such unsecured senior notes would be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a separate offering memorandum and nothing contained in this prospectus shall constitute an offer to sell or solicitation of an offer to buy such unsecured senior notes. There is no assurance as to the launch or completion of any unsecured senior notes offering. If we are unable to complete an unsecured senior notes offering or other transaction on substantially similar terms, then we could be subject to the higher interest rates and stricter covenants under the Bridge Loan for an extended period relative to those anticipated under the unsecured senior notes. See “Recapitalization” and “Unaudited Pro Forma Consolidated Financial Information.”</w:t>
      </w:r>
    </w:p>
    <w:p>
      <w:pPr>
        <w:spacing w:after="0" w:line="15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15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acquire our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48"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12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12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ability to pay principal and interest on our anticipated debt obligations and to fund any planned capital expenditures and other cash needs will depend in part upon the future financial and operating performance of our company and our subsidiaries. Prevailing economic conditions and financial, business, competitive, legislative, regulatory and other factors, many of which are beyond our control, will affect our ability to make these payments.</w:t>
      </w:r>
    </w:p>
    <w:p>
      <w:pPr>
        <w:spacing w:after="0" w:line="150"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If we are unable to make payments or we are unable to refinance the debt or obtain new financing under these circumstances, we may consider other options, including:</w:t>
      </w:r>
    </w:p>
    <w:p>
      <w:pPr>
        <w:spacing w:after="0" w:line="14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440" w:right="379" w:bottom="1440" w:gutter="0" w:footer="0" w:header="0"/>
        </w:sectPr>
      </w:pPr>
    </w:p>
    <w:bookmarkStart w:id="34" w:name="page35"/>
    <w:bookmarkEnd w:id="34"/>
    <w:p>
      <w:pPr>
        <w:spacing w:after="0" w:line="1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17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Some of our variable-rate indebtedness, including our third-party indebtedness expected to be issued in connection with this offering as described in the section “Recapitalization,” uses LIBOR as a benchmark for establishing the rate. LIBOR is expected to be discontinued after 2021 and will be replaced with an alternative reference rate. The consequence of this development cannot be entirely predicted but could include an increase in the cost of our variable rate indebtedness. 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and may suffer losses if we fail to compete efficiently.</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operate in highly competitive markets and compete with many large, small and mid-tier defense contractors, including, at times, our customers, based on performance, cost, overall value, delivery and reputation. Our competitors continuously seek to expand their business relationships with the U.S. government and will continue these efforts in the future, and the U.S. government may choose to use other contractors. We expect that a majority of the business that we seek will be awarded through competitive bidding. The U.S. government has increasingly relied on certain types of contracts that are subject to multiple competitive bidding processes, including multi-vendor Indefinite Delivery Indefinite Quantity (“IDIQ”), Governmentwide Acquisition Contracts, General Services Administration Schedule and other multi-award contracts, which has resulted in greater competition and increased pricing pressure. Many of our larger competitors have significantly greater financial resources than we do and have more extensive or more specialized engineering, manufacturing and marketing capabilities than we do in some areas, including as a result of substantial industry consolidation, which increased the market share of certain of our competitors and enabled them to take advantage of economies of scale and develop new technologies. These larger competitors may also benefit from supply chain leverage and pricing flexibility, including, in some cases, the ability to price contracts at a loss, due to their size. Larger competitors, for example, may decide to pursue contracts typically won by mid-tier contractors, such as us. Additionally, our smaller competitors may have lower overhead rates than we do, enabling them to compete effectively on pricing against mid-tier contractors such as us. A number of these competitors are also our suppliers and customers. Additionally, some customers, including the DoD, are increasingly purchasing “off the shelf” components from commercial suppliers in lieu of using traditional defense contractors to design and manufacture such items.</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may not be able to continue to win competitively awarded contracts or to obtain task orders under multi-award contracts. Further, the competitive bidding process involves significant cost and managerial time to prepare bids and proposals for contracts that may not be awarded to us or may be split with competitors, as well as the risk that we may fail to accurately estimate the resources and costs required to fulfill any contract awarded to us. The current competitive environment has resulted in an increase of bid protests from unsuccessful bidders, which typically extends the time until work on a contract can begin. Following any contract award, we may experience significant expense or delay, contract modification or contract rescission as a result of our competitors protesting or challenging contracts awarded to us in competitive bidding.</w:t>
      </w:r>
    </w:p>
    <w:p>
      <w:pPr>
        <w:spacing w:after="0" w:line="13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Preferences or set-asides for minority-owned, small and small disadvantaged businesses could impact our ability to be a prime contractor and limit our opportunity to work as a subcontractor on certain governmental procurements.</w:t>
      </w:r>
    </w:p>
    <w:p>
      <w:pPr>
        <w:spacing w:after="0" w:line="12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As a result of the Small Business Administration (“SBA”) set-aside program, the federal government may decide to restrict certain procurements only to bidders that qualify as minority-owned, small, or small disadvantaged businesses. We would not be eligible to perform as a prime contractor on those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5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2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depend in part upon our relationships and alliances with industry participants in order to generate revenue, which involves risks and uncertainties.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rely on the strength of our relationships with other industry participants, including major prime contractors and small businesses, to form strategic alliances and we have entered, and expect to continue to enter, into joint venture, teaming, partnership, subcontractor and other arrangements. These activities involve risks and uncertainties, including the risk that a joint venture or applicable entity fails to satisfy its obligations, which may result in certain liabilities to us from guarantees and other commitments, the challenges in achieving strategic objectives and expected benefits of the business arrangement, the risk of conflicts arising between us and our partners and the difficulty of managing and resolving such conflicts and the business arrangements generally. In some cases, these relationships are subject to exclusivity arrangements which subject us to the risk that we may be forced to forego superior opportunities with a different partner. In addition, particularly where we act as a subcontractor and form teaming arrangements in which we and other contractors bid on particular contracts or programs, we often lack control over fulfillment of a contract and poor performance on the contract could impact our customer relationship, even when we perform as required. If partners in teaming arrangements suffer financial difficulties, face compliance or other reputational issues or fail to comply with the law, we may be adversely affected to the extent we are relying on such partners. Additionally, the U.S. Department of Justice and Federal Trade Commission have periodically and increasingly focused on ensuring competition in government acquisition and could challenge a teaming arrangement. If any of our existing relationships with our industry partners were impaired or terminated, or if we are unable to enter into future arrangements, we could also experience significant delays in the development of new products ourselves, and we would incur additional development costs. We would need to fund these costs internally or identify new industry partners.</w:t>
      </w:r>
    </w:p>
    <w:p>
      <w:pPr>
        <w:spacing w:after="0" w:line="15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Some of our industry partners and major customers are also potential competitors, which may impair the viability of new or continued strategic relationships. This position may create conflicts of interest and uncertainty in circumstances where we continue to operate as both a subcontractor for and a competitor to one of our industry partners or customers, potentially jeopardizing potential revenue opportunities. While we must compete effectively in the marketplace, our future alliances may depend on our industry partners’ perception of us. Our ability to win new and/or follow-on contracts may be dependent upon our relationships within the defense industry.</w:t>
      </w:r>
    </w:p>
    <w:p>
      <w:pPr>
        <w:spacing w:after="0" w:line="129" w:lineRule="exact"/>
        <w:rPr>
          <w:sz w:val="20"/>
          <w:szCs w:val="20"/>
          <w:color w:val="auto"/>
        </w:rPr>
      </w:pPr>
    </w:p>
    <w:p>
      <w:pPr>
        <w:jc w:val="both"/>
        <w:ind w:right="460"/>
        <w:spacing w:after="0" w:line="318" w:lineRule="auto"/>
        <w:rPr>
          <w:sz w:val="20"/>
          <w:szCs w:val="20"/>
          <w:color w:val="auto"/>
        </w:rPr>
      </w:pPr>
      <w:r>
        <w:rPr>
          <w:rFonts w:ascii="Arial" w:cs="Arial" w:eastAsia="Arial" w:hAnsi="Arial"/>
          <w:sz w:val="17"/>
          <w:szCs w:val="17"/>
          <w:b w:val="1"/>
          <w:bCs w:val="1"/>
          <w:i w:val="1"/>
          <w:iCs w:val="1"/>
          <w:color w:val="auto"/>
        </w:rPr>
        <w:t>Contractual disputes with industry participants or the inability of our key suppliers to timely deliver our components, parts or services, could cause our products, systems or services to be produced or delivered in an untimely or unsatisfactory manner.</w:t>
      </w:r>
    </w:p>
    <w:p>
      <w:pPr>
        <w:spacing w:after="0" w:line="98"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We act as subcontractor on many contracts and engage subcontractors on many of our own contracts. We may have disputes with our contractual counterparts, including regarding the quality and timeliness of work performed by a subcontractor, customer concerns about a subcontract or subcontractor, our failure to extend existing task orders or issue new task orders under a subcontract, our hiring of personnel of a subcontractor or as a subcontractor or our counterpart’s failure to comply with applicable law. In addition, there are certain parts, components and services for many of our products, systems and services that we source from other manufacturers or vendors. Some of our suppliers, from time to time, experience financial and operational difficulties, which may impair their ability to supply the materials, components, subsystems and services that we require. For example, we have recently witnessed shortages of electronic components that are used in automotive, cell phones and other electronics, in general, causing disruptions to multiple industries such as automotive manufacturing and personal electronics. Shortages of similar components that we use could negatively impact our supply chain and manufacturing processes, as well as our ability to deliver on our contracts. Impacts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COVID-19 pandemic have created or exacerbated existing materials shortages, resulted in supplier business closures and disrupted our supply chain. Future impacts from the pandemic remain highly uncertain as the situation continues to evolve, sometimes rapidly. In addition, our supply chain may be disrupted by trade conflicts and tariffs imposed on products, as well as other external events, including natural disasters, extreme weather conditions, future medical epidemics or pandemics, acts of terrorism, cyber attacks and labor disputes, governmental actions and legislative or regulatory changes, such as product certification or stewardship requirements, sourcing restrictions, product authenticity and climate change or greenhouse gas emission standards. These or any further political or governmental developments or health concerns could result in social, economic and labor instability. Any inability to develop alternative sources of supply on a cost-effective and timely basis could materially impair our ability to manufacture and deliver products, systems and services to our customers.</w:t>
      </w:r>
    </w:p>
    <w:p>
      <w:pPr>
        <w:spacing w:after="0" w:line="151"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We may have disputes with our subcontractors or suppliers; material supply constraints or problems; or component, subsystems or services problems in the future. Also, our subcontractors and other suppliers may not be able to acquire or maintain the quality of the materials, components, subsystems and services they supply, which might result in greater product returns, service problems and warranty claims and could harm our business, financial condition and results of operations. Further, warranty claims brought by our customers related to third-party components and materials may arise after our ability to bring corresponding warranty claims against such suppliers expire, which could result in costs to us. In addition, in connection with our government contracts, we are required to procure certain materials, components and parts from supply sources approved by the U.S. government and we rely on our subcontractors and suppliers to comply with applicable laws, regulations and other requirements regarding procurement of counterfeit, unauthorized or otherwise non-compliant parts or materials, including parts or materials they supply to us, and in some circumstances, we rely on their certifications as to their compliance. From time to time, we use components for which there is only one supplier and that supplier may be unable to meet our needs.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 Each of these subcontractor and supplier risks could have a material adverse impact on our business, financial condition and results of operations.</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are susceptible to a security breach, through cyber attack, cyber intrusion, insider threats or otherwise, and to other significant disruptions of our IT networks and related systems or of those we operate for our customers.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store sensitive data, including information relating to national security and other sensitive government functions, intellectual property and technology, proprietary business information, and confidential employee information such as personally identifiable or protected health information on our servers and databases. We are subject to laws and rules issued by U.S. and non-U.S. governments and agencies concerning safeguarding and maintaining information confidentiality including extensive and evolving cyber requirements of the DoD. We face the risk of a security breach with respect to that data, whether through cyber attack, cyber intrusion or insider threat via the Internet, malware, computer viruses, attachments to e-mails, persons inside our organization or with access to systems inside our organization, threats to the physical security of our facilities and employees or other significant disruption of our IT networks and related systems or those of our suppliers or subcontractors. The risk of security breaches may be higher during times of a natural disaster or pandemic (including COVID-19) due to remote working arrangements. As an advanced technology-based solutions provider, and particularly as a government contractor with access to national security and other sensitive government information, we face a heightened risk of a security breach or disruption from threats to gain unauthorized access to our and our customers’ proprietary or classified information on our IT networks and related systems and to the IT networks and related systems that we operate and maintain for certain of our customers. These types of information and IT networks and related systems are critical to the operation of our business and essential to our ability to perform day-to-day operations, and, in some cases, are critical to the operations of certain of our customers. We make significant efforts to maintain the security and integrity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types of information and IT networks and related systems and have implemented various measures to manage the risk of a security breach or disruption. As is the case with many other companies, we have experienced cyber security incidents in the past, including DoS attacks, ransomware, and attacks from suspected nation state actors. Our efforts and measures have not been effective in the case of every incident, but no incident has had a material negative impact on us to date. Sensitive data saved on networks, systems and facilities therefore remain vulnerable because of the risk that cybersecurity incidents, including, but not limited to, attempts to gain unauthorized access to data, potential security breaches, particularly cyber attacks and cyber intrusions, or disruptions, will occur in the future, and because the techniques used in such attempts are constantly evolving and generally are not recognized until launched against a target, and in some cases are designed not to be detected and, in fact, may not be detected. In some cases, the resources of foreign governments may be behind such attacks due to the nature of our business and the industries in which we operate. Accordingly, we may be unable to anticipate these techniques or to implement adequate security barriers or other preventative measures. Thus, it is impossible for us to entirely mitigate this risk, and there can be no assurance that future cyber security incidents will not have a material negative impact on us. A security breach or other significant disruption involving these types of information and IT networks and related systems could:</w:t>
      </w:r>
    </w:p>
    <w:p>
      <w:pPr>
        <w:spacing w:after="0" w:line="15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disrupt the proper functioning of these networks and systems and, therefore, our operations and/or those of certain of our customers;</w:t>
      </w:r>
    </w:p>
    <w:p>
      <w:pPr>
        <w:spacing w:after="0" w:line="182" w:lineRule="exact"/>
        <w:rPr>
          <w:rFonts w:ascii="Arial" w:cs="Arial" w:eastAsia="Arial" w:hAnsi="Arial"/>
          <w:sz w:val="17"/>
          <w:szCs w:val="17"/>
          <w:color w:val="auto"/>
        </w:rPr>
      </w:pPr>
    </w:p>
    <w:p>
      <w:pPr>
        <w:ind w:left="660" w:right="8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litigation and governmental investigation and proceedings associated with cybersecurity incidents;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compromise national security and other sensitive government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significant management attention and resources to remedy the damages that result;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costs which exceed our insurance coverage and/or indemnification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us to claims for contract breach, damages, credits, penalties or termination;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 our reputation with our customers (particularly agencies of the U.S. government) and the general public.</w:t>
      </w:r>
    </w:p>
    <w:p>
      <w:pPr>
        <w:spacing w:after="0" w:line="17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Additionally, a failure to comply with the National Institute of Standards and Technology Special Publication 800-171 or the DoD’s cybersecurity requirements, including the Cyber Security Material Model Certificate (“CMMC”) which will require all contractors to receive specific third-party certifications relating to specified cybersecurity standards in order to be eligible for contract awards, whether or not resulting in a security breach or disruption, could restrict our ability to bid for, be awarded and perform on DoD contracts. The DoD expects that all new contracts will be required to comply with the CMMC by 2026, and initial requests for information and for proposal have already begun. We are in the process of evaluating our readiness and preparing for the CMMC, but to the extent we, or our subcontractors or other third parties on whom we rely, are unable to achieve certification in advance of contract awards that specify the requirement, we will be unable to bid on such contract awards or on follow-on awards for existing work with the DoD, depending on the level of standard as required for each solicitation, which could adversely impact our revenue, business, results of operations and financial condition. We will also be required to go through a recertification process every two years in order to maintain our certification. In addition, any obligations that may be imposed on us under the CMMC may be different from or in addition to those otherwise required by applicable laws and regulations, which may cause additional expense for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440" w:right="379" w:bottom="1440" w:gutter="0" w:footer="0" w:header="0"/>
        </w:sectPr>
      </w:pPr>
    </w:p>
    <w:bookmarkStart w:id="38" w:name="page39"/>
    <w:bookmarkEnd w:id="38"/>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must also rely on the safeguards put in place by customers, suppliers, vendors, subcontractors, partners in teaming arrangements or other third parties to minimize the impact of cyber threats, other security threats or business disruptions. These third parties may have varying levels of cybersecurity expertise and safeguards, and their relationships with government contractors, such as our company, may increase the likelihood that they are targeted by the same cyber threats, including from foreign governments, we face. In the event of a breach affecting these third parties, our business and financial results could suffer materially. With respect to our commercial arrangements with these third parties, we have processes designed to require that the third parties and their employees and agents agree to maintain certain standards for the storage, protection and transfer of confidential, personal and proprietary information. However, we remain at risk of a data breach due to the intentional or unintentional non-compliance by a third party’s employee or agent, the breakdown of a third party’s data protection processes, which may not be as sophisticated as ours, or a cyber attack on a third party’s information network or systems.</w:t>
      </w:r>
    </w:p>
    <w:p>
      <w:pPr>
        <w:spacing w:after="0" w:line="1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impact of these various factors is difficult to predict, but any of them could result in the loss of information or capabilities, harm to individuals or property, damage to our reputation, loss of business, contractual or regulatory actions and potential liabilities, any one of which could have a material adverse impact on our business, financial condition and results of operations.</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Significant capital investments and other expenditures could be required to remedy cybersecurity problems and prevent future breaches, including costs associated with additional security technologies, personnel and experts. These costs, which could be material, could adversely impact our results of operations in the period in which they are incurred and may not meaningfully limit the success of future attempts to breach our information technology systems.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and other threats to our physical security and personnel, than other companies.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a defense contractor, we may be more likely than other companies to be a direct target of, or an indirect casualty of, physical attacks including by active shooters, terrorists or terrorist organizations. It is impossible to predict accurately the likelihood or impact of any attack on our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Such attack may harm our personnel, close our facilities or render our backup data and recovery systems inoperable. Damage to our facilities due to attacks may be significantly in excess of any amount of insurance recovery, and we may not be able to insure against such damage at a reasonable price or at all. The threat of attacks may also negatively affect our ability to attract and retain employees. Any of these events could have a material adverse effect on our business, financial condition and results of operations.</w:t>
      </w:r>
    </w:p>
    <w:p>
      <w:pPr>
        <w:spacing w:after="0" w:line="1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Our future success will depend on our ability to respond to the rapid technological changes in the markets in which we compete, our ability to introduce new or enhanced products and to enter into new markets.</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markets in which we compete are characterized by rapid technological developments and frequent new product introductions, enhancements and modifications. Our ability to develop new products and technologies that anticipate changing customer requirements, reduce costs and otherwise retain or enhance our competitive position in existing and new markets will be an important factor in our future results from operations. We will continue to make substantial capital expenditures and incur significant research and development costs aimed at improving our manufacturing capability, reducing costs, and developing and introducing new products and enhancements. If we fail to develop and introduce new products and technologies in a timely manner it could have a material adverse effect on our business, financial condition and results of operations. In addition, we cannot be certain that our new products and technologies will be successful or that customers will accept any of our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440" w:right="379" w:bottom="1440" w:gutter="0" w:footer="0" w:header="0"/>
        </w:sectPr>
      </w:pPr>
    </w:p>
    <w:bookmarkStart w:id="39" w:name="page40"/>
    <w:bookmarkEnd w:id="39"/>
    <w:p>
      <w:pPr>
        <w:spacing w:after="0" w:line="13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business, financial condition, results of operations, reputation and future prospects.</w:t>
      </w:r>
    </w:p>
    <w:p>
      <w:pPr>
        <w:spacing w:after="0" w:line="144"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We design, develop and manufacture technologically advanced and innovative products and services, which are applied by our customers in a variety of environments, including some under highly demanding operating conditions, to accomplish challenging missions. Problems and delays in development or delivery, or system failures, as a result of issues with respect to design, technology, intellectual property rights, labor, inability to achieve learning curve assumptions, inability to manage effectively a broad array of programs, manufacturing materials or components, or subcontractor performance could prevent us from meeting requirements and create significant risk and liabilities. In addition, any obsolescence of components used in our products may require us to redesign our products, in whole or in part, which could cause increased costs. Similarly, failures to perform on schedule or otherwise to fulfill our contractual obligations could negatively affect our reputation and ability to win future business which could have a material adverse impact on our business, financial condition and results of operations.</w:t>
      </w:r>
    </w:p>
    <w:p>
      <w:pPr>
        <w:spacing w:after="0" w:line="15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our products cannot be tested and proven in all situations and are otherwise subject to unforeseen problems. Examples of unforeseen problems that could negatively affect revenue, schedule and results of operations include premature failure of products that cannot be accessed for repair or replacement, failure to perform in anticipated or unanticipated battlefield conditions, unintended explosions or similar events, problems with design, quality and workmanship, inadequate delivery of subcontractor components or services and degradation of product performance. These failures could result, either directly or indirectly, in loss of life or property. Among the factors that may affect revenue and results of operations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 See also “—</w:t>
      </w:r>
      <w:r>
        <w:rPr>
          <w:rFonts w:ascii="Arial" w:cs="Arial" w:eastAsia="Arial" w:hAnsi="Arial"/>
          <w:sz w:val="18"/>
          <w:szCs w:val="18"/>
          <w:i w:val="1"/>
          <w:iCs w:val="1"/>
          <w:color w:val="auto"/>
        </w:rPr>
        <w:t>Our results of operations and cash flows are substantially affected</w:t>
      </w:r>
      <w:r>
        <w:rPr>
          <w:rFonts w:ascii="Arial" w:cs="Arial" w:eastAsia="Arial" w:hAnsi="Arial"/>
          <w:sz w:val="18"/>
          <w:szCs w:val="18"/>
          <w:color w:val="auto"/>
        </w:rPr>
        <w:t xml:space="preserve"> </w:t>
      </w:r>
      <w:r>
        <w:rPr>
          <w:rFonts w:ascii="Arial" w:cs="Arial" w:eastAsia="Arial" w:hAnsi="Arial"/>
          <w:sz w:val="18"/>
          <w:szCs w:val="18"/>
          <w:i w:val="1"/>
          <w:iCs w:val="1"/>
          <w:color w:val="auto"/>
        </w:rPr>
        <w:t>by our mix of fixed-price, cost-plus and time-and-material type contracts. In particular, fixed-price contracts subject us to the risk of loss in the event of cost overruns or higher than anticipated inflation</w:t>
      </w:r>
      <w:r>
        <w:rPr>
          <w:rFonts w:ascii="Arial" w:cs="Arial" w:eastAsia="Arial" w:hAnsi="Arial"/>
          <w:sz w:val="18"/>
          <w:szCs w:val="18"/>
          <w:color w:val="auto"/>
        </w:rPr>
        <w:t>.” and “—</w:t>
      </w:r>
      <w:r>
        <w:rPr>
          <w:rFonts w:ascii="Arial" w:cs="Arial" w:eastAsia="Arial" w:hAnsi="Arial"/>
          <w:sz w:val="18"/>
          <w:szCs w:val="18"/>
          <w:i w:val="1"/>
          <w:iCs w:val="1"/>
          <w:color w:val="auto"/>
        </w:rPr>
        <w:t>We use estimates in pricing and accounting for many of our programs, and changes in our estimates could adversely impact our business, financial condition and results of operations</w:t>
      </w:r>
      <w:r>
        <w:rPr>
          <w:rFonts w:ascii="Arial" w:cs="Arial" w:eastAsia="Arial" w:hAnsi="Arial"/>
          <w:sz w:val="18"/>
          <w:szCs w:val="18"/>
          <w:color w:val="auto"/>
        </w:rPr>
        <w:t>.”</w:t>
      </w:r>
    </w:p>
    <w:p>
      <w:pPr>
        <w:spacing w:after="0" w:line="156"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If we are unable to meet our obligations, including due to issues regarding the design, development or manufacture of our products or services, it could have a material adverse impact on our reputation, our ability to compete for other contracts and our business, financial condition and results of operations.</w:t>
      </w:r>
    </w:p>
    <w:p>
      <w:pPr>
        <w:spacing w:after="0" w:line="12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may not be able to fully exploit or obtain patents or other intellectual property protections necessary to secure our proprietary technology.</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seek to protect our competitive position by seeking patents, proprietary information and other intellectual property protections when possible and appropriate. However, we do not have the right to prohibit the U.S. government from using certain technologies developed by us or to prohibit third-party companies, including our competitors, from using those technologies in providing products and services to the U.S. government. The U.S. government often obtains the right to royalty-free use of technologies or intellectual property that we develop under U.S. government contracts or with funding from the U.S. government. Further, while we may retain rights over any technology, product or intellectual property that we develop under U.S. government contracts or using funding from the U.S. government, this requires us to take timely affirmative measures to preserve our rights. We are sometimes able to commercially exploit those government-funded technologies and, in many cases, may assert our intellectual property rights to seek to block other non-government users thereof, but we cannot assure you that we will always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57"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such rights and that when we do, that those efforts will be successful. In some cases it may not be appropriate to patent our intellectual property as this involves making the patented technology public. In such cases we may have limited means to protect our intellectual property.</w:t>
      </w:r>
    </w:p>
    <w:p>
      <w:pPr>
        <w:spacing w:after="0" w:line="148"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While we enter into confidentiality and non-disclosure agreements with our employees, consultants, partners, customers and others to attempt to limit access to and distribution of proprietary and confidential information, it is possible that:</w:t>
      </w:r>
    </w:p>
    <w:p>
      <w:pPr>
        <w:spacing w:after="0" w:line="14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some or all of our confidentiality agreements will not be honored;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parties will independently develop equivalent technology or misappropriate our technology or designs;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will arise with our strategic partners, customers or others concerning the ownership of intellectual property;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contractual provisions may not be enforceable in certain jurisdictions.</w:t>
      </w:r>
    </w:p>
    <w:p>
      <w:pPr>
        <w:spacing w:after="0" w:line="171"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Also, despite the steps taken by us to protect our proprietary rights, it may be possible for unauthorized third parties to copy or reverse-engineer aspects of our products, develop similar technology independently or otherwise obtain and use information from our supply chain that we regard as proprietary and we may be unable to successfully identify or prosecute unauthorized uses of our technology.</w:t>
      </w:r>
    </w:p>
    <w:p>
      <w:pPr>
        <w:spacing w:after="0" w:line="12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Third parties have claimed in the past and may claim in the future that we are infringing directly or indirectly upon their intellectual property rights, and third parties may infringe upon our intellectual property rights.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ability to ensure a competitive market position and gain awards of contracts depends in part on our ability to ensure that our intellectual property is protected, that our intellectual property rights are not diluted or subject to misuse, that we are able to license certain third-party intellectual property on reasonable terms and that we are able to operate without infringing the intellectual property rights of others. Third parties have claimed in the past and may claim in the future that we are infringing directly or indirectly upon their intellectual property rights, and we may be found to be infringing or to have infringed directly or indirectly upon those intellectual property rights. For example, in June 2017 another defense contractor filed suit in the United States Court of Federal Claims alleging that the U.S. government had infringed upon four of its patents relating to night vision weapon systems under a contract awarded to one of our subsidiaries. Neither we nor our subsidiary were named as defendants in the case, and the U.S. government assumes all infringement liability. In 2020, we received a notification from a commercial customer claiming that, under an agreement between us and the customer relating to night vision weapon systems on a separate program, we would be required to indemnify the customer if it were to incur any costs as a result of these allegations.</w:t>
      </w:r>
    </w:p>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Claims of intellectual property infringement might also require us to enter into costly royalty or license agreements. There can be no assurance that any of our patents and other intellectual property will not be challenged, invalidated, misappropriated or circumvented by third parties. Moreover, we may not be able to obtain royalty or license agreements on terms acceptable to us, or at all. We also may be subject to significant damages or injunctions against development and sale of certain of our products, services and solutions. Our success depends in large part on our proprietary technology. We rely on a combination of patents, copyrights, trademarks, trade secrets, know-how, confidentiality provisions and licensing arrangements to establish and protect our intellectual property rights. Our efforts, however, to protect our intellectual property and proprietary rights may not be sufficient. In addition, the laws concerning intellectual property vary among nations and the protection provided to our intellectual property by the laws and courts of foreign nations may differ from and be more limited than the protection provided in the U.S. If we fail to successfully protect and enforce these rights, our competitive position could suffer. Our pending patent and trademark registration applications may not be issued, and/or competitors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5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challenge the validity or scope of our patents or trademark registrations. In addition, our patents may not provide us a significant competitive advantage. We may be required to spend significant resources to monitor and enforce our intellectual property rights. Litigation to determine the scope of intellectual property rights, even if ultimately successful, could be costly and could divert management’s attention away from other aspects of our business.</w:t>
      </w:r>
    </w:p>
    <w:p>
      <w:pPr>
        <w:spacing w:after="0" w:line="128"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i w:val="1"/>
          <w:iCs w:val="1"/>
          <w:color w:val="auto"/>
        </w:rPr>
        <w:t>Our reputation and ability to do business may be impacted by the improper conduct of our employees, agents, affiliates, subcontractors, suppliers, business partners or joint ventures in which we participate.</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implemented compliance controls, training, policies and procedures designed to prevent and detect misconduct from being committed by our employees, agents or business partners that would negatively impact our ability to be a U.S. government contractor or subcontractor and/or violate the laws of the jurisdictions in which we operate, including laws governing improper payments to government officials, such as the FCPA, the protection of export-controlled information, such as the ITAR or EAR, false claims, procurement integrity, cost accounting and billing, competition, information security and data privacy and the terms of our contracts. We cannot ensure, however, that our controls, training, policies and procedures will prevent or detect all misconduct. Additionally, we may have limited ability to control the conduct of our affiliates and we have been, and may in the future be, adversely impacted by misconduct of our affiliates. For example, in May 2019 the Italian Supreme Court overturned the 2014 convictions of the former chief executive officer of our ultimate parent, Leonardo S.p.A., and another Leonardo S.p.A. executive, of international bribery. While the convictions in Italy were overturned in a final non-appealable proceeding, the case continues to be the subject of a corruption trial in India. We remain subject to reputational risk as a result of this ongoing action and restrictions on our ability to sell to the Indian government. In addition, in October 2020 an Italian court convicted Alessandro Profumo, the chief executive officer of Leonardo S.p.A., on charges of false statements and market manipulation related to his previous role as chairman of the Italian banking entity, Banca Monte dei Paschi di Siena. While we have been advised by Leonardo S.p.A. that this conviction is going to be appealed, we remain subject to reputational risk as a result of this ongoing proceeding.</w:t>
      </w:r>
    </w:p>
    <w:p>
      <w:pPr>
        <w:spacing w:after="0" w:line="15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This risk of improper conduct may increase as we continue to grow and expand our operations. If not prevented,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impact on our business, financial condition and results of operations. In addition, misconduct involving data security lapses resulting in the compromise of personal information or the improper use of our customers’ sensitive, export-controlled, or classified information could result in remediation costs, regulatory sanctions against us and serious harm to our reputation and could adversely impact our ability to continue to contract with the U.S. government.</w:t>
      </w:r>
    </w:p>
    <w:p>
      <w:pPr>
        <w:spacing w:after="0" w:line="12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are subject to environmental laws and regulations, and our ongoing operations may expose us to environmental liabilities affecting our reputation, business, financial condition and results of operations.</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operations are subject to federal, state, foreign and local environmental and health and safety laws and regulations. As a result, we have been involved from time to time in administrative or legal proceedings relating to environmental matters. We cannot assure you that the aggregate amount of future clean-up costs and other environmental liabilities will not be material. We could be subject to potentially significant fines or penalties, including criminal sanctions, if we fail to comply with these requirements. Additionally, we have made and will continue to be required to make significant capital and other expenditures in order to comply with these laws and regulations. The requirements of these laws and regulations are complex, change frequently and could become more stringent in the future. We cannot predict what environmental legislation or regulations will be enacted in the future, how existing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laws or regulations will be administered or interpreted or what environmental conditions may be found to exist. Our products and services are also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Also, in the future, contamination may be found to exist at our current or former facilities or at off-site locations to which we or certain companies that we have acquired or previously owned may have sent waste, and we could be held liable for such contamination. For example, a government site within a national park for which we may be deemed a potentially responsible party has been subject to a government investigation since July 2000. The remediation of such contamination, or the enactment of more stringent laws or regulations or more strict interpretation of existing laws and regulations, may require us to make additional expenditures, and could decrease the amount of free cash flow available to us for other purposes, including capital expenditures, research and development and other investments and could have a material adverse impact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financial condition, and results of operations could be materially adversely affected by climate change regulations.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Climate change regulations at the federal, state, or local level or in international jurisdictions could require us to limit emissions, change our manufacturing processes, obtain substitute materials which may cost more or be less available, increase our investment in control technology for greenhouse gas emissions, fund offset projects, or undertake other costly activities. These regulations could significantly increase our costs and restrict our manufacturing operations by virtue of requirements for new equipment. New permits may be required for our current operations, or expansions thereof. Failure to timely receive permits could result in fines, suspension of production, or cessation of operations at one or more facilities. In addition, restrictions on carbon dioxide or other greenhouse gas emissions could result in significant costs such as higher energy costs and the passing down of carbon taxes, emission cap-and-trade programs, and renewable portfolio standards by utility companies. The cost of complying, or of failing to comply, with these and other climate change and emissions regulations could have an adverse impact on our business, financial condition and results of operations.</w:t>
      </w:r>
    </w:p>
    <w:p>
      <w:pPr>
        <w:spacing w:after="0" w:line="13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The outcome of litigation, arbitration, investigations, claims, disputes, enforcement actions and other legal proceedings in which we are involved from time to time is unpredictable, and an adverse decision in any such matter could have a material adverse impact on our business, financial condition and results of operations.</w:t>
      </w:r>
    </w:p>
    <w:p>
      <w:pPr>
        <w:spacing w:after="0" w:line="139"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size, nature and complexity of our business make us susceptible to investigations, claims, disputes, enforcement actions, litigation and other legal proceedings, particularly those involving governments. From time to time, we are and may become subject to investigations, claims, disputes, enforcement actions and administrative, civil or criminal litigation, arbitration or other legal proceedings globally and across a broad array of matters, including, but not limited to, government contracts, commercial transactions, false claims, false statements, mischarging, contract performance, fraud, procurement integrity, products liability, warranty liability, the use of hazardous materials, personal injury claims, environmental matters, shareholder-derivative actions, prior acquisitions and divestitures, intellectual property, tax, employees, export/import, anti-corruption, labor, health and safety, accidents, employee benefits and plans, including plan administration, and improper payments, as well as matters relating to our acquisition of assets or companies and other matters. These actions may divert financial and management resources that would otherwise be used to benefit our operations. No assurances can be given that the results of these or any other matters will be favorable to us. Although we maintain insurance policies, these policies may not be adequate to protect us from all material judgments and expenses related to current or future claims and may not cover the conduct that is the subject of the litigation or arbitration. Desired levels of insurance may not be available in the future at economical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440" w:right="379" w:bottom="1440" w:gutter="0" w:footer="0" w:header="0"/>
        </w:sectPr>
      </w:pPr>
    </w:p>
    <w:bookmarkStart w:id="43" w:name="page44"/>
    <w:bookmarkEnd w:id="43"/>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or at all. Although we believe that we have meritorious defenses to the claims made in the litigation matters in which we have been named a party and intend to contest each lawsuit vigorously, no assurances can be given that the results of these matters will be favorable to us. An adverse resolution or outcome of any of these investigations, claims, disputes, enforcement actions, litigation and other legal proceedings could have an adverse impact on our business, financial condition and results of operations.</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cannot predict the outcome of legal proceedings and other contingencies with certainty. As required by U.S. GAAP, we estimate material loss contingencies and establish liabilities based on our assessment of contingencies where liability is deemed probable and reasonably estimable in light of the facts and circumstances known to us at a particular point in time. Subsequent developments may affect our assessment and estimates of the loss contingency recorded as a liability or as a reserve against assets in our financial statements. It is possible that the ultimate resolution of these matters could result in a material adverse impact on our financial condition, results of operations and/or cash flows from operating activities in a particular reporting period.</w:t>
      </w:r>
    </w:p>
    <w:p>
      <w:pPr>
        <w:spacing w:after="0" w:line="13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international business exposes us to additional risks, including risks related to geopolitical and economic factors, laws and regulations.</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For the years ended December 31, 2020, 2019 and 2018, approximately 8%, 4% and 6%, respectively, of our revenue was derived from sales to customers located in foreign countries and foreign governments. We cannot assure you that we will maintain significant operations internationally or that any such operations will be successful. International business (including our participation in joint ventures and other joint business arrangements)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our international business continues to grow.</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international business is subject to both U.S. and foreign laws and regulations, which may include, without limitation, laws and regulations relating to import-export controls, (such as the ITAR, EAR, and customs laws), tariffs, embargoes, technology transfer restrictions, government contracts and procurement, data privacy and protection, investment, exchange rates and controls, the FCPA and other anti-corruption laws, including the UK Bribery Act and the Canadian Corruption of Foreign Public Officials Act, the anti-boycott provisions under the EAR, U.S. economic sanctions administered by the Office of Foreign Assets Control and other federal agencies, labor and employment, works councils and other labor groups, anti-human trafficking, taxes, environment, immunity, security restrictions and intellectual property. If we or our employees, affiliates, partners or others with whom we work fail to comply with applicable laws and regulations we may be subject to administrative, civil, commercial or criminal penalties and liabilities, including suspension or debarment from government contracts or suspension of our export privileges. Our international business also exposes us to difficulties associated with repatriating cash generated or held abroad in a tax-efficient manner and changes in tax laws. Our customers outside of the U.S. generally have the ability to terminate contracts for default based on performance. Suspension or debarment, or termination of a contract due to default, in particular, could have a material adverse effect on our reputation, our ability to compete for other contracts and our financial position, results of operations and/or cash flows. New regulations and requirements, or changes to existing ones in the various countries in which we operate can significantly increase our costs and risks of doing business internationally. Any such future violations could have a material adverse impact on our reputation, business, results of operations and financial condition.</w:t>
      </w:r>
    </w:p>
    <w:p>
      <w:pPr>
        <w:spacing w:after="0" w:line="155"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Changes in laws, regulations, political leadership and environment, or security risks may significantly affect our ability to conduct or continue to conduct business in international markets. Our international business may be impacted by changes in U.S. and foreign national policies and priorities, and geopolitical relationships, any of which may be influenced by changes in the threat environment, political leadership, geopolitical uncertainties, world events, acts of terrorism, bilateral and multi-lateral relationships, government budgets, and economic and political factors more generally, and any of which could impact funding for programs, alter export authorizations, or delay purchasing decisions or customer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7"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These changes may affect export control laws as products or markets that were not previously subject to stringent controls may become subject to greater restrictions and oversight. These changes may also affect the defense spending priorities and procurement policies of foreign governments which may affect our international military sales.</w:t>
      </w:r>
    </w:p>
    <w:p>
      <w:pPr>
        <w:spacing w:after="0" w:line="14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 In addition, the majority of our foreign costs are denominated in local currencies. Over time, an increasing portion of our contracts with paid customers outside of the United States may be denominated in local currencies. Therefore, fluctuations in the value of the U.S. dollar and foreign currencies may affect our results of operations when translated into U.S. dollars. We do not currently engage in currency-hedging activities to limit the risk of exchange rate fluctuations.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5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Our contracts with non-U.S. customers may also include terms and reflect legal requirements that create additional risks including the risk of non-payment or delayed payment by foreign customers and governments. They may include industrial cooperation agreements requiring specific in-country purchases, investments, manufacturing agreements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performance obligations. We also increasingly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for export on a cost-effective basis or to obtain and retain all necessary export licenses and authorizations on a timely basis.</w:t>
      </w:r>
    </w:p>
    <w:p>
      <w:pPr>
        <w:spacing w:after="0" w:line="15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Conducting business outside of the U.S. also exposes us to the complexity and necessity of using, and disruptions involving our international dealers, distributors, sales representatives and consultants as well as the difficulties of managing a geographically dispersed organization and culturally diverse workforces, including compliance with applicable U.S. and local laws and practices, such as anti-corruption and anti-trust/competition laws. Contracts with international customers are significantly different than the contracts with our U.S. customers, and some are more complex and require different skills to manage. Our ability to conduct business outside of the U.S. also depends on our ability to attract and retain sufficient qualified personnel with the skills and/or security clearances in the markets in which we do business.</w:t>
      </w:r>
    </w:p>
    <w:p>
      <w:pPr>
        <w:spacing w:after="0" w:line="153"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The products and services we provide internationally, including those provided by subcontractors and joint ventures in which we have an interest,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150"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occurrence and impact of these factors is difficult to predict, but one or more of them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3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may not be successful in obtaining the export licenses necessary to conduct certain operations abroad, and Congress may prevent proposed sales to certain foreign governments.</w:t>
      </w:r>
    </w:p>
    <w:p>
      <w:pPr>
        <w:spacing w:after="0" w:line="12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must obtain export and other licenses and authorizations from various U.S. and foreign government agencies before we are permitted to undertake certain activities including selling certain products and technologies outside of the U.S. For example, the U.S. Department of State must notify Congress at least 15 to 30 days, depending on the size and location of the proposed sale, prior to authorizing certain sales of defense equipment and services to some foreign governments. During that time, Congress may take action to block the proposed sale. We can give no assurance that we will continue to be successful in obtaining the necessary licenses or authorizations or that Congress will not prevent or delay certain sales. Additionally, in some cases our ability to source components and products in foreign jurisdictions may require licenses or approvals from foreign governments. Our ability to obtain these licenses and authorizations in a timely fashion or at all is subject to risks and uncertainties, including changing U.S. government policies or laws or delays in Congressional action due to geopolitical and other factors. If we are not successful in obtaining or maintaining the necessary licenses or authorizations in a timely manner, our sales relating to those approvals may be reversed, prevented or delayed, and any significant impairment of our ability to sell products or technologies outside of the U.S. could negatively impact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attract and retain technical and other key personnel could reduce our revenues and our operational effectiveness.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research and development, operations, security, marketing, sales, customer experience, general and administrative functions, and on individual contributors in our research and development and operations. In addition, the relationships and reputation that many members of our senior management team have established and maintain with U.S. government personnel contribute to our ability to maintain strong customer relationships and to identify new business opportunities.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chief executive officer, or key employees could impair our ability to identify and secure new contracts, disrupt customer relations, cause us to be in breach of contracts that require us to maintain key personnel or otherwise harm our business. Changes in our executive management team may also cause disruptions in, and harm to, our business.</w:t>
      </w:r>
    </w:p>
    <w:p>
      <w:pPr>
        <w:spacing w:after="0" w:line="1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There is a high demand for qualified technical and other key personnel, and we believe that our future growth and success will depend upon our ability to attract, train and retain such personnel. Competition for personnel in the defense industry is intense, and there is a limited number of persons with knowledge of and experience in this industry. Additionally, some of our businesses are located in regions where competition for personnel is particularly intense. Although we currently experience manageable rates of turnover for our technical personnel the rate of turnover may increase in the future. Our ability to hire personnel in specific sectors may also be limited by non-disclosure or non-solicit agreements that we have entered into. An inability to attract or maintain a sufficient number of technical and other key personnel could have a material adverse effect on our contract performance or on our ability to capitalize on market opportunities.</w:t>
      </w:r>
    </w:p>
    <w:p>
      <w:pPr>
        <w:spacing w:after="0" w:line="15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operating results and growth opportunities are heavily dependent upon our ability to attract and retain sufficient personnel with security clearances and requisite skills in multiple areas, including science, technology, engineering and math. Additionally, as we grow our international business, it is increasingly important that we are able to attract and retain personnel with relevant local qualifications and experience. In addition, in a tightened labor market, we are facing increased competition for talent, both with traditional defense companies and commercial companies. If qualified personnel are scarce or difficult to attract or retain or if we experience a high level of attrition, generally or in particular areas,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1440" w:right="399" w:bottom="1440" w:gutter="0" w:footer="0" w:header="0"/>
        </w:sectPr>
      </w:pPr>
    </w:p>
    <w:bookmarkStart w:id="46" w:name="page47"/>
    <w:bookmarkEnd w:id="46"/>
    <w:p>
      <w:pPr>
        <w:spacing w:after="0" w:line="15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such personnel are unable to obtain security clearances on a timely basis, we could experience higher labor, recruiting or training costs in order to attract and retain necessary employees.</w:t>
      </w:r>
    </w:p>
    <w:p>
      <w:pPr>
        <w:spacing w:after="0" w:line="144" w:lineRule="exact"/>
        <w:rPr>
          <w:sz w:val="20"/>
          <w:szCs w:val="20"/>
          <w:color w:val="auto"/>
        </w:rPr>
      </w:pPr>
    </w:p>
    <w:p>
      <w:pPr>
        <w:ind w:right="280" w:firstLine="324"/>
        <w:spacing w:after="0" w:line="252" w:lineRule="auto"/>
        <w:rPr>
          <w:sz w:val="20"/>
          <w:szCs w:val="20"/>
          <w:color w:val="auto"/>
        </w:rPr>
      </w:pPr>
      <w:r>
        <w:rPr>
          <w:rFonts w:ascii="Arial" w:cs="Arial" w:eastAsia="Arial" w:hAnsi="Arial"/>
          <w:sz w:val="18"/>
          <w:szCs w:val="18"/>
          <w:color w:val="auto"/>
        </w:rPr>
        <w:t>Approximately 476 (or 8%) of our employees are covered by collective agreements which will expire in March and April of 2021. We generally have been able to renegotiate renewals to expiring agreements without significant disruption of operating activities. If we experience difficulties with renewals and renegotiations of existing collective agreements or if our employees pursue new collective representation, we could incur additional expenses and may be subject to work stoppages, slow-downs or other labor-related disruptions. Any such expenses or delays could adversely affect our programs served by employees who are covered by such agreements or representation.</w:t>
      </w:r>
    </w:p>
    <w:p>
      <w:pPr>
        <w:spacing w:after="0" w:line="154"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If we are unable to attract and retain a qualified workforce, we may be unable to maintain our competitive position and it could have a material adverse impact on our business, reputation,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in the event of a prolonged work stoppage.</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of March 15, 2021, approximately 476 (or 8%) of our employees were represented by labor unions. If we encounter difficulties with renegotiations or renewals of collective bargaining arrangements or are unsuccessful in those efforts, we could incur additional costs and experience work stoppages. Union actions at our suppliers could also affect us.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While a relatively small percentage of our employee base is unionized, work stoppages could negatively impact the specific business segments in which our unionized employees are employed including our ability to manufacture products or provide services on a timely basis, which could negatively impact our business, financial condition and results of operations.</w:t>
      </w:r>
    </w:p>
    <w:p>
      <w:pPr>
        <w:spacing w:after="0" w:line="12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spacing w:after="0" w:line="13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provide products and services related to hazardous and high-risk operations. Among such operations, our products and services are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We endeavor to obtain insurance agreements from financially solid, responsible, highly rated counterparties in established markets to cover significant risks and liabilities (including, for example, natural disasters, hazardous operations and products liability). Not every risk or liability can be insured, and for risks that are insurable, the policy limits and terms of coverage reasonably obtainable in the market may not be sufficient to cover all actual losses or liabilities incurred. Even if insurance coverage is available, we may not be able to obtain it or renew existing coverage at a price or on terms acceptable to us. Disputes with insurance carriers, including over policy terms, reservation of rights, the applicability of coverage (including exclusions), compliance with provisions (including notice) and/or the insolvency of one or more of our insurers may significantly affect the availability or timing of recovery, and may impact our ability to obtain insurance coverage at reasonable rates in the future.</w:t>
      </w:r>
    </w:p>
    <w:p>
      <w:pPr>
        <w:spacing w:after="0" w:line="15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some circumstances we may be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320" w:top="1440" w:right="399" w:bottom="1440" w:gutter="0" w:footer="0" w:header="0"/>
        </w:sectPr>
      </w:pPr>
    </w:p>
    <w:bookmarkStart w:id="47" w:name="page48"/>
    <w:bookmarkEnd w:id="47"/>
    <w:p>
      <w:pPr>
        <w:spacing w:after="0" w:line="15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If insurance coverage, customer indemnifications and/or other legal protections are not available or are not sufficient to cover our risks or losses, it could have a material adverse impact on our business, reputation, financial condition and results of operations.</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have unfunded obligations under our pension plans, and we use estimates in accounting for our pension plans and changes in our estimates could adversely affect our financial condition and results of operations.</w:t>
      </w:r>
    </w:p>
    <w:p>
      <w:pPr>
        <w:spacing w:after="0" w:line="10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We have unfunded obligations under our pension, postretirement and supplemental retirement plans, see </w:t>
      </w:r>
      <w:r>
        <w:rPr>
          <w:rFonts w:ascii="Arial" w:cs="Arial" w:eastAsia="Arial" w:hAnsi="Arial"/>
          <w:sz w:val="18"/>
          <w:szCs w:val="18"/>
          <w:i w:val="1"/>
          <w:iCs w:val="1"/>
          <w:color w:val="auto"/>
        </w:rPr>
        <w:t>“Note 12: Pension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Benefits” </w:t>
      </w:r>
      <w:r>
        <w:rPr>
          <w:rFonts w:ascii="Arial" w:cs="Arial" w:eastAsia="Arial" w:hAnsi="Arial"/>
          <w:sz w:val="18"/>
          <w:szCs w:val="18"/>
          <w:color w:val="auto"/>
        </w:rPr>
        <w:t>to the Consolidated Financial Statements. The process of determining the funded status of these plans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plan expense or income involves significant judgment, particularly with respect to our long-term return on pension assets and discount-rate assumptions. If our discount-rate assumption or long-term return on assets (“ROA”) (which is used to determine the funded status of our pension plans) is decreased due to changes in our assumptions or other reasons, our pension plan funded status and expense could increase which would negatively impact our results of operations. In addition, if our actual return on assets differs from our long-term ROA assumption, our pension plan funded status and pension expense would be impacted.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financial accounting standards may affect our results of operations and cause us to change our business practices.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prepare our financial statements in accordance with U.S. GAAP. These accounting principles are subject to interpretation by the Financial Accounting Standards Board, the SEC and various bodies formed to interpret and create appropriate accounting policies. A change in these accounting standards or the questioning of current reporting practices may adversely affect our reported financial results or the way we conduct our business.</w:t>
      </w:r>
    </w:p>
    <w:p>
      <w:pPr>
        <w:spacing w:after="0" w:line="1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Changes in future business or other market conditions could cause business investments and/or recorded goodwill or other long-term assets to become impaired, resulting in substantial losses and write-downs that would adversely affect our business, financial condition and results of operations.</w:t>
      </w:r>
    </w:p>
    <w:p>
      <w:pPr>
        <w:spacing w:after="0" w:line="13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of December 31, 2020 and 2019, we had goodwill and other intangible assets of $1,117 and $1,126 million, respectively, net of accumulated amortization, which represented 38% and 39%, respectively, of our total assets. Our goodwill is subject to an impairment test on an annual basis and is also tested whenever events and circumstances indicate that goodwill may be impaired. Any excess goodwill resulting from the impairment test must be written off in the period of determination. Intangible assets (other than goodwill) are generally amortized over the useful life of such assets. In addition, from time to time, we may acquire or make an investment in a business which will require us to record goodwill based on the purchase price and the value of the acquired assets. We may subsequently experience unforeseen issues with such business which adversely affect the anticipated returns of the business or value of the intangible assets and trigger an evaluation of the recoverability of the recorded goodwill and intangible assets for such business. Future determinations of significant write-offs of goodwill or intangible assets as a result of an impairment test or any accelerated amortization of other intangible assets could have a negative impact on our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general, under Section 382 of the U.S. Internal Revenue Code of 1986, as amended (the “Tax Code”), a corporation that undergoes an “ownership change” is subject to limitations on its ability to utilize its pre-change net operating losses (“NOLs”) to offset future taxable income. Future changes in our stock ownership, some of which are beyond our control, could result in an ownership change under Section 382 of the Tax Code. Furthermore, our ability to utilize NOLs of any companies that we may acquire in the future may be subject to limitations. For these reasons, we may not be able to utilize a material portion of the NOLs reflected on our balance sheet, even if we attain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3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could be liable for certain tax liabilities, including tax liabilities of US Holding and its subsidiaries, under tax law and the tax allocation agreement.</w:t>
      </w:r>
    </w:p>
    <w:p>
      <w:pPr>
        <w:spacing w:after="0" w:line="12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connection with this offering, we and US Holding have entered into a tax allocation agreement with members of an affiliated group, as defined in Section 1504(a) of the Tax Code, members of one or more consolidated, combined, unitary or similar state tax groups and additional parties who are part of an “expanded affiliated group” for certain tax purposes. Under the tax allocation agreement, we are responsible for U.S. federal and state tax liability attributable to us or any of our subsidiaries, as determined under the tax allocation agreement, for prior taxable periods beginning with the first consolidated taxable year of US Holding that included DRS (i.e., the taxable year ended December 31, 2008) and for future taxable periods in which we are a member of any consolidated, combined or unitary tax return with US Holding or its subsidiaries. In addition, to the extent US Holding fails to pay taxes imposed with respect to any consolidated, combined or unitary tax return of US Holding or any of its subsidiaries that includes us or any of our subsidiaries, the relevant taxing authority could seek to collect such taxes (including taxes for which US Holding or any of its subsidiaries is responsible under the tax allocation agreement) from us or our subsidiaries. For a description of the tax allocation agreement, see “Certain Relationships and Related-Party Transactions— Relationship with Leonardo S.p.A. Following this Offering—Tax Allocation Agreement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could result in operating difficulties, dilution and other harmful consequences.</w:t>
      </w:r>
    </w:p>
    <w:p>
      <w:pPr>
        <w:spacing w:after="0" w:line="193" w:lineRule="exact"/>
        <w:rPr>
          <w:sz w:val="20"/>
          <w:szCs w:val="20"/>
          <w:color w:val="auto"/>
        </w:rPr>
      </w:pPr>
    </w:p>
    <w:p>
      <w:pPr>
        <w:ind w:right="780" w:firstLine="324"/>
        <w:spacing w:after="0" w:line="256" w:lineRule="auto"/>
        <w:rPr>
          <w:sz w:val="20"/>
          <w:szCs w:val="20"/>
          <w:color w:val="auto"/>
        </w:rPr>
      </w:pPr>
      <w:r>
        <w:rPr>
          <w:rFonts w:ascii="Arial" w:cs="Arial" w:eastAsia="Arial" w:hAnsi="Arial"/>
          <w:sz w:val="18"/>
          <w:szCs w:val="18"/>
          <w:color w:val="auto"/>
        </w:rPr>
        <w:t>We have evaluated in the past, and expect to continue to evaluate in the future, potential strategic transactions. Any of these transactions could be material to our financial condition and results of operations. The acquisition and the integration of an acquired company, business or technology may create unforeseen operating difficulties and expenditures and involves risks, including:</w:t>
      </w:r>
    </w:p>
    <w:p>
      <w:pPr>
        <w:spacing w:after="0" w:line="148" w:lineRule="exact"/>
        <w:rPr>
          <w:sz w:val="20"/>
          <w:szCs w:val="20"/>
          <w:color w:val="auto"/>
        </w:rPr>
      </w:pPr>
    </w:p>
    <w:p>
      <w:pPr>
        <w:ind w:left="660" w:right="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implement or remediate controls, procedures, policies and compliance programs appropriate for a larger public company at companies that prior to the acquisition lacked these controls, procedures and policies;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retaining employees and customers from the businesses we acquire;</w:t>
      </w:r>
    </w:p>
    <w:p>
      <w:pPr>
        <w:spacing w:after="0" w:line="171"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integrate each company’s accounting, management information, human resource and other administrative systems to permit effective management;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related to acquisitions.</w:t>
      </w:r>
    </w:p>
    <w:p>
      <w:pPr>
        <w:spacing w:after="0" w:line="17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4"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In addition, the anticipated benefit of many of our acquisitions may not materialize. Future acquisitions or dispositions could result in potentially dilutive issuances of our equity securities, the incurrence of debt, contingent liabilities or amortization expenses, or write-offs of goodwill, any of which could harm our financial condition and results of operations. Future acquisitions may require us to obtain additional equity or debt financing, which may not be available on favorable terms or at all.</w:t>
      </w:r>
    </w:p>
    <w:p>
      <w:pPr>
        <w:spacing w:after="0" w:line="1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Finally, we may be required to obtain the consent of US Holding in order to pursue certain material transactions and there is no guarantee that their consent will be granted See “—</w:t>
      </w:r>
      <w:r>
        <w:rPr>
          <w:rFonts w:ascii="Arial" w:cs="Arial" w:eastAsia="Arial" w:hAnsi="Arial"/>
          <w:sz w:val="18"/>
          <w:szCs w:val="18"/>
          <w:i w:val="1"/>
          <w:iCs w:val="1"/>
          <w:color w:val="auto"/>
        </w:rPr>
        <w:t>Risks Relating to Our Status as a Controlled Company and under the Proxy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Our ultimate majority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Leonardo S.p.A., may have interests that are different from, or conflict with, those of our other stockholders, and their significant ownership in us may discourage change of control transactions</w:t>
      </w:r>
      <w:r>
        <w:rPr>
          <w:rFonts w:ascii="Arial" w:cs="Arial" w:eastAsia="Arial" w:hAnsi="Arial"/>
          <w:sz w:val="18"/>
          <w:szCs w:val="18"/>
          <w:color w:val="auto"/>
        </w:rPr>
        <w:t>.”</w:t>
      </w:r>
    </w:p>
    <w:p>
      <w:pPr>
        <w:spacing w:after="0" w:line="10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have significant operations in locations that could be materially and adversely impacted in the event of a natural disaster or other significant disruption.</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operations and the operations of our suppliers and customers could be subject to natural disasters or other significant disruptions, including hurricanes, typhoons, tsunamis, floods, earthquakes, fires, water shortages, other extreme weather conditions, medical epidemics, pandemics (including COVID-19), acts of terrorism, power shortages and blackouts, telecommunications failures and other natural and manmade disasters or disruptions. We have significant business operations located in areas that are subject to these risks, for example our facilities in Florida and Texas. In the event of such a natural disaster or other disruption, we could experience disruptions or interruptions to our operations or the operations of our suppliers, subcontractors, distributors, resellers or customers, including inability of employees to work; destruction of facilities; and/or loss of life, all of which could materially increase our costs and expenses, delay or decrease orders and revenue from our customers and have a material adverse impact on our business, financial condition and results of operations.</w:t>
      </w:r>
    </w:p>
    <w:p>
      <w:pPr>
        <w:spacing w:after="0" w:line="12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leases may be terminated or we may be unable to renew our leases on acceptable terms and if we wish to relocate, we may incur additional costs if we terminate a lease.</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made significant capital expenditures to improve several of our leased facilities in order to make them suitable for our purposes as well as to meet requirements that we are subject to as a U.S. government contractor and obtain facility security clearances. However, at the end of the lease term and during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financial condition and results of operations, including significant capital expenses that may materially impact our results of operations and ability to meet certain contractual schedule commitments. Additionally, we may have to seek qualification of any new facilities in order to meet customer or contractual requirements. We would also have to obtain facility security clearances for the new facility in order to continue to perform on classified contracts. Further, we may not be able to secure a replacement facility in a location that is as commercially viable as that of the lease we are unable to renew, due to contracts that may require us to have facilities in certain locations. Having to close a facility, even briefly to relocate, would reduce the sales that such facility would be able to contribute to our revenues. Additionally, a relocated facility may generate less revenue and profit, if any, than the facility it was established to replace.</w:t>
      </w:r>
    </w:p>
    <w:p>
      <w:pPr>
        <w:spacing w:after="0" w:line="156"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Additionally, many of our facilities are located on leased premises subject to non-cancellable leases. Typically, our leases have initial terms ranging from five to 20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Our inability to terminate a lease when we stop fully utilizing a facility could negatively impact our business, financial condition and results of operations.</w:t>
      </w:r>
    </w:p>
    <w:p>
      <w:pPr>
        <w:spacing w:after="0" w:line="132"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b w:val="1"/>
          <w:bCs w:val="1"/>
          <w:i w:val="1"/>
          <w:iCs w:val="1"/>
          <w:color w:val="auto"/>
        </w:rPr>
        <w:t>We cannot predict the consequences of future geo-political events, but they may adversely affect the markets in which we operate, our ability to insure against risks, our operations or our results of operations.</w:t>
      </w:r>
    </w:p>
    <w:p>
      <w:pPr>
        <w:spacing w:after="0" w:line="12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Ongoing instability and current conflicts in global markets, including in the Middle East and Asia, and the potential for other conflicts and future terrorist activities and other recent geo-political events throughout the world, including new or increased tariffs and potential trade wars have created and continue to create economic and political uncertainties and impacts that could have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5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impact on our business, financial condition and results of operations. These matters cause uncertainty in the world’s financial and insurance markets and may significantly increase the political, economic and social instability in the geographic areas in which we operate. Such instability and any resulting changes in laws, regulations or security risks may dramatically affect our ability to conduct or continue to conduct business in the impacted international markets. If credit in financial markets outside of the U.S. tightened, it could adversely affect the ability of our customers and suppliers to obtain financing and could result in a decrease in or cancellation of orders for our products, systems and services or impact the ability of our customers to make payments. These matters may cause us to incur increased costs or experience difficulty with future borrowings under our credit facilities or in the debt capital markets, future issuances of common stock or other equity securities or otherwise with financing our operating, investing (including any future acquisitions) or financing activities. These matters also may cause our insurance coverages to increase in cost, or in some cases, to be unavailable altogether.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Status as a Controlled Company and under the Proxy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p>
    <w:p>
      <w:pPr>
        <w:spacing w:after="0" w:line="13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Following this offering, Leonardo S.p.A., an Italian company listed on the Milan Stock Exchange, will continue to own the entire share capital of our immediate parent US Holding which, in turn, will beneficially own 78.0% of the voting power of our outstanding common stock (or 74.7% if the underwriters exercise their option to purchase additional shares in full). As a result, we are deemed to be controlled by a foreign company and to be under FOCI, as defined in the NISPOM, which establishes procedures and requirements for government contractors, such as our company, with regard to classified information. See “—</w:t>
      </w:r>
      <w:r>
        <w:rPr>
          <w:rFonts w:ascii="Arial" w:cs="Arial" w:eastAsia="Arial" w:hAnsi="Arial"/>
          <w:sz w:val="18"/>
          <w:szCs w:val="18"/>
          <w:i w:val="1"/>
          <w:iCs w:val="1"/>
          <w:color w:val="auto"/>
        </w:rPr>
        <w:t>Risks Relating to Our Business</w:t>
      </w:r>
      <w:r>
        <w:rPr>
          <w:rFonts w:ascii="Arial" w:cs="Arial" w:eastAsia="Arial" w:hAnsi="Arial"/>
          <w:sz w:val="18"/>
          <w:szCs w:val="18"/>
          <w:color w:val="auto"/>
        </w:rPr>
        <w:t>—</w:t>
      </w:r>
      <w:r>
        <w:rPr>
          <w:rFonts w:ascii="Arial" w:cs="Arial" w:eastAsia="Arial" w:hAnsi="Arial"/>
          <w:sz w:val="18"/>
          <w:szCs w:val="18"/>
          <w:i w:val="1"/>
          <w:iCs w:val="1"/>
          <w:color w:val="auto"/>
        </w:rPr>
        <w:t>We are subject to the U.S.</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government’s requirements, including the DoD’s National Industrial Security Program Operating Manual, for our facility security clearances, which are prerequisites to our ability to perform on classified contracts for the U.S. government</w:t>
      </w:r>
      <w:r>
        <w:rPr>
          <w:rFonts w:ascii="Arial" w:cs="Arial" w:eastAsia="Arial" w:hAnsi="Arial"/>
          <w:sz w:val="18"/>
          <w:szCs w:val="18"/>
          <w:color w:val="auto"/>
        </w:rPr>
        <w:t>.” Furthermore, the combination of the Italian</w:t>
      </w:r>
      <w:r>
        <w:rPr>
          <w:rFonts w:ascii="Arial" w:cs="Arial" w:eastAsia="Arial" w:hAnsi="Arial"/>
          <w:sz w:val="18"/>
          <w:szCs w:val="18"/>
          <w:i w:val="1"/>
          <w:iCs w:val="1"/>
          <w:color w:val="auto"/>
        </w:rPr>
        <w:t xml:space="preserve"> </w:t>
      </w:r>
      <w:r>
        <w:rPr>
          <w:rFonts w:ascii="Arial" w:cs="Arial" w:eastAsia="Arial" w:hAnsi="Arial"/>
          <w:sz w:val="18"/>
          <w:szCs w:val="18"/>
          <w:color w:val="auto"/>
        </w:rPr>
        <w:t>state beneficially owning approximately 30.2% of Leonardo S.p.A.’s voting power (through its ownership of approximately 30.2% of the outstanding ordinary shares of Leonardo S.p.A.), and the governance of Leonardo S.p.A. itself, has led DRS to be deemed to be controlled by a foreign government by certain U.S. regulatory authorities. In order to be permitted to maintain our security clearances and our access to classified data and to perform or bid on classified programs, we are required to mitigate FOCI through a proxy agreement. We have therefore entered into a proxy agreement, dated as of October 26, 2017, with the DoD. Following this offering, we expect to enter into an amended and restated proxy agreement and the parties to the proxy agreement have entered into a commitment letter, dated as of February 26, 2021, as to the form and content of the amended and restated proxy agreement which allows us to operate as if the amended and restated proxy agreement were already in effect. The description of the proxy agreement in this prospectus therefore reflects the terms of the proxy agreement as it will be amended and restated, in accordance with the commitment letter, following this offering. Among other things, the proxy agreement:</w:t>
      </w:r>
    </w:p>
    <w:p>
      <w:pPr>
        <w:spacing w:after="0" w:line="154" w:lineRule="exact"/>
        <w:rPr>
          <w:sz w:val="20"/>
          <w:szCs w:val="20"/>
          <w:color w:val="auto"/>
        </w:rPr>
      </w:pPr>
    </w:p>
    <w:p>
      <w:pPr>
        <w:jc w:val="both"/>
        <w:ind w:left="660" w:right="3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w:t>
      </w:r>
    </w:p>
    <w:p>
      <w:pPr>
        <w:spacing w:after="0" w:line="147"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provides that the proxy holders are appointed by our immediate parent US Holding (in consultation with Leonardo S.p.A.)., but the appointment is subject to approval of the DCSA, an agency of the DoD, and that the proxy holders must be members of our board of directors;</w:t>
      </w:r>
    </w:p>
    <w:p>
      <w:pPr>
        <w:spacing w:after="0" w:line="147" w:lineRule="exact"/>
        <w:rPr>
          <w:rFonts w:ascii="Arial" w:cs="Arial" w:eastAsia="Arial" w:hAnsi="Arial"/>
          <w:sz w:val="18"/>
          <w:szCs w:val="18"/>
          <w:color w:val="auto"/>
        </w:rPr>
      </w:pPr>
    </w:p>
    <w:p>
      <w:pPr>
        <w:ind w:left="660" w:right="88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restricts our ability to share facilities and personnel with and receive certain services from any Leonardo S.p.A. or its other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5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requires us to maintain a government security committee of our board of directors; and</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regulates meetings, visits and communications that are not deemed to be routine business visits between us and Leonardo S.p.A. or its other subsidiaries (including US Holding).</w:t>
      </w:r>
    </w:p>
    <w:p>
      <w:pPr>
        <w:spacing w:after="0" w:line="14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Compliance with the proxy agreement requires a significant commitment of resources and management and board oversight, and the DoD may impose additional security safeguards that it believes necessary to adequately safeguard classified and controlled unclassified information, which could make it more difficult for us to comply with the proxy agreement. Under the proxy agreement we are required to prepare and submit an annual implementation and compliance report to the DCSA including detailed information with respect to the manner in which we comply with the proxy agreement including with respect to classified information, any acts of noncompliance and other matters specified by DCSA. We are subject to regular audits of our FOCI compliance and have at times been found to not have strictly complied with our proxy agreement or relevant security requirements but have not to date been sanctioned for any such noncompliance. Additionally, the restrictions imposed by the proxy agreement on our communications and ability to share facilities, personnel and services with Leonardo S.p.A. or its other subsidiaries mean that we cannot benefit from the full range of synergies and cost savings typically enjoyed by a majority-owned subsidiary.</w:t>
      </w:r>
    </w:p>
    <w:p>
      <w:pPr>
        <w:spacing w:after="0" w:line="157" w:lineRule="exact"/>
        <w:rPr>
          <w:sz w:val="20"/>
          <w:szCs w:val="20"/>
          <w:color w:val="auto"/>
        </w:rPr>
      </w:pPr>
    </w:p>
    <w:p>
      <w:pPr>
        <w:ind w:right="160" w:firstLine="324"/>
        <w:spacing w:after="0" w:line="250" w:lineRule="auto"/>
        <w:rPr>
          <w:sz w:val="20"/>
          <w:szCs w:val="20"/>
          <w:color w:val="auto"/>
        </w:rPr>
      </w:pPr>
      <w:r>
        <w:rPr>
          <w:rFonts w:ascii="Arial" w:cs="Arial" w:eastAsia="Arial" w:hAnsi="Arial"/>
          <w:sz w:val="18"/>
          <w:szCs w:val="18"/>
          <w:color w:val="auto"/>
        </w:rPr>
        <w:t>In the event of a material breach of the proxy agreement, the DoD may (i) novate our classified contracts to a company not under FOCI at our expense, (ii) terminate our classified contracts and deny us new classified contracts, (iii) revoke our facility security clearance and/or</w:t>
      </w:r>
    </w:p>
    <w:p>
      <w:pPr>
        <w:spacing w:after="0" w:line="1" w:lineRule="exact"/>
        <w:rPr>
          <w:sz w:val="20"/>
          <w:szCs w:val="20"/>
          <w:color w:val="auto"/>
        </w:rPr>
      </w:pPr>
    </w:p>
    <w:p>
      <w:pPr>
        <w:ind w:right="60" w:firstLine="8"/>
        <w:spacing w:after="0" w:line="252"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debar us from participation in all U.S. government contracts. We depend on revenues from contracts and subcontracts with the U.S. government, including defense-related programs with the DoD and a broad range of programs with the U.S. Army and U.S. Navy. See “—</w:t>
      </w:r>
      <w:r>
        <w:rPr>
          <w:rFonts w:ascii="Arial" w:cs="Arial" w:eastAsia="Arial" w:hAnsi="Arial"/>
          <w:sz w:val="18"/>
          <w:szCs w:val="18"/>
          <w:i w:val="1"/>
          <w:iCs w:val="1"/>
          <w:color w:val="auto"/>
        </w:rPr>
        <w:t>Risks Relating to Our Business</w:t>
      </w:r>
      <w:r>
        <w:rPr>
          <w:rFonts w:ascii="Arial" w:cs="Arial" w:eastAsia="Arial" w:hAnsi="Arial"/>
          <w:sz w:val="18"/>
          <w:szCs w:val="18"/>
          <w:color w:val="auto"/>
        </w:rPr>
        <w:t>—</w:t>
      </w:r>
      <w:r>
        <w:rPr>
          <w:rFonts w:ascii="Arial" w:cs="Arial" w:eastAsia="Arial" w:hAnsi="Arial"/>
          <w:sz w:val="18"/>
          <w:szCs w:val="18"/>
          <w:i w:val="1"/>
          <w:iCs w:val="1"/>
          <w:color w:val="auto"/>
        </w:rPr>
        <w:t>We depend on U.S. defense spending for the vast majority of our revenues. Disruptions or</w:t>
      </w:r>
      <w:r>
        <w:rPr>
          <w:rFonts w:ascii="Arial" w:cs="Arial" w:eastAsia="Arial" w:hAnsi="Arial"/>
          <w:sz w:val="18"/>
          <w:szCs w:val="18"/>
          <w:color w:val="auto"/>
        </w:rPr>
        <w:t xml:space="preserve"> </w:t>
      </w:r>
      <w:r>
        <w:rPr>
          <w:rFonts w:ascii="Arial" w:cs="Arial" w:eastAsia="Arial" w:hAnsi="Arial"/>
          <w:sz w:val="18"/>
          <w:szCs w:val="18"/>
          <w:i w:val="1"/>
          <w:iCs w:val="1"/>
          <w:color w:val="auto"/>
        </w:rPr>
        <w:t>deteriorations in our relationships with the relevant agencies of the U.S. government could have a material adverse impact on our business, financial condition and results of operations.</w:t>
      </w:r>
      <w:r>
        <w:rPr>
          <w:rFonts w:ascii="Arial" w:cs="Arial" w:eastAsia="Arial" w:hAnsi="Arial"/>
          <w:sz w:val="18"/>
          <w:szCs w:val="18"/>
          <w:color w:val="auto"/>
        </w:rPr>
        <w:t>” Therefore, if we fail to comply with the terms of the proxy agreement and the DoD imposes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above remedies, this could have a material adverse impact on our business, financial condition and results of operations. For further information about the proxy agreement, see “Certain Relationships and Related-Party Transactions—Relationship with Leonardo S.p.A. Following this Offering—Proxy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CFIUS may modify, delay or prevent our future acquisition or investment activities.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considered a “foreign person” under the regulations administered by CFIUS and will continue to be considered as such in the future for so long as Leonardo S.p.A. has the ability to exercise control over us for purposes of CFIUS’s regulations. As such, acquisitions of or investments in U.S. businesses or foreign companies with U.S. businesses that we may wish to pursue may be subject to CFIUS review, the scope of which was recently expanded by the Foreign Investment Risk Review Modernization Act of 2018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a particular proposed acquisition or investment in a U.S. business falls within CFIUS’s jurisdiction, we may determine that we are required to make a mandatory filing or that we will submit a voluntary notice to CFIUS, or to proceed with the transaction without notifying CFIUS and risk CFIUS intervention, before or after closing the transaction. CFIUS may decide to block or delay an acquisition or investment by us, impose conditions to mitigate national security concerns with respect to such acquisition or investment or order us to divest all or a portion of a U.S. business that we acquired without first obtaining CFIUS clearance, which may limit the attractiveness of or prevent us from pursuing certain acquisitions or investments that we believe would otherwise be beneficial to us and our stockholders. We may therefore be adversely affected in terms of competing with other companies in our industry which do not have similar foreign ownership issues. Furthermore, because the Italian state beneficially owns approximately 30.2% of the voting power of the outstanding ordinary shares of, and exercises certain governance rights over, Leonardo S.p.A. (through its ownership of approximately 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Leonardo S.p.A.’s ordinary shares), which in turn has the ability to exercise control over us for purposes of CFIUS’s regulations, we are considered to be foreign government controlled under the regulations administered by CFIUS. Foreign-government-controlled investors may be subject to a higher level of CFIUS scrutiny than non-foreign-government-controlled investors. Additionally, future foreign investments in us could be within the jurisdiction of CFIUS and, given the nature of our business, may trigger a mandatory CFIUS notification requirement or warrant voluntary notification to CFIUS, impacting our ability to attract such investment. Further, CFIUS may decide to block, delay, or impose material conditions on any such future foreign investment in us that it reviews.</w:t>
      </w:r>
    </w:p>
    <w:p>
      <w:pPr>
        <w:spacing w:after="0" w:line="154" w:lineRule="exact"/>
        <w:rPr>
          <w:sz w:val="20"/>
          <w:szCs w:val="20"/>
          <w:color w:val="auto"/>
        </w:rPr>
      </w:pPr>
    </w:p>
    <w:p>
      <w:pPr>
        <w:ind w:right="380" w:firstLine="324"/>
        <w:spacing w:after="0" w:line="291" w:lineRule="auto"/>
        <w:rPr>
          <w:sz w:val="20"/>
          <w:szCs w:val="20"/>
          <w:color w:val="auto"/>
        </w:rPr>
      </w:pPr>
      <w:r>
        <w:rPr>
          <w:rFonts w:ascii="Arial" w:cs="Arial" w:eastAsia="Arial" w:hAnsi="Arial"/>
          <w:sz w:val="17"/>
          <w:szCs w:val="17"/>
          <w:color w:val="auto"/>
        </w:rPr>
        <w:t>Because we are deemed to be controlled by a foreign company, we are required to mitigate FOCI through our proxy agreement. See “Certain Relationships and Related-Party Transactions—Relationship with Leonardo S.p.A. Following this Offering—Proxy Agreement.”</w:t>
      </w:r>
    </w:p>
    <w:p>
      <w:pPr>
        <w:spacing w:after="0" w:line="9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ultimate majority stockholder, Leonardo S.p.A., may have interests that are different from, or conflict with, those of our other stockholders, and their significant ownership in us may discourage change of control transactions.</w:t>
      </w:r>
    </w:p>
    <w:p>
      <w:pPr>
        <w:spacing w:after="0" w:line="121" w:lineRule="exact"/>
        <w:rPr>
          <w:sz w:val="20"/>
          <w:szCs w:val="20"/>
          <w:color w:val="auto"/>
        </w:rPr>
      </w:pPr>
    </w:p>
    <w:p>
      <w:pPr>
        <w:jc w:val="both"/>
        <w:ind w:right="40" w:firstLine="324"/>
        <w:spacing w:after="0" w:line="252" w:lineRule="auto"/>
        <w:rPr>
          <w:sz w:val="20"/>
          <w:szCs w:val="20"/>
          <w:color w:val="auto"/>
        </w:rPr>
      </w:pPr>
      <w:r>
        <w:rPr>
          <w:rFonts w:ascii="Arial" w:cs="Arial" w:eastAsia="Arial" w:hAnsi="Arial"/>
          <w:sz w:val="18"/>
          <w:szCs w:val="18"/>
          <w:color w:val="auto"/>
        </w:rPr>
        <w:t>The proxy agreement 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 The proxy holders have the right to vote US Holding’s shares of our common stock in the same manner and to the same extent as if they were the absolute owners of such shares in their own right. In exercising their power as proxy holders, the proxy holders are directed to act to protect the legitimate economic interests of our shareholders and in a manner consistent with their fiduciary duties, but they are not generally required to follow instructions of Leonardo S.p.A., US Holding or us.</w:t>
      </w:r>
    </w:p>
    <w:p>
      <w:pPr>
        <w:spacing w:after="0" w:line="153" w:lineRule="exact"/>
        <w:rPr>
          <w:sz w:val="20"/>
          <w:szCs w:val="20"/>
          <w:color w:val="auto"/>
        </w:rPr>
      </w:pPr>
    </w:p>
    <w:p>
      <w:pPr>
        <w:ind w:right="80" w:firstLine="324"/>
        <w:spacing w:after="0" w:line="216" w:lineRule="exact"/>
        <w:rPr>
          <w:sz w:val="20"/>
          <w:szCs w:val="20"/>
          <w:color w:val="auto"/>
        </w:rPr>
      </w:pPr>
      <w:r>
        <w:rPr>
          <w:rFonts w:ascii="Arial" w:cs="Arial" w:eastAsia="Arial" w:hAnsi="Arial"/>
          <w:sz w:val="18"/>
          <w:szCs w:val="18"/>
          <w:color w:val="auto"/>
        </w:rPr>
        <w:t>The proxy agreement provides that the proxy holders may vote for or consent to in, their sole and absolute discretion, without consultation with US Holding or Leonardo S.p.A., the election of additional directors who are not proxy holders (and who are selected from candidates proposed by US Holding after reasonable consultation with our nominating and corporate governance committee, and subject to DCSA’s approval in certain circumstances), any changes or amendments to our certificate of incorporation or by</w:t>
      </w:r>
      <w:r>
        <w:rPr>
          <w:rFonts w:ascii="MS PGothic" w:cs="MS PGothic" w:eastAsia="MS PGothic" w:hAnsi="MS PGothic"/>
          <w:sz w:val="18"/>
          <w:szCs w:val="18"/>
          <w:color w:val="auto"/>
        </w:rPr>
        <w:t>‑</w:t>
      </w:r>
      <w:r>
        <w:rPr>
          <w:rFonts w:ascii="Arial" w:cs="Arial" w:eastAsia="Arial" w:hAnsi="Arial"/>
          <w:sz w:val="18"/>
          <w:szCs w:val="18"/>
          <w:color w:val="auto"/>
        </w:rPr>
        <w:t>laws, the sale or disposal of our property, assets or business, our incurrence of debt or any pledge, mortgage or encumbrance of any of our assets, or any other matter affecting us, other than as described below.</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the proxy holders may only vote for or consent to the following matters with the express written approval of US Holding:</w:t>
      </w:r>
    </w:p>
    <w:p>
      <w:pPr>
        <w:spacing w:after="0" w:line="171" w:lineRule="exact"/>
        <w:rPr>
          <w:sz w:val="20"/>
          <w:szCs w:val="20"/>
          <w:color w:val="auto"/>
        </w:rPr>
      </w:pPr>
    </w:p>
    <w:p>
      <w:pPr>
        <w:ind w:left="660" w:hanging="328"/>
        <w:spacing w:after="0" w:line="25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than in the ordinary course of business with vendors, customers and suppliers, the sale or disposition of any of our subsidiaries, property, assets or business or those of our subsidiaries or the purchase by us or our subsidiaries of any business, properties, assets or entities, other than in the ordinary course of business, in any individual transaction where our investment (based on our share of the enterprise value) exceeds two percent (2%) of our revenues for the immediately preceding year or where our investment, in the aggregate for all such sales or dispositions in a calendar year, exceeds an amount equal to five percent (5%) of our revenues for the immediately preceding year;</w:t>
      </w:r>
    </w:p>
    <w:p>
      <w:pPr>
        <w:spacing w:after="0" w:line="153"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incurrence of debt or pledge, mortgage, lease or other encumbrance of our assets of those of our subsidiaries in connection with the incurrence of debt if such incurrence would cause the aggregate outstanding principal amount of all debt of us and our subsidiaries to exceed a target leverage ratio set forth in our then-current operating plan, excluding current debt incurred for purposes of funding day-to-day working capital requirements in the ordinary course of business;</w:t>
      </w:r>
    </w:p>
    <w:p>
      <w:pPr>
        <w:spacing w:after="0" w:line="149"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merger, consolidation, reorganization or dissolution of us of any of our subsidiaries except as permitted above and excluding transactions solely among our wholly owned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57" w:lineRule="exact"/>
        <w:rPr>
          <w:sz w:val="20"/>
          <w:szCs w:val="20"/>
          <w:color w:val="auto"/>
        </w:rPr>
      </w:pPr>
    </w:p>
    <w:p>
      <w:pPr>
        <w:ind w:left="660" w:right="38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filing or making of any petition by us or our subsidiaries under the federal bankruptcy laws or any similar law or statute of any state or any foreign country.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proxy holders may only vote to declare or suspend dividends after prior consultation with US Holding.</w:t>
      </w:r>
    </w:p>
    <w:p>
      <w:pPr>
        <w:spacing w:after="0" w:line="171"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Conflicts of interest may arise between our majority stockholder and us. Affiliates of our majority stockholder engage in transactions with us. Further, Leonardo S.p.A. and its affiliates may, from time to time, acquire and hold interests in businesses that compete directly or indirectly with us, and they may either directly, or through affiliates, also maintain business relationships with companies that may directly compete with us. In general, Leonardo S.p.A. or its affiliates could pursue business interests that are detrimental to us but beneficial to themselves or to other companies in which they invest or with whom they have a material relationship. Conflicts of interest could also arise with respect to business opportunities that could be advantageous to Leonardo S.p.A., and they may pursue acquisition opportunities that may be complementary to our business. As a result, those acquisition opportunities may not be available to us. Under the terms of our amended and restated certificate of incorporation, neither Leonardo S.p.A. nor US Holding will have an obligation to offer us corporate opportunities.</w:t>
      </w:r>
    </w:p>
    <w:p>
      <w:pPr>
        <w:spacing w:after="0" w:line="15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a result of these relationships the interests of our ultimate parent, Leonardo S.p.A., may not coincide with our interests or the interests of the other holders of our common stock. So long as Leonardo S.p.A. continues to indirectly control a significant amount of the outstanding shares of our common stock, Leonardo S.p.A. and the proxy holders will continue to be able to strongly influence or effectively control our decisions, including potential mergers or acquisitions, asset sales and other significant corporate transactions. This influence, including the requirement in our proxy agreement for approval by the proxy holders and our majority stockholder of mergers and consolidations, may also discourage change of control transactions.</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Following this offering, we expect to be a “controlled company” within the meaning of the NYSE rules and, as a result, we will qualify for exemptions from certain corporate governance requirements. You may not have the same protections afforded to stockholders of companies that are subject to such requirements.</w:t>
      </w:r>
    </w:p>
    <w:p>
      <w:pPr>
        <w:spacing w:after="0" w:line="13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Following this offering, we expect to be a “controlled company” within the meaning of the NYSE corporate governance standards. Under these rules, a company of which more than 50% of the voting power is held by an individual, group or another company is a “controlled company” and may elect not to comply with certain NYSE corporate governance standards, including:</w:t>
      </w:r>
    </w:p>
    <w:p>
      <w:pPr>
        <w:spacing w:after="0" w:line="14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majority of the Board consist of independent directors;</w:t>
      </w:r>
    </w:p>
    <w:p>
      <w:pPr>
        <w:spacing w:after="0" w:line="171"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43" w:lineRule="exact"/>
        <w:rPr>
          <w:rFonts w:ascii="Arial" w:cs="Arial" w:eastAsia="Arial" w:hAnsi="Arial"/>
          <w:sz w:val="18"/>
          <w:szCs w:val="18"/>
          <w:color w:val="auto"/>
        </w:rPr>
      </w:pPr>
    </w:p>
    <w:p>
      <w:pPr>
        <w:ind w:left="660" w:right="22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with a written charter addressing the committee’s purpose and responsibilities, or otherwise have director nominees selected by vote of a majority of the independent directors;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While we do not currently intend to use these exemptions, we may in the future decide to do so. Consequently, you may not be entitled to the same protections afforded to stockholders of companies that are subject to all NYSE corporate governance rules and requirements. Our status as a controlled company could make our common stock less attractive to some investors or otherwise harm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we waive any interest or expectancy in corporate opportunities presented to Leonardo S.p.A.</w:t>
      </w:r>
    </w:p>
    <w:p>
      <w:pPr>
        <w:spacing w:after="0" w:line="121"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we, on our behalf and on behalf of our subsidiaries, renounce and waive any interest or expectancy in, or in being offered an opportunity to participate in, corporate opportunities that are from time to time presented to Leonardo S.p.A., or its officers, directors, agents, stockholders, members, partners, affiliates or subsidiaries, with the exception of the proxy holders, even if the opportunity is one that we or our subsidiaries might reasonably have pursued or had the ability or desire to pursue if granted the opportunity to do so. None of Leonardo S.p.A. or its agents, stockholders, members, partners, affiliates or subsidiaries, with the exception of the proxy holders, will generally be liable to us or any of our subsidiaries for breach of any fiduciary or other duty by reason of the fact that such person pursues, acquires or participates in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amended and restated certificate of incorporation. This will allow Leonardo S.p.A. and its affiliates to compete with us. Strong competition for investment opportunities could result in fewer such opportunities for us. We likely will not always be able to compete successfully with our competitors and competitive pressures or other factors may also result in significant price competition, particularly during industry downturns, which could have a material adverse impact on our business, financial condition and results of operations.</w:t>
      </w:r>
    </w:p>
    <w:p>
      <w:pPr>
        <w:spacing w:after="0" w:line="13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US Holding sells a controlling interest in our company to a third party in a private transaction, you may not realize any change of control premium on shares of our common stock and we may become subject to the control of a presently unknown third party.</w:t>
      </w:r>
    </w:p>
    <w:p>
      <w:pPr>
        <w:spacing w:after="0" w:line="121"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 xml:space="preserve">US Holding will have the ability, should it choose to do so, to sell some or all of its shares of our common stock in a privately negotiated transaction, subject to the terms of the lock-up agreements described in the section “Shares Eligible For Future Sale”. If such a transaction were to be sufficient in size, it could result in a change of control of DRS. The ability of US Holding to privately sell such shares of our common stock, with no requirement for a concurrent offer to be made to acquire all of the shares of our common stock that will be publicly traded hereafter, could prevent you from realizing any change-of-control premium on your shares of our common stock that may otherwise accrue to US Holding upon its private sale of our common stock. Additionally, if US Holding privately sells a significant equity interest in us, we may become subject to the control of a presently unknown third party. Such third party may have conflicts of interest with the interests of other stockholders. For additional information on the tax implications of a change in ownership, see </w:t>
      </w:r>
      <w:r>
        <w:rPr>
          <w:rFonts w:ascii="Arial" w:cs="Arial" w:eastAsia="Arial" w:hAnsi="Arial"/>
          <w:sz w:val="18"/>
          <w:szCs w:val="18"/>
          <w:i w:val="1"/>
          <w:iCs w:val="1"/>
          <w:color w:val="auto"/>
        </w:rPr>
        <w:t>“—Risks Relating to Our Business—Our</w:t>
      </w:r>
      <w:r>
        <w:rPr>
          <w:rFonts w:ascii="Arial" w:cs="Arial" w:eastAsia="Arial" w:hAnsi="Arial"/>
          <w:sz w:val="18"/>
          <w:szCs w:val="18"/>
          <w:color w:val="auto"/>
        </w:rPr>
        <w:t xml:space="preserve"> </w:t>
      </w:r>
      <w:r>
        <w:rPr>
          <w:rFonts w:ascii="Arial" w:cs="Arial" w:eastAsia="Arial" w:hAnsi="Arial"/>
          <w:sz w:val="18"/>
          <w:szCs w:val="18"/>
          <w:i w:val="1"/>
          <w:iCs w:val="1"/>
          <w:color w:val="auto"/>
        </w:rPr>
        <w:t>ability to use our net operating losses to offset future taxable income may be subject to certain limitations.”</w:t>
      </w:r>
    </w:p>
    <w:p>
      <w:pPr>
        <w:spacing w:after="0" w:line="136"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auto"/>
        </w:rPr>
        <w:t>Following this offering, we will continue to be obligated to provide certain services to Leonardo S.p.A., which may divert human and financial resources from our business, and to rely on provision of certain services from Leonardo S.p.A., which we may be unable to replicate should the need arise.</w:t>
      </w:r>
    </w:p>
    <w:p>
      <w:pPr>
        <w:spacing w:after="0" w:line="13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Although we operate largely independently from Leonardo S.p.A. and the proxy agreement contains limitations on services that we may provide to and receive from Leonardo S.p.A. and its affiliates, we have historically provided, and expect to continue to provide, certain services to Leonardo S.p.A. and its affiliates to support its U.S. operations (aside from us) and have historically received and expect to continue to receive certain services from Leonardo S.p.A., including services related to group training support, subject in all cases to the proxy agreement. Following this offering, we will continue to provide or procure certain services to or from Leonardo S.p.A. and its affiliates and Leonardo S.p.A. and its affiliates will continue to provide or procure certain services to or from us pursuant to the tax allocation agreement and existing Affiliated Operations Plan (“AOP”) services agreements which will continue pursuant to the terms of such contracts. The tax allocation agreement will remain in effect until terminated upon the written agreement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57"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Under our existing AOP services agreements we will continue to provide Leonardo S.p.A. and its affiliates with services in support of its U.S. operations (aside from us), including services related to tax, financial and accounting support, legal support, trade compliance, marketing, communications, media and advertising, and security, on an arm’s-length basis. Under the tax allocation agreement, we are responsible for administering certain U.S. federal and state tax matters on behalf of Leonardo S.p.A. and its subsidiaries (including US Holding). The provision of such services may divert human and financial resources from focus on our business, and may expose us to additional risks and liabilities. Under our existing AOP services agreements, Leonardo S.p.A. and its affiliates will continue to provide us with services, including services related to group training support. We will work to replicate or replace these services; however we cannot assure you that we will be able to obtain the services at the same or better levels or at the same or lower costs directly from third-party providers. As a result, when Leonardo S.p.A. or its affiliates cease providing these services to us, either as a result of the termination of the relevant agreements or individual services thereunder or a failure by Leonardo S.p.A. or its affiliates to perform their respective obligations under these agreements, our costs of procuring these services or comparable replacement services may increase.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obligations in favor of Leonardo S.p.A. after this offering.</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and Leonardo S.p.A. are party to, or will enter into, certain agreements, including a cooperation agreement, registration rights agreement, trademark license agreement, a tax allocation agreement and our existing AOP services agreements, that will govern our and Leonardo S.p.A.’s obligations to one another following this offering in respect of, among other things, taxes, financial and transition services, information sharing and our respective indemnification obligations. The amounts payable by us pursuant to such indemnification obligations could be significant. Under the registration rights agreement, Leonardo S.p.A., and its affiliated entities including US Holding will have the right to require us to register shares of common stock for resale in some circumstances. For additional information on the potential risks of resale, see “—</w:t>
      </w:r>
      <w:r>
        <w:rPr>
          <w:rFonts w:ascii="Arial" w:cs="Arial" w:eastAsia="Arial" w:hAnsi="Arial"/>
          <w:sz w:val="18"/>
          <w:szCs w:val="18"/>
          <w:i w:val="1"/>
          <w:iCs w:val="1"/>
          <w:color w:val="auto"/>
        </w:rPr>
        <w:t>Risks Relating to Our Common Stock and This Offering</w:t>
      </w:r>
      <w:r>
        <w:rPr>
          <w:rFonts w:ascii="Arial" w:cs="Arial" w:eastAsia="Arial" w:hAnsi="Arial"/>
          <w:sz w:val="18"/>
          <w:szCs w:val="18"/>
          <w:color w:val="auto"/>
        </w:rPr>
        <w:t>—</w:t>
      </w:r>
      <w:r>
        <w:rPr>
          <w:rFonts w:ascii="Arial" w:cs="Arial" w:eastAsia="Arial" w:hAnsi="Arial"/>
          <w:sz w:val="18"/>
          <w:szCs w:val="18"/>
          <w:i w:val="1"/>
          <w:iCs w:val="1"/>
          <w:color w:val="auto"/>
        </w:rPr>
        <w:t>Future sales of shares by existing stockholders could cause our</w:t>
      </w:r>
      <w:r>
        <w:rPr>
          <w:rFonts w:ascii="Arial" w:cs="Arial" w:eastAsia="Arial" w:hAnsi="Arial"/>
          <w:sz w:val="18"/>
          <w:szCs w:val="18"/>
          <w:color w:val="auto"/>
        </w:rPr>
        <w:t xml:space="preserve"> </w:t>
      </w:r>
      <w:r>
        <w:rPr>
          <w:rFonts w:ascii="Arial" w:cs="Arial" w:eastAsia="Arial" w:hAnsi="Arial"/>
          <w:sz w:val="18"/>
          <w:szCs w:val="18"/>
          <w:i w:val="1"/>
          <w:iCs w:val="1"/>
          <w:color w:val="auto"/>
        </w:rPr>
        <w:t>stock price to decline.</w:t>
      </w:r>
      <w:r>
        <w:rPr>
          <w:rFonts w:ascii="Arial" w:cs="Arial" w:eastAsia="Arial" w:hAnsi="Arial"/>
          <w:sz w:val="18"/>
          <w:szCs w:val="18"/>
          <w:color w:val="auto"/>
        </w:rPr>
        <w:t>” Under the cooperation agreement, among other things, Leonardo S.p.A . and US Holding will be entitled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rights, and we will be required to provide Leonardo S.p.A. with information and data relating to our and our subsidiaries’ business and financial results and reasonable access to our personnel, data and systems. Satisfying our obligations to Leonardo S.p.A. under these agreements may require a significant commitment of resources and management oversight.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and obligations as a result of being a public company.</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As a privately held company, we were not required to comply with certain corporate governance and financial reporting practices and policies required of a publicly traded company. As a publicly traded company, we will incur significant legal, accounting and other expenses that we were not required to incur in the recent past. After this offering, we will be required to file with the SEC annual and quarterly information and other reports that are specified in Section 13 of the Securities Exchange Act of 1934, as amended (the “Exchange Act”). We will also be required to ensure that we have the ability to prepare financial statements that are fully compliant with all SEC reporting requirements on a timely basis. We will also become subject to other reporting and corporate governance requirements, including the requirements of the NYSE, and certain provisions of the Sarbanes-Oxley Act (“SOX”) and the regulations promulgated thereunder, which will impose significant compliance obligations upon us. As a public company, we will, among other things:</w:t>
      </w:r>
    </w:p>
    <w:p>
      <w:pPr>
        <w:spacing w:after="0" w:line="151" w:lineRule="exact"/>
        <w:rPr>
          <w:sz w:val="20"/>
          <w:szCs w:val="20"/>
          <w:color w:val="auto"/>
        </w:rPr>
      </w:pPr>
    </w:p>
    <w:p>
      <w:pPr>
        <w:ind w:left="660" w:right="10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including proxy statements, in compliance with our obligations under the federal securities laws and applicable NYSE rules;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 annual shareholder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5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supplement our internal accounting, internal controls, auditing and reporting function, including hiring additional staff with expertise in accounting and financial reporting for a public company, in compliance with Section 404 of SOX;</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enhance and formalize closing procedures at the end of our accounting periods;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enhance our internal audit and tax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disclosure controls and procedures;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These changes will require a significant commitment of additional resources and many of our competitors already comply with these obligations. Although we had previously been a public company until 2008, we became privately owned following our acquisition by Finmeccanica – </w:t>
      </w:r>
      <w:r>
        <w:rPr>
          <w:rFonts w:ascii="Arial" w:cs="Arial" w:eastAsia="Arial" w:hAnsi="Arial"/>
          <w:sz w:val="18"/>
          <w:szCs w:val="18"/>
          <w:i w:val="1"/>
          <w:iCs w:val="1"/>
          <w:color w:val="auto"/>
        </w:rPr>
        <w:t>Società per azioni</w:t>
      </w:r>
      <w:r>
        <w:rPr>
          <w:rFonts w:ascii="Arial" w:cs="Arial" w:eastAsia="Arial" w:hAnsi="Arial"/>
          <w:sz w:val="18"/>
          <w:szCs w:val="18"/>
          <w:color w:val="auto"/>
        </w:rPr>
        <w:t xml:space="preserve"> (now Leonardo S.p.A.). Given the significant passage of time that followed, we no longer benefit from the prior infrastructure we had in place as a publicly held company. In connection with preparing for this offering and operating as a stand-alone public company following the closing of this offering, we expect to incur one-time and recurring expenses. We estimate that the aggregate amount of the one-time expenses described above will be between approximately $11 million and $14 million, of which $9 million had been incurred in the year ended December 31, 2020 and approximately $2 million to $4 million is expected to be incurred in the year ended December 31, 2021. This does not include bank fees related to the securing of third party financing or amounts paid by US Holding out of the proceeds of this offering including underwriting discounts and commissions. In addition, for so long as our parent company, Leonardo S.p.A., consolidates our financial position and results of operations in its consolidated financial statements, we expect to engage the same auditing firm to act as our independent registered public accounting firm. Leonardo S.p.A. will be required to change its auditing firm in 2021 in light of European mandatory audit firm rotation rules, which we expect will require us to change our audit firm. A new auditing firm may apply certain auditing standards or accounting practices differently, which, among other factors, may result in additional costs, delays or other issues in preparing our audited financial statements.</w:t>
      </w:r>
    </w:p>
    <w:p>
      <w:pPr>
        <w:spacing w:after="0" w:line="15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may not be successful in implementing all of the going-public requirements described above and the significant commitment of resources required for implementing them could adversely affect our business, financial condition and results of operations. In addition, if we fail to implement the requirements with respect to our internal accounting and audit functions, our ability to report our results of operations on a timely and accurate basis could be impaired and we could suffer adverse regulatory consequences or violate NYSE listing standards. There could also be a negative reaction in the financial markets due to a loss of investor confidence in us and the reliability of our financial statements.</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changes necessitated by becoming a public company require a significant commitment of resources and management oversight that has increased and may continue to increase our costs and might place a strain on our systems and resources. As a result, our management’s attention might be diverted from other business concerns. Some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57"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If we are unable to offset these costs through other savings then it could have a material adverse impact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derive a portion of our revenues from programs with the U.S. government that are subject to security restrictions that preclude the dissemination of information that is classified for national security purposes. We are limited in our ability to provide details about these classified programs, their risks or any disputes or claims relating to such programs, and may not disclose such information pursuant to SEC rules permitting confidential treatment of certain information. As a result, investors and others might have less insight into our classified programs than our other businesses and, therefore, less ability to fully evaluate the risks related to our classified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93"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Sales of substantial amounts of our common stock in the public market following this offering, or the perception that these sales could occur, could cause the market price of our common stock to decline. These sales, or the possibility that these sales may occur, also might make it more difficult for us to sell equity securities in the future at a time and at a price that we deem appropriate. Immediately after this offering, Leonardo S.p.A. through US Holding will own 78.0% of our outstanding common stock (or 74.7% if the underwriters exercise their option to purchase additional shares in full).</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of March 15, 2021, we have 145,000,000 outstanding shares of common stock. All of the shares sold pursuant to this offering will be immediately tradable without restriction under the Securities Act of 1933, as amended (the “Securities Act,”), except for any shares held by “affiliates,” as that term is defined in Rule 144 under the Securities Act, or “Rule 144.” The remaining shares of common stock outstanding as of March 15, 2021 will be restricted securities within the meaning of Rule 144, but will be eligible for resale subject, in certain cases, to applicable volume, manner of sale, holding period and other limitations of Rule 144 subject to the terms of the lock-up agreements described below.</w:t>
      </w:r>
    </w:p>
    <w:p>
      <w:pPr>
        <w:spacing w:after="0" w:line="154"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Upon or prior to the closing of this offering, we intend to file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under the Securities Act to register the shares of common stock to be issued under our equity compensation plans and, as a result, these shares and all shares of common stock acquired upon exercise of any stock options granted under our plans will also be freely tradable under the Securities Act, subject to the terms of the lock-up agreements, unless purchased by our affiliates. As of March 15, 2021, 3,511,400 shares of our common stock are reserved for future issuances under our Omnibus Plan adopted in connection with this offering.</w:t>
      </w:r>
    </w:p>
    <w:p>
      <w:pPr>
        <w:spacing w:after="0" w:line="16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In connection with this offering, we, US Holding and all of our directors and executive officers will enter into lock-up agreements under which, subject to certain exceptions, we and they will agree not to dispose of or hedge any of our common stock or securities convertible into or exchangeable for shares of our common stock for a period of 180 days after the date of this prospectus, except with the prior written consent of Goldman Sachs &amp; Co. LLC, BofA Securities, Inc. and J.P. Morgan Securities LLC. Following the expiration of this 180-day lock-up period, approximately 113,100,000 shares of our common stock (or 108,315,000 shares if the underwriters exercise their option to purchase additional shares of common stock from the selling stockholder in full) will be eligible for future sale, subject to the applicable volume, manner of sale, holding period and other limitations of Rule 144. As resale restrictions end, the market price of our common stock could decline if US Holding sells its shares or is perceived by the market as intending to sell them. Goldman Sachs &amp; Co. LLC, BofA Securities, Inc. and J.P. Morgan Securities LLC may, in their sole discretion and at any time, release all or any portion of the securities subject to lock-up agreements entered into in connection with this offering. Furthermore, subject to the expiration or waiver of the lock up agreements, Leonardo S.p.A. and its affiliated entities, including US Holding, will have the right to require us to register shares of common stock for resale in some circumstances pursuant to the registration rights agreement we will enter into with Leonardo S.p.A. and US Holding. For a description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5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registration rights agreement, see “Certain Relationships and Related-Party Transactions—Relationship with Leonardo S.p.A. Following this Offering—Registration Rights Agreement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future, we may issue additional shares of common stock or other equity or debt securities convertible into or exercisable or exchangeable for shares of our common stock in connection with a financing, strategic investment, litigation settlement or employee arrangement or otherwise. Any of these issuances could result in substantial dilution to our existing stockholders and could cause the trading price of our common stock to decline.</w:t>
      </w:r>
    </w:p>
    <w:p>
      <w:pPr>
        <w:spacing w:after="0" w:line="12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Our common stock has no prior public market, and the market price of our common stock may be volatile and could decline after this offering.</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and an active market for our common stock may not develop or be sustained after this offering. We have been approved to list our common stock on the NYSE. We and US Holding negotiated the initial public offering price per share with the representatives of the underwriters and, therefore, that price may not be indicative of the market price of our common stock after this offering. We cannot assure you that an active public market for our common stock will develop after this offering or, if one does develop, that it will be sustained. In the absence of an active public trading market, you may not be able to sell your shares. An inactive market may also impair our ability to raise capital to continue to fund operations by selling shares and may impair our ability to make strategic investments by using our shares as consideration. In addition, the market price of our common stock may fluctuate significantly. Among the factors that could affect our stock price are:</w:t>
      </w:r>
    </w:p>
    <w:p>
      <w:pPr>
        <w:spacing w:after="0" w:line="15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industry or general market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71"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as to a Congressional or Presidential initiative with respect to changes in spending priorities and defense spending levels, sequestration, the appropriations process, use of continuing resolutions (with restrictions, e.g., on starting new programs) and the permissible level of federal debt;</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customers’ preferences;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lawsuits, enforcement actions and other claims by third parties or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related to us or another industry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lack of research coverage and reports by industry analysts;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 by institutional stockholders or other large stockholders, including future sales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meet any guidance given by us or any change in any guidance given by us, or changes by us in our guidance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of significant impairment charges;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investor perception of us and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440" w:right="379" w:bottom="1440" w:gutter="0" w:footer="0" w:header="0"/>
        </w:sectPr>
      </w:pPr>
    </w:p>
    <w:bookmarkStart w:id="59" w:name="page60"/>
    <w:bookmarkEnd w:id="59"/>
    <w:p>
      <w:pPr>
        <w:spacing w:after="0" w:line="15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market valuations or earnings of similar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or strategic partnerships;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 terrorist acts and a pandemic or epidemic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misconduct or other improper actions of our employees.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particular, we cannot assure you that you will be able to resell your shares at or above the initial public offering price. Stock markets have experienced extreme volatility in recent years that has been unrelated to the operating performance of particular companies. These broad market fluctuations may adversely affect the trading price of our common stock. In the past, following periods of volatility in the market price of a company’s securities, class action litigation has often been instituted against the affected company. Any litigation of this type brought against us could result in substantial costs and a diversion of our management’s attention and resources, which could materially and adversely affect our business, results of operations or financial condition.</w:t>
      </w:r>
    </w:p>
    <w:p>
      <w:pPr>
        <w:spacing w:after="0" w:line="13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stock price and trading volume could decline.</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currently have, and may never obtain, research coverage for our common stock. If there is no research coverage of our common stock, the trading price for our common stock may be negatively impacted. In the event we obtain research coverage for our common stock, if one or more of the analysts downgrades our stock or publishes misleading or unfavorable research about our business, our stock price would likely decline. If one or more of the analysts ceases coverage of our common stock or fails to publish reports on us regularly, demand for our common stock could decrease, which could cause our common stock price or trading volume to decline.</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Future offerings of debt or certain equity securities which would rank senior to our common stock may adversely affect the market price of our common stock.</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If, in the future, we decide to issue debt or equity securities that rank senior to our common stock, it is likely that such securities will be governed by an indenture or other instrument containing covenants restricting our operating flexibility. Our amended and restated certificate of incorporation also authorizes the issuance of “blank check” preferred stock that could be issued by our board. Additionally, any convertible or exchangeable securities that we issue in the future may have rights, preferences and privileges more favorable than those of our common stock and may result in dilution to owners of our common stock.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our future offerings. Thus, holders of our common stock will bear the risk of our future offerings reducing the market price of our common stock and diluting the value of their stock holdings in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near term.</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do not anticipate declaring any cash dividends to holders of our common stock in the near term. Consequently, investors may need to rely on sales of their common stock after price appreciation, which may never occur, as the only way to realize any future gains on their investment. Investors seeking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320" w:top="1440" w:right="399" w:bottom="1440" w:gutter="0" w:footer="0" w:header="0"/>
        </w:sectPr>
      </w:pPr>
    </w:p>
    <w:bookmarkStart w:id="60" w:name="page61"/>
    <w:bookmarkEnd w:id="60"/>
    <w:p>
      <w:pPr>
        <w:spacing w:after="0" w:line="157"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color w:val="auto"/>
        </w:rPr>
        <w:t>dividends should not purchase our common stock. In addition, the proxy holders may only vote to declare or suspend dividends after prior consultation with US Holding.</w:t>
      </w:r>
    </w:p>
    <w:p>
      <w:pPr>
        <w:spacing w:after="0" w:line="122" w:lineRule="exact"/>
        <w:rPr>
          <w:sz w:val="20"/>
          <w:szCs w:val="20"/>
          <w:color w:val="auto"/>
        </w:rPr>
      </w:pPr>
    </w:p>
    <w:p>
      <w:pPr>
        <w:jc w:val="both"/>
        <w:ind w:right="100"/>
        <w:spacing w:after="0" w:line="318" w:lineRule="auto"/>
        <w:rPr>
          <w:sz w:val="20"/>
          <w:szCs w:val="20"/>
          <w:color w:val="auto"/>
        </w:rPr>
      </w:pPr>
      <w:r>
        <w:rPr>
          <w:rFonts w:ascii="Arial" w:cs="Arial" w:eastAsia="Arial" w:hAnsi="Arial"/>
          <w:sz w:val="17"/>
          <w:szCs w:val="17"/>
          <w:b w:val="1"/>
          <w:bCs w:val="1"/>
          <w:i w:val="1"/>
          <w:iCs w:val="1"/>
          <w:color w:val="auto"/>
        </w:rPr>
        <w:t>Anti-takeover provisions in our amended and restated certificate of incorporation and amended and restated bylaws and Delaware law could discourage, delay or prevent a change of control of our company and may affect the trading price of our common stock.</w:t>
      </w:r>
    </w:p>
    <w:p>
      <w:pPr>
        <w:spacing w:after="0" w:line="98"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discourage, delay or prevent a change in our management or control over us that stockholders may consider favorable. For example, our amended and restated certificate of incorporation and amended and restated bylaws collectively:</w:t>
      </w:r>
    </w:p>
    <w:p>
      <w:pPr>
        <w:spacing w:after="0" w:line="148" w:lineRule="exact"/>
        <w:rPr>
          <w:sz w:val="20"/>
          <w:szCs w:val="20"/>
          <w:color w:val="auto"/>
        </w:rPr>
      </w:pPr>
    </w:p>
    <w:p>
      <w:pPr>
        <w:ind w:left="660" w:right="14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shares of our common stock so as to create voting impediments or to frustrate persons otherwise seeking to effect a takeover or gain control;</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to thwart a takeover attempt;</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vacancies on our board, including vacancies resulting from an enlargement of our board, may be filled only by a majority vote of directors then in office following termination of the proxy agreement;</w:t>
      </w:r>
    </w:p>
    <w:p>
      <w:pPr>
        <w:spacing w:after="0" w:line="143"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 following the later of the termination of the proxy agreement and such date as Leonardo S.p.A. is no longer required under IFRS to consolidate the financial statements of the Company with its financial results;</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stockholder action by written consent, thereby requiring all actions to be taken at a meeting of the stockholders, following the later of the termination of the proxy agreement and such date as Leonardo S.p.A. is no longer required under IFRS to consolidate the financial statements of the Company with its financial results;</w:t>
      </w:r>
    </w:p>
    <w:p>
      <w:pPr>
        <w:spacing w:after="0" w:line="147"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of candidates for election as directors or to bring other business before an annual meeting of our stockholders; and</w:t>
      </w:r>
    </w:p>
    <w:p>
      <w:pPr>
        <w:spacing w:after="0" w:line="143"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approval of holders of at least 66 2⁄3% of the outstanding shares of our common stock to amend our amended and restated bylaws and certain provisions of our amended and restated certificate of incorporation following the earlier of the termination of the proxy agreement and such date as Leonardo S.p.A. is no longer required under IFRS to consolidate the financial statements of the Company with its financial result.</w:t>
      </w:r>
    </w:p>
    <w:p>
      <w:pPr>
        <w:spacing w:after="0" w:line="150"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These provisions may prevent our stockholders from receiving the benefit from any premium to the market price of our common stock offered by a bidder in a takeover context. In addition, the requirement in our proxy agreement for approval by the proxy holders and our majority stockholder of mergers and consolidations also may discourage change of control transactions. Even in the absence of a takeover attempt, the existence of these provisions may adversely affect the prevailing market price of our common stock if the provisions are viewed as discouraging takeover attempts in the future.</w:t>
      </w:r>
    </w:p>
    <w:p>
      <w:pPr>
        <w:spacing w:after="0" w:line="151"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Furthermore, the existence of the foregoing provisions, as well as the significant amount of common stock that US Holding will beneficially own following this offering, could limit the price that investors might be willing to pay in the future for shares of our common stock. These provisions may facilitate management entrenchment that may delay, deter, render more difficult or prevent a change in our control, which may not be in the best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provisions limiting the personal liability of our directors for breaches of fiduciary duty under the Delaware General Corporation Law.</w:t>
      </w:r>
    </w:p>
    <w:p>
      <w:pPr>
        <w:spacing w:after="0" w:line="121"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Our amended and restated certificate of incorporation contains provisions permitted under the General Corporation Law of the State of Delaware, or the “DGCL,” relating to the liability of directors. These provisions will eliminate a director’s personal liability to the fullest extent permitted by the DGCL for monetary damages resulting from a breach of fiduciary duty, except in circumstances involving:</w:t>
      </w:r>
    </w:p>
    <w:p>
      <w:pPr>
        <w:spacing w:after="0" w:line="14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Section 174 of the DGCL (unlawful dividends);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a director’s fiduciary duty. These provisions will not alter a director’s liability under federal securities laws. The inclusion of this provision in our amended and restated certificate of 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1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litigation that may be initiated by our stockholders, and federal district courts as the exclusive forum for Securities Act claims, which could limit our stockholders’ ability to obtain a favorable judicial forum for disputes with us or our directors, officers or stockholders.</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claim of breach of a fiduciary duty owed to us or our stockholders by any of our directors, officers, other employees, agents or stockholders, (iii) any action asserting a claim arising out of or under the DGCL, or as to which the DGCL confers jurisdiction on the Court of Chancery of the State of Delaware (including, without limitation, any action asserting a claim arising out of or pursuant to our amended and restated certificate of incorporation or our amended and restated bylaws) and (iv) any action asserting a claim that is governed by the internal affairs doctrine. The foregoing provision does not apply to claims arising under the Securities Act or the Securities Exchange Act or other federal securities laws for which there is exclusive federal or concurrent federal and state jurisdiction. Our stockholders cannot waive compliance with the federal securities laws and the rules and regulations thereunder.</w:t>
      </w:r>
    </w:p>
    <w:p>
      <w:pPr>
        <w:spacing w:after="0" w:line="15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Furthermore, unless we select or consent to the selection of an alternative forum, our amended and restated certificate of incorporation provides that the federal district courts of the United States of America shall be the exclusive forum for the resolution of any complaint asserting a cause of action arising under the Securities Act.</w:t>
      </w:r>
    </w:p>
    <w:p>
      <w:pPr>
        <w:spacing w:after="0" w:line="148"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By becoming a stockholder in our company, you will be deemed to have notice of and have consented to the provisions of our amended and restated certificate of incorporation related to choice of forum. The choice of forum provision in our amended and restated certificate of incorporation may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1440" w:right="519" w:bottom="1440" w:gutter="0" w:footer="0" w:header="0"/>
        </w:sectPr>
      </w:pPr>
    </w:p>
    <w:bookmarkStart w:id="63" w:name="page64"/>
    <w:bookmarkEnd w:id="63"/>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selling stockholder is selling all of the shares of common stock in this offering, and we will not receive any proceeds from the sale of the common stock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1440" w:right="439" w:bottom="1440" w:gutter="0" w:footer="0" w:header="0"/>
        </w:sectPr>
      </w:pPr>
    </w:p>
    <w:bookmarkStart w:id="64" w:name="page65"/>
    <w:bookmarkEnd w:id="6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following table sets forth our anticipated cash and cash equivalents and capitalization on a consolidated basis and on a pro forma basis as of December 31, 2020 to reflect:</w:t>
      </w:r>
    </w:p>
    <w:p>
      <w:pPr>
        <w:spacing w:after="0" w:line="14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repayment of $237 million of related-party borrowings;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issuance of $450 million of third-party debt (consisting of the Term A Loan and the Bridge Loan).</w:t>
      </w:r>
    </w:p>
    <w:p>
      <w:pPr>
        <w:spacing w:after="0" w:line="17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selling stockholder is selling all of the shares of common stock in this offering and we will not receive any proceeds from the sale of shares.</w:t>
      </w:r>
    </w:p>
    <w:p>
      <w:pPr>
        <w:spacing w:after="0" w:line="14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currently have related-party borrowings of $237 million outstanding that bear a weighted average interest rate of 6.5%. Additionally, we have access to a related-party revolving credit facility with a capacity of $450 million that bears interest at a rate of LIBOR plus 3.5%, for which there were no borrowings outstanding as of December 31, 2020. In connection with this offering, we expect to repay our related-party borrowings of $237 million in full and enter into financing arrangements providing for the issuance of $450 million of third-party debt (consisting of the Term A Loan and the Bridge Loan), as described in the section “Recapitalization.” We believe these transactions are probable as the material terms have been agreed, although there is no assurance as to the completion of these transactions. Such transactions are conditioned on the consummation of this offering</w:t>
      </w:r>
      <w:r>
        <w:rPr>
          <w:rFonts w:ascii="Arial" w:cs="Arial" w:eastAsia="Arial" w:hAnsi="Arial"/>
          <w:sz w:val="18"/>
          <w:szCs w:val="18"/>
          <w:color w:val="1F497D"/>
        </w:rPr>
        <w:t>.</w:t>
      </w:r>
    </w:p>
    <w:p>
      <w:pPr>
        <w:spacing w:after="0" w:line="153" w:lineRule="exact"/>
        <w:rPr>
          <w:sz w:val="20"/>
          <w:szCs w:val="20"/>
          <w:color w:val="auto"/>
        </w:rPr>
      </w:pPr>
    </w:p>
    <w:p>
      <w:pPr>
        <w:ind w:right="760" w:firstLine="324"/>
        <w:spacing w:after="0" w:line="256" w:lineRule="auto"/>
        <w:rPr>
          <w:sz w:val="20"/>
          <w:szCs w:val="20"/>
          <w:color w:val="auto"/>
        </w:rPr>
      </w:pPr>
      <w:r>
        <w:rPr>
          <w:rFonts w:ascii="Arial" w:cs="Arial" w:eastAsia="Arial" w:hAnsi="Arial"/>
          <w:sz w:val="18"/>
          <w:szCs w:val="18"/>
          <w:color w:val="auto"/>
        </w:rPr>
        <w:t>You should read the following table in conjunction with “Selected Historical Consolidated Financial Data,” “Unaudited Pro Forma Consolidated Financial Information,” “Management’s Discussion and Analysis of Financial Condition and Results of Operations,” “Recapitalization” and our consolidated financial statements included elsewhere in this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Historical </w:t>
            </w:r>
            <w:r>
              <w:rPr>
                <w:rFonts w:ascii="Arial" w:cs="Arial" w:eastAsia="Arial" w:hAnsi="Arial"/>
                <w:sz w:val="18"/>
                <w:szCs w:val="18"/>
                <w:b w:val="1"/>
                <w:bCs w:val="1"/>
                <w:color w:val="auto"/>
                <w:vertAlign w:val="superscript"/>
              </w:rPr>
              <w:t>(2)</w:t>
            </w:r>
          </w:p>
        </w:tc>
        <w:tc>
          <w:tcPr>
            <w:tcW w:w="28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89"/>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 Term loan due December 31, 2021</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7.5% Term loan due November 30, 2022</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Daylight term loan due October 15, 2024</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LIBOR +2.25% term loan</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Bridge loan</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Finance lease and other</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$0.01 par value: 300,000,000 shares authorized; 145,000,000 shares issued and</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980" w:type="dxa"/>
            <w:vAlign w:val="bottom"/>
            <w:shd w:val="clear" w:color="auto" w:fill="CCEEFF"/>
          </w:tcPr>
          <w:p>
            <w:pPr>
              <w:ind w:left="20"/>
              <w:spacing w:after="0" w:line="254" w:lineRule="exact"/>
              <w:rPr>
                <w:sz w:val="20"/>
                <w:szCs w:val="20"/>
                <w:color w:val="auto"/>
              </w:rPr>
            </w:pPr>
            <w:r>
              <w:rPr>
                <w:rFonts w:ascii="Arial" w:cs="Arial" w:eastAsia="Arial" w:hAnsi="Arial"/>
                <w:sz w:val="18"/>
                <w:szCs w:val="18"/>
                <w:color w:val="auto"/>
              </w:rPr>
              <w:t>outstanding</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23"/>
                <w:szCs w:val="23"/>
                <w:color w:val="auto"/>
                <w:vertAlign w:val="superscript"/>
              </w:rPr>
              <w:t>(4)</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Total capitalization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46" w:lineRule="auto"/>
        <w:tabs>
          <w:tab w:leader="none" w:pos="3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Company’s debt with related parties consists of two term loans and a working capital credit facility with US Holding, as described under “Certain Relationships and Related Party Transactions—Transactions with Leonardo S.p.A. Affiliates—Financing Arrangements.”</w:t>
      </w:r>
    </w:p>
    <w:p>
      <w:pPr>
        <w:ind w:left="340" w:hanging="332"/>
        <w:spacing w:after="0" w:line="246" w:lineRule="auto"/>
        <w:tabs>
          <w:tab w:leader="none" w:pos="3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Does not reflect $115 million of related party note receivables included in our leverage ratio. Refer to “Non-GAAP Financial Measures” within “Management’s Discussion and Analysis of Financial Condition and Results of Operations” for further discussion of the related party note receivable.</w:t>
      </w: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Net of unamortized debt issuance costs.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40"/>
          </w:cols>
          <w:pgMar w:left="320" w:top="1440" w:right="639" w:bottom="1440" w:gutter="0" w:footer="0" w:header="0"/>
        </w:sectPr>
      </w:pPr>
    </w:p>
    <w:bookmarkStart w:id="66" w:name="page67"/>
    <w:bookmarkEnd w:id="66"/>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do not currently anticipate declaring or paying regular cash dividends on our common stock in the near term. We expect that we will retain all of our future earnings for use in the operation and expansion of our business. Subject to the foregoing, the payment of cash dividends in the future, if any, will be at the discretion of our board and will depend upon such factors as our financial condition, earnings, liquidity and capital requirements, level of indebtedness, general business conditions, applicable Delaware law, which provides that dividends are only payable out of surplus or current net profits, and any other factors that our board deems relevant in making such a determination. In addition, the terms of the agreements governing the debt we have incurred or may incur may limit or prohibit the payment of dividends. Further, the proxy holders, in their capacity as directors, may vote to declare or suspend dividends only after prior consultation with US Holding. Therefore, there can be no assurance that we will pay any dividends to holders of our common stock, or as to the amount of any such dividends. See “Risk Factors—Risks Relating to Our Common Stock and This Offering—We do not expect to declare any dividends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RECAPITALIZATION</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historically operated with a capital structure that reflected our status as a wholly owned indirect subsidiary of Leonardo S.p.A. Our debt with related parties currently consists of two term loans and a working capital credit facility with US Holding, as described in “Certain Relationships and Related Party Transactions—Transactions with Leonardo S.p.A. Affiliates—Financing Arrangements.” To prepare for this offering and operation as a stand-alone public company, we have undertaken recapitalization initiatives to align our capital structure more closely with other U.S. public companies (the “Recapitalization”). In undertaking the Recapitalization, we are focused on several goals:</w:t>
      </w:r>
    </w:p>
    <w:p>
      <w:pPr>
        <w:spacing w:after="0" w:line="15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Maintaining and strengthening our credit ratings;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increased financial flexibility at the DRS level.</w:t>
      </w:r>
    </w:p>
    <w:p>
      <w:pPr>
        <w:spacing w:after="0" w:line="17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December 2020, US Holding contributed $300 million to us by converting an equal amount of borrowings outstanding under our 7.5% Term Loan (as defined in “Certain Relationships and Related Party Transactions—Transactions with Leonardo S.p.A. Affiliates—Financing Arrangements”) into additional paid in capital.</w:t>
      </w:r>
    </w:p>
    <w:p>
      <w:pPr>
        <w:spacing w:after="0" w:line="148"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In connection with the consummation of this offering, we expect to implement the following additional financing arrangements as part of our efforts to align our capital structure more closely with other U.S. public companies and achieve the goals described above:</w:t>
      </w:r>
    </w:p>
    <w:p>
      <w:pPr>
        <w:spacing w:after="0" w:line="14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repayment of $237 million of related-party borrowings;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expected issuance of $450 million of third-party debt (consisting of the Term A Loan and the Bridge Loan).</w:t>
      </w:r>
    </w:p>
    <w:p>
      <w:pPr>
        <w:spacing w:after="0" w:line="17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We believe these transactions are probable as the material terms have been agreed, although there is no assurance as to the completion of these transactions. Such transactions are conditioned on the consummation of this offering. See the sections “Capitalization” and “Unaudited Proforma Consolidated Financial Information” in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of Related-Party Borrowings</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In connection with this offering, we expect to repay all outstanding related-party borrowings including those under the credit agreement dated January 20, 2009, as amended, by and among us, certain of our subsidiaries and US Holding, and amounts outstanding under the Daylight Term Loan.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Indebtedness Following this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In connection with this offering, we expect to enter into a credit agreement providing for $300 million of senior unsecured credit facilities, consisting of a $100 million term loan facility (the Term A Loan), and a $200 million revolving credit facility. Initial borrowings under the credit facilities are subject to satisfaction of certain closing conditions, including the consummation of this offering.</w:t>
      </w:r>
    </w:p>
    <w:p>
      <w:pPr>
        <w:spacing w:after="0" w:line="14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Loans under the credit facilities will bear interest at an annual rate equal to, at our option, a base rate plus a margin ranging from 0.75% to 1.75%, or LIBOR plus a margin ranging from 1.75% to 2.75%, in either case based on our credit ratings. The credit agreement contains customary LIBOR replacement provisions for syndicated loans. We will also pay a commitment fee on the undrawn balance under the revolving credit facility at an annual rate ranging from 0.375% to 0.500% based on our credit ratings.</w:t>
      </w:r>
    </w:p>
    <w:p>
      <w:pPr>
        <w:spacing w:after="0" w:line="150"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principal of the term loan will be repaid in quarterly installments and at final maturity on the fifth anniversary of the closing date. The revolving credit facility will mature on the fifth anniversary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57"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Loans under the credit facilities may be voluntarily prepaid and commitments reduced in whole or in part at any time and from time to time without premium or penalty. The loans will be subject to mandatory prepayment upon a change of control.</w:t>
      </w:r>
    </w:p>
    <w:p>
      <w:pPr>
        <w:spacing w:after="0" w:line="14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credit agreement contains a number of covenants, including but not limited to, a maximum total net leverage ratio of 3:75 to 1:00 as of the last day of any fiscal quarter and a minimum net interest coverage ratio of 3:25 to 1:00 as of the last day of any fiscal quarter, which restrict our ability to incur additional debt; pay dividends or make other distributions; prepay, redeem or repurchase certain debt; make loans and investments; sell, transfer or otherwise dispose of assets; incur or permit to exist certain liens; enter into certain types of transactions with affiliates; enter into agreements restricting their respective subsidiaries’ ability to pay dividends; and consolidate, amalgamate, merge or sell all or substantially all of their respective assets.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obligations under the credit facilities will be guaranteed by all of our U.S. subsidiaries.</w:t>
      </w:r>
    </w:p>
    <w:p>
      <w:pPr>
        <w:spacing w:after="0" w:line="171"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A form of the credit agreement governing the credit facilities has been filed as an exhibit to the registration statement of which this prospectus forms a part.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93" w:lineRule="exact"/>
        <w:rPr>
          <w:sz w:val="20"/>
          <w:szCs w:val="20"/>
          <w:color w:val="auto"/>
        </w:rPr>
      </w:pPr>
    </w:p>
    <w:p>
      <w:pPr>
        <w:jc w:val="both"/>
        <w:ind w:right="460" w:firstLine="324"/>
        <w:spacing w:after="0" w:line="256" w:lineRule="auto"/>
        <w:rPr>
          <w:sz w:val="20"/>
          <w:szCs w:val="20"/>
          <w:color w:val="auto"/>
        </w:rPr>
      </w:pPr>
      <w:r>
        <w:rPr>
          <w:rFonts w:ascii="Arial" w:cs="Arial" w:eastAsia="Arial" w:hAnsi="Arial"/>
          <w:sz w:val="18"/>
          <w:szCs w:val="18"/>
          <w:color w:val="auto"/>
        </w:rPr>
        <w:t>In connection with this offering, we expect to enter into a credit agreement providing for the Bridge Loan, a $350 million bridge loan facility. Borrowings under the Bridge Loan will be subject to satisfaction of certain closing conditions, including the consummation of this offering.</w:t>
      </w:r>
    </w:p>
    <w:p>
      <w:pPr>
        <w:spacing w:after="0" w:line="148"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interest rate on the Bridge Loans will initially be equal to LIBOR plus 2.25% and will increase by at least 0.25% every three months after the closing date. The credit agreement contains customary LIBOR replacement provisions for syndicated loans. The Bridge Loan will also be subject to customary fees.</w:t>
      </w:r>
    </w:p>
    <w:p>
      <w:pPr>
        <w:spacing w:after="0" w:line="14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Bridge Loan will mature on the date that is 364 days after the closing date. The Bridge Loan is subject to mandatory prepayment with the proceeds of certain issuances of debt and equity securities, certain asset sales and certain insurance and condemnation events, and upon a change of control.</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credit agreement will contain a number of covenants, including but not limited to, a maximum total net leverage ratio of 3:75 to 1:00 as of the last day of any fiscal quarter and a minimum net interest coverage ratio of 3:25 to 1:00 as of the last day of any fiscal quarter, which restrict our ability to incur additional debt; pay dividends or make other distributions; prepay, redeem or repurchase certain debt; make loans and investments; sell, transfer or otherwise dispose of assets; incur or permit to exist certain liens; enter into certain types of transactions with affiliates; enter into agreements restricting their respective subsidiaries’ ability to pay dividends; and consolidate, amalgamate, merge or sell all or substantially all of their respective assets.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obligations under the Bridge Loan will be guaranteed by all of our U.S. subsidiaries.</w:t>
      </w:r>
    </w:p>
    <w:p>
      <w:pPr>
        <w:spacing w:after="0" w:line="171" w:lineRule="exact"/>
        <w:rPr>
          <w:sz w:val="20"/>
          <w:szCs w:val="20"/>
          <w:color w:val="auto"/>
        </w:rPr>
      </w:pPr>
    </w:p>
    <w:p>
      <w:pPr>
        <w:jc w:val="both"/>
        <w:ind w:right="320" w:firstLine="324"/>
        <w:spacing w:after="0" w:line="254" w:lineRule="auto"/>
        <w:rPr>
          <w:sz w:val="20"/>
          <w:szCs w:val="20"/>
          <w:color w:val="auto"/>
        </w:rPr>
      </w:pPr>
      <w:r>
        <w:rPr>
          <w:rFonts w:ascii="Arial" w:cs="Arial" w:eastAsia="Arial" w:hAnsi="Arial"/>
          <w:sz w:val="18"/>
          <w:szCs w:val="18"/>
          <w:color w:val="auto"/>
        </w:rPr>
        <w:t>We anticipate that the Bridge Loan will be repaid with the net proceeds from the issuance of unsecured senior notes in an aggregate principal amount of $350 million with an estimated maturity of five to eight years following this offering. Any such unsecured senior notes would be offered pursuant to a separate offering memorandum and nothing contained in this prospectus shall constitute an offer to sell or solicitation of an offer to buy such unsecured senior notes.</w:t>
      </w:r>
    </w:p>
    <w:p>
      <w:pPr>
        <w:spacing w:after="0" w:line="150"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A form of the credit agreement governing the bridge loan facilities has been filed as an exhibit to the registration statement of which this prospectus forms a part.</w:t>
      </w:r>
    </w:p>
    <w:p>
      <w:pPr>
        <w:spacing w:after="0" w:line="144" w:lineRule="exact"/>
        <w:rPr>
          <w:sz w:val="20"/>
          <w:szCs w:val="20"/>
          <w:color w:val="auto"/>
        </w:rPr>
      </w:pPr>
    </w:p>
    <w:p>
      <w:pPr>
        <w:ind w:right="220" w:firstLine="324"/>
        <w:spacing w:after="0" w:line="291" w:lineRule="auto"/>
        <w:rPr>
          <w:sz w:val="20"/>
          <w:szCs w:val="20"/>
          <w:color w:val="auto"/>
        </w:rPr>
      </w:pPr>
      <w:r>
        <w:rPr>
          <w:rFonts w:ascii="Arial" w:cs="Arial" w:eastAsia="Arial" w:hAnsi="Arial"/>
          <w:sz w:val="17"/>
          <w:szCs w:val="17"/>
          <w:color w:val="auto"/>
        </w:rPr>
        <w:t>For more information, see the sections “Capitalization,” “Unaudited Pro Forma Consolidated Financial Information” and “Certain Relationships and Related Party Transactions—Transactions with Leonardo S.p.A. Affiliates—Financing Arrangements”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35" w:lineRule="exact"/>
        <w:rPr>
          <w:sz w:val="20"/>
          <w:szCs w:val="20"/>
          <w:color w:val="auto"/>
        </w:rPr>
      </w:pPr>
    </w:p>
    <w:p>
      <w:pPr>
        <w:ind w:right="3060" w:firstLine="3054"/>
        <w:spacing w:after="0" w:line="451" w:lineRule="auto"/>
        <w:rPr>
          <w:sz w:val="20"/>
          <w:szCs w:val="20"/>
          <w:color w:val="auto"/>
        </w:rPr>
      </w:pPr>
      <w:r>
        <w:rPr>
          <w:rFonts w:ascii="Arial" w:cs="Arial" w:eastAsia="Arial" w:hAnsi="Arial"/>
          <w:sz w:val="18"/>
          <w:szCs w:val="18"/>
          <w:b w:val="1"/>
          <w:bCs w:val="1"/>
          <w:color w:val="auto"/>
        </w:rPr>
        <w:t>SELECTED HISTORICAL CONSOLIDATED FINANCIAL DATA Summary Historical Consolidated Financial Information of DRS</w:t>
      </w:r>
    </w:p>
    <w:p>
      <w:pPr>
        <w:ind w:right="40" w:firstLine="324"/>
        <w:spacing w:after="0" w:line="251" w:lineRule="auto"/>
        <w:rPr>
          <w:sz w:val="20"/>
          <w:szCs w:val="20"/>
          <w:color w:val="auto"/>
        </w:rPr>
      </w:pPr>
      <w:r>
        <w:rPr>
          <w:rFonts w:ascii="Arial" w:cs="Arial" w:eastAsia="Arial" w:hAnsi="Arial"/>
          <w:sz w:val="18"/>
          <w:szCs w:val="18"/>
          <w:color w:val="auto"/>
        </w:rPr>
        <w:t>The following tables present our selected consolidated financial data. The selected Consolidated Statements of Earnings (Loss) data for the years ended December 31, 2020, 2019 and 2018 and the selected Consolidated Balance Sheet data as of December 31, 2020 and 2019 are each derived from our audited Consolidated Financial Statements that are included elsewhere in this prospectus. The selected Consolidated Statements of Earnings (Loss) data for the years ended December 31, 2017 and 2016 and the selected Consolidated Balance Sheet data as of December 31, 2018, 2017 and 2016 are each derived from our unaudited Consolidated Financial Statements not included in this prospectus. The unaudited Consolidated Financial Statements have been prepared on the same basis as the audited Consolidated Financial Statements and, in the opinion of management, reflect all adjustments, consisting only of normal recurring adjustments, that are necessary for the fair presentation of our unaudited Consolidated Financial Statements. Our historical results are not necessarily indicative of the results that may be expected in the future. You should read the selected historical financial data below in conjunction with the section titled “Management’s Discussion and Analysis of Financial Condition and Results of Operations” and the financial statements and related notes included elsewhere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0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Earnings (Loss)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6"/>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2,714</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1,753</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(162)</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earnings (loss) per share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(1.12)</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51</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2,956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2,320</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1,175</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341</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6"/>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12</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70"/>
        </w:trPr>
        <w:tc>
          <w:tcPr>
            <w:tcW w:w="38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151</w:t>
            </w: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70"/>
        </w:trPr>
        <w:tc>
          <w:tcPr>
            <w:tcW w:w="3880" w:type="dxa"/>
            <w:vAlign w:val="bottom"/>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3,291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2,147</w:t>
            </w:r>
          </w:p>
        </w:tc>
      </w:tr>
      <w:tr>
        <w:trPr>
          <w:trHeight w:val="191"/>
        </w:trPr>
        <w:tc>
          <w:tcPr>
            <w:tcW w:w="3880" w:type="dxa"/>
            <w:vAlign w:val="bottom"/>
          </w:tcPr>
          <w:p>
            <w:pPr>
              <w:spacing w:after="0"/>
              <w:rPr>
                <w:sz w:val="20"/>
                <w:szCs w:val="20"/>
                <w:color w:val="auto"/>
              </w:rPr>
            </w:pPr>
            <w:r>
              <w:rPr>
                <w:rFonts w:ascii="Arial" w:cs="Arial" w:eastAsia="Arial" w:hAnsi="Arial"/>
                <w:sz w:val="16"/>
                <w:szCs w:val="16"/>
                <w:color w:val="auto"/>
              </w:rPr>
              <w:t>________________</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ind w:left="320" w:hanging="312"/>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5" w:lineRule="exact"/>
        <w:rPr>
          <w:rFonts w:ascii="Arial" w:cs="Arial" w:eastAsia="Arial" w:hAnsi="Arial"/>
          <w:sz w:val="16"/>
          <w:szCs w:val="16"/>
          <w:color w:val="auto"/>
        </w:rPr>
      </w:pPr>
    </w:p>
    <w:p>
      <w:pPr>
        <w:ind w:left="340" w:right="20" w:hanging="332"/>
        <w:spacing w:after="0" w:line="250"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Adjusted EBITDA, Adjusted EBITDA Margin and free cash flow are non-GAAP measures. Refer to “Management’s Discussion and Analysis of Financial Condition and Results of Operations—Key Financial and Operating Measures—Non-GAAP Financial Measures” for definitions and additional discussion of management’s use of non-GAAP measures as supplemental financial measures. Adjusted EBITDA, Adjusted EBITDA Margin and free cash flow may not be comparable to similarly titled non-GAAP measures of other companies as other companies may have calculated the measures differently. The reconciliations of net earnings (loss) to Adjusted EBITDA and net cash provided by operating activities to free cash flow are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60" w:lineRule="exact"/>
        <w:rPr>
          <w:sz w:val="20"/>
          <w:szCs w:val="20"/>
          <w:color w:val="auto"/>
        </w:rPr>
      </w:pPr>
    </w:p>
    <w:p>
      <w:pPr>
        <w:ind w:left="340" w:right="340" w:hanging="332"/>
        <w:spacing w:after="0" w:line="260" w:lineRule="auto"/>
        <w:tabs>
          <w:tab w:leader="none" w:pos="3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Operations—Key Financial and Operating Measures” for the definition and additional discussion of management’s use of backlog as a key operating and financial measure.</w:t>
      </w:r>
    </w:p>
    <w:p>
      <w:pPr>
        <w:spacing w:after="0" w:line="1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reconciliation between Net earnings (loss) and Adjusted EBITDA is shown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0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Acquisition and disposition related costs</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COVID-19 response costs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pension expense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Other one-time non-operational events</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________________</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 w:lineRule="exact"/>
        <w:rPr>
          <w:sz w:val="20"/>
          <w:szCs w:val="20"/>
          <w:color w:val="auto"/>
        </w:rPr>
      </w:pPr>
    </w:p>
    <w:p>
      <w:pPr>
        <w:ind w:left="340" w:right="360" w:hanging="332"/>
        <w:spacing w:after="0" w:line="260"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one-time non-operational events for the year ended December 31, 2016 consists of a $64 million non-cash goodwill impairment charge in our Network Computing &amp; Communication segment and a $26 million loss on the disposal of a business.</w:t>
      </w:r>
    </w:p>
    <w:p>
      <w:pPr>
        <w:spacing w:after="0" w:line="1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reconciliation between Net cash provided by operating activities and Free cash flow is shown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1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9"/>
              </w:rPr>
              <w:t>12</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center"/>
              <w:ind w:left="574"/>
              <w:spacing w:after="0"/>
              <w:rPr>
                <w:sz w:val="20"/>
                <w:szCs w:val="20"/>
                <w:color w:val="auto"/>
              </w:rPr>
            </w:pPr>
            <w:r>
              <w:rPr>
                <w:rFonts w:ascii="Arial" w:cs="Arial" w:eastAsia="Arial" w:hAnsi="Arial"/>
                <w:sz w:val="18"/>
                <w:szCs w:val="18"/>
                <w:color w:val="auto"/>
                <w:w w:val="99"/>
              </w:rPr>
              <w:t>(32)</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9"/>
              </w:rPr>
              <w:t>10</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574"/>
              <w:spacing w:after="0"/>
              <w:rPr>
                <w:sz w:val="20"/>
                <w:szCs w:val="20"/>
                <w:color w:val="auto"/>
              </w:rPr>
            </w:pPr>
            <w:r>
              <w:rPr>
                <w:rFonts w:ascii="Arial" w:cs="Arial" w:eastAsia="Arial" w:hAnsi="Arial"/>
                <w:sz w:val="18"/>
                <w:szCs w:val="18"/>
                <w:color w:val="auto"/>
                <w:w w:val="99"/>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9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 following unaudited pro forma consolidated financial information of DRS consists of the unaudited pro forma consolidated statement of earnings for the year ended December 31, 2020 and an unaudited pro forma consolidated balance sheet as of December 31, 2020, which have been derived from our historical consolidated financial statements included elsewhere in this information statement.</w:t>
      </w:r>
    </w:p>
    <w:p>
      <w:pPr>
        <w:spacing w:after="0" w:line="14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unaudited pro forma consolidated statement of earnings gives effect to the Pro Forma Transactions (as defined below) as if they occurred on January 1, 2020, the beginning of the most recently completed fiscal year. The unaudited pro forma consolidated balance sheet gives effect to the Pro Forma Transactions as if they occurred as of December 31, 2020, our latest balance sheet date.</w:t>
      </w:r>
    </w:p>
    <w:p>
      <w:pPr>
        <w:spacing w:after="0" w:line="14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The pro forma financial information has been prepared in accordance with Regulation S-X Article 11, Pro Forma Financial Information, as amended by the final rule, </w:t>
      </w:r>
      <w:r>
        <w:rPr>
          <w:rFonts w:ascii="Arial" w:cs="Arial" w:eastAsia="Arial" w:hAnsi="Arial"/>
          <w:sz w:val="18"/>
          <w:szCs w:val="18"/>
          <w:i w:val="1"/>
          <w:iCs w:val="1"/>
          <w:color w:val="auto"/>
        </w:rPr>
        <w:t>Release No.33-10786; Amendments to Financial Disclosures About Acquired and Disposed Businesses</w:t>
      </w:r>
      <w:r>
        <w:rPr>
          <w:rFonts w:ascii="Arial" w:cs="Arial" w:eastAsia="Arial" w:hAnsi="Arial"/>
          <w:sz w:val="18"/>
          <w:szCs w:val="18"/>
          <w:color w:val="auto"/>
        </w:rPr>
        <w:t>, as adopted by the U.S. Securities and Exchange Commission (the “SEC”) on May 21, 2020 (“Article 11”). The pro forma adjustments include transaction accounting adjustments that reflect the accounting for transactions in accordance with U.S. GAAP. The following unaudited pro forma consolidated financial information illustrates the effects of the following transactions (collectively, the “Pro Forma Transactions”):</w:t>
      </w:r>
    </w:p>
    <w:p>
      <w:pPr>
        <w:spacing w:after="0" w:line="151" w:lineRule="exact"/>
        <w:rPr>
          <w:sz w:val="20"/>
          <w:szCs w:val="20"/>
          <w:color w:val="auto"/>
        </w:rPr>
      </w:pPr>
    </w:p>
    <w:p>
      <w:pPr>
        <w:ind w:left="660" w:right="30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issuance of approximately $450 million of third-party debt (consisting of the Term A Loan and the Bridge Loan) at an expected weighted-average interest rate of 2.9%;</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repayment of all of our outstanding related-party borrowings;</w:t>
      </w:r>
    </w:p>
    <w:p>
      <w:pPr>
        <w:spacing w:after="0" w:line="171"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anticipated issuance of share-based awards upon the closing of this offering to certain individuals, including members of our senior management (“IPO Grants”);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transaction costs expected to be incurred as a result of the offering that are not yet reflected in the historical financial statements.</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unaudited pro forma consolidated financial information is for illustrative purposes only and does not purport to represent what DRS’s financial position and results of operations actually would have been had the offering and related transactions occurred on the dates indicated, or to project DRS’s financial performance for any future period. The unaudited pro forma consolidated financial information is based on information and assumptions which are described in the accompanying notes.</w:t>
      </w:r>
    </w:p>
    <w:p>
      <w:pPr>
        <w:spacing w:after="0" w:line="15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unaudited pro forma consolidated financial information and the related notes should be read in conjunction with “Risk Factors,” “Use of Proceeds,” “Capitalization,” “Selected Historical Consolidated Financial Data,” “Management’s Discussion and Analysis of Financial Condition and Results of Operations,” “Certain Relationships and Related Party Transactions” and our audited consolidated financial statements and the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85"/>
              <w:spacing w:after="0"/>
              <w:rPr>
                <w:sz w:val="20"/>
                <w:szCs w:val="20"/>
                <w:color w:val="auto"/>
              </w:rPr>
            </w:pPr>
            <w:r>
              <w:rPr>
                <w:rFonts w:ascii="Arial" w:cs="Arial" w:eastAsia="Arial" w:hAnsi="Arial"/>
                <w:sz w:val="13"/>
                <w:szCs w:val="13"/>
                <w:b w:val="1"/>
                <w:bCs w:val="1"/>
                <w:color w:val="auto"/>
                <w:w w:val="97"/>
              </w:rPr>
              <w:t>Transaction</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Other Transaction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8"/>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85"/>
              <w:spacing w:after="0"/>
              <w:rPr>
                <w:sz w:val="20"/>
                <w:szCs w:val="20"/>
                <w:color w:val="auto"/>
              </w:rPr>
            </w:pPr>
            <w:r>
              <w:rPr>
                <w:rFonts w:ascii="Arial" w:cs="Arial" w:eastAsia="Arial" w:hAnsi="Arial"/>
                <w:sz w:val="13"/>
                <w:szCs w:val="13"/>
                <w:b w:val="1"/>
                <w:bCs w:val="1"/>
                <w:color w:val="auto"/>
                <w:w w:val="95"/>
              </w:rPr>
              <w:t>Accounting</w:t>
            </w:r>
          </w:p>
        </w:tc>
        <w:tc>
          <w:tcPr>
            <w:tcW w:w="10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Footnote</w:t>
            </w:r>
          </w:p>
        </w:tc>
        <w:tc>
          <w:tcPr>
            <w:tcW w:w="160" w:type="dxa"/>
            <w:vAlign w:val="bottom"/>
          </w:tcPr>
          <w:p>
            <w:pPr>
              <w:spacing w:after="0"/>
              <w:rPr>
                <w:sz w:val="12"/>
                <w:szCs w:val="12"/>
                <w:color w:val="auto"/>
              </w:rPr>
            </w:pPr>
          </w:p>
        </w:tc>
        <w:tc>
          <w:tcPr>
            <w:tcW w:w="1040" w:type="dxa"/>
            <w:vAlign w:val="bottom"/>
          </w:tcPr>
          <w:p>
            <w:pPr>
              <w:jc w:val="center"/>
              <w:ind w:right="84"/>
              <w:spacing w:after="0"/>
              <w:rPr>
                <w:sz w:val="20"/>
                <w:szCs w:val="20"/>
                <w:color w:val="auto"/>
              </w:rPr>
            </w:pPr>
            <w:r>
              <w:rPr>
                <w:rFonts w:ascii="Arial" w:cs="Arial" w:eastAsia="Arial" w:hAnsi="Arial"/>
                <w:sz w:val="13"/>
                <w:szCs w:val="13"/>
                <w:b w:val="1"/>
                <w:bCs w:val="1"/>
                <w:color w:val="auto"/>
                <w:w w:val="95"/>
              </w:rPr>
              <w:t>Accounting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right"/>
              <w:ind w:right="464"/>
              <w:spacing w:after="0"/>
              <w:rPr>
                <w:sz w:val="20"/>
                <w:szCs w:val="20"/>
                <w:color w:val="auto"/>
              </w:rPr>
            </w:pPr>
            <w:r>
              <w:rPr>
                <w:rFonts w:ascii="Arial" w:cs="Arial" w:eastAsia="Arial" w:hAnsi="Arial"/>
                <w:sz w:val="13"/>
                <w:szCs w:val="13"/>
                <w:b w:val="1"/>
                <w:bCs w:val="1"/>
                <w:color w:val="auto"/>
              </w:rPr>
              <w:t>Footnote</w:t>
            </w:r>
          </w:p>
        </w:tc>
        <w:tc>
          <w:tcPr>
            <w:tcW w:w="1080" w:type="dxa"/>
            <w:vAlign w:val="bottom"/>
          </w:tcPr>
          <w:p>
            <w:pPr>
              <w:spacing w:after="0"/>
              <w:rPr>
                <w:sz w:val="12"/>
                <w:szCs w:val="12"/>
                <w:color w:val="auto"/>
              </w:rPr>
            </w:pPr>
          </w:p>
        </w:tc>
      </w:tr>
      <w:tr>
        <w:trPr>
          <w:trHeight w:val="168"/>
        </w:trPr>
        <w:tc>
          <w:tcPr>
            <w:tcW w:w="3540" w:type="dxa"/>
            <w:vAlign w:val="bottom"/>
          </w:tcPr>
          <w:p>
            <w:pPr>
              <w:ind w:left="20"/>
              <w:spacing w:after="0"/>
              <w:rPr>
                <w:sz w:val="20"/>
                <w:szCs w:val="20"/>
                <w:color w:val="auto"/>
              </w:rPr>
            </w:pPr>
            <w:r>
              <w:rPr>
                <w:rFonts w:ascii="Arial" w:cs="Arial" w:eastAsia="Arial" w:hAnsi="Arial"/>
                <w:sz w:val="13"/>
                <w:szCs w:val="13"/>
                <w:color w:val="auto"/>
              </w:rPr>
              <w:t>(Dollars in millions)</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Historical DRS</w:t>
            </w:r>
          </w:p>
        </w:tc>
        <w:tc>
          <w:tcPr>
            <w:tcW w:w="160" w:type="dxa"/>
            <w:vAlign w:val="bottom"/>
          </w:tcPr>
          <w:p>
            <w:pPr>
              <w:spacing w:after="0"/>
              <w:rPr>
                <w:sz w:val="14"/>
                <w:szCs w:val="14"/>
                <w:color w:val="auto"/>
              </w:rPr>
            </w:pPr>
          </w:p>
        </w:tc>
        <w:tc>
          <w:tcPr>
            <w:tcW w:w="1040" w:type="dxa"/>
            <w:vAlign w:val="bottom"/>
          </w:tcPr>
          <w:p>
            <w:pPr>
              <w:jc w:val="center"/>
              <w:ind w:right="85"/>
              <w:spacing w:after="0"/>
              <w:rPr>
                <w:sz w:val="20"/>
                <w:szCs w:val="20"/>
                <w:color w:val="auto"/>
              </w:rPr>
            </w:pPr>
            <w:r>
              <w:rPr>
                <w:rFonts w:ascii="Arial" w:cs="Arial" w:eastAsia="Arial" w:hAnsi="Arial"/>
                <w:sz w:val="13"/>
                <w:szCs w:val="13"/>
                <w:b w:val="1"/>
                <w:bCs w:val="1"/>
                <w:color w:val="auto"/>
                <w:w w:val="96"/>
              </w:rPr>
              <w:t>Adjustments</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Reference</w:t>
            </w:r>
          </w:p>
        </w:tc>
        <w:tc>
          <w:tcPr>
            <w:tcW w:w="160" w:type="dxa"/>
            <w:vAlign w:val="bottom"/>
          </w:tcPr>
          <w:p>
            <w:pPr>
              <w:spacing w:after="0"/>
              <w:rPr>
                <w:sz w:val="14"/>
                <w:szCs w:val="14"/>
                <w:color w:val="auto"/>
              </w:rPr>
            </w:pPr>
          </w:p>
        </w:tc>
        <w:tc>
          <w:tcPr>
            <w:tcW w:w="1040" w:type="dxa"/>
            <w:vAlign w:val="bottom"/>
          </w:tcPr>
          <w:p>
            <w:pPr>
              <w:jc w:val="center"/>
              <w:ind w:right="84"/>
              <w:spacing w:after="0"/>
              <w:rPr>
                <w:sz w:val="20"/>
                <w:szCs w:val="20"/>
                <w:color w:val="auto"/>
              </w:rPr>
            </w:pPr>
            <w:r>
              <w:rPr>
                <w:rFonts w:ascii="Arial" w:cs="Arial" w:eastAsia="Arial" w:hAnsi="Arial"/>
                <w:sz w:val="13"/>
                <w:szCs w:val="13"/>
                <w:b w:val="1"/>
                <w:bCs w:val="1"/>
                <w:color w:val="auto"/>
                <w:w w:val="96"/>
              </w:rPr>
              <w:t>Adjustments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right"/>
              <w:ind w:right="444"/>
              <w:spacing w:after="0"/>
              <w:rPr>
                <w:sz w:val="20"/>
                <w:szCs w:val="20"/>
                <w:color w:val="auto"/>
              </w:rPr>
            </w:pPr>
            <w:r>
              <w:rPr>
                <w:rFonts w:ascii="Arial" w:cs="Arial" w:eastAsia="Arial" w:hAnsi="Arial"/>
                <w:sz w:val="13"/>
                <w:szCs w:val="13"/>
                <w:b w:val="1"/>
                <w:bCs w:val="1"/>
                <w:color w:val="auto"/>
                <w:w w:val="98"/>
              </w:rPr>
              <w:t>Reference</w:t>
            </w:r>
          </w:p>
        </w:tc>
        <w:tc>
          <w:tcPr>
            <w:tcW w:w="1080" w:type="dxa"/>
            <w:vAlign w:val="bottom"/>
          </w:tcPr>
          <w:p>
            <w:pPr>
              <w:jc w:val="right"/>
              <w:ind w:right="44"/>
              <w:spacing w:after="0"/>
              <w:rPr>
                <w:sz w:val="20"/>
                <w:szCs w:val="20"/>
                <w:color w:val="auto"/>
              </w:rPr>
            </w:pPr>
            <w:r>
              <w:rPr>
                <w:rFonts w:ascii="Arial" w:cs="Arial" w:eastAsia="Arial" w:hAnsi="Arial"/>
                <w:sz w:val="13"/>
                <w:szCs w:val="13"/>
                <w:b w:val="1"/>
                <w:bCs w:val="1"/>
                <w:color w:val="auto"/>
                <w:w w:val="94"/>
              </w:rPr>
              <w:t>Pro Forma Total</w:t>
            </w:r>
          </w:p>
        </w:tc>
      </w:tr>
      <w:tr>
        <w:trPr>
          <w:trHeight w:val="29"/>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Current assets: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265</w:t>
            </w: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Accounts receivable, net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Contract assets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672</w:t>
            </w: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Inventories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247</w:t>
            </w: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Related party note receivable</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w:t>
            </w: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Prepaid expenses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202"/>
        </w:trPr>
        <w:tc>
          <w:tcPr>
            <w:tcW w:w="354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1,263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ind w:left="82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1,467</w:t>
            </w:r>
          </w:p>
        </w:tc>
      </w:tr>
      <w:tr>
        <w:trPr>
          <w:trHeight w:val="22"/>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Noncurrent assets: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Property plant and equipment, net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355</w:t>
            </w: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1,057</w:t>
            </w: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w:t>
            </w: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(b)</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22"/>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noncurrent assets</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1,695</w:t>
            </w:r>
          </w:p>
        </w:tc>
      </w:tr>
      <w:tr>
        <w:trPr>
          <w:trHeight w:val="223"/>
        </w:trPr>
        <w:tc>
          <w:tcPr>
            <w:tcW w:w="354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3,162</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3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b w:val="1"/>
                <w:bCs w:val="1"/>
                <w:color w:val="auto"/>
              </w:rPr>
              <w:t>LIABILITIES AND SHAREHOLDER'S 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5"/>
                <w:szCs w:val="15"/>
                <w:color w:val="auto"/>
              </w:rPr>
              <w:t>Short-term borrowings and current portion of long-</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4"/>
        </w:trPr>
        <w:tc>
          <w:tcPr>
            <w:tcW w:w="3540" w:type="dxa"/>
            <w:vAlign w:val="bottom"/>
          </w:tcPr>
          <w:p>
            <w:pPr>
              <w:ind w:left="20"/>
              <w:spacing w:after="0"/>
              <w:rPr>
                <w:sz w:val="20"/>
                <w:szCs w:val="20"/>
                <w:color w:val="auto"/>
              </w:rPr>
            </w:pPr>
            <w:r>
              <w:rPr>
                <w:rFonts w:ascii="Arial" w:cs="Arial" w:eastAsia="Arial" w:hAnsi="Arial"/>
                <w:sz w:val="15"/>
                <w:szCs w:val="15"/>
                <w:color w:val="auto"/>
              </w:rPr>
              <w:t>term debt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328</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(c)</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381</w:t>
            </w: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Accounts payable</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478</w:t>
            </w: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Contract liabilities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177</w:t>
            </w: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w:t>
            </w:r>
          </w:p>
        </w:tc>
      </w:tr>
      <w:tr>
        <w:trPr>
          <w:trHeight w:val="201"/>
        </w:trPr>
        <w:tc>
          <w:tcPr>
            <w:tcW w:w="354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975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1,303</w:t>
            </w:r>
          </w:p>
        </w:tc>
      </w:tr>
      <w:tr>
        <w:trPr>
          <w:trHeight w:val="22"/>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Noncurrent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(c)</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256</w:t>
            </w: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9"/>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Pension and other postretirement benefit plan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w:t>
            </w: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Other noncurrent liabilities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2"/>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noncurrent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436</w:t>
            </w:r>
          </w:p>
        </w:tc>
      </w:tr>
      <w:tr>
        <w:trPr>
          <w:trHeight w:val="188"/>
        </w:trPr>
        <w:tc>
          <w:tcPr>
            <w:tcW w:w="354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Shareholder's equity:</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9"/>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Stock, $0.01 par value, 10,000,000</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6"/>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shares authorized; none issued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3540" w:type="dxa"/>
            <w:vAlign w:val="bottom"/>
          </w:tcPr>
          <w:p>
            <w:pPr>
              <w:ind w:left="20"/>
              <w:spacing w:after="0"/>
              <w:rPr>
                <w:sz w:val="20"/>
                <w:szCs w:val="20"/>
                <w:color w:val="auto"/>
              </w:rPr>
            </w:pPr>
            <w:r>
              <w:rPr>
                <w:rFonts w:ascii="Arial" w:cs="Arial" w:eastAsia="Arial" w:hAnsi="Arial"/>
                <w:sz w:val="15"/>
                <w:szCs w:val="15"/>
                <w:color w:val="auto"/>
              </w:rPr>
              <w:t>Common stock, $0.01 par value: 300,000,000</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75"/>
        </w:trPr>
        <w:tc>
          <w:tcPr>
            <w:tcW w:w="3540" w:type="dxa"/>
            <w:vAlign w:val="bottom"/>
          </w:tcPr>
          <w:p>
            <w:pPr>
              <w:ind w:left="180"/>
              <w:spacing w:after="0"/>
              <w:rPr>
                <w:sz w:val="20"/>
                <w:szCs w:val="20"/>
                <w:color w:val="auto"/>
              </w:rPr>
            </w:pPr>
            <w:r>
              <w:rPr>
                <w:rFonts w:ascii="Arial" w:cs="Arial" w:eastAsia="Arial" w:hAnsi="Arial"/>
                <w:sz w:val="15"/>
                <w:szCs w:val="15"/>
                <w:color w:val="auto"/>
              </w:rPr>
              <w:t>shares authorized; 145,000,000 shares issued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5"/>
                <w:szCs w:val="15"/>
                <w:color w:val="auto"/>
              </w:rPr>
              <w:t>and outstanding</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2"/>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4,633</w:t>
            </w:r>
          </w:p>
        </w:tc>
      </w:tr>
      <w:tr>
        <w:trPr>
          <w:trHeight w:val="208"/>
        </w:trPr>
        <w:tc>
          <w:tcPr>
            <w:tcW w:w="3540" w:type="dxa"/>
            <w:vAlign w:val="bottom"/>
          </w:tcPr>
          <w:p>
            <w:pPr>
              <w:ind w:left="20"/>
              <w:spacing w:after="0"/>
              <w:rPr>
                <w:sz w:val="20"/>
                <w:szCs w:val="20"/>
                <w:color w:val="auto"/>
              </w:rPr>
            </w:pPr>
            <w:r>
              <w:rPr>
                <w:rFonts w:ascii="Arial" w:cs="Arial" w:eastAsia="Arial" w:hAnsi="Arial"/>
                <w:sz w:val="15"/>
                <w:szCs w:val="15"/>
                <w:color w:val="auto"/>
              </w:rPr>
              <w:t>Accumulated deficit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color w:val="auto"/>
              </w:rPr>
              <w:t>(d)</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(3,141)</w:t>
            </w:r>
          </w:p>
        </w:tc>
      </w:tr>
      <w:tr>
        <w:trPr>
          <w:trHeight w:val="21"/>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w:t>
            </w:r>
          </w:p>
        </w:tc>
      </w:tr>
      <w:tr>
        <w:trPr>
          <w:trHeight w:val="201"/>
        </w:trPr>
        <w:tc>
          <w:tcPr>
            <w:tcW w:w="3540" w:type="dxa"/>
            <w:vAlign w:val="bottom"/>
          </w:tcPr>
          <w:p>
            <w:pPr>
              <w:ind w:left="20"/>
              <w:spacing w:after="0"/>
              <w:rPr>
                <w:sz w:val="20"/>
                <w:szCs w:val="20"/>
                <w:color w:val="auto"/>
              </w:rPr>
            </w:pPr>
            <w:r>
              <w:rPr>
                <w:rFonts w:ascii="Arial" w:cs="Arial" w:eastAsia="Arial" w:hAnsi="Arial"/>
                <w:sz w:val="15"/>
                <w:szCs w:val="15"/>
                <w:color w:val="auto"/>
              </w:rPr>
              <w:t>Total shareholder's equity</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ind w:left="82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1,423</w:t>
            </w:r>
          </w:p>
        </w:tc>
      </w:tr>
      <w:tr>
        <w:trPr>
          <w:trHeight w:val="21"/>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82"/>
              <w:spacing w:after="0"/>
              <w:rPr>
                <w:sz w:val="20"/>
                <w:szCs w:val="20"/>
                <w:color w:val="auto"/>
              </w:rPr>
            </w:pPr>
            <w:r>
              <w:rPr>
                <w:rFonts w:ascii="Arial" w:cs="Arial" w:eastAsia="Arial" w:hAnsi="Arial"/>
                <w:sz w:val="13"/>
                <w:szCs w:val="13"/>
                <w:b w:val="1"/>
                <w:bCs w:val="1"/>
                <w:color w:val="auto"/>
                <w:w w:val="97"/>
              </w:rPr>
              <w:t>Transaction</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Other Transaction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8"/>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82"/>
              <w:spacing w:after="0"/>
              <w:rPr>
                <w:sz w:val="20"/>
                <w:szCs w:val="20"/>
                <w:color w:val="auto"/>
              </w:rPr>
            </w:pPr>
            <w:r>
              <w:rPr>
                <w:rFonts w:ascii="Arial" w:cs="Arial" w:eastAsia="Arial" w:hAnsi="Arial"/>
                <w:sz w:val="13"/>
                <w:szCs w:val="13"/>
                <w:b w:val="1"/>
                <w:bCs w:val="1"/>
                <w:color w:val="auto"/>
                <w:w w:val="95"/>
              </w:rPr>
              <w:t>Accounting</w:t>
            </w: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Footnote</w:t>
            </w:r>
          </w:p>
        </w:tc>
        <w:tc>
          <w:tcPr>
            <w:tcW w:w="180" w:type="dxa"/>
            <w:vAlign w:val="bottom"/>
          </w:tcPr>
          <w:p>
            <w:pPr>
              <w:spacing w:after="0"/>
              <w:rPr>
                <w:sz w:val="12"/>
                <w:szCs w:val="12"/>
                <w:color w:val="auto"/>
              </w:rPr>
            </w:pPr>
          </w:p>
        </w:tc>
        <w:tc>
          <w:tcPr>
            <w:tcW w:w="1040" w:type="dxa"/>
            <w:vAlign w:val="bottom"/>
          </w:tcPr>
          <w:p>
            <w:pPr>
              <w:jc w:val="center"/>
              <w:ind w:right="101"/>
              <w:spacing w:after="0"/>
              <w:rPr>
                <w:sz w:val="20"/>
                <w:szCs w:val="20"/>
                <w:color w:val="auto"/>
              </w:rPr>
            </w:pPr>
            <w:r>
              <w:rPr>
                <w:rFonts w:ascii="Arial" w:cs="Arial" w:eastAsia="Arial" w:hAnsi="Arial"/>
                <w:sz w:val="13"/>
                <w:szCs w:val="13"/>
                <w:b w:val="1"/>
                <w:bCs w:val="1"/>
                <w:color w:val="auto"/>
                <w:w w:val="97"/>
              </w:rPr>
              <w:t>Accounting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Footnote</w:t>
            </w:r>
          </w:p>
        </w:tc>
        <w:tc>
          <w:tcPr>
            <w:tcW w:w="1260" w:type="dxa"/>
            <w:vAlign w:val="bottom"/>
          </w:tcPr>
          <w:p>
            <w:pPr>
              <w:spacing w:after="0"/>
              <w:rPr>
                <w:sz w:val="12"/>
                <w:szCs w:val="12"/>
                <w:color w:val="auto"/>
              </w:rPr>
            </w:pPr>
          </w:p>
        </w:tc>
      </w:tr>
      <w:tr>
        <w:trPr>
          <w:trHeight w:val="168"/>
        </w:trPr>
        <w:tc>
          <w:tcPr>
            <w:tcW w:w="3320" w:type="dxa"/>
            <w:vAlign w:val="bottom"/>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Historical DRS</w:t>
            </w:r>
          </w:p>
        </w:tc>
        <w:tc>
          <w:tcPr>
            <w:tcW w:w="160" w:type="dxa"/>
            <w:vAlign w:val="bottom"/>
          </w:tcPr>
          <w:p>
            <w:pPr>
              <w:spacing w:after="0"/>
              <w:rPr>
                <w:sz w:val="14"/>
                <w:szCs w:val="14"/>
                <w:color w:val="auto"/>
              </w:rPr>
            </w:pPr>
          </w:p>
        </w:tc>
        <w:tc>
          <w:tcPr>
            <w:tcW w:w="104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Adjustments</w:t>
            </w: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Reference</w:t>
            </w:r>
          </w:p>
        </w:tc>
        <w:tc>
          <w:tcPr>
            <w:tcW w:w="180" w:type="dxa"/>
            <w:vAlign w:val="bottom"/>
          </w:tcPr>
          <w:p>
            <w:pPr>
              <w:spacing w:after="0"/>
              <w:rPr>
                <w:sz w:val="14"/>
                <w:szCs w:val="14"/>
                <w:color w:val="auto"/>
              </w:rPr>
            </w:pPr>
          </w:p>
        </w:tc>
        <w:tc>
          <w:tcPr>
            <w:tcW w:w="1040" w:type="dxa"/>
            <w:vAlign w:val="bottom"/>
          </w:tcPr>
          <w:p>
            <w:pPr>
              <w:jc w:val="center"/>
              <w:ind w:right="81"/>
              <w:spacing w:after="0"/>
              <w:rPr>
                <w:sz w:val="20"/>
                <w:szCs w:val="20"/>
                <w:color w:val="auto"/>
              </w:rPr>
            </w:pPr>
            <w:r>
              <w:rPr>
                <w:rFonts w:ascii="Arial" w:cs="Arial" w:eastAsia="Arial" w:hAnsi="Arial"/>
                <w:sz w:val="13"/>
                <w:szCs w:val="13"/>
                <w:b w:val="1"/>
                <w:bCs w:val="1"/>
                <w:color w:val="auto"/>
                <w:w w:val="96"/>
              </w:rPr>
              <w:t>Adjustments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w w:val="95"/>
              </w:rPr>
              <w:t>Reference</w:t>
            </w:r>
          </w:p>
        </w:tc>
        <w:tc>
          <w:tcPr>
            <w:tcW w:w="1260" w:type="dxa"/>
            <w:vAlign w:val="bottom"/>
          </w:tcPr>
          <w:p>
            <w:pPr>
              <w:jc w:val="right"/>
              <w:ind w:right="160"/>
              <w:spacing w:after="0"/>
              <w:rPr>
                <w:sz w:val="20"/>
                <w:szCs w:val="20"/>
                <w:color w:val="auto"/>
              </w:rPr>
            </w:pPr>
            <w:r>
              <w:rPr>
                <w:rFonts w:ascii="Arial" w:cs="Arial" w:eastAsia="Arial" w:hAnsi="Arial"/>
                <w:sz w:val="13"/>
                <w:szCs w:val="13"/>
                <w:b w:val="1"/>
                <w:bCs w:val="1"/>
                <w:color w:val="auto"/>
              </w:rPr>
              <w:t>Pro Forma Total</w:t>
            </w:r>
          </w:p>
        </w:tc>
      </w:tr>
      <w:tr>
        <w:trPr>
          <w:trHeight w:val="29"/>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Products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2,412</w:t>
            </w:r>
          </w:p>
        </w:tc>
      </w:tr>
      <w:tr>
        <w:trPr>
          <w:trHeight w:val="24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3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w:t>
            </w: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Products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4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3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 of revenues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r>
      <w:tr>
        <w:trPr>
          <w:trHeight w:val="23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auto"/>
              </w:rPr>
              <w:t>(e)</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(f)</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intangibles</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operating expenses, net</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earnings</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91"/>
              </w:rPr>
              <w:t>(g)</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Earnings (loss) before taxes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23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(h)</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Net earnings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Net earnings per share of common stock</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r>
      <w:tr>
        <w:trPr>
          <w:trHeight w:val="240"/>
        </w:trPr>
        <w:tc>
          <w:tcPr>
            <w:tcW w:w="33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0.74</w:t>
            </w:r>
          </w:p>
        </w:tc>
      </w:tr>
      <w:tr>
        <w:trPr>
          <w:trHeight w:val="201"/>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outstanding:</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(i)</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145,000,000</w:t>
            </w: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145,125,000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UNAUDITED PRO FORMA CONSOLIDATED FINANCIAL INFORMATION</w:t>
      </w:r>
    </w:p>
    <w:p>
      <w:pPr>
        <w:spacing w:after="0" w:line="19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The unaudited pro forma consolidated financial information as of and for the year ended December 31, 2020 include the following adjustments: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Unaudited Pro Forma Consolidated Balance Sheet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Cash and Cash Equivalents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pro forma adjustments to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126365</wp:posOffset>
            </wp:positionV>
            <wp:extent cx="1011555"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1555" cy="42862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ind w:right="36"/>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received from proceeds of the New Debt, as described in </w:t>
            </w:r>
            <w:r>
              <w:rPr>
                <w:rFonts w:ascii="Arial" w:cs="Arial" w:eastAsia="Arial" w:hAnsi="Arial"/>
                <w:sz w:val="23"/>
                <w:szCs w:val="23"/>
                <w:color w:val="auto"/>
                <w:vertAlign w:val="superscript"/>
              </w:rPr>
              <w:t>(c)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9660" w:type="dxa"/>
            <w:vAlign w:val="bottom"/>
          </w:tcPr>
          <w:p>
            <w:pPr>
              <w:ind w:left="40"/>
              <w:spacing w:after="0"/>
              <w:rPr>
                <w:sz w:val="20"/>
                <w:szCs w:val="20"/>
                <w:color w:val="auto"/>
              </w:rPr>
            </w:pPr>
            <w:r>
              <w:rPr>
                <w:rFonts w:ascii="Arial" w:cs="Arial" w:eastAsia="Arial" w:hAnsi="Arial"/>
                <w:sz w:val="18"/>
                <w:szCs w:val="18"/>
                <w:color w:val="auto"/>
              </w:rPr>
              <w:t xml:space="preserve">Cash paid for the New Debt financing transaction costs, as described in </w:t>
            </w:r>
            <w:r>
              <w:rPr>
                <w:rFonts w:ascii="Arial" w:cs="Arial" w:eastAsia="Arial" w:hAnsi="Arial"/>
                <w:sz w:val="23"/>
                <w:szCs w:val="23"/>
                <w:color w:val="auto"/>
                <w:vertAlign w:val="superscript"/>
              </w:rPr>
              <w:t>(c)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paid to settle related party borrowings, as described in </w:t>
            </w:r>
            <w:r>
              <w:rPr>
                <w:rFonts w:ascii="Arial" w:cs="Arial" w:eastAsia="Arial" w:hAnsi="Arial"/>
                <w:sz w:val="23"/>
                <w:szCs w:val="23"/>
                <w:color w:val="auto"/>
                <w:vertAlign w:val="superscript"/>
              </w:rPr>
              <w:t>(c)</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Net adjustment related to the New Debt and repayment of related party borrowings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paid for costs associated with the transaction, as described in </w:t>
            </w:r>
            <w:r>
              <w:rPr>
                <w:rFonts w:ascii="Arial" w:cs="Arial" w:eastAsia="Arial" w:hAnsi="Arial"/>
                <w:sz w:val="23"/>
                <w:szCs w:val="23"/>
                <w:color w:val="auto"/>
                <w:vertAlign w:val="superscript"/>
              </w:rPr>
              <w:t>(e)</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60" w:type="dxa"/>
            <w:vAlign w:val="bottom"/>
          </w:tcPr>
          <w:p>
            <w:pPr>
              <w:ind w:left="20"/>
              <w:spacing w:after="0"/>
              <w:rPr>
                <w:sz w:val="20"/>
                <w:szCs w:val="20"/>
                <w:color w:val="auto"/>
              </w:rPr>
            </w:pPr>
            <w:r>
              <w:rPr>
                <w:rFonts w:ascii="Arial" w:cs="Arial" w:eastAsia="Arial" w:hAnsi="Arial"/>
                <w:sz w:val="18"/>
                <w:szCs w:val="18"/>
                <w:color w:val="auto"/>
              </w:rPr>
              <w:t>Net adjustment to cash and cash equivalents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966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(b) Other Noncurrent Assets</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9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60" w:type="dxa"/>
            <w:vAlign w:val="bottom"/>
          </w:tcPr>
          <w:p>
            <w:pPr>
              <w:ind w:left="340"/>
              <w:spacing w:after="0"/>
              <w:rPr>
                <w:sz w:val="20"/>
                <w:szCs w:val="20"/>
                <w:color w:val="auto"/>
              </w:rPr>
            </w:pPr>
            <w:r>
              <w:rPr>
                <w:rFonts w:ascii="Arial" w:cs="Arial" w:eastAsia="Arial" w:hAnsi="Arial"/>
                <w:sz w:val="18"/>
                <w:szCs w:val="18"/>
                <w:color w:val="auto"/>
              </w:rPr>
              <w:t>The following table presents the pro forma adjustments to Other noncurrent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36"/>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Capitalization of Revolver commitment fees related to the New Debt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Net adjustment to other noncurrent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9660" w:type="dxa"/>
            <w:vAlign w:val="bottom"/>
          </w:tcPr>
          <w:p>
            <w:pPr>
              <w:spacing w:after="0"/>
              <w:rPr>
                <w:sz w:val="20"/>
                <w:szCs w:val="20"/>
                <w:color w:val="auto"/>
              </w:rPr>
            </w:pPr>
            <w:r>
              <w:rPr>
                <w:rFonts w:ascii="Arial" w:cs="Arial" w:eastAsia="Arial" w:hAnsi="Arial"/>
                <w:sz w:val="16"/>
                <w:szCs w:val="16"/>
                <w:color w:val="auto"/>
              </w:rPr>
              <w:t>_____________</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140575" cy="908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90868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-728980</wp:posOffset>
            </wp:positionV>
            <wp:extent cx="1002665"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2665" cy="257175"/>
                    </a:xfrm>
                    <a:prstGeom prst="rect">
                      <a:avLst/>
                    </a:prstGeom>
                    <a:noFill/>
                  </pic:spPr>
                </pic:pic>
              </a:graphicData>
            </a:graphic>
          </wp:anchor>
        </w:drawing>
      </w:r>
    </w:p>
    <w:p>
      <w:pPr>
        <w:ind w:left="340" w:right="720" w:hanging="332"/>
        <w:spacing w:after="0" w:line="260" w:lineRule="auto"/>
        <w:tabs>
          <w:tab w:leader="none" w:pos="304" w:val="left"/>
        </w:tabs>
        <w:numPr>
          <w:ilvl w:val="0"/>
          <w:numId w:val="45"/>
        </w:numPr>
        <w:rPr>
          <w:rFonts w:ascii="Arial" w:cs="Arial" w:eastAsia="Arial" w:hAnsi="Arial"/>
          <w:sz w:val="16"/>
          <w:szCs w:val="16"/>
          <w:color w:val="auto"/>
        </w:rPr>
      </w:pPr>
      <w:r>
        <w:rPr>
          <w:rFonts w:ascii="Arial" w:cs="Arial" w:eastAsia="Arial" w:hAnsi="Arial"/>
          <w:sz w:val="16"/>
          <w:szCs w:val="16"/>
          <w:color w:val="auto"/>
        </w:rPr>
        <w:t>Estimated annual amortization of this balance is immaterial. Therefore, no pro forma adjustment has been made to the Pro Forma Statement of Earnings.</w:t>
      </w:r>
    </w:p>
    <w:p>
      <w:pPr>
        <w:spacing w:after="0" w:line="12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(c) Incurrence of Third-Party Indebtedness and Repayment of Related Party Borrowings</w:t>
      </w:r>
    </w:p>
    <w:p>
      <w:pPr>
        <w:spacing w:after="0" w:line="18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connection with this offering, we expect to repay our related-party borrowings of $ 237 million in full and enter into financing arrangements providing for the issuance of $450 million of third-party debt, as described in the section “Recapitalization.” This adjustment reflects the repayment of the related party debt and the incurrence of third-party indebtedness. An adjustment to the unaudited pro forma consolidated balance sheet as of December 31, 2020 has been made to reflect the incurrence of $450 million indebtedness consisting of (i) $100 million of Term A debt at a rate of LIBOR plus 2.25% (the “Term A Loan”) and (ii) a bridge loan in an aggregate principal amount of $350 million with an annual average interest rate of 2.9% following this offering (the “Bridge Loan,” and together with the Term A Loan, our “New Debt”), of which we will retain approximately $208 million in cash, with the remainder to be used to repay $237 million of related party borrowings and $ 5 million in estimated fees to establish the New Debt including access to the $200 million revolving credit facility. The Bridge Loan is classified as current debt based on its term of one year. We believe these transactions are probable as the material terms have been agreed, although there is no assurance as to the completion of these transactions. Such transactions are conditioned on the consummation of this offering. The Company expects to repay the Bridge Loan with the net proceeds from the issuance of unsecured senior notes in an aggregate principal amount of $350 million with an estimated maturity of five to eight years following this offering. Any such unsecured senior notes would be offered pursuant to a separate offering memorandum and nothing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60"/>
          </w:cols>
          <w:pgMar w:left="320" w:top="1440" w:right="319" w:bottom="1440" w:gutter="0" w:footer="0" w:header="0"/>
        </w:sectPr>
      </w:pPr>
    </w:p>
    <w:bookmarkStart w:id="75" w:name="page76"/>
    <w:bookmarkEnd w:id="7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contained in this prospectus shall constitute an offer to sell or solicitation of an offer to buy such unsecured senior notes.</w:t>
      </w:r>
    </w:p>
    <w:p>
      <w:pPr>
        <w:spacing w:after="0" w:line="171"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A sensitivity analysis on the interest expense has been performed to assess the effect that a hypothetical 0.125% change in the interest rate would have on the Term A and Bridge Loan debt. A 0.125% change in interest rates would cause a corresponding increase or decrease to interest expense of approximately $0.8 million for the year ended December 31, 2020.</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pro forma adjustments to the current portion of long-term debt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126365</wp:posOffset>
            </wp:positionV>
            <wp:extent cx="101155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1555" cy="2571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35"/>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r>
      <w:tr>
        <w:trPr>
          <w:trHeight w:val="236"/>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9660" w:type="dxa"/>
            <w:vAlign w:val="bottom"/>
          </w:tcPr>
          <w:p>
            <w:pPr>
              <w:ind w:left="40"/>
              <w:spacing w:after="0"/>
              <w:rPr>
                <w:sz w:val="20"/>
                <w:szCs w:val="20"/>
                <w:color w:val="auto"/>
              </w:rPr>
            </w:pPr>
            <w:r>
              <w:rPr>
                <w:rFonts w:ascii="Arial" w:cs="Arial" w:eastAsia="Arial" w:hAnsi="Arial"/>
                <w:sz w:val="18"/>
                <w:szCs w:val="18"/>
                <w:color w:val="auto"/>
              </w:rPr>
              <w:t>Incurrence of debt under the New Debt, net of deferred financing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2"/>
                <w:szCs w:val="22"/>
                <w:color w:val="auto"/>
              </w:rPr>
            </w:pP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Extinguishment of the related party borrowings</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r>
      <w:tr>
        <w:trPr>
          <w:trHeight w:val="237"/>
        </w:trPr>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Net adjustment to short-term borrowings and current portion of long-term debt</w:t>
            </w: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 w:type="dxa"/>
            <w:vAlign w:val="bottom"/>
            <w:tcBorders>
              <w:top w:val="single" w:sz="8" w:color="auto"/>
            </w:tcBorders>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5"/>
        </w:trPr>
        <w:tc>
          <w:tcPr>
            <w:tcW w:w="9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660" w:type="dxa"/>
            <w:vAlign w:val="bottom"/>
          </w:tcPr>
          <w:p>
            <w:pPr>
              <w:ind w:left="40"/>
              <w:spacing w:after="0"/>
              <w:rPr>
                <w:sz w:val="20"/>
                <w:szCs w:val="20"/>
                <w:color w:val="auto"/>
              </w:rPr>
            </w:pPr>
            <w:r>
              <w:rPr>
                <w:rFonts w:ascii="Arial" w:cs="Arial" w:eastAsia="Arial" w:hAnsi="Arial"/>
                <w:sz w:val="18"/>
                <w:szCs w:val="18"/>
                <w:color w:val="auto"/>
              </w:rPr>
              <w:t>Incurrence of debt under the New Debt, net of deferred financing fees</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2"/>
                <w:szCs w:val="22"/>
                <w:color w:val="auto"/>
              </w:rPr>
            </w:pP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Extinguishment of the related party borrowings</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4"/>
                <w:szCs w:val="24"/>
                <w:color w:val="auto"/>
              </w:rPr>
            </w:pPr>
          </w:p>
        </w:tc>
      </w:tr>
      <w:tr>
        <w:trPr>
          <w:trHeight w:val="237"/>
        </w:trPr>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Net adjustment to long-term debt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top w:val="single" w:sz="8" w:color="auto"/>
            </w:tcBorders>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
        </w:trPr>
        <w:tc>
          <w:tcPr>
            <w:tcW w:w="9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40575" cy="368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40575" cy="540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540385"/>
                    </a:xfrm>
                    <a:prstGeom prst="rect">
                      <a:avLst/>
                    </a:prstGeom>
                    <a:noFill/>
                  </pic:spPr>
                </pic:pic>
              </a:graphicData>
            </a:graphic>
          </wp:anchor>
        </w:drawing>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 Changes in Equity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adjustments to our equity after giving effect to the Pro Forma Transactions as of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 other</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Accumulated Deficit</w:t>
            </w:r>
          </w:p>
        </w:tc>
      </w:tr>
      <w:tr>
        <w:trPr>
          <w:trHeight w:val="26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Transaction Costs, as described in </w:t>
            </w:r>
            <w:r>
              <w:rPr>
                <w:rFonts w:ascii="Arial" w:cs="Arial" w:eastAsia="Arial" w:hAnsi="Arial"/>
                <w:sz w:val="23"/>
                <w:szCs w:val="23"/>
                <w:color w:val="auto"/>
                <w:vertAlign w:val="superscript"/>
              </w:rPr>
              <w: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Net adjustment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Unaudited Pro Forma Consolidated Statement of Earnings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 Transaction Costs</w:t>
      </w:r>
    </w:p>
    <w:p>
      <w:pPr>
        <w:spacing w:after="0" w:line="189"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Represents an adjustment to include additional transaction costs of $4 million, which are expected to be incurred in connection with this offering. Total transaction costs recorded in the historical statement of earnings were $9 million for the year ended December 31, 2020. An adjustment of $4 million was also made to increase accumulated deficit as described in (d)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 Restricted stock unit awards—Founders Awards</w:t>
      </w:r>
    </w:p>
    <w:p>
      <w:pPr>
        <w:spacing w:after="0" w:line="18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Adjustments have been made related to the proposed grant of equity awards to certain of our employees in connection with the consummation of this offering. The awards are classified as an equity-settled stock-based payment arrangement and will cliff vest on the second anniversary of the grant date. This adjustment reflects the recognition of costs related to the first year of the requisite service period which resulted in an increase in general and administrative expenses of $5 million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320" w:top="1440" w:right="319" w:bottom="1440" w:gutter="0" w:footer="0" w:header="0"/>
        </w:sectPr>
      </w:pPr>
    </w:p>
    <w:bookmarkStart w:id="76" w:name="page77"/>
    <w:bookmarkEnd w:id="76"/>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 Interest Expense</w:t>
      </w:r>
    </w:p>
    <w:p>
      <w:pPr>
        <w:spacing w:after="0" w:line="189"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following table presents the pro forma adjustments to interest expense associated with the pro forma adjustments to short-term and long-term debt described above in note (c). In addition, the interest expense associated with the New Debt below, includes $5 million related to the historical usage of the Company’s related party revolving credit facility that would’ve been incurred based on the interest rate applicable to the new $ 200 million revolving credit facility with third parties. An adjustment has been made to also eliminate the interest expense related to our related party borrowings as if they had been settled on January 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20" w:type="dxa"/>
            <w:vAlign w:val="bottom"/>
          </w:tcPr>
          <w:p>
            <w:pPr>
              <w:spacing w:after="0"/>
              <w:rPr>
                <w:sz w:val="14"/>
                <w:szCs w:val="14"/>
                <w:color w:val="auto"/>
              </w:rPr>
            </w:pPr>
          </w:p>
        </w:tc>
      </w:t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31, 2020</w:t>
            </w:r>
          </w:p>
        </w:tc>
        <w:tc>
          <w:tcPr>
            <w:tcW w:w="20" w:type="dxa"/>
            <w:vAlign w:val="bottom"/>
          </w:tcPr>
          <w:p>
            <w:pPr>
              <w:spacing w:after="0"/>
              <w:rPr>
                <w:sz w:val="17"/>
                <w:szCs w:val="17"/>
                <w:color w:val="auto"/>
              </w:rPr>
            </w:pPr>
          </w:p>
        </w:tc>
      </w:tr>
      <w:tr>
        <w:trPr>
          <w:trHeight w:val="269"/>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Interest expense, New Debt </w:t>
            </w:r>
            <w:r>
              <w:rPr>
                <w:rFonts w:ascii="Arial" w:cs="Arial" w:eastAsia="Arial" w:hAnsi="Arial"/>
                <w:sz w:val="23"/>
                <w:szCs w:val="23"/>
                <w:color w:val="auto"/>
                <w:vertAlign w:val="superscript"/>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r>
      <w:tr>
        <w:trPr>
          <w:trHeight w:val="283"/>
        </w:trPr>
        <w:tc>
          <w:tcPr>
            <w:tcW w:w="9660" w:type="dxa"/>
            <w:vAlign w:val="bottom"/>
          </w:tcPr>
          <w:p>
            <w:pPr>
              <w:ind w:left="40"/>
              <w:spacing w:after="0"/>
              <w:rPr>
                <w:sz w:val="20"/>
                <w:szCs w:val="20"/>
                <w:color w:val="auto"/>
              </w:rPr>
            </w:pPr>
            <w:r>
              <w:rPr>
                <w:rFonts w:ascii="Arial" w:cs="Arial" w:eastAsia="Arial" w:hAnsi="Arial"/>
                <w:sz w:val="18"/>
                <w:szCs w:val="18"/>
                <w:color w:val="auto"/>
              </w:rPr>
              <w:t xml:space="preserve">Incremental amortization of deferred financing transaction costs, New Debt </w:t>
            </w:r>
            <w:r>
              <w:rPr>
                <w:rFonts w:ascii="Arial" w:cs="Arial" w:eastAsia="Arial" w:hAnsi="Arial"/>
                <w:sz w:val="23"/>
                <w:szCs w:val="23"/>
                <w:color w:val="auto"/>
                <w:vertAlign w:val="superscript"/>
              </w:rPr>
              <w:t>(2)</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8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Elimination of interest expense, loans from related parties </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24"/>
                <w:szCs w:val="24"/>
                <w:color w:val="auto"/>
              </w:rPr>
            </w:pP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Net adjustment to interest expense</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17145</wp:posOffset>
            </wp:positionV>
            <wp:extent cx="10033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43180</wp:posOffset>
            </wp:positionV>
            <wp:extent cx="1003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40575" cy="548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an adjustment to recognize the interest expense related to the New Debt incurred.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an increase related to the amortization of deferred financing fees related to the New Debt incurred.</w:t>
      </w:r>
    </w:p>
    <w:p>
      <w:pPr>
        <w:spacing w:after="0" w:line="5" w:lineRule="exact"/>
        <w:rPr>
          <w:rFonts w:ascii="Arial" w:cs="Arial" w:eastAsia="Arial" w:hAnsi="Arial"/>
          <w:sz w:val="16"/>
          <w:szCs w:val="16"/>
          <w:color w:val="auto"/>
        </w:rPr>
      </w:pPr>
    </w:p>
    <w:p>
      <w:pPr>
        <w:ind w:left="340" w:right="580" w:hanging="332"/>
        <w:spacing w:after="0" w:line="253" w:lineRule="auto"/>
        <w:tabs>
          <w:tab w:leader="none" w:pos="3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an adjustment to eliminate the historical interest expense for the settlement of loans from related parties, including interest expense attributable to $300 million of loans from related parties that were forgiven as of December 31, 2020 and accounted for as a capital transaction in contemplation of this offering.</w:t>
      </w:r>
    </w:p>
    <w:p>
      <w:pPr>
        <w:spacing w:after="0" w:line="12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(h) Resulting Tax Effects</w:t>
      </w:r>
    </w:p>
    <w:p>
      <w:pPr>
        <w:spacing w:after="0" w:line="18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Adjustments to the Unaudited Pro Forma Consolidated Statement of Earnings have been made to reflect the income tax expense for the items described in (e), (f) and (g), calculated at a blended effective tax rate of 28%, which incorporates the nondeductible nature of IPO related expenditures.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 Earnings Per Share</w:t>
      </w:r>
    </w:p>
    <w:p>
      <w:pPr>
        <w:spacing w:after="0" w:line="18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unaudited pro forma consolidated basic and diluted earnings per share calculations are based on the consolidated basic and diluted weighted average shares of DRS, and reflect the potentially dilutive impact of the IPO Grants issued at closing of this offering that cliff vest on the second anniversary of the grant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31, 2020</w:t>
            </w: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earnings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Historical weighted-average number of common shares outstanding</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145,000,000</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145,000,000</w:t>
            </w: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Potentially dilutive impact of common shares issued as part of the IPO Grants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Pro forma weighted-average number of common shares outstanding</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145,000,000</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145,125,000</w:t>
            </w: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earnings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0.74</w:t>
            </w: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7"/>
        </w:trPr>
        <w:tc>
          <w:tcPr>
            <w:tcW w:w="9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60"/>
          </w:cols>
          <w:pgMar w:left="320" w:top="1440" w:right="319" w:bottom="1440" w:gutter="0" w:footer="0" w:header="0"/>
        </w:sectPr>
      </w:pPr>
    </w:p>
    <w:bookmarkStart w:id="77" w:name="page78"/>
    <w:bookmarkEnd w:id="77"/>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Non-recurring Costs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unaudited pro forma consolidated statement of earnings includes certain non-recurring items including, among other things, costs related to legal, accounting and other professional fees totaling approximately $13 million that we do not expect to recur in the next 12 months. Additionally the Company will incur additional expenditures to operate as an independent company; however, we have operated principally independently prior to this offering under our existing operating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60"/>
          </w:cols>
          <w:pgMar w:left="320" w:top="1440" w:right="61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920" w:firstLine="324"/>
        <w:spacing w:after="0" w:line="282" w:lineRule="auto"/>
        <w:rPr>
          <w:sz w:val="20"/>
          <w:szCs w:val="20"/>
          <w:color w:val="auto"/>
        </w:rPr>
      </w:pPr>
      <w:r>
        <w:rPr>
          <w:rFonts w:ascii="Arial" w:cs="Arial" w:eastAsia="Arial" w:hAnsi="Arial"/>
          <w:sz w:val="18"/>
          <w:szCs w:val="18"/>
          <w:i w:val="1"/>
          <w:iCs w:val="1"/>
          <w:color w:val="auto"/>
        </w:rPr>
        <w:t>You should read this discussion together with “Selected Historical Consolidated Financial Data” and our consolidated financial statements and related notes thereto included elsewhere in this prospectus.</w:t>
      </w:r>
    </w:p>
    <w:p>
      <w:pPr>
        <w:spacing w:after="0" w:line="10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i w:val="1"/>
          <w:iCs w:val="1"/>
          <w:color w:val="auto"/>
        </w:rPr>
        <w:t>This discussion and other parts of this prospectus include forward-looking statements such as those relating to our plans, objectives, expectations and beliefs, which involve risks, uncertainties and assumptions. These forward-looking statements are subject to numerous risks and uncertainties, including, but not limited to, the risks and uncertainties described in “Risk Factors” and “Special Note Regarding Forward-Looking Statements and Information.” Actual results may differ materially from those contained in any forward-looking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Considerations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are a leading provider of defense products and technologies that are used across land, air, sea, space and cyber domains. Our diverse array of defense systems and solutions is offered to all branches of the U.S. military, major aerospace and defense prime contractors, government intelligence agencies and international military customers for deployment on a wide range of military platforms. We focus our capabilities in areas of critical importance to the U.S. military within three segments, Advanced Sensor Technologies, Network Computing &amp; Communications and Integrated Mission Systems. Our revenue, earnings and cash flows are generated by a combination of developing, manufacturing and servicing advanced technology solutions that are designed to address mission critical challenges for the defense industry.</w:t>
      </w:r>
    </w:p>
    <w:p>
      <w:pPr>
        <w:spacing w:after="0" w:line="153"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Our overall strategy is to be a balanced and diversified company, less vulnerable to any one budgetary platform or service decision with a specific focus on establishing strong technical and market positions in areas of priority for the Department of Defense (“DoD”). The DoD is our largest customer and, for the years ended December 31, 2020 and 2019, both years accounted for approximately 84% and 89%, respectively, of our business as an end-user, with revenues principally derived directly or indirectly from contracts with the U.S. Army and U.S. Navy, which represented 43% and 32%, and 40% and 36%, respectively, of our total revenues for the years ended December 31, 2020 and 2019. We use our technical capabilities, customer relationships and product quality to drive our financial performance, evidenced by a 12% CAGR in revenue from the year ended December 31, 2016 through the year ended December 31, 2020, which drove our annual revenue to $2.8 billion for the year ended December 31, 2020. During the same period, net earnings (loss) improved by $247 million to $85 million, our operating earnings grew $178 million to $181 million, and our Adjusted EBITDA grew $117 million to $268 million (CAGR of</w:t>
      </w:r>
    </w:p>
    <w:p>
      <w:pPr>
        <w:spacing w:after="0" w:line="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15%). Adjusted EBITDA is a non-GAAP measure, see “—Key Financial and Operating Measures—Non-GAAP Financial Measures” below for a reconciliation of Adjusted EBITDA to net earnings.</w:t>
      </w:r>
    </w:p>
    <w:p>
      <w:pPr>
        <w:spacing w:after="0" w:line="14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Our operations and reporting are structured into the following three technology driven segments based on the capabilities and solutions offered to our customers:</w:t>
      </w:r>
    </w:p>
    <w:p>
      <w:pPr>
        <w:spacing w:after="0" w:line="126" w:lineRule="exact"/>
        <w:rPr>
          <w:sz w:val="20"/>
          <w:szCs w:val="20"/>
          <w:color w:val="auto"/>
        </w:rPr>
      </w:pPr>
    </w:p>
    <w:p>
      <w:pPr>
        <w:ind w:left="340" w:right="120"/>
        <w:spacing w:after="0" w:line="255" w:lineRule="auto"/>
        <w:rPr>
          <w:sz w:val="20"/>
          <w:szCs w:val="20"/>
          <w:color w:val="auto"/>
        </w:rPr>
      </w:pPr>
      <w:r>
        <w:rPr>
          <w:rFonts w:ascii="Arial" w:cs="Arial" w:eastAsia="Arial" w:hAnsi="Arial"/>
          <w:sz w:val="18"/>
          <w:szCs w:val="18"/>
          <w:i w:val="1"/>
          <w:iCs w:val="1"/>
          <w:color w:val="auto"/>
        </w:rPr>
        <w:t>Advanced Sensor Technologies (“AST”)</w:t>
      </w:r>
      <w:r>
        <w:rPr>
          <w:rFonts w:ascii="Arial" w:cs="Arial" w:eastAsia="Arial" w:hAnsi="Arial"/>
          <w:sz w:val="18"/>
          <w:szCs w:val="18"/>
          <w:color w:val="auto"/>
        </w:rPr>
        <w:t>: Our Advanced Sensor Technologies segment provides world-class electro-optical sensor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laser systems, EW systems and intelligence and surveillance solutions to U.S. military and intelligence community customers. We are a leading provider of ground vehicle targeting and surveillance sensors, including electro-optical and advanced detection systems. We are also a leading provider of soldier sensor systems in high priority modernization areas such as infrared imaging and precision targeting systems. Our infrared focal plane array foundry is recognized as a leading provider of high performance and small sized cryogenically cooled and uncooled detector arrays. We are also a leading and world-recognized provider of signals intelligence high-performance radio frequency receivers and transceivers for U.S. and international customers. Our quantum cascade laser technology has promising military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13" w:right="339" w:bottom="1440" w:gutter="0" w:footer="0" w:header="0"/>
        </w:sectPr>
      </w:pPr>
    </w:p>
    <w:bookmarkStart w:id="79" w:name="page80"/>
    <w:bookmarkEnd w:id="79"/>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commercial medical applications. Collectively, these sensor technologies provide our warfighters with a distinct battlefield advantage.</w:t>
      </w:r>
    </w:p>
    <w:p>
      <w:pPr>
        <w:spacing w:after="0" w:line="153" w:lineRule="exact"/>
        <w:rPr>
          <w:sz w:val="20"/>
          <w:szCs w:val="20"/>
          <w:color w:val="auto"/>
        </w:rPr>
      </w:pPr>
    </w:p>
    <w:p>
      <w:pPr>
        <w:ind w:left="340" w:right="20"/>
        <w:spacing w:after="0" w:line="238" w:lineRule="auto"/>
        <w:rPr>
          <w:sz w:val="20"/>
          <w:szCs w:val="20"/>
          <w:color w:val="auto"/>
        </w:rPr>
      </w:pPr>
      <w:r>
        <w:rPr>
          <w:rFonts w:ascii="Arial" w:cs="Arial" w:eastAsia="Arial" w:hAnsi="Arial"/>
          <w:sz w:val="18"/>
          <w:szCs w:val="18"/>
          <w:i w:val="1"/>
          <w:iCs w:val="1"/>
          <w:color w:val="auto"/>
        </w:rPr>
        <w:t>Network Computing &amp; Communications (“NC&amp;C”)</w:t>
      </w:r>
      <w:r>
        <w:rPr>
          <w:rFonts w:ascii="Arial" w:cs="Arial" w:eastAsia="Arial" w:hAnsi="Arial"/>
          <w:sz w:val="18"/>
          <w:szCs w:val="18"/>
          <w:color w:val="auto"/>
        </w:rPr>
        <w:t>: Our Network Computing &amp; Communications segment provides advanced defense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electronics solutions across warfare domains. Our technologies and products are used on legacy and new military platforms, end-to-end network communication systems, network services and cyber solutions. We are a leading provider of ruggedized computing equipment, having provided advanced tactical computing units for ground combat vehicles and command post operations for more than two decades. During this period we have delivered more than 125,000 units. For the U.S. Navy and its allies, we provide naval computing infrastructure, network and data distribution, radar and rugged naval control systems, which are present on naval surface and subsurface combatant vessels. Across the full spectrum of our network computing capabilities, we have leadership positions at both the product and sub-systems levels. Our global communications network is a worldwide network of terrestrial and satellite bandwidth that ensures our customers’ data is secure and reliable. As a result of this capability, we are positioned as one of the leading providers of secured commercial satellite communications to the U.S. military.</w:t>
      </w:r>
    </w:p>
    <w:p>
      <w:pPr>
        <w:spacing w:after="0" w:line="134"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i w:val="1"/>
          <w:iCs w:val="1"/>
          <w:color w:val="auto"/>
        </w:rPr>
        <w:t xml:space="preserve">Integrated Mission Systems (“IMS”): </w:t>
      </w:r>
      <w:r>
        <w:rPr>
          <w:rFonts w:ascii="Arial" w:cs="Arial" w:eastAsia="Arial" w:hAnsi="Arial"/>
          <w:sz w:val="18"/>
          <w:szCs w:val="18"/>
          <w:color w:val="auto"/>
        </w:rPr>
        <w:t>Our Integrated Mission Systems segment provides critical force protection, vehicle integration,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In 2018, we were awarded the Expedited Active Protection System program by bringing the TROPHY™ Active Protection System (“APS”) to the U.S. market, making us the leading U.S. provider of active protection systems for the U.S. Army. We were also awarded the Initial Maneuver Short-Range Air Defense (“IM-SHORAD”) Mission Equipment Package Program for the U.S. Army that year, culminating an 18-month cycle from development to customer delivery. We have military transportation and logistics offerings and ground vehicle integration capabilities to support U.S. forces in a wide range of operational environments.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Focus on Customer and Execution</w:t>
      </w:r>
    </w:p>
    <w:p>
      <w:pPr>
        <w:spacing w:after="0" w:line="193"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DRS and its employees focus on our end-customers – the men and women of the armed forces in the U.S. and its allies. We seek to provide high-quality equipment and services to support their mission success. We strive for excellence in everything we do, in every job in our Company, in order to satisfy our customers’ needs embedded in our contractual commitments. We seek to ensure that we learn from every lesson experienced in our Company and insist that these lessons affect all elements of our businesses. This approach permeates through the Company with a focus on continuous improvement at every level.</w:t>
      </w:r>
    </w:p>
    <w:p>
      <w:pPr>
        <w:spacing w:after="0" w:line="15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Part of this learning has resulted in institutionalizing our continuous improvement process through our APEX program. The APEX program’s goal is to strive for continuous improvement through unification of our business practices, tools and metrics, ongoing employee training and innovation. We believe that excellence is not a destination, but by constantly challenging ourselves to be better, we will improve, and ultimately approach excellence. We challenge ourselves to exceed our customers’ expectations and we partner with them to work to ensure that our execution meets their needs.</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Continuous improvement, through the APEX program also allows us to improve our efficiency, which contributes to increased margins, helps us to remain competitive and allows us to make strategic investments, all while maintaining our focus on customer satisfaction. In these elements, our goals are aligned with those of our customers. We are humbled by the dedication and sacrifice that our ultimate customers have made to serve and we work to perform for them with excellence in everything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Impacts of COVID-19 On Our Business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Since the emergence of the novel coronavirus known as COVID-19, DRS has responded to ensure business continuity and we believe our innovative culture has enabled us to perform in difficult circumstances. DRS has been deemed an essential business due to our mission to provide products and services to the military. Our COVID-19 plan focuses on three factors: keeping our employees and their families safe; mitigating risk associated with interruption of suppliers’ materials; and maintaining our commitment to our customers. This response included maximizing work from home, physical separation of the remaining employees into small zones, frequent CEO level communications to employees, intra-shift sanitization of facilities, Company-paid healthcare leave and quarantining of zones where a concern of exposure arises. We remain committed to the safety and health of our employees while ensuring continuity of our operations.</w:t>
      </w:r>
    </w:p>
    <w:p>
      <w:pPr>
        <w:spacing w:after="0" w:line="15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proactive management to mitigate the impact of COVID-19 has enabled our business to remain operational. However, we incurred $12 million of expenditures from March 1, 2020 through December 31, 2020 to ensure a safe work environment for our employees. These costs include paid leave, personal protective equipment and other cleaning measures, facility filtration systems and social and physical distancing efforts, including the use of zones and subzones for manufacturing facilities. Costs to combat the COVID-19 pandemic have been excluded from our Adjusted EBITDA results. See “—Key Financial and Operating Measures—Non-GAAP Financial Measures.”</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Despite the increase in expenditures, DRS did offset a portion of the cash impacts of our COVID-19 response through COVID-19 related stimulus including allowable deferral of social security payroll tax payments to 2021 and 2022 and pension related contributions to 2021. This largely offset increases in our working capital levels due to COVID-19 impacts on certain programs driven by delays stemming from restrictions in customer test facility access and supplier delays. Additionally, we benefited from the DoD decision to increase the rate for certain progress payments from 80% to 90% for costs incurred and work performed on relevant contracts as a response to COVID-19. We believe these actions should continue to mitigate some COVID-19 related negative impacts to our operating cash flows. To date, DRS has not issued any material contractual request for equitable adjustments attributed to COVID-19 related expenditures discussed above and pursuant to the Section 3610 of the CARES Act.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Revenues derived directly, as a prime contractor, or indirectly, as a subcontractor, from contracts with the U.S. government represented 84%, 89% and 86% of our total revenues for the years ended December 31, 2020, 2019 and 2018, respectively. Our U.S. government sales are highly concentrated within our DoD customers, which made up the overwhelming majority of our U.S. government revenue for the year ended December 31, 2020 and are principally derived directly or indirectly from contracts with the U.S. Army and U.S. Navy, which represented 43% and 32%, respectively, of our total revenues for the year ended December 31, 2020 . Therefore, our revenue is highly correlated to changes in U.S. government spending levels, especially within the DoD.</w:t>
      </w:r>
    </w:p>
    <w:p>
      <w:pPr>
        <w:spacing w:after="0" w:line="15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Fiscal year 2020 began with the U.S. government responding to the on-going COVID-19 global pandemic. To address the COVID-19 pandemic, the federal government passed four different coronavirus stimulus bills in 2020 totaling nearly $3 trillion that were designed to help stimulate the economy and provide relief to the American people.</w:t>
      </w:r>
    </w:p>
    <w:p>
      <w:pPr>
        <w:spacing w:after="0" w:line="14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222222"/>
        </w:rPr>
        <w:t>In addition to COVID-19 response legislation, Congress alleviated the need for a long-term continuing resolution to fund the federal government by passing both the fiscal year 2021 National Defense Authorization Act (“NDAA”) and accompanying Consolidated Appropriations Act. The NDAA passed both the House and Senate became law on January 1, 2021. The bill includes $740.5 billion total for national defense discretionary programs, including $130.6 billion for procurement of advanced weapons systems, an increase of $1.9 billion relative to the prior administration’s request, and $106.2 billion for research development test and evaluation, an increase of $475.5 million relative to the prior administration’s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81" w:name="page82"/>
    <w:bookmarkEnd w:id="81"/>
    <w:p>
      <w:pPr>
        <w:spacing w:after="0" w:line="15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222222"/>
        </w:rPr>
        <w:t>request. The companion $1.4 trillion fiscal year 2021 Consolidated Appropriations Act, which currently funds the federal government, passed Congress on December 21, 2020 and was signed into law on December 27, 2020. The bill includes $695.9 billion for various defense accounts and $68.7 billion for the Overseas Contingency Operations fund and largely tracks with the policy priorities set forth in the NDAA.</w:t>
      </w:r>
    </w:p>
    <w:p>
      <w:pPr>
        <w:spacing w:after="0" w:line="13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222222"/>
        </w:rPr>
        <w:t>When the COVID-19 pandemic began, we were designated as an essential business in each of the jurisdictions in which we operate and we worked to ensure continuity of our operations to meet our contractual obligations and we remained at an approximately 98% staffing level throughout the year. Our people have risen to the challenge and performed with distinction during this time period, and as a result our performance has been strong.</w:t>
      </w:r>
    </w:p>
    <w:p>
      <w:pPr>
        <w:spacing w:after="0" w:line="150"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222222"/>
        </w:rPr>
        <w:t>Future DoD budgets and spending levels are determined by a number of factors beyond our control, including changes to U.S. government procurement policies, current and future domestic and international budget conditions, presidential and congressional priorities and changing national security and defense requirements but we believe the applications of our technology aligns well with the modernization priorities of the DoD.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Measures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measure our business using both key financial and operating data including key performance indicators (“KPIs”) and non-GAAP financial measures and use the following metrics to manage our business, monitor results of operations and ensure proper allocation of capital: (i) Revenue, (ii) Bookings, (iii) Backlog, (iv) Adjusted EBITDA, (v) Adjusted EBITDA Margin, (vi) Adjusted Earnings Per Share (“EPS”), (vii) Leverage Ratio, and (viii) Free Cash Flow. We believe that these financial performance metrics represent the primary drivers of value enhancement, balancing both short and long-term indicators of increased shareholder value. These are the metrics we use to measure our results and evaluate our business and related contract performance. See “—Results from Operations” for further detail.</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and Operating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Year Ended December 31,</w:t>
            </w:r>
          </w:p>
        </w:tc>
        <w:tc>
          <w:tcPr>
            <w:tcW w:w="1180" w:type="dxa"/>
            <w:vAlign w:val="bottom"/>
            <w:tcBorders>
              <w:bottom w:val="single" w:sz="8" w:color="auto"/>
            </w:tcBorders>
          </w:tcPr>
          <w:p>
            <w:pPr>
              <w:spacing w:after="0"/>
              <w:rPr>
                <w:sz w:val="17"/>
                <w:szCs w:val="17"/>
                <w:color w:val="auto"/>
              </w:rPr>
            </w:pPr>
          </w:p>
        </w:tc>
      </w:tr>
      <w:tr>
        <w:trPr>
          <w:trHeight w:val="20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2,778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2,714</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2,333</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Bookings</w:t>
            </w:r>
          </w:p>
        </w:tc>
        <w:tc>
          <w:tcPr>
            <w:tcW w:w="40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3,055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2,923</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2,879</w:t>
            </w: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3,291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2,844</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2,684</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Estimated potential remaining contract value</w:t>
            </w:r>
          </w:p>
        </w:tc>
        <w:tc>
          <w:tcPr>
            <w:tcW w:w="40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7,981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8,198</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8,054</w:t>
            </w: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400" w:type="dxa"/>
            <w:vAlign w:val="bottom"/>
          </w:tcPr>
          <w:p>
            <w:pPr>
              <w:spacing w:after="0"/>
              <w:rPr>
                <w:sz w:val="23"/>
                <w:szCs w:val="23"/>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8.6 %</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7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(1)(2)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Leverage Ratio</w:t>
            </w:r>
            <w:r>
              <w:rPr>
                <w:rFonts w:ascii="Arial" w:cs="Arial" w:eastAsia="Arial" w:hAnsi="Arial"/>
                <w:sz w:val="23"/>
                <w:szCs w:val="23"/>
                <w:color w:val="auto"/>
                <w:vertAlign w:val="superscript"/>
              </w:rPr>
              <w:t>(1)</w:t>
            </w:r>
          </w:p>
        </w:tc>
        <w:tc>
          <w:tcPr>
            <w:tcW w:w="400" w:type="dxa"/>
            <w:vAlign w:val="bottom"/>
          </w:tcPr>
          <w:p>
            <w:pPr>
              <w:spacing w:after="0"/>
              <w:rPr>
                <w:sz w:val="23"/>
                <w:szCs w:val="23"/>
                <w:color w:val="auto"/>
              </w:rPr>
            </w:pP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0.9 x</w:t>
            </w:r>
          </w:p>
        </w:tc>
        <w:tc>
          <w:tcPr>
            <w:tcW w:w="400" w:type="dxa"/>
            <w:vAlign w:val="bottom"/>
          </w:tcPr>
          <w:p>
            <w:pPr>
              <w:spacing w:after="0"/>
              <w:rPr>
                <w:sz w:val="23"/>
                <w:szCs w:val="23"/>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2.3x</w:t>
            </w:r>
          </w:p>
        </w:tc>
        <w:tc>
          <w:tcPr>
            <w:tcW w:w="50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3.0x</w:t>
            </w:r>
          </w:p>
        </w:tc>
      </w:tr>
      <w:tr>
        <w:trPr>
          <w:trHeight w:val="27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2" w:lineRule="exact"/>
        <w:rPr>
          <w:sz w:val="20"/>
          <w:szCs w:val="20"/>
          <w:color w:val="auto"/>
        </w:rPr>
      </w:pPr>
    </w:p>
    <w:p>
      <w:pPr>
        <w:ind w:left="340" w:right="40" w:hanging="332"/>
        <w:spacing w:after="0" w:line="246" w:lineRule="auto"/>
        <w:tabs>
          <w:tab w:leader="none" w:pos="3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Note on non-GAAP financial measures: Throughout the discussion of our results of operations we use non-GAAP financial measures including Adjusted EBITDA, Adjusted EBITDA Margin, Adjusted EPS, Leverage Ratio and Free Cash Flow, as measures of our overall performance. Definitions and reconciliations of these measures to the most directly comparable financial measure calculated and presented in accordance with U.S. GAAP are included below.</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146"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i w:val="1"/>
          <w:iCs w:val="1"/>
          <w:color w:val="auto"/>
        </w:rPr>
        <w:t xml:space="preserve">Bookings - </w:t>
      </w:r>
      <w:r>
        <w:rPr>
          <w:rFonts w:ascii="Arial" w:cs="Arial" w:eastAsia="Arial" w:hAnsi="Arial"/>
          <w:sz w:val="18"/>
          <w:szCs w:val="18"/>
          <w:color w:val="auto"/>
        </w:rPr>
        <w:t>We define bookings as the total value of contract awards received from the U.S. government for which it has appropriated</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legally obligated such funds to the Company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contract or purchase order, plus the value of contract awards and orders received from customers other than the U.S. government.</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 We define Backlog to include the following components:</w:t>
      </w:r>
    </w:p>
    <w:p>
      <w:pPr>
        <w:spacing w:after="0" w:line="189" w:lineRule="exact"/>
        <w:rPr>
          <w:sz w:val="20"/>
          <w:szCs w:val="20"/>
          <w:color w:val="auto"/>
        </w:rPr>
      </w:pPr>
    </w:p>
    <w:p>
      <w:pPr>
        <w:ind w:left="660" w:right="900" w:hanging="328"/>
        <w:spacing w:after="0" w:line="261"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Funded - Funded backlog represents the revenue value of orders for services under existing contracts for which funding is appropriated or otherwise authorized less revenue previously recognized on these contracts.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2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i w:val="1"/>
          <w:iCs w:val="1"/>
          <w:color w:val="auto"/>
        </w:rPr>
        <w:t xml:space="preserve">Estimated Potential Remaining Contract Value - </w:t>
      </w:r>
      <w:r>
        <w:rPr>
          <w:rFonts w:ascii="Arial" w:cs="Arial" w:eastAsia="Arial" w:hAnsi="Arial"/>
          <w:sz w:val="18"/>
          <w:szCs w:val="18"/>
          <w:color w:val="auto"/>
        </w:rPr>
        <w:t>In addition to backlog, we also evaluate estimated potential remaining contract value,</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represents unexercised options associated with existing firm contracts and other contract commitments where items are visible in the DoD budget estimates and are void of competitive risks, including options on IDIQ type contracts and follow-on orders with existing customers.</w:t>
      </w:r>
    </w:p>
    <w:p>
      <w:pPr>
        <w:spacing w:after="0" w:line="126"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i w:val="1"/>
          <w:iCs w:val="1"/>
          <w:color w:val="auto"/>
        </w:rPr>
        <w:t xml:space="preserve">Total Estimated Remaining Contract Value - </w:t>
      </w:r>
      <w:r>
        <w:rPr>
          <w:rFonts w:ascii="Arial" w:cs="Arial" w:eastAsia="Arial" w:hAnsi="Arial"/>
          <w:sz w:val="18"/>
          <w:szCs w:val="18"/>
          <w:color w:val="auto"/>
        </w:rPr>
        <w:t>Estimated potential remaining contract value together with backlog represents total</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contract value remaining to be realized in revenue.</w:t>
      </w:r>
    </w:p>
    <w:p>
      <w:pPr>
        <w:spacing w:after="0" w:line="126"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summarizes the value of our backlog, estimated potential remaining contract value and total estimated contract value at the respective dates presented: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6320" w:type="dxa"/>
            <w:vAlign w:val="bottom"/>
          </w:tcPr>
          <w:p>
            <w:pPr>
              <w:ind w:left="240"/>
              <w:spacing w:after="0"/>
              <w:rPr>
                <w:sz w:val="20"/>
                <w:szCs w:val="20"/>
                <w:color w:val="auto"/>
              </w:rPr>
            </w:pPr>
            <w:r>
              <w:rPr>
                <w:rFonts w:ascii="Arial" w:cs="Arial" w:eastAsia="Arial" w:hAnsi="Arial"/>
                <w:sz w:val="18"/>
                <w:szCs w:val="18"/>
                <w:color w:val="auto"/>
              </w:rPr>
              <w:t>Funded</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2,847</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2,338</w:t>
            </w:r>
          </w:p>
        </w:tc>
      </w:tr>
      <w:tr>
        <w:trPr>
          <w:trHeight w:val="27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Unfunded</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64"/>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backlog</w:t>
            </w:r>
            <w:r>
              <w:rPr>
                <w:rFonts w:ascii="Arial" w:cs="Arial" w:eastAsia="Arial" w:hAnsi="Arial"/>
                <w:sz w:val="23"/>
                <w:szCs w:val="23"/>
                <w:b w:val="1"/>
                <w:bCs w:val="1"/>
                <w:color w:val="auto"/>
                <w:vertAlign w:val="superscript"/>
              </w:rPr>
              <w:t>(1)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r>
      <w:tr>
        <w:trPr>
          <w:trHeight w:val="26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potential remaining contract value</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r>
      <w:tr>
        <w:trPr>
          <w:trHeight w:val="264"/>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estimated remaining contract value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11,272</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w:t>
            </w: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160" w:hanging="332"/>
        <w:spacing w:after="0" w:line="253"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See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12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Non-GAAP Financial Measures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believe the non-GAAP financial measures presented in this prospectus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U.S.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5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define these non-GAAP financial measures as:</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i w:val="1"/>
          <w:iCs w:val="1"/>
          <w:color w:val="auto"/>
        </w:rPr>
        <w:t xml:space="preserve">Adjusted EBITDA and Adjusted EBITDA Margin </w:t>
      </w:r>
      <w:r>
        <w:rPr>
          <w:rFonts w:ascii="Arial" w:cs="Arial" w:eastAsia="Arial" w:hAnsi="Arial"/>
          <w:sz w:val="18"/>
          <w:szCs w:val="18"/>
          <w:color w:val="auto"/>
        </w:rPr>
        <w:t>- We define Adjusted EBITDA as our net earnings before income taxes,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intangible assets, depreciation, restructuring costs, interest, transaction costs related to this offering, acquisition and divestiture related expenses, foreign exchange, COVID-19 response costs, non-service pension expenditures and other one-time non-operational events. Adjusted EBITDA Margin is calculated by dividing Adjusted EBITDA by revenue. Adjusted EBITDA and Adjusted EBITDA Margin are not measures calculated in accordance with U.S. GAAP, and they should not be considered an alternative to any financial measures that were calculated under U.S. GAAP. Adjusted EBITDA and Adjusted EBITDA Margin are used to facilitate a comparison of the ordinary, ongoing and customary course of our operations on a consistent basis from period to period and provide an additional understanding of factors and trends affecting our business. Adjusted EBITDA and Adjusted EBITDA Margin are driven by changes in volume, performance, contract mix and general and administrative expenses and investment levels. Performance, as used in this definition, refers to changes in profitability and is primarily based on adjustments to estimates at completion on individual contracts. These adjustments result from increases or decreases to the estimated value of the contract, the estimated costs to complete the contract, or both. These measures therefore assist management and our board and may be useful to investors in comparing our operating performance consistently over time as they remove the impact of our capital structure, asset base and items outside the control of the management team and expenses that do not relate to our core operations. Adjusted EBITDA and Adjusted EBITDA Margin may not be comparable to similarly titled non-GAAP measures used by other companies as other companies may have calculated the measures differently. The reconciliation of Adjusted EBITDA to net earnings (loss) is provided below: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Entity Adjusted EBITDA Reconciliation: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COVID-19 response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Non-service pension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one-time non-operational events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firstLine="324"/>
        <w:spacing w:after="0" w:line="266" w:lineRule="auto"/>
        <w:rPr>
          <w:sz w:val="20"/>
          <w:szCs w:val="20"/>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 We calculate Adjusted EPS by excluding transaction costs related to this offering, acquisition and divestiture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COVID-19 response costs from our net earnings (loss) to arrive at Adjusted EPS. We believe that Adjusted EPS allows investors to effectively compare our 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5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performance from period to period by excluding items that are not indicative of, or are unrelated to, results from our ongoing business operations such as our capital structure, significant non-cash expenses, the impacts of financing decisions on earnings, and items incurred outside the ordinary, ongoing and customary course of our business. Adjusted EPS has limitations as an analytical tool and does not represent, and should not be considered an alternative to basic or diluted EPS as determined in accordance with U.S. GAAP. The reconciliation of Adjusted EPS to U.S. GAAP EPS is shown below:</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Entity Reconciliation of Adjusted EPS: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COVID-19 response costs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color w:val="auto"/>
              </w:rPr>
              <w:t>Adjusted net earnings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EPS </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Gives effect to a 1,450,000-for-1 forward stock split on our common stock effected on February 25, 2021.</w:t>
      </w:r>
    </w:p>
    <w:p>
      <w:pPr>
        <w:spacing w:after="0" w:line="389"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i w:val="1"/>
          <w:iCs w:val="1"/>
          <w:color w:val="auto"/>
        </w:rPr>
        <w:t xml:space="preserve">Leverage Ratio </w:t>
      </w:r>
      <w:r>
        <w:rPr>
          <w:rFonts w:ascii="Arial" w:cs="Arial" w:eastAsia="Arial" w:hAnsi="Arial"/>
          <w:sz w:val="18"/>
          <w:szCs w:val="18"/>
          <w:color w:val="auto"/>
        </w:rPr>
        <w:t>- We define our leverage ratio as total net debt divided by Adjusted EBITDA. Net debt includes debt related to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 obligations net of balance sheet cash and cash equivalents and related party note receivables.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provides the calculation of the Leverage Ratio as of December 31, 2020, 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 December 31,</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552</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87</w:t>
            </w:r>
          </w:p>
        </w:tc>
      </w:tr>
      <w:tr>
        <w:trPr>
          <w:trHeight w:val="27"/>
        </w:trPr>
        <w:tc>
          <w:tcPr>
            <w:tcW w:w="6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Related party note receivable</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560</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187</w:t>
            </w:r>
          </w:p>
        </w:tc>
      </w:tr>
      <w:tr>
        <w:trPr>
          <w:trHeight w:val="27"/>
        </w:trPr>
        <w:tc>
          <w:tcPr>
            <w:tcW w:w="6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Leverage Ratio</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0.9 x</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2.3 x</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x</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the sum of the cash flows provided by operating activities and the cash flows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investment activities pertaining to capital expenditures and proceeds generated from the sale of assets.</w:t>
      </w:r>
    </w:p>
    <w:p>
      <w:pPr>
        <w:spacing w:after="0" w:line="12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free cash flow provides management and investors with an important measure of our ability to generate cash on a normalized basis. Free cash flow also provides insight into our flexibility to allocate capital and pursue opportunities that may enhance shareholder value. We believe that while expenditures and dispositions of property plant and equipment will fluctuate period to period, we seek to ensure that we have adequate capital on hand to maintain ongoing operations and enable growth of the business. Additionally, free cash flow is of limited usefulness, in that it does not represent residual cash flows available for discretionary expenditures, due to the fact the measures do not deduct the payments required for debt service and other contractual obligations or payments. The reconciliation between free cash flow and net cash provided by operating activities (the most comparable U.S. GAAP measure)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Entity Reconciliation of Free Cash Flow: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Our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Spending and Federal Budget Uncertainty</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Changes in the volume and relative mix of U.S. government spending as well as areas of spending growth could impact our business and results of operations. In particular, our results can be affected by shifts in strategies and priorities on homeland security, intelligence, defense-related programs, infrastructure and urbanization and continued increased spending on technology and innovation, including cybersecurity, artificial intelligence, connected communities and physical infrastructure. Cost-cutting and efficiency initiatives, current and future budget restrictions, spending cuts and other efforts to reduce government spending and shifts in overall priorities (for example, in response to the COVID-19 pandemic)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maintain access and schedules for government testing or deploy our staff to customer locations or facilities as a result of such disruptions.</w:t>
      </w:r>
    </w:p>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There is also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including as a result of legislative actions in response to the COVID-19 pandemic,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 See “Risk Factors—Risks Related to Our Business—Significant delays or reductions in appropriations for our programs and changes in U.S. government priorities and spending levels more broadly may negatively impact our business and could have a material adverse impact on our business, financial condition and results of operations” and “Risk Factors—Risks Related to Our Business—The COVID-19 pandemic and related impacts have had and are likely to continue to have an adverse impact on our business, financial condition and results of operations.” Please see also “—Business Overview and Considerations—Business Environment” for further details on U.S. government spending’s impact on our business.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Performance on Contracts</w:t>
      </w:r>
    </w:p>
    <w:p>
      <w:pPr>
        <w:spacing w:after="0" w:line="19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Revenue, earnings (margin) and the timing of our cash flows depend on our ability to perform on our contracts. When agreeing to contractual terms, our management team makes assumptions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5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projections about future conditions and events. The accounting for our contracts and programs requires assumptions and estimates about these conditions and events. These projections and estimates assess:</w:t>
      </w:r>
    </w:p>
    <w:p>
      <w:pPr>
        <w:spacing w:after="0" w:line="14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productivity and availability of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allocation of indirect costs to labor and material costs incurred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complexity of the work to be performed;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and availability of materials and components;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schedule requirements.</w:t>
      </w:r>
    </w:p>
    <w:p>
      <w:pPr>
        <w:spacing w:after="0" w:line="171"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If there is a significant change in one or more of these circumstances, estimates or assumptions, or if the risks under our contracts are not managed adequately, the profitability of contracts could be adversely affected. This could affect earnings and margin materially.</w:t>
      </w:r>
    </w:p>
    <w:p>
      <w:pPr>
        <w:spacing w:after="0" w:line="14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In particular, profitability can fluctuate predicated on the type of contract awarded. Typically fixed-price development programs on complex systems represent a higher risk profile to complete on-budget. To the extent our fixed-price development efforts create a larger portion of our revenue output, this may result in reduced operating margins given the higher risk profile. The following represents the impact that changing certain of our estimates, particularly those regarding our fixed-price development programs, would have had have on our revenues: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of Change in Estimates on our Revenue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137795</wp:posOffset>
            </wp:positionV>
            <wp:extent cx="825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1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Total % of Revenue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r>
    </w:tbl>
    <w:p>
      <w:pPr>
        <w:spacing w:after="0" w:line="188"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Additionally, the timing of our cash flows is impacted by the timing of achievement of billable milestones on contracts. Historically, this has resulted and could continue to result in fluctuations in working capital levels and quarterly free cash flow results. As a result of such quarterly fluctuations in free cash flow results, we believe that quarter-to-quarter comparisons of our results of operations may not necessarily be meaningful and should not be relied upon as indicators of future performance.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w:t>
      </w:r>
    </w:p>
    <w:p>
      <w:pPr>
        <w:spacing w:after="0" w:line="193"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Increased audit, review, investigation and general scrutiny by U.S.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DoD and the United States intelligence community, including those related to cybersecurity, could impact our ability to perform in the markets we serve.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International revenue, including foreign military sales, foreign military financing, and direct commercial sales, accounted for approximately 8%, 4% and 6% of our revenue for the years ended December 31, 2020, 2019 and 2018, respectively. Since our focus is primarily with the DoD and our investments are focused as such, we anticipate that international sales will continue to account for a similar percentage of revenue in the future. We remain subject to the spending levels, pace and priorities of the U.S. government as well as international governments and commercial customers, and to general economic conditions that could adversely affect us, our customers and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60"/>
          </w:cols>
          <w:pgMar w:left="320" w:top="1440" w:right="319" w:bottom="1440" w:gutter="0" w:footer="0" w:header="0"/>
        </w:sectPr>
      </w:pPr>
    </w:p>
    <w:bookmarkStart w:id="87" w:name="page88"/>
    <w:bookmarkEnd w:id="87"/>
    <w:p>
      <w:pPr>
        <w:spacing w:after="0" w:line="157"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Additionally,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the years ended December 31, 2020, 2019 and 2018.</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193"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380" w:firstLine="324"/>
        <w:spacing w:after="0" w:line="265" w:lineRule="auto"/>
        <w:rPr>
          <w:sz w:val="20"/>
          <w:szCs w:val="20"/>
          <w:color w:val="auto"/>
        </w:rPr>
      </w:pPr>
      <w:r>
        <w:rPr>
          <w:rFonts w:ascii="Arial" w:cs="Arial" w:eastAsia="Arial" w:hAnsi="Arial"/>
          <w:sz w:val="17"/>
          <w:szCs w:val="17"/>
          <w:color w:val="auto"/>
        </w:rPr>
        <w:t>Revenue consists primarily of product related revenue, generating 87% ,82% and 78% of our total revenues for the periods ended December 31, 2020, 2019 and 2018, respectively. The remaining revenue is generated from service related contracts. Additionally, 87%,</w:t>
      </w:r>
    </w:p>
    <w:p>
      <w:pPr>
        <w:spacing w:after="0" w:line="253" w:lineRule="auto"/>
        <w:rPr>
          <w:sz w:val="20"/>
          <w:szCs w:val="20"/>
          <w:color w:val="auto"/>
        </w:rPr>
      </w:pPr>
      <w:r>
        <w:rPr>
          <w:rFonts w:ascii="Arial" w:cs="Arial" w:eastAsia="Arial" w:hAnsi="Arial"/>
          <w:sz w:val="18"/>
          <w:szCs w:val="18"/>
          <w:color w:val="auto"/>
        </w:rPr>
        <w:t>86% and 82% of our revenue generation for December 31, 2020, 2019 and 2018, respectively, is derived from firm-fixed priced contracts. For a firm-fixed price contract, customers agree to pay a fixed amount, negotiated in advance, for a specified scope of work. Revenue on fixed price contracts is generally recognized over time using costs incurred to date relative to total estimated costs at completion to measure progress toward satisfying our performance obligations. Incurred costs represent work performed that corresponds with and thereby best depicts the transfer of control to the customer.</w:t>
      </w:r>
    </w:p>
    <w:p>
      <w:pPr>
        <w:spacing w:after="0" w:line="1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Under flexibly priced contracts, which consists of 13%,14% and 18% of our total revenues for December 31, 2020, 2019 and 2018, respectively, we are reimbursed for allowable or otherwise defined total costs (defined as cost of revenues plus allowable general and administrative expenses) incurred, plus a fee. The contracts may also include incentives for various performance criteria, including quality, timeliness, cost-effectiveness or other factors. In addition, costs are generally subject to review by clients and regulatory audit agencies, and such reviews could result in costs being disputed as non-reimbursable under the terms of the contract. Revenue for flexibly priced contracts are generally recognized as services are performed and are contractually billable.</w:t>
      </w:r>
    </w:p>
    <w:p>
      <w:pPr>
        <w:spacing w:after="0" w:line="15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Please refer to “—Critical Accounting Policies and Estimates” and “Note 2: Revenue from Contracts with Customers” in the Notes to our Consolidated Financial Statements.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benefits, operating supplies, depreciation and amortization, occupancy costs, and purchasing, receiving, inspection costs and inbound freight costs.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General and administrative expenses include general and administrative expenses not included within cost of revenues such as salaries, wages and fringe benefits, facility costs and other costs related to these indirect functions. Additionally, general and administrative expenses include internal research and development costs as well as expenditures related to bid and proposal efforts. We expect general and administrative expenses will be impacted by the costs associated with being a publicly-traded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440" w:right="359" w:bottom="1440" w:gutter="0" w:footer="0" w:header="0"/>
        </w:sectPr>
      </w:pPr>
    </w:p>
    <w:bookmarkStart w:id="88" w:name="page89"/>
    <w:bookmarkEnd w:id="88"/>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from Operations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following discussion of operating results is intended to help the reader understand the results of operations and financial condition of the Company, as well as individual segments, for the year ended December 31, 2020 as compared to the year ended December 31, 2019, and for the year ended December 31, 2019 compared to December 31, 2018. Given the nature of our business, we believe revenue and earnings from operations are most relevant to an understanding of our performance at a business and segment level. Our operating cycle is lengthy and involves various types of production contracts and varying delivery schedules. Accordingly, operating results in a particular year may not be indicative of future operating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ind w:left="340"/>
              <w:spacing w:after="0"/>
              <w:rPr>
                <w:sz w:val="20"/>
                <w:szCs w:val="20"/>
                <w:color w:val="auto"/>
              </w:rPr>
            </w:pPr>
            <w:r>
              <w:rPr>
                <w:rFonts w:ascii="Arial" w:cs="Arial" w:eastAsia="Arial" w:hAnsi="Arial"/>
                <w:sz w:val="14"/>
                <w:szCs w:val="14"/>
                <w:b w:val="1"/>
                <w:bCs w:val="1"/>
                <w:color w:val="auto"/>
              </w:rPr>
              <w:t>2020 vs. 2019 Variance</w:t>
            </w:r>
          </w:p>
        </w:tc>
        <w:tc>
          <w:tcPr>
            <w:tcW w:w="2240" w:type="dxa"/>
            <w:vAlign w:val="bottom"/>
            <w:gridSpan w:val="3"/>
          </w:tcPr>
          <w:p>
            <w:pPr>
              <w:ind w:left="340"/>
              <w:spacing w:after="0"/>
              <w:rPr>
                <w:sz w:val="20"/>
                <w:szCs w:val="20"/>
                <w:color w:val="auto"/>
              </w:rPr>
            </w:pPr>
            <w:r>
              <w:rPr>
                <w:rFonts w:ascii="Arial" w:cs="Arial" w:eastAsia="Arial" w:hAnsi="Arial"/>
                <w:sz w:val="14"/>
                <w:szCs w:val="14"/>
                <w:b w:val="1"/>
                <w:bCs w:val="1"/>
                <w:color w:val="auto"/>
              </w:rPr>
              <w:t>2019 vs. 2018 Variance</w:t>
            </w:r>
          </w:p>
        </w:tc>
        <w:tc>
          <w:tcPr>
            <w:tcW w:w="0" w:type="dxa"/>
            <w:vAlign w:val="bottom"/>
          </w:tcPr>
          <w:p>
            <w:pPr>
              <w:spacing w:after="0"/>
              <w:rPr>
                <w:sz w:val="1"/>
                <w:szCs w:val="1"/>
                <w:color w:val="auto"/>
              </w:rPr>
            </w:pPr>
          </w:p>
        </w:tc>
      </w:tr>
      <w:tr>
        <w:trPr>
          <w:trHeight w:val="180"/>
        </w:trPr>
        <w:tc>
          <w:tcPr>
            <w:tcW w:w="2940" w:type="dxa"/>
            <w:vAlign w:val="bottom"/>
          </w:tcPr>
          <w:p>
            <w:pPr>
              <w:ind w:left="20"/>
              <w:spacing w:after="0"/>
              <w:rPr>
                <w:sz w:val="20"/>
                <w:szCs w:val="20"/>
                <w:color w:val="auto"/>
              </w:rPr>
            </w:pPr>
            <w:r>
              <w:rPr>
                <w:rFonts w:ascii="Arial" w:cs="Arial" w:eastAsia="Arial" w:hAnsi="Arial"/>
                <w:sz w:val="14"/>
                <w:szCs w:val="14"/>
                <w:color w:val="auto"/>
              </w:rPr>
              <w:t>(Dollars in millions, except per share</w:t>
            </w:r>
          </w:p>
        </w:tc>
        <w:tc>
          <w:tcPr>
            <w:tcW w:w="900" w:type="dxa"/>
            <w:vAlign w:val="bottom"/>
            <w:tcBorders>
              <w:top w:val="single" w:sz="8" w:color="auto"/>
            </w:tcBorders>
            <w:vMerge w:val="restart"/>
          </w:tcPr>
          <w:p>
            <w:pPr>
              <w:jc w:val="center"/>
              <w:ind w:left="17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vMerge w:val="restart"/>
          </w:tcPr>
          <w:p>
            <w:pPr>
              <w:spacing w:after="0"/>
              <w:rPr>
                <w:sz w:val="15"/>
                <w:szCs w:val="15"/>
                <w:color w:val="auto"/>
              </w:rPr>
            </w:pPr>
          </w:p>
        </w:tc>
        <w:tc>
          <w:tcPr>
            <w:tcW w:w="100" w:type="dxa"/>
            <w:vAlign w:val="bottom"/>
            <w:tcBorders>
              <w:top w:val="single" w:sz="8" w:color="auto"/>
            </w:tcBorders>
            <w:vMerge w:val="restart"/>
          </w:tcPr>
          <w:p>
            <w:pPr>
              <w:spacing w:after="0"/>
              <w:rPr>
                <w:sz w:val="15"/>
                <w:szCs w:val="15"/>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center"/>
              <w:ind w:right="1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amounts)</w:t>
            </w: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CCEEFF"/>
            </w:tcBorders>
            <w:shd w:val="clear" w:color="auto" w:fill="CCEEFF"/>
          </w:tcPr>
          <w:p>
            <w:pPr>
              <w:jc w:val="center"/>
              <w:ind w:left="151"/>
              <w:spacing w:after="0"/>
              <w:rPr>
                <w:sz w:val="20"/>
                <w:szCs w:val="20"/>
                <w:color w:val="auto"/>
              </w:rPr>
            </w:pPr>
            <w:r>
              <w:rPr>
                <w:rFonts w:ascii="Arial" w:cs="Arial" w:eastAsia="Arial" w:hAnsi="Arial"/>
                <w:sz w:val="18"/>
                <w:szCs w:val="18"/>
                <w:color w:val="auto"/>
                <w:w w:val="98"/>
              </w:rPr>
              <w:t>$2,778</w:t>
            </w:r>
          </w:p>
        </w:tc>
        <w:tc>
          <w:tcPr>
            <w:tcW w:w="1480" w:type="dxa"/>
            <w:vAlign w:val="bottom"/>
            <w:tcBorders>
              <w:bottom w:val="single" w:sz="8" w:color="CCEEFF"/>
            </w:tcBorders>
            <w:gridSpan w:val="3"/>
            <w:shd w:val="clear" w:color="auto" w:fill="CCEEFF"/>
          </w:tcPr>
          <w:p>
            <w:pPr>
              <w:jc w:val="center"/>
              <w:ind w:left="251"/>
              <w:spacing w:after="0"/>
              <w:rPr>
                <w:sz w:val="20"/>
                <w:szCs w:val="20"/>
                <w:color w:val="auto"/>
              </w:rPr>
            </w:pPr>
            <w:r>
              <w:rPr>
                <w:rFonts w:ascii="Arial" w:cs="Arial" w:eastAsia="Arial" w:hAnsi="Arial"/>
                <w:sz w:val="18"/>
                <w:szCs w:val="18"/>
                <w:color w:val="auto"/>
                <w:w w:val="98"/>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151"/>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900" w:type="dxa"/>
            <w:vAlign w:val="bottom"/>
          </w:tcPr>
          <w:p>
            <w:pPr>
              <w:jc w:val="center"/>
              <w:ind w:left="151"/>
              <w:spacing w:after="0"/>
              <w:rPr>
                <w:sz w:val="20"/>
                <w:szCs w:val="20"/>
                <w:color w:val="auto"/>
              </w:rPr>
            </w:pPr>
            <w:r>
              <w:rPr>
                <w:rFonts w:ascii="Arial" w:cs="Arial" w:eastAsia="Arial" w:hAnsi="Arial"/>
                <w:sz w:val="18"/>
                <w:szCs w:val="18"/>
                <w:color w:val="auto"/>
              </w:rPr>
              <w:t>(2,284)</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8"/>
              </w:rPr>
              <w:t>(1,919)</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1.3%</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(336)</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99"/>
              </w:rPr>
              <w:t>$494</w:t>
            </w:r>
          </w:p>
        </w:tc>
        <w:tc>
          <w:tcPr>
            <w:tcW w:w="1480" w:type="dxa"/>
            <w:vAlign w:val="bottom"/>
            <w:tcBorders>
              <w:bottom w:val="single" w:sz="8" w:color="CCEEFF"/>
            </w:tcBorders>
            <w:gridSpan w:val="3"/>
            <w:shd w:val="clear" w:color="auto" w:fill="CCEEFF"/>
          </w:tcPr>
          <w:p>
            <w:pPr>
              <w:jc w:val="center"/>
              <w:ind w:left="271"/>
              <w:spacing w:after="0"/>
              <w:rPr>
                <w:sz w:val="20"/>
                <w:szCs w:val="20"/>
                <w:color w:val="auto"/>
              </w:rPr>
            </w:pPr>
            <w:r>
              <w:rPr>
                <w:rFonts w:ascii="Arial" w:cs="Arial" w:eastAsia="Arial" w:hAnsi="Arial"/>
                <w:sz w:val="18"/>
                <w:szCs w:val="18"/>
                <w:color w:val="auto"/>
                <w:w w:val="99"/>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151"/>
              <w:spacing w:after="0"/>
              <w:rPr>
                <w:sz w:val="20"/>
                <w:szCs w:val="20"/>
                <w:color w:val="auto"/>
              </w:rPr>
            </w:pPr>
            <w:r>
              <w:rPr>
                <w:rFonts w:ascii="Arial" w:cs="Arial" w:eastAsia="Arial" w:hAnsi="Arial"/>
                <w:sz w:val="18"/>
                <w:szCs w:val="18"/>
                <w:color w:val="auto"/>
                <w:w w:val="99"/>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900" w:type="dxa"/>
            <w:vAlign w:val="bottom"/>
          </w:tcPr>
          <w:p>
            <w:pPr>
              <w:jc w:val="center"/>
              <w:ind w:left="151"/>
              <w:spacing w:after="0"/>
              <w:rPr>
                <w:sz w:val="20"/>
                <w:szCs w:val="20"/>
                <w:color w:val="auto"/>
              </w:rPr>
            </w:pPr>
            <w:r>
              <w:rPr>
                <w:rFonts w:ascii="Arial" w:cs="Arial" w:eastAsia="Arial" w:hAnsi="Arial"/>
                <w:sz w:val="18"/>
                <w:szCs w:val="18"/>
                <w:color w:val="auto"/>
                <w:w w:val="97"/>
              </w:rPr>
              <w:t>17.8%</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97"/>
              </w:rPr>
              <w:t>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5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0.9%</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5.1%</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(4.7)%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900" w:type="dxa"/>
            <w:vAlign w:val="bottom"/>
            <w:tcBorders>
              <w:bottom w:val="single" w:sz="8" w:color="CCEEFF"/>
            </w:tcBorders>
            <w:shd w:val="clear" w:color="auto" w:fill="CCEEFF"/>
          </w:tcPr>
          <w:p>
            <w:pPr>
              <w:jc w:val="center"/>
              <w:ind w:left="151"/>
              <w:spacing w:after="0"/>
              <w:rPr>
                <w:sz w:val="20"/>
                <w:szCs w:val="20"/>
                <w:color w:val="auto"/>
              </w:rPr>
            </w:pPr>
            <w:r>
              <w:rPr>
                <w:rFonts w:ascii="Arial" w:cs="Arial" w:eastAsia="Arial" w:hAnsi="Arial"/>
                <w:sz w:val="18"/>
                <w:szCs w:val="18"/>
                <w:color w:val="auto"/>
                <w:w w:val="99"/>
              </w:rPr>
              <w:t>(283)</w:t>
            </w:r>
          </w:p>
        </w:tc>
        <w:tc>
          <w:tcPr>
            <w:tcW w:w="1480" w:type="dxa"/>
            <w:vAlign w:val="bottom"/>
            <w:tcBorders>
              <w:bottom w:val="single" w:sz="8" w:color="CCEEFF"/>
            </w:tcBorders>
            <w:gridSpan w:val="3"/>
            <w:shd w:val="clear" w:color="auto" w:fill="CCEEFF"/>
          </w:tcPr>
          <w:p>
            <w:pPr>
              <w:jc w:val="center"/>
              <w:ind w:left="251"/>
              <w:spacing w:after="0"/>
              <w:rPr>
                <w:sz w:val="20"/>
                <w:szCs w:val="20"/>
                <w:color w:val="auto"/>
              </w:rPr>
            </w:pPr>
            <w:r>
              <w:rPr>
                <w:rFonts w:ascii="Arial" w:cs="Arial" w:eastAsia="Arial" w:hAnsi="Arial"/>
                <w:sz w:val="18"/>
                <w:szCs w:val="18"/>
                <w:color w:val="auto"/>
                <w:w w:val="99"/>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ind w:right="171"/>
              <w:spacing w:after="0"/>
              <w:rPr>
                <w:sz w:val="20"/>
                <w:szCs w:val="20"/>
                <w:color w:val="auto"/>
              </w:rPr>
            </w:pPr>
            <w:r>
              <w:rPr>
                <w:rFonts w:ascii="Arial" w:cs="Arial" w:eastAsia="Arial" w:hAnsi="Arial"/>
                <w:sz w:val="18"/>
                <w:szCs w:val="18"/>
                <w:color w:val="auto"/>
                <w:w w:val="99"/>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3.4%</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900" w:type="dxa"/>
            <w:vAlign w:val="bottom"/>
          </w:tcPr>
          <w:p>
            <w:pPr>
              <w:jc w:val="center"/>
              <w:ind w:left="151"/>
              <w:spacing w:after="0"/>
              <w:rPr>
                <w:sz w:val="20"/>
                <w:szCs w:val="20"/>
                <w:color w:val="auto"/>
              </w:rPr>
            </w:pPr>
            <w:r>
              <w:rPr>
                <w:rFonts w:ascii="Arial" w:cs="Arial" w:eastAsia="Arial" w:hAnsi="Arial"/>
                <w:sz w:val="18"/>
                <w:szCs w:val="18"/>
                <w:color w:val="auto"/>
                <w:w w:val="99"/>
              </w:rPr>
              <w:t>(9)</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9"/>
              </w:rPr>
              <w:t>(93)</w:t>
            </w:r>
          </w:p>
        </w:tc>
        <w:tc>
          <w:tcPr>
            <w:tcW w:w="100" w:type="dxa"/>
            <w:vAlign w:val="bottom"/>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84</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90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99"/>
              </w:rPr>
              <w:t>(21)</w:t>
            </w:r>
          </w:p>
        </w:tc>
        <w:tc>
          <w:tcPr>
            <w:tcW w:w="1480" w:type="dxa"/>
            <w:vAlign w:val="bottom"/>
            <w:tcBorders>
              <w:bottom w:val="single" w:sz="8" w:color="CCEEFF"/>
            </w:tcBorders>
            <w:gridSpan w:val="3"/>
            <w:shd w:val="clear" w:color="auto" w:fill="CCEEFF"/>
          </w:tcPr>
          <w:p>
            <w:pPr>
              <w:jc w:val="center"/>
              <w:ind w:left="271"/>
              <w:spacing w:after="0"/>
              <w:rPr>
                <w:sz w:val="20"/>
                <w:szCs w:val="20"/>
                <w:color w:val="auto"/>
              </w:rPr>
            </w:pPr>
            <w:r>
              <w:rPr>
                <w:rFonts w:ascii="Arial" w:cs="Arial" w:eastAsia="Arial" w:hAnsi="Arial"/>
                <w:sz w:val="18"/>
                <w:szCs w:val="18"/>
                <w:color w:val="auto"/>
                <w:w w:val="99"/>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right="171"/>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110.0%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900" w:type="dxa"/>
            <w:vAlign w:val="bottom"/>
            <w:tcBorders>
              <w:top w:val="single" w:sz="8" w:color="auto"/>
            </w:tcBorders>
          </w:tcPr>
          <w:p>
            <w:pPr>
              <w:jc w:val="center"/>
              <w:ind w:left="171"/>
              <w:spacing w:after="0"/>
              <w:rPr>
                <w:sz w:val="20"/>
                <w:szCs w:val="20"/>
                <w:color w:val="auto"/>
              </w:rPr>
            </w:pPr>
            <w:r>
              <w:rPr>
                <w:rFonts w:ascii="Arial" w:cs="Arial" w:eastAsia="Arial" w:hAnsi="Arial"/>
                <w:sz w:val="18"/>
                <w:szCs w:val="18"/>
                <w:color w:val="auto"/>
                <w:w w:val="99"/>
              </w:rPr>
              <w:t>$181</w:t>
            </w: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ind w:right="171"/>
              <w:spacing w:after="0"/>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262.2%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99"/>
              </w:rPr>
              <w:t>(64)</w:t>
            </w:r>
          </w:p>
        </w:tc>
        <w:tc>
          <w:tcPr>
            <w:tcW w:w="1480" w:type="dxa"/>
            <w:vAlign w:val="bottom"/>
            <w:tcBorders>
              <w:bottom w:val="single" w:sz="8" w:color="CCEEFF"/>
            </w:tcBorders>
            <w:gridSpan w:val="3"/>
            <w:shd w:val="clear" w:color="auto" w:fill="CCEEFF"/>
          </w:tcPr>
          <w:p>
            <w:pPr>
              <w:jc w:val="center"/>
              <w:ind w:left="271"/>
              <w:spacing w:after="0"/>
              <w:rPr>
                <w:sz w:val="20"/>
                <w:szCs w:val="20"/>
                <w:color w:val="auto"/>
              </w:rPr>
            </w:pPr>
            <w:r>
              <w:rPr>
                <w:rFonts w:ascii="Arial" w:cs="Arial" w:eastAsia="Arial" w:hAnsi="Arial"/>
                <w:sz w:val="18"/>
                <w:szCs w:val="18"/>
                <w:color w:val="auto"/>
                <w:w w:val="99"/>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151"/>
              <w:spacing w:after="0"/>
              <w:rPr>
                <w:sz w:val="20"/>
                <w:szCs w:val="20"/>
                <w:color w:val="auto"/>
              </w:rPr>
            </w:pPr>
            <w:r>
              <w:rPr>
                <w:rFonts w:ascii="Arial" w:cs="Arial" w:eastAsia="Arial" w:hAnsi="Arial"/>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00" w:type="dxa"/>
            <w:vAlign w:val="bottom"/>
          </w:tcPr>
          <w:p>
            <w:pPr>
              <w:jc w:val="center"/>
              <w:ind w:left="151"/>
              <w:spacing w:after="0"/>
              <w:rPr>
                <w:sz w:val="20"/>
                <w:szCs w:val="20"/>
                <w:color w:val="auto"/>
              </w:rPr>
            </w:pPr>
            <w:r>
              <w:rPr>
                <w:rFonts w:ascii="Arial" w:cs="Arial" w:eastAsia="Arial" w:hAnsi="Arial"/>
                <w:sz w:val="18"/>
                <w:szCs w:val="18"/>
                <w:color w:val="auto"/>
                <w:w w:val="99"/>
              </w:rPr>
              <w:t>(5)</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71"/>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taxes</w:t>
            </w:r>
          </w:p>
        </w:tc>
        <w:tc>
          <w:tcPr>
            <w:tcW w:w="90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99"/>
              </w:rPr>
              <w:t>$112</w:t>
            </w:r>
          </w:p>
        </w:tc>
        <w:tc>
          <w:tcPr>
            <w:tcW w:w="1480" w:type="dxa"/>
            <w:vAlign w:val="bottom"/>
            <w:tcBorders>
              <w:bottom w:val="single" w:sz="8" w:color="CCEEFF"/>
            </w:tcBorders>
            <w:gridSpan w:val="3"/>
            <w:shd w:val="clear" w:color="auto" w:fill="CCEEFF"/>
          </w:tcPr>
          <w:p>
            <w:pPr>
              <w:jc w:val="center"/>
              <w:ind w:left="251"/>
              <w:spacing w:after="0"/>
              <w:rPr>
                <w:sz w:val="20"/>
                <w:szCs w:val="20"/>
                <w:color w:val="auto"/>
              </w:rPr>
            </w:pPr>
            <w:r>
              <w:rPr>
                <w:rFonts w:ascii="Arial" w:cs="Arial" w:eastAsia="Arial" w:hAnsi="Arial"/>
                <w:sz w:val="18"/>
                <w:szCs w:val="18"/>
                <w:color w:val="auto"/>
                <w:w w:val="99"/>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171"/>
              <w:spacing w:after="0"/>
              <w:rPr>
                <w:sz w:val="20"/>
                <w:szCs w:val="20"/>
                <w:color w:val="auto"/>
              </w:rPr>
            </w:pPr>
            <w:r>
              <w:rPr>
                <w:rFonts w:ascii="Arial" w:cs="Arial" w:eastAsia="Arial" w:hAnsi="Arial"/>
                <w:sz w:val="18"/>
                <w:szCs w:val="18"/>
                <w:color w:val="auto"/>
                <w:w w:val="99"/>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00" w:type="dxa"/>
            <w:vAlign w:val="bottom"/>
          </w:tcPr>
          <w:p>
            <w:pPr>
              <w:jc w:val="center"/>
              <w:ind w:left="171"/>
              <w:spacing w:after="0"/>
              <w:rPr>
                <w:sz w:val="20"/>
                <w:szCs w:val="20"/>
                <w:color w:val="auto"/>
              </w:rPr>
            </w:pPr>
            <w:r>
              <w:rPr>
                <w:rFonts w:ascii="Arial" w:cs="Arial" w:eastAsia="Arial" w:hAnsi="Arial"/>
                <w:sz w:val="18"/>
                <w:szCs w:val="18"/>
                <w:color w:val="auto"/>
                <w:w w:val="99"/>
              </w:rPr>
              <w:t>27</w:t>
            </w:r>
          </w:p>
        </w:tc>
        <w:tc>
          <w:tcPr>
            <w:tcW w:w="1480" w:type="dxa"/>
            <w:vAlign w:val="bottom"/>
            <w:gridSpan w:val="3"/>
          </w:tcPr>
          <w:p>
            <w:pPr>
              <w:jc w:val="center"/>
              <w:ind w:left="271"/>
              <w:spacing w:after="0"/>
              <w:rPr>
                <w:sz w:val="20"/>
                <w:szCs w:val="20"/>
                <w:color w:val="auto"/>
              </w:rPr>
            </w:pPr>
            <w:r>
              <w:rPr>
                <w:rFonts w:ascii="Arial" w:cs="Arial" w:eastAsia="Arial" w:hAnsi="Arial"/>
                <w:sz w:val="18"/>
                <w:szCs w:val="18"/>
                <w:color w:val="auto"/>
                <w:w w:val="99"/>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71"/>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21"/>
                <w:szCs w:val="21"/>
                <w:color w:val="auto"/>
              </w:rPr>
            </w:pPr>
          </w:p>
        </w:tc>
        <w:tc>
          <w:tcPr>
            <w:tcW w:w="1080" w:type="dxa"/>
            <w:vAlign w:val="bottom"/>
          </w:tcPr>
          <w:p>
            <w:pPr>
              <w:ind w:left="4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90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w w:val="99"/>
              </w:rPr>
              <w:t>$85</w:t>
            </w:r>
          </w:p>
        </w:tc>
        <w:tc>
          <w:tcPr>
            <w:tcW w:w="1480" w:type="dxa"/>
            <w:vAlign w:val="bottom"/>
            <w:gridSpan w:val="3"/>
            <w:shd w:val="clear" w:color="auto" w:fill="CCEEFF"/>
          </w:tcPr>
          <w:p>
            <w:pPr>
              <w:jc w:val="center"/>
              <w:ind w:left="251"/>
              <w:spacing w:after="0"/>
              <w:rPr>
                <w:sz w:val="20"/>
                <w:szCs w:val="20"/>
                <w:color w:val="auto"/>
              </w:rPr>
            </w:pPr>
            <w:r>
              <w:rPr>
                <w:rFonts w:ascii="Arial" w:cs="Arial" w:eastAsia="Arial" w:hAnsi="Arial"/>
                <w:sz w:val="18"/>
                <w:szCs w:val="18"/>
                <w:color w:val="auto"/>
                <w:w w:val="99"/>
              </w:rPr>
              <w:t>$75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outstanding</w:t>
            </w:r>
            <w:r>
              <w:rPr>
                <w:rFonts w:ascii="Arial" w:cs="Arial" w:eastAsia="Arial" w:hAnsi="Arial"/>
                <w:sz w:val="23"/>
                <w:szCs w:val="23"/>
                <w:color w:val="auto"/>
                <w:vertAlign w:val="superscript"/>
              </w:rPr>
              <w:t>(1)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40" w:type="dxa"/>
            <w:vAlign w:val="bottom"/>
            <w:vMerge w:val="continue"/>
          </w:tcPr>
          <w:p>
            <w:pPr>
              <w:spacing w:after="0"/>
              <w:rPr>
                <w:sz w:val="21"/>
                <w:szCs w:val="21"/>
                <w:color w:val="auto"/>
              </w:rPr>
            </w:pPr>
          </w:p>
        </w:tc>
        <w:tc>
          <w:tcPr>
            <w:tcW w:w="900" w:type="dxa"/>
            <w:vAlign w:val="bottom"/>
          </w:tcPr>
          <w:p>
            <w:pPr>
              <w:jc w:val="center"/>
              <w:ind w:left="151"/>
              <w:spacing w:after="0"/>
              <w:rPr>
                <w:sz w:val="20"/>
                <w:szCs w:val="20"/>
                <w:color w:val="auto"/>
              </w:rPr>
            </w:pPr>
            <w:r>
              <w:rPr>
                <w:rFonts w:ascii="Arial" w:cs="Arial" w:eastAsia="Arial" w:hAnsi="Arial"/>
                <w:sz w:val="18"/>
                <w:szCs w:val="18"/>
                <w:color w:val="auto"/>
                <w:w w:val="99"/>
              </w:rPr>
              <w:t>145</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99"/>
              </w:rPr>
              <w:t>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71"/>
              <w:spacing w:after="0"/>
              <w:rPr>
                <w:sz w:val="20"/>
                <w:szCs w:val="20"/>
                <w:color w:val="auto"/>
              </w:rPr>
            </w:pPr>
            <w:r>
              <w:rPr>
                <w:rFonts w:ascii="Arial" w:cs="Arial" w:eastAsia="Arial" w:hAnsi="Arial"/>
                <w:sz w:val="18"/>
                <w:szCs w:val="18"/>
                <w:color w:val="auto"/>
                <w:w w:val="99"/>
              </w:rPr>
              <w:t>145</w:t>
            </w:r>
          </w:p>
        </w:tc>
        <w:tc>
          <w:tcPr>
            <w:tcW w:w="100" w:type="dxa"/>
            <w:vAlign w:val="bottom"/>
          </w:tcPr>
          <w:p>
            <w:pPr>
              <w:spacing w:after="0"/>
              <w:rPr>
                <w:sz w:val="21"/>
                <w:szCs w:val="21"/>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r>
              <w:rPr>
                <w:rFonts w:ascii="Arial" w:cs="Arial" w:eastAsia="Arial" w:hAnsi="Arial"/>
                <w:sz w:val="23"/>
                <w:szCs w:val="23"/>
                <w:color w:val="auto"/>
                <w:vertAlign w:val="superscript"/>
              </w:rPr>
              <w:t>(1)</w:t>
            </w:r>
          </w:p>
        </w:tc>
        <w:tc>
          <w:tcPr>
            <w:tcW w:w="90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rPr>
              <w:t>$0.59</w:t>
            </w:r>
          </w:p>
        </w:tc>
        <w:tc>
          <w:tcPr>
            <w:tcW w:w="1480" w:type="dxa"/>
            <w:vAlign w:val="bottom"/>
            <w:gridSpan w:val="3"/>
            <w:shd w:val="clear" w:color="auto" w:fill="CCEEFF"/>
          </w:tcPr>
          <w:p>
            <w:pPr>
              <w:jc w:val="center"/>
              <w:ind w:left="251"/>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98"/>
              </w:rPr>
              <w:t>$(0.07)</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$0.07</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Diluted EPS</w:t>
            </w:r>
            <w:r>
              <w:rPr>
                <w:rFonts w:ascii="Arial" w:cs="Arial" w:eastAsia="Arial" w:hAnsi="Arial"/>
                <w:sz w:val="23"/>
                <w:szCs w:val="23"/>
                <w:color w:val="auto"/>
                <w:vertAlign w:val="superscript"/>
              </w:rPr>
              <w:t>(1)</w:t>
            </w:r>
          </w:p>
        </w:tc>
        <w:tc>
          <w:tcPr>
            <w:tcW w:w="900" w:type="dxa"/>
            <w:vAlign w:val="bottom"/>
          </w:tcPr>
          <w:p>
            <w:pPr>
              <w:jc w:val="center"/>
              <w:ind w:left="151"/>
              <w:spacing w:after="0"/>
              <w:rPr>
                <w:sz w:val="20"/>
                <w:szCs w:val="20"/>
                <w:color w:val="auto"/>
              </w:rPr>
            </w:pPr>
            <w:r>
              <w:rPr>
                <w:rFonts w:ascii="Arial" w:cs="Arial" w:eastAsia="Arial" w:hAnsi="Arial"/>
                <w:sz w:val="18"/>
                <w:szCs w:val="18"/>
                <w:color w:val="auto"/>
              </w:rPr>
              <w:t>$0.59</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8"/>
              </w:rPr>
              <w:t>$(0.07)</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$0.07</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3"/>
                <w:szCs w:val="23"/>
                <w:color w:val="auto"/>
              </w:rPr>
            </w:pPr>
          </w:p>
        </w:tc>
        <w:tc>
          <w:tcPr>
            <w:tcW w:w="1080" w:type="dxa"/>
            <w:vAlign w:val="bottom"/>
          </w:tcPr>
          <w:p>
            <w:pPr>
              <w:ind w:left="4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EPS </w:t>
            </w:r>
            <w:r>
              <w:rPr>
                <w:rFonts w:ascii="Arial" w:cs="Arial" w:eastAsia="Arial" w:hAnsi="Arial"/>
                <w:sz w:val="23"/>
                <w:szCs w:val="23"/>
                <w:color w:val="auto"/>
                <w:vertAlign w:val="superscript"/>
              </w:rPr>
              <w:t>(1)(2)</w:t>
            </w:r>
          </w:p>
        </w:tc>
        <w:tc>
          <w:tcPr>
            <w:tcW w:w="90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rPr>
              <w:t>$0.73</w:t>
            </w:r>
          </w:p>
        </w:tc>
        <w:tc>
          <w:tcPr>
            <w:tcW w:w="1480" w:type="dxa"/>
            <w:vAlign w:val="bottom"/>
            <w:gridSpan w:val="3"/>
            <w:shd w:val="clear" w:color="auto" w:fill="CCEEFF"/>
          </w:tcPr>
          <w:p>
            <w:pPr>
              <w:jc w:val="center"/>
              <w:ind w:left="251"/>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98"/>
              </w:rPr>
              <w:t>$(0.07)</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$0.21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900" w:type="dxa"/>
            <w:vAlign w:val="bottom"/>
          </w:tcPr>
          <w:p>
            <w:pPr>
              <w:jc w:val="center"/>
              <w:ind w:left="171"/>
              <w:spacing w:after="0"/>
              <w:rPr>
                <w:sz w:val="20"/>
                <w:szCs w:val="20"/>
                <w:color w:val="auto"/>
              </w:rPr>
            </w:pPr>
            <w:r>
              <w:rPr>
                <w:rFonts w:ascii="Arial" w:cs="Arial" w:eastAsia="Arial" w:hAnsi="Arial"/>
                <w:sz w:val="18"/>
                <w:szCs w:val="18"/>
                <w:color w:val="auto"/>
                <w:w w:val="99"/>
              </w:rPr>
              <w:t>$268</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99"/>
              </w:rPr>
              <w:t>234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center"/>
              <w:ind w:right="171"/>
              <w:spacing w:after="0"/>
              <w:rPr>
                <w:sz w:val="20"/>
                <w:szCs w:val="20"/>
                <w:color w:val="auto"/>
              </w:rPr>
            </w:pPr>
            <w:r>
              <w:rPr>
                <w:rFonts w:ascii="Arial" w:cs="Arial" w:eastAsia="Arial" w:hAnsi="Arial"/>
                <w:sz w:val="18"/>
                <w:szCs w:val="18"/>
                <w:color w:val="auto"/>
                <w:w w:val="99"/>
              </w:rPr>
              <w:t>187</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(2)</w:t>
            </w:r>
          </w:p>
        </w:tc>
        <w:tc>
          <w:tcPr>
            <w:tcW w:w="90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rPr>
              <w:t>9.6%</w:t>
            </w:r>
          </w:p>
        </w:tc>
        <w:tc>
          <w:tcPr>
            <w:tcW w:w="1480" w:type="dxa"/>
            <w:vAlign w:val="bottom"/>
            <w:gridSpan w:val="3"/>
            <w:shd w:val="clear" w:color="auto" w:fill="CCEEFF"/>
          </w:tcPr>
          <w:p>
            <w:pPr>
              <w:jc w:val="center"/>
              <w:ind w:left="251"/>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7.6%</w:t>
            </w: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(2)</w:t>
            </w:r>
          </w:p>
        </w:tc>
        <w:tc>
          <w:tcPr>
            <w:tcW w:w="900" w:type="dxa"/>
            <w:vAlign w:val="bottom"/>
          </w:tcPr>
          <w:p>
            <w:pPr>
              <w:jc w:val="center"/>
              <w:ind w:left="151"/>
              <w:spacing w:after="0"/>
              <w:rPr>
                <w:sz w:val="20"/>
                <w:szCs w:val="20"/>
                <w:color w:val="auto"/>
              </w:rPr>
            </w:pPr>
            <w:r>
              <w:rPr>
                <w:rFonts w:ascii="Arial" w:cs="Arial" w:eastAsia="Arial" w:hAnsi="Arial"/>
                <w:sz w:val="18"/>
                <w:szCs w:val="18"/>
                <w:color w:val="auto"/>
                <w:w w:val="98"/>
              </w:rPr>
              <w:t>$3,291</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7"/>
              </w:rPr>
              <w:t>2,684</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447</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160</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6.0%</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potential remaining</w:t>
            </w: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40" w:type="dxa"/>
            <w:vAlign w:val="bottom"/>
            <w:shd w:val="clear" w:color="auto" w:fill="CCEEFF"/>
          </w:tcPr>
          <w:p>
            <w:pPr>
              <w:ind w:left="180"/>
              <w:spacing w:after="0" w:line="254" w:lineRule="exact"/>
              <w:rPr>
                <w:sz w:val="20"/>
                <w:szCs w:val="20"/>
                <w:color w:val="auto"/>
              </w:rPr>
            </w:pPr>
            <w:r>
              <w:rPr>
                <w:rFonts w:ascii="Arial" w:cs="Arial" w:eastAsia="Arial" w:hAnsi="Arial"/>
                <w:sz w:val="18"/>
                <w:szCs w:val="18"/>
                <w:color w:val="auto"/>
              </w:rPr>
              <w:t>contract value</w:t>
            </w:r>
            <w:r>
              <w:rPr>
                <w:rFonts w:ascii="Arial" w:cs="Arial" w:eastAsia="Arial" w:hAnsi="Arial"/>
                <w:sz w:val="23"/>
                <w:szCs w:val="23"/>
                <w:color w:val="auto"/>
                <w:vertAlign w:val="superscript"/>
              </w:rPr>
              <w:t>(3)</w:t>
            </w:r>
          </w:p>
        </w:tc>
        <w:tc>
          <w:tcPr>
            <w:tcW w:w="90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rPr>
              <w:t>7,981</w:t>
            </w:r>
          </w:p>
        </w:tc>
        <w:tc>
          <w:tcPr>
            <w:tcW w:w="1480" w:type="dxa"/>
            <w:vAlign w:val="bottom"/>
            <w:gridSpan w:val="3"/>
            <w:shd w:val="clear" w:color="auto" w:fill="CCEEFF"/>
          </w:tcPr>
          <w:p>
            <w:pPr>
              <w:jc w:val="center"/>
              <w:ind w:left="251"/>
              <w:spacing w:after="0"/>
              <w:rPr>
                <w:sz w:val="20"/>
                <w:szCs w:val="20"/>
                <w:color w:val="auto"/>
              </w:rPr>
            </w:pPr>
            <w:r>
              <w:rPr>
                <w:rFonts w:ascii="Arial" w:cs="Arial" w:eastAsia="Arial" w:hAnsi="Arial"/>
                <w:sz w:val="18"/>
                <w:szCs w:val="18"/>
                <w:color w:val="auto"/>
              </w:rPr>
              <w:t>8,198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97"/>
              </w:rPr>
              <w:t>8,054</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Total net debt</w:t>
            </w:r>
          </w:p>
        </w:tc>
        <w:tc>
          <w:tcPr>
            <w:tcW w:w="900" w:type="dxa"/>
            <w:vAlign w:val="bottom"/>
          </w:tcPr>
          <w:p>
            <w:pPr>
              <w:jc w:val="center"/>
              <w:ind w:left="151"/>
              <w:spacing w:after="0"/>
              <w:rPr>
                <w:sz w:val="20"/>
                <w:szCs w:val="20"/>
                <w:color w:val="auto"/>
              </w:rPr>
            </w:pPr>
            <w:r>
              <w:rPr>
                <w:rFonts w:ascii="Arial" w:cs="Arial" w:eastAsia="Arial" w:hAnsi="Arial"/>
                <w:sz w:val="18"/>
                <w:szCs w:val="18"/>
                <w:color w:val="auto"/>
                <w:w w:val="99"/>
              </w:rPr>
              <w:t>251</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99"/>
              </w:rPr>
              <w:t>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71"/>
              <w:spacing w:after="0"/>
              <w:rPr>
                <w:sz w:val="20"/>
                <w:szCs w:val="20"/>
                <w:color w:val="auto"/>
              </w:rPr>
            </w:pPr>
            <w:r>
              <w:rPr>
                <w:rFonts w:ascii="Arial" w:cs="Arial" w:eastAsia="Arial" w:hAnsi="Arial"/>
                <w:sz w:val="18"/>
                <w:szCs w:val="18"/>
                <w:color w:val="auto"/>
                <w:w w:val="99"/>
              </w:rPr>
              <w:t>560</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(276)</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(5.9)%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Leverage Ratio</w:t>
            </w:r>
            <w:r>
              <w:rPr>
                <w:rFonts w:ascii="Arial" w:cs="Arial" w:eastAsia="Arial" w:hAnsi="Arial"/>
                <w:sz w:val="23"/>
                <w:szCs w:val="23"/>
                <w:color w:val="auto"/>
                <w:vertAlign w:val="superscript"/>
              </w:rPr>
              <w:t>(2)</w:t>
            </w:r>
          </w:p>
        </w:tc>
        <w:tc>
          <w:tcPr>
            <w:tcW w:w="90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w w:val="99"/>
              </w:rPr>
              <w:t>0.9x</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2.3x</w:t>
            </w:r>
          </w:p>
        </w:tc>
        <w:tc>
          <w:tcPr>
            <w:tcW w:w="9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3.0x</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(1.4x)</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(0.7x)</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Bookings</w:t>
            </w:r>
            <w:r>
              <w:rPr>
                <w:rFonts w:ascii="Arial" w:cs="Arial" w:eastAsia="Arial" w:hAnsi="Arial"/>
                <w:sz w:val="23"/>
                <w:szCs w:val="23"/>
                <w:color w:val="auto"/>
                <w:vertAlign w:val="superscript"/>
              </w:rPr>
              <w:t>(2)</w:t>
            </w:r>
          </w:p>
        </w:tc>
        <w:tc>
          <w:tcPr>
            <w:tcW w:w="900" w:type="dxa"/>
            <w:vAlign w:val="bottom"/>
          </w:tcPr>
          <w:p>
            <w:pPr>
              <w:jc w:val="center"/>
              <w:ind w:left="151"/>
              <w:spacing w:after="0"/>
              <w:rPr>
                <w:sz w:val="20"/>
                <w:szCs w:val="20"/>
                <w:color w:val="auto"/>
              </w:rPr>
            </w:pPr>
            <w:r>
              <w:rPr>
                <w:rFonts w:ascii="Arial" w:cs="Arial" w:eastAsia="Arial" w:hAnsi="Arial"/>
                <w:sz w:val="18"/>
                <w:szCs w:val="18"/>
                <w:color w:val="auto"/>
              </w:rPr>
              <w:t>3,055</w:t>
            </w: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7"/>
              </w:rPr>
              <w:t>2,879</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132</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4.5%</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(2)</w:t>
            </w:r>
          </w:p>
        </w:tc>
        <w:tc>
          <w:tcPr>
            <w:tcW w:w="90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w w:val="99"/>
              </w:rPr>
              <w:t>$74</w:t>
            </w:r>
          </w:p>
        </w:tc>
        <w:tc>
          <w:tcPr>
            <w:tcW w:w="1480" w:type="dxa"/>
            <w:vAlign w:val="bottom"/>
            <w:gridSpan w:val="3"/>
            <w:shd w:val="clear" w:color="auto" w:fill="CCEEFF"/>
          </w:tcPr>
          <w:p>
            <w:pPr>
              <w:jc w:val="center"/>
              <w:ind w:left="271"/>
              <w:spacing w:after="0"/>
              <w:rPr>
                <w:sz w:val="20"/>
                <w:szCs w:val="20"/>
                <w:color w:val="auto"/>
              </w:rPr>
            </w:pPr>
            <w:r>
              <w:rPr>
                <w:rFonts w:ascii="Arial" w:cs="Arial" w:eastAsia="Arial" w:hAnsi="Arial"/>
                <w:sz w:val="18"/>
                <w:szCs w:val="18"/>
                <w:color w:val="auto"/>
                <w:w w:val="99"/>
              </w:rPr>
              <w:t>$110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9"/>
              </w:rPr>
              <w:t>$65</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NM- percentage change not meaningful</w:t>
      </w:r>
    </w:p>
    <w:p>
      <w:pPr>
        <w:spacing w:after="0" w:line="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See “—Non-GAAP Financial Measures” above for definitions of these measures. Adjusted EPS, Adjusted EBITDA, Adjusted EBITDA Margin, Leverage Ratio, and free cash flow are non-GAAP measures. See “—Key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1440" w:right="339" w:bottom="1440" w:gutter="0" w:footer="0" w:header="0"/>
          <w:type w:val="continuous"/>
        </w:sectPr>
      </w:pPr>
    </w:p>
    <w:bookmarkStart w:id="89" w:name="page90"/>
    <w:bookmarkEnd w:id="89"/>
    <w:p>
      <w:pPr>
        <w:spacing w:after="0" w:line="160" w:lineRule="exact"/>
        <w:rPr>
          <w:sz w:val="20"/>
          <w:szCs w:val="20"/>
          <w:color w:val="auto"/>
        </w:rPr>
      </w:pPr>
    </w:p>
    <w:p>
      <w:pPr>
        <w:ind w:left="340" w:right="480"/>
        <w:spacing w:after="0" w:line="246" w:lineRule="auto"/>
        <w:rPr>
          <w:sz w:val="20"/>
          <w:szCs w:val="20"/>
          <w:color w:val="auto"/>
        </w:rPr>
      </w:pPr>
      <w:r>
        <w:rPr>
          <w:rFonts w:ascii="Arial" w:cs="Arial" w:eastAsia="Arial" w:hAnsi="Arial"/>
          <w:sz w:val="16"/>
          <w:szCs w:val="16"/>
          <w:color w:val="auto"/>
        </w:rPr>
        <w:t>Financial and Operating Measures—Non-GAAP Financial Measures” above for reconciliations of these measures to the most directly comparable financial measure calculated and presented in accordance with U.S. GAAP.</w:t>
      </w:r>
    </w:p>
    <w:p>
      <w:pPr>
        <w:spacing w:after="0" w:line="1" w:lineRule="exact"/>
        <w:rPr>
          <w:sz w:val="20"/>
          <w:szCs w:val="20"/>
          <w:color w:val="auto"/>
        </w:rPr>
      </w:pPr>
    </w:p>
    <w:p>
      <w:pPr>
        <w:ind w:left="340" w:right="140" w:hanging="332"/>
        <w:spacing w:after="0" w:line="253"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See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Years Ended December 31,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operating results for the year ended December 31, 2020 are highlighted by another successful year of revenue growth and margin expansion despite COVID-19 related operational challenges throughout the year. Revenue of $2,778 million for the year ended December 31, 2020 represented year over year growth of $64 million (2.4%) while our operating earnings and net earnings grew $18 million (11.0%) and $10 million (13.3%) from the year ended December 31, 2019, respectively. Along with our net earnings expansion, Adjusted EBITDA, one of our key operational evaluation metrics, increased $34 million, or 14.5%, from the prior year to $268 million, representing our second straight year of double digit Adjusted EBITDA annual growth. The Adjusted EBITDA growth drove Adjusted EBITDA margins to 9.6%, a 1.0% increase from 2019. For more detailed operational explanations, please see financial analysis below.</w:t>
      </w:r>
    </w:p>
    <w:p>
      <w:pPr>
        <w:spacing w:after="0" w:line="15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our diversified, balanced portfolio supported by foundational programs with strong, visible backlog aligned in areas of, in our view, growing importance within the DoD budget priorities, resulted in $11.3 billion of total estimated remaining contract value as of December 31, 2020. Our total estimated remaining contract value consists of backlog of $3.3 billion and potential remaining contract value of $8.0 billion, driven by our awards and positions on existing platforms. Our recent awards include supporting Counter Unmanned Aircraft Systems (“CUAS”) efforts with the U.S. Army and continued success in receiving next generation Force Protection and Dismounted Soldier Sensing programs with both the U.S. Army and U.S. Navy at our AST segment. Our positions include providing propulsion systems components on the Columbia-class submarine at our IMS segment and our legacy positions on our Mounted Family of Computer Systems (“MFoCS”) and Global Access Network programs at our NC&amp;C segment. We believe these programs will support continued revenue and margin growth as programs transition from development efforts to production, continuing our trend of earnings growth and margin expansion.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With Year Ended December 31, 2018</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 the year ended December 31, 2019 we realized the impact of our cost-effective solutions, strong customer relationships and ability to remain nimble and quick-to-market when it comes to addressing current and future customer needs. During the year we demonstrated the benefit of our flexibility with awards on various urgent operational needs programs across each of our segments, highlighted by a production ramp on our active protection system (“APS”) program within our IMS segment. These programs illustrate our ability to rapidly deploy complex solutions to solve our customers’ evolving requirements. Such ability coupled with our diverse existing installed base of product offerings resulted in revenue of $2,714 million for the year ended December 31, 2019 representing year over year growth of $381 million, or 16.3%, compared to December 31, 2018.</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Double digit revenue growth, along with new bookings exceeding revenue, and a robust backlog of $2.844 million as of year ended December 31, 2019, created a foundation for continued revenue growth. Our profit growth continued to expand in excess of our revenue, driving an operating earnings increase of 262.2% to $163 million in 2019 from our 2018 results of $ 45 million. The operating earnings growth is attributed to expanding revenue and the associated contribution margin coupled with a reduction in acquired asset amortization. The reduction in acquired asset amortization in 2019 compared to 2018 is a result of the completion of amortization of the intangible assets established when US Holding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5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DRS in 2008, resulting in a year-over-year reduction in amortization expense of $84 million. The increase in revenue was partially offset by an increase in general and administrative expenses of 3.4% driven by compliance and quality infrastructure expansion to support the revenue growth. Offsetting the general and administrative expenditure increase was a reduction in bid and proposal expenditures on a jet aircraft training program within our AST segment of $ 24 million. As a consequence, net earnings improved to $75 million for the year ended December 31, 2019 from a loss of $ 10 million for the year ended December 31, 2018. Adjusted EBITDA and Adjusted EBITDA Margin, our key financial operating metrics, also improved in line with these results. Adjusted EBITDA increased by 25.1% to $234 million from $187 million and Adjusted EBITDA Margin increased by 60 basis points to 8.6% from year ended December 31, 2019. The increase in 2019 was primarily related to the aforementioned jet aircraft training program pursuit, offset in part by additional costs incurred on development programs at our IMS segment.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Revenue increased by $64 million, or 2.4%, to $2,778 million for year ended December 31, 2020 from $2,714 million for year ended December 31, 2019. The revenue growth in 2020 was primarily due to an increase of $159 million at our AST segment, driven by programs transitioning from development to production and increased deliveries in our Dismounted Soldier Sensing and Targeting Systems programs, resulting in a $109 million increase as compared to the prior year. Additionally our AST segment also realized annual revenue expansion through progress on our recently awarded program to provide electric control systems for the U.S. Navy’s shipboard launch system ($ 22 million) and pilot training programs ($ 29 million). At our IMS segment, our continued market penetration on CUAS opportunities drove $28 million of incremental revenue during 2020 as compared to 2019. In addition, our recently awarded programs to provide power solutions on the CVN 80/81 carriers and logistics support equipment to the Israel Ministry of Defense contributed revenue of $14 million and $13 million, respectively. However, despite this success, our IMS revenue growth was more than offset by a decline of $160 million compared to 2019 attributable to accelerated deliveries of our TROPHY™ APS program in the prior year. At our NC&amp;C segment we had continued progress in our Satellite &amp; Network Communications programs and ruggedized maintenance support hardware programs contributed $ 28 million and $29 million, respectively, of incremental revenue as compared to 2019. These contributions were partially offset in certain naval common network services equipment programs in which we made strategic decisions to allocate capital in what we believe are more profitable opportunities.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For the year ended December 31, 2019 revenue increased by $381 million, or 16.3%, to $2,714 million as compared to 2018. Revenue growth was primarily due to the rapid development and sale of desired capabilities within our IMS segment, highlighted by the APS and our CUAS programs. The APS and CUAS programs generated revenue growth of $245 million and $29 million, respectively, to support urgent operational needs as compared to 2018. Additionally, revenue in our AST segment revenue increased $ 56 million as a result of the production award for the next generation weapon sight program. Our NC&amp;C Segment also experienced revenue growth as compared to 2018, including a $40 million increase attributed to a newly awarded radar manufacturing program. However, the increases in NC&amp;C revenue as compared to 2018 were partially offset by decreases as a result of the production transition on our MFoCS ruggedized computing program as we migrated from our mature full rate production contract to our newly awarded five-year indefinite delivery, indefinite quantity contract modernizing the system capability and cyber protection. The new MFoCS program required achievement of certain certifications prior to progressing into full rate production, which resulted in a decline in program revenues by $52 million as compared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Cost of revenues increased $29 million, or 1.3%, from $2,255 million to $2,284 million for the year ended December 31, 2020, primarily due to increased revenue as described above. The cost of revenues growth was favorably offset by improved program mix, with our higher profit segment, AST, driving the year over year revenue expansion as noted above. Please see “—Review of Operating Segments” below for further discussion. The favorable impact of program mix was partially offset by changes in estimates to complete certain development related programs at our IMS segment of $46 million and at our NC&amp;C segment of $19 million; see </w:t>
      </w:r>
      <w:r>
        <w:rPr>
          <w:rFonts w:ascii="Arial" w:cs="Arial" w:eastAsia="Arial" w:hAnsi="Arial"/>
          <w:sz w:val="18"/>
          <w:szCs w:val="18"/>
          <w:i w:val="1"/>
          <w:iCs w:val="1"/>
          <w:color w:val="auto"/>
        </w:rPr>
        <w:t>Note 2: Revenue from Contracts with Customers</w:t>
      </w:r>
      <w:r>
        <w:rPr>
          <w:rFonts w:ascii="Arial" w:cs="Arial" w:eastAsia="Arial" w:hAnsi="Arial"/>
          <w:sz w:val="18"/>
          <w:szCs w:val="18"/>
          <w:color w:val="auto"/>
        </w:rPr>
        <w:t xml:space="preserve"> for further detail.</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the year ended December 31, 2019 cost of revenue increased by $336 million, or 17.5%, from $1,919 million for the year ended December 31, 2018 to $ 2,255 million, driven primarily by the 16.3% increase in revenue described above. The increase in cost of revenues was further impacted by increased costs realized on certain fixed-price development efforts at our IMS segment primarily related to our on-the-move surveillance program for an international customer of $9 million and to certain newly awarded transportation and logistics programs totaling $8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Gross profit increased $35 million, or 7.6%, from $459 million for the year ended December 31, 2019 to $494 million for the year ended December 31, 2020, primarily driven by revenue growth and favorable program mix as noted above, offset by the charges realized on development type programs at our IMS segment of $47 million and a reduction in the estimated amount of variable consideration related to certain claims on electronics programs with the U.S. Navy totaling $11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Gross profit increased $45 million, or 10.9%, from $414 million for the year ended December 31, 2018 to $459 million for the year ended December 31, 2019, primarily driven by year over year revenue growth, partially offset by the impact of cost growth on certain design programs within our IMS segment noted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General and administrative expenses increased by $6 million, or 2.2%, from $277 million for the year ended December 31, 2019 to $283 million for the year ended December 31, 2020, resulting from increases in discretionary investment of $9 million for both Independent Research and Development (IR&amp;D) and Bid and Proposal (B&amp;P) costs, as well as $9 million in expenses related to our planned initial public offering. These costs were partially offset by reductions in corporate, employee medical and travel expenditures related to certain of the impacts of COVID-19 on our business.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General and administrative expenses increased $9 million, or 3.4%, from $268 million for the year ended December 31, 2018 to $277 million for the year ended December 31, 2019, primarily as a result of:</w:t>
      </w:r>
    </w:p>
    <w:p>
      <w:pPr>
        <w:spacing w:after="0" w:line="14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 million increase in compliance costs and quality infrastructure to support our expanding revenue;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85</w:t>
      </w:r>
    </w:p>
    <w:p>
      <w:pPr>
        <w:sectPr>
          <w:pgSz w:w="11900" w:h="16838" w:orient="portrait"/>
          <w:cols w:equalWidth="0" w:num="1">
            <w:col w:w="11200"/>
          </w:cols>
          <w:pgMar w:left="320" w:top="1440" w:right="379" w:bottom="1440" w:gutter="0" w:footer="0" w:header="0"/>
        </w:sectPr>
      </w:pPr>
    </w:p>
    <w:bookmarkStart w:id="92" w:name="page93"/>
    <w:bookmarkEnd w:id="92"/>
    <w:p>
      <w:pPr>
        <w:spacing w:after="0" w:line="200" w:lineRule="exact"/>
        <w:rPr>
          <w:sz w:val="20"/>
          <w:szCs w:val="20"/>
          <w:color w:val="auto"/>
        </w:rPr>
      </w:pPr>
    </w:p>
    <w:p>
      <w:pPr>
        <w:spacing w:after="0" w:line="362" w:lineRule="exact"/>
        <w:rPr>
          <w:sz w:val="20"/>
          <w:szCs w:val="20"/>
          <w:color w:val="auto"/>
        </w:rPr>
      </w:pPr>
    </w:p>
    <w:p>
      <w:pPr>
        <w:ind w:left="660" w:right="26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$5 million increase in bid proposal and internal research and development expenditures ($2 million and $3 million, respectively) to promote future growth opportunities.</w:t>
      </w:r>
    </w:p>
    <w:p>
      <w:pPr>
        <w:spacing w:after="0" w:line="14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This cost growth was largely offset by a reduction in proposal expenditures of $24 million on an aircraft training jet program pursuit in our AST segment that did not recur in 2019.</w:t>
      </w:r>
    </w:p>
    <w:p>
      <w:pPr>
        <w:spacing w:after="0" w:line="144"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Despite the increase in general and administrative expenses, our general and administrative expenses as a percentage of revenue decreased 1.3%, from 11.5% to 10.2%, contributing to our overall margin expansion.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Operating Expenses,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Other operating expenses increased by $11 million to $21 million for the year ended December 31, 2020 from $ 10 million for the year ended December 31, 2019, mainly due to costs incurred in response to impacts of the COVID-19 pandemic. In total we incurred $12 million of expenditures from March 1, 2020 through December 31, 2020 to ensure a safe work environment for our employees. These costs included paid leave, personal protective equipment and other cleaning measures, facility filtration systems and social and physical distancing efforts, including the use of zones and subzones for manufacturing facilities. Please see “—Business Overview and Considerations—Impacts of COVID-19 On Our Business” for further details on COVID-19 impact on our business.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Other operating expenses increased $2 million from $8 million for the year ended December 31, 2018 to $10 million for the year ended December 31, 2019, as a result of facility consolidation efforts implemented within our IMS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intangibles for the year ended December 31, 2020 of $9 million were consistent with the year ended December 31, 2019.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For the year ended December 31, 2019, amortization of Intangibles decreased $84 million, or 90.3%, from $93 million for the year ended December 31, 2018 to $9 million for the year ended December 31, 2019, related to the completion of the amortization of the intangible asset recorded in connection with the 2008 acquisition of DRS by US Holding in December 2018. The remaining intangible asset amortization is primarily attributed to our intangibles assets recorded in connection with our 2017 acquisition of Daylight Solutions Inc. (“Daylight Solutions”), which operates within our AST segment.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Operating earnings increased by $18 million to $181 million, or 11.0%, for the year ended December 31, 2020 from $163 million for the year ended December 31, 2019, driven by the increased revenue output and related contribution margin resulting from our AST segment financial contributions noted above, offset by the aforementioned changes in estimates to complete at our IMS and NC&amp;C segments, which led to an increase in general and administrative expenses and other operating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1440" w:right="359" w:bottom="1440" w:gutter="0" w:footer="0" w:header="0"/>
        </w:sectPr>
      </w:pPr>
    </w:p>
    <w:bookmarkStart w:id="93" w:name="page94"/>
    <w:bookmarkEnd w:id="9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Operating earnings increased by $118 million, or 262.2%, from $45 million for the year ended December 31, 2018 to $163 million for the year ended December 31, 2019, primarily attributable to increased gross profit driven by higher revenue within our IMS segment as well as a reduction in the amortization of acquired intangibles.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Interest expense decreased by $1 million to $64 million for year end December 31, 2020 from $65 million for the year ended December 31, 2019. The reduction in annual interest was attributed to the lower interest rates on our variable rate borrowings. The weighted average interest rate on our revolving credit facility was 4.36% in 2020 compared to 5.93% in 2019.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Interest expense increased by $7 million, or 12.1%, from $58 million for the year ended December 31, 2018 to $65 million for the year ended December 31, 2019, primarily driven by the commencement of certain financing leases to enhance our capacity within our NC&amp;C and IMS segments as well as an increase in revolver borrowings to fund increases in working capital requirements, predominately on fixed price development programs.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Other, net increased to $5 million for the year ended December 31, 2020 from $3 million for the year ended December 31, 2019. This was primarily related to a loss of the termination on one of our international defined benefit pension plans.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meaningful change from the year ended December 31, 2019 to the year ended December 31, 2018.</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Before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Earnings (loss) before taxes increased by $17 million to $112 million for the year ended December 31, 2020 from $95 million for the year ended December 31, 2019. This was primarily due to increased operating earnings of $18 million, the reduction of $1 million in interest expenditures offset in part by the $2 million increase of other, net costs as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year ended December 31, 2019 earning before taxes increased by $112 million from a loss of $ 17 million for the year ended December 31, 2018 to earnings of $95 million for the year ended December 31, 2019, primarily due to increased revenue and related gross profit, coupled with the reduction of amortization of acquired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320" w:top="1440" w:right="399" w:bottom="1440" w:gutter="0" w:footer="0" w:header="0"/>
        </w:sectPr>
      </w:pPr>
    </w:p>
    <w:bookmarkStart w:id="94" w:name="page95"/>
    <w:bookmarkEnd w:id="94"/>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Income tax provision (benefit) increased by $7 million to $27 million for the year ended December 31, 2020 from $20 million for the year ended December 31, 2019. This was primarily due to an increase in earnings before taxes. Our effective tax rate for 2020 was 24.1% compared to 21.1% in 2019. The increase in the effective tax rate is primarily attributable to non-deductible costs in connection with our planned initial public offering of $9 million incurred during 2020.</w:t>
      </w:r>
    </w:p>
    <w:p>
      <w:pPr>
        <w:spacing w:after="0" w:line="150" w:lineRule="exact"/>
        <w:rPr>
          <w:sz w:val="20"/>
          <w:szCs w:val="20"/>
          <w:color w:val="auto"/>
        </w:rPr>
      </w:pPr>
    </w:p>
    <w:p>
      <w:pPr>
        <w:jc w:val="both"/>
        <w:ind w:right="300" w:firstLine="324"/>
        <w:spacing w:after="0" w:line="261" w:lineRule="auto"/>
        <w:rPr>
          <w:sz w:val="20"/>
          <w:szCs w:val="20"/>
          <w:color w:val="auto"/>
        </w:rPr>
      </w:pPr>
      <w:r>
        <w:rPr>
          <w:rFonts w:ascii="Arial" w:cs="Arial" w:eastAsia="Arial" w:hAnsi="Arial"/>
          <w:sz w:val="18"/>
          <w:szCs w:val="18"/>
          <w:color w:val="auto"/>
        </w:rPr>
        <w:t>As of December 31, 2020 the Company had $131 million of Federal net operating loss carryforwards and $22 million of net tax credit carry-forwards that can be utilized to reduce approximately $50 million of future tax liabilities prior to their expiration commencing in 2025.</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income tax provision (benefit) increased by $ 27 million from an income tax benefit of $7 million for the year ended December 31, 2018 to an income tax provision of $20 million for the year ended December 31, 2019 due to our loss before taxes in 2018 as compared to earnings before taxes in 2019. Our effective tax rate for 2019 was 21.1% compared to 41.2% in 2018, driven by our earnings (loss) before tax realized in 2018.</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Earnings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360" w:firstLine="324"/>
        <w:spacing w:after="0" w:line="256" w:lineRule="auto"/>
        <w:rPr>
          <w:sz w:val="20"/>
          <w:szCs w:val="20"/>
          <w:color w:val="auto"/>
        </w:rPr>
      </w:pPr>
      <w:r>
        <w:rPr>
          <w:rFonts w:ascii="Arial" w:cs="Arial" w:eastAsia="Arial" w:hAnsi="Arial"/>
          <w:sz w:val="18"/>
          <w:szCs w:val="18"/>
          <w:color w:val="auto"/>
        </w:rPr>
        <w:t>Net earnings (loss) increased by $10 million to $85 million for the year ended December 31, 2020 when compared to the year ended December 31, 2019. This was driven by increased earnings before taxes of $17 million offset by increased in income tax provision of $7 million as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year ended December, 31, 2019 net earnings increased by $85 million from a loss of $10 million for the year ended December 31, 2018 to earnings of $75 million for the year ended December 31, 2019, primarily due to the increase in revenue and decrease in amortization of acquired intangibles in 2019 as compared to 2018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and Diluted EPS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For the year ended December 31, 2020, there were no changes in the number of basic and diluted shares. No equity awards were issued during such year. As of December 31, 2020 and 2019, there were 145,000,000 shares of common stock outstanding (after giving effect to a 1,450,000-for-1 forward stock split on our common stock effected on February 25, 2021), resulting in a basic and diluted EPS of $0.59 and $0.52 per share, respectively. The increase in EPS is attributed to the net earnings growth described above.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For the years ended December 31, 2019 and 2018, there were no changes in the number of basic and diluted shares. No equity awards were issued during such years. As of December 31, 2019 and 2018, there were 145,000,000 shares of common stock outstanding (after giving effect to a 1,450,000-for-1 forward stock split on our common stock effected on February 25, 2021), resulting in a basic and diluted EPS of $0.52 and a loss of $0.07 per share, respectively. The improvement in EPS from the loss in 2018 is attributed to the net earnings growth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80" w:firstLine="324"/>
        <w:spacing w:after="0" w:line="261" w:lineRule="auto"/>
        <w:rPr>
          <w:sz w:val="20"/>
          <w:szCs w:val="20"/>
          <w:color w:val="auto"/>
        </w:rPr>
      </w:pPr>
      <w:r>
        <w:rPr>
          <w:rFonts w:ascii="Arial" w:cs="Arial" w:eastAsia="Arial" w:hAnsi="Arial"/>
          <w:sz w:val="18"/>
          <w:szCs w:val="18"/>
          <w:color w:val="auto"/>
        </w:rPr>
        <w:t>Adjusted EBITDA increased $34 million, or 14.5%, from $234 million for the year ended December 31, 2019 to $268 million for the year ended December 31, 2020, primarily due to the increased gross profit contribution attributed to revenue growth and favorable revenue mix.</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For year ended December 31, 2019, Adjusted EBITDA increased $47 million, or 25.1%, from $187 million for the year ended December 31, 2018 to $234 million for the year ended December 31, 2019, primarily due to revenue growth offset in part by increased costs expected on fixed-priced development programs within our IMS sector and an increase in general and administrative expenses.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18"/>
          <w:szCs w:val="18"/>
          <w:color w:val="auto"/>
        </w:rPr>
        <w:t>Adjusted EBITDA Margin increased from 8.6% for the year ended December 31, 2019 to 9.6% for year ended December 31, 2020. This was primarily due to gross margin expansion attributable to favorable mix from increased revenues from our higher margin AST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Adjusted EBITDA Margin increased from 8.0% for the year ended December 31, 2018 to 8.6% for the year ended December 31, 2019, primarily due to improved performance from revenue growth outpacing growth in our general and administrative expenses, offset in part by cost growth on certain of our development programs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EPS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For the year ended December 31, 2020, there were no changes in the number of basic and diluted shares. No equity awards were issued during such year. As of December 31, 2020 and 2019, there were 145,000,000 shares of common stock outstanding (after giving effect to a 1,450,000-for-1 forward stock split on our common stock effected on February 25, 2021), resulting in adjusted EPS of $0.73 and $0.52 per share, respectively. The increase in EPS is attributed to the net earnings growth noted above as well as COVID-19 response expenses and IPO related expenditures incurred in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the year ended December 31, 2019, there were no changes in the number of basic and diluted shares. No equity awards were issued during such year. As of December 31, 2019 and 2018, there were 145,000,000 shares of common stock outstanding (after giving effect to a 1,450,000-for-1 forward stock split on our common stock effected on February 25, 2021), resulting in adjusted EPS of $0.52 and a loss per share of $0.07,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Backlog increased by $447 million, or 15.7%, from $2,844 million as of December 31, 2019 to $3,291 million as of December 31, 2020. The backlog increase was driven by our IMS segment, primarily attributed to the receipt of multi-year funding awards received on our naval power and propulsion programs. Please see “—Review of Operating Segments” below for a detailed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320" w:top="1440" w:right="419" w:bottom="1440" w:gutter="0" w:footer="0" w:header="0"/>
        </w:sectPr>
      </w:pPr>
    </w:p>
    <w:bookmarkStart w:id="96" w:name="page97"/>
    <w:bookmarkEnd w:id="9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Backlog increased by $160 million, or 6.0%, from $2,684 million as of December 31, 2018 to $2,844 million as of December 31, 2019 due to our bookings exceeding our revenue recognized during the year, driving an increase in our funded backlog of $209 million. The backlog increase was driven by our AST and NC&amp;C segments as detailed in our analysis of our reportable segments below. These increases were offset by a decrease in unfunded backlog of $49 million, primarily due to additional funding allocation on our Columbia-class submarine program within our IMS segment.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Potential Remaining Contract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Estimated potential remaining contract value of $7,981 million as of December 31, 2020 declined by $217 million, or 2.6%, as compared to December 31, 2019. This decrease was due to the receipt of incremental funding on legacy programs including active protection systems ($279 million), Satellite &amp; Network Communications programs ($97 million) and ruggedized computing hardware ($111 million). These reductions were offset by the receipt of long-term contracts that will be incrementally funded including CUAS programs ($170 million) and naval computing and displays awards ($114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estimated potential remaining contract value increased $144 million to $8,198 million as of December 31, 2019 as compared to December 31, 2018. The increase was attributed to a contract award to provide at least five years of technology upgrades on Naval Submarines totaling $700 million and a MFoCS support contract received to facilitate hardware installation capabilities totaling $233 million. These increases were partially offset by incremental funding received on certain of our long-term IDIQ and follow-on programs, totaling $254 million, $384 million and $150 million for AST, NC&amp;C and IMS segments,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Leverage Ratio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For year ended December 31, 2020, our leverage ratio decreased to 0.9x from 2.3x for the year ended December 31, 2019. This was driven by improved Adjusted EBITDA of $34 million as compared to 2019 and the reduction in our net debt of $276 million as compared to the prior year. The net debt reduction was a result of the forgiveness of $ 300 million related party debt by US Holding and the repayment of certain related party debt obligations of $65 million, partially offset by the commencement of certain long-term finance leases and other financing obligations of $83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For the year ended December 31, 2019, our leverage ratio decreased to 2.3x from 3.0x for the year ended December 31, 2018. The decrease can be attributed to an increase in Adjusted EBITDA of $47 million in 2019 as compared to 2018 as well as a decrease in our net debt of $33 million from December 31, 2018 as compared to December 31, 2019. Net debt declined as a result of improved cash flows and the issuance of a related party note receivable of $100 million. These reductions in net debt were partially offset by an increase in finance lease obligations related to commencement of facility leases at our NC&amp;C and IMS segments.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Bookings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Bookings increased to $ 3,055 million, or 4.5%, for the year ended December 31, 2020 from $2,923 million for the year ended December 31, 2019. The increase was driven by significant awards in our 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1440" w:right="379" w:bottom="1440" w:gutter="0" w:footer="0" w:header="0"/>
        </w:sectPr>
      </w:pPr>
    </w:p>
    <w:bookmarkStart w:id="97" w:name="page98"/>
    <w:bookmarkEnd w:id="97"/>
    <w:p>
      <w:pPr>
        <w:spacing w:after="0" w:line="15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segment including the receipt of multi-year funding awards received on our naval power and propulsion programs to support the CVN 80/81 carriers program ($212 million). Additionally, our AST segment received production awards for next generation Dismounted Soldier Sensing and Airborne Force Protection programs generating $30 million and $40 million of incremental bookings, respectively. This was offset by the significant TROPHY™ APS award received in 2019 ($195 million) that did not recur in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Bookings increased by $44 million, or 1.5%, to $2,923 million for the year ended December 31, 2019 from $2,879 million for the year ended December 31, 2018, primarily due to the enhanced scope received on our Columbia-class submarine programs at our IMS segment, largely offset by a reduction in bookings related to certain competitive C4I U.S. Navy network hardware programs.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Free cash flow decreased by $36 million, or 32.7%, to $74 million for the year ended December 31, 2020 from $110 million for the year ended December 31, 2019. This was primarily attributable to increases in operating working capital relating to timing and the ongoing transition of development programs to production.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Free cash flow increased by $45 million to $110 million for the year ended December 31, 2019 from $ 65 million for the year ended December 31, 2018. The increase can be attributed to the increase in net earnings and Adjusted EBITDA as compared to 2018 as well as an increase in accounts payable to mitigate the impacts of increases in working capital on certain design programs for which we had not yet achieved billing milestones as of year-end.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Operating Segments</w:t>
      </w:r>
    </w:p>
    <w:p>
      <w:pPr>
        <w:spacing w:after="0" w:line="19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The following is a discussion of operating results for each of our operating segments. We have elected to use Revenue, Adjusted EBITDA, Adjusted EBITDA Margin, Bookings and Backlog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1440" w:right="359" w:bottom="1440" w:gutter="0" w:footer="0" w:header="0"/>
        </w:sectPr>
      </w:pPr>
    </w:p>
    <w:bookmarkStart w:id="98" w:name="page99"/>
    <w:bookmarkEnd w:id="98"/>
    <w:p>
      <w:pPr>
        <w:spacing w:after="0" w:line="139" w:lineRule="exact"/>
        <w:rPr>
          <w:sz w:val="20"/>
          <w:szCs w:val="20"/>
          <w:color w:val="auto"/>
        </w:rPr>
      </w:pPr>
    </w:p>
    <w:p>
      <w:pPr>
        <w:ind w:right="740"/>
        <w:spacing w:after="0" w:line="282" w:lineRule="auto"/>
        <w:rPr>
          <w:rFonts w:ascii="Arial" w:cs="Arial" w:eastAsia="Arial" w:hAnsi="Arial"/>
          <w:sz w:val="18"/>
          <w:szCs w:val="18"/>
          <w:i w:val="1"/>
          <w:iCs w:val="1"/>
          <w:color w:val="auto"/>
        </w:rPr>
      </w:pPr>
      <w:r>
        <w:rPr>
          <w:rFonts w:ascii="Arial" w:cs="Arial" w:eastAsia="Arial" w:hAnsi="Arial"/>
          <w:sz w:val="18"/>
          <w:szCs w:val="18"/>
          <w:color w:val="auto"/>
        </w:rPr>
        <w:t xml:space="preserve">detailed information on our segment performance. Additional information regarding our segments can be found in </w:t>
      </w:r>
      <w:hyperlink w:anchor="page245">
        <w:r>
          <w:rPr>
            <w:rFonts w:ascii="Arial" w:cs="Arial" w:eastAsia="Arial" w:hAnsi="Arial"/>
            <w:sz w:val="18"/>
            <w:szCs w:val="18"/>
            <w:i w:val="1"/>
            <w:iCs w:val="1"/>
            <w:color w:val="auto"/>
          </w:rPr>
          <w:t>Note 17: Segment</w:t>
        </w:r>
      </w:hyperlink>
      <w:r>
        <w:rPr>
          <w:rFonts w:ascii="Arial" w:cs="Arial" w:eastAsia="Arial" w:hAnsi="Arial"/>
          <w:sz w:val="18"/>
          <w:szCs w:val="18"/>
          <w:color w:val="auto"/>
        </w:rPr>
        <w:t xml:space="preserve"> </w:t>
      </w:r>
      <w:hyperlink w:anchor="page245">
        <w:r>
          <w:rPr>
            <w:rFonts w:ascii="Arial" w:cs="Arial" w:eastAsia="Arial" w:hAnsi="Arial"/>
            <w:sz w:val="18"/>
            <w:szCs w:val="18"/>
            <w:i w:val="1"/>
            <w:iCs w:val="1"/>
            <w:color w:val="auto"/>
          </w:rPr>
          <w:t xml:space="preserve">information </w:t>
        </w:r>
      </w:hyperlink>
      <w:r>
        <w:rPr>
          <w:rFonts w:ascii="Arial" w:cs="Arial" w:eastAsia="Arial" w:hAnsi="Arial"/>
          <w:sz w:val="18"/>
          <w:szCs w:val="18"/>
          <w:color w:val="auto"/>
        </w:rPr>
        <w:t>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6"/>
          </w:tcPr>
          <w:p>
            <w:pPr>
              <w:jc w:val="right"/>
              <w:ind w:right="68"/>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rPr>
              <w:t>2020 vs. 2019</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2019 vs. 2018</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420" w:type="dxa"/>
            <w:vAlign w:val="bottom"/>
          </w:tcPr>
          <w:p>
            <w:pPr>
              <w:spacing w:after="0"/>
              <w:rPr>
                <w:sz w:val="14"/>
                <w:szCs w:val="14"/>
                <w:color w:val="auto"/>
              </w:rPr>
            </w:pPr>
          </w:p>
        </w:tc>
        <w:tc>
          <w:tcPr>
            <w:tcW w:w="700" w:type="dxa"/>
            <w:vAlign w:val="bottom"/>
          </w:tcPr>
          <w:p>
            <w:pPr>
              <w:jc w:val="right"/>
              <w:ind w:right="349"/>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48"/>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169"/>
              <w:spacing w:after="0"/>
              <w:rPr>
                <w:sz w:val="20"/>
                <w:szCs w:val="20"/>
                <w:color w:val="auto"/>
              </w:rPr>
            </w:pPr>
            <w:r>
              <w:rPr>
                <w:rFonts w:ascii="Arial" w:cs="Arial" w:eastAsia="Arial" w:hAnsi="Arial"/>
                <w:sz w:val="13"/>
                <w:szCs w:val="13"/>
                <w:b w:val="1"/>
                <w:bCs w:val="1"/>
                <w:color w:val="auto"/>
              </w:rPr>
              <w:t>Variance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169"/>
              <w:spacing w:after="0"/>
              <w:rPr>
                <w:sz w:val="20"/>
                <w:szCs w:val="20"/>
                <w:color w:val="auto"/>
              </w:rPr>
            </w:pPr>
            <w:r>
              <w:rPr>
                <w:rFonts w:ascii="Arial" w:cs="Arial" w:eastAsia="Arial" w:hAnsi="Arial"/>
                <w:sz w:val="13"/>
                <w:szCs w:val="13"/>
                <w:b w:val="1"/>
                <w:bCs w:val="1"/>
                <w:color w:val="auto"/>
              </w:rPr>
              <w:t>Variance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Revenue:</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AST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659</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159</w:t>
            </w:r>
          </w:p>
        </w:tc>
        <w:tc>
          <w:tcPr>
            <w:tcW w:w="48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122</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(57)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610</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(83)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307</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50.3 %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&amp; Eliminations</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Total revenue</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2,778</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2,714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2,333</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64</w:t>
            </w: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382</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EBITDA:</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AST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73</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29</w:t>
            </w:r>
          </w:p>
        </w:tc>
        <w:tc>
          <w:tcPr>
            <w:tcW w:w="480" w:type="dxa"/>
            <w:vAlign w:val="bottom"/>
          </w:tcPr>
          <w:p>
            <w:pPr>
              <w:jc w:val="right"/>
              <w:spacing w:after="0"/>
              <w:rPr>
                <w:sz w:val="20"/>
                <w:szCs w:val="20"/>
                <w:color w:val="auto"/>
              </w:rPr>
            </w:pPr>
            <w:r>
              <w:rPr>
                <w:rFonts w:ascii="Arial" w:cs="Arial" w:eastAsia="Arial" w:hAnsi="Arial"/>
                <w:sz w:val="14"/>
                <w:szCs w:val="14"/>
                <w:color w:val="auto"/>
              </w:rPr>
              <w:t>30.7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21</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28.8 %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15</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22</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53.7 %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&amp; Eliminations</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NM</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Total Adjusted EBITDA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187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34</w:t>
            </w:r>
          </w:p>
        </w:tc>
        <w:tc>
          <w:tcPr>
            <w:tcW w:w="480" w:type="dxa"/>
            <w:vAlign w:val="bottom"/>
          </w:tcPr>
          <w:p>
            <w:pPr>
              <w:jc w:val="right"/>
              <w:spacing w:after="0"/>
              <w:rPr>
                <w:sz w:val="20"/>
                <w:szCs w:val="20"/>
                <w:color w:val="auto"/>
              </w:rPr>
            </w:pPr>
            <w:r>
              <w:rPr>
                <w:rFonts w:ascii="Arial" w:cs="Arial" w:eastAsia="Arial" w:hAnsi="Arial"/>
                <w:sz w:val="14"/>
                <w:szCs w:val="14"/>
                <w:color w:val="auto"/>
              </w:rPr>
              <w:t>14.5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47</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25.1 %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EBITDA Margin:</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AST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29"/>
              <w:spacing w:after="0"/>
              <w:rPr>
                <w:sz w:val="20"/>
                <w:szCs w:val="20"/>
                <w:color w:val="auto"/>
              </w:rPr>
            </w:pPr>
            <w:r>
              <w:rPr>
                <w:rFonts w:ascii="Arial" w:cs="Arial" w:eastAsia="Arial" w:hAnsi="Arial"/>
                <w:sz w:val="14"/>
                <w:szCs w:val="14"/>
                <w:color w:val="auto"/>
              </w:rPr>
              <w:t>1.1 %</w:t>
            </w:r>
          </w:p>
        </w:tc>
        <w:tc>
          <w:tcPr>
            <w:tcW w:w="480" w:type="dxa"/>
            <w:vAlign w:val="bottom"/>
          </w:tcPr>
          <w:p>
            <w:pPr>
              <w:jc w:val="right"/>
              <w:spacing w:after="0"/>
              <w:rPr>
                <w:sz w:val="20"/>
                <w:szCs w:val="20"/>
                <w:color w:val="auto"/>
              </w:rPr>
            </w:pPr>
            <w:r>
              <w:rPr>
                <w:rFonts w:ascii="Arial" w:cs="Arial" w:eastAsia="Arial" w:hAnsi="Arial"/>
                <w:sz w:val="14"/>
                <w:szCs w:val="14"/>
                <w:color w:val="auto"/>
              </w:rPr>
              <w:t>8.7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29"/>
              <w:spacing w:after="0"/>
              <w:rPr>
                <w:sz w:val="20"/>
                <w:szCs w:val="20"/>
                <w:color w:val="auto"/>
              </w:rPr>
            </w:pPr>
            <w:r>
              <w:rPr>
                <w:rFonts w:ascii="Arial" w:cs="Arial" w:eastAsia="Arial" w:hAnsi="Arial"/>
                <w:sz w:val="14"/>
                <w:szCs w:val="14"/>
                <w:color w:val="auto"/>
              </w:rPr>
              <w:t>0.9 %</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1.6 %</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0.6 %</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29"/>
              <w:spacing w:after="0"/>
              <w:rPr>
                <w:sz w:val="20"/>
                <w:szCs w:val="20"/>
                <w:color w:val="auto"/>
              </w:rPr>
            </w:pPr>
            <w:r>
              <w:rPr>
                <w:rFonts w:ascii="Arial" w:cs="Arial" w:eastAsia="Arial" w:hAnsi="Arial"/>
                <w:sz w:val="14"/>
                <w:szCs w:val="14"/>
                <w:color w:val="auto"/>
              </w:rPr>
              <w:t>(0.2)%</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29"/>
              <w:spacing w:after="0"/>
              <w:rPr>
                <w:sz w:val="20"/>
                <w:szCs w:val="20"/>
                <w:color w:val="auto"/>
              </w:rPr>
            </w:pPr>
            <w:r>
              <w:rPr>
                <w:rFonts w:ascii="Arial" w:cs="Arial" w:eastAsia="Arial" w:hAnsi="Arial"/>
                <w:sz w:val="14"/>
                <w:szCs w:val="14"/>
                <w:color w:val="auto"/>
              </w:rPr>
              <w:t>0.2 %</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Bookings:</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AST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915</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(55)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38</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53</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(90)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134</w:t>
            </w:r>
          </w:p>
        </w:tc>
        <w:tc>
          <w:tcPr>
            <w:tcW w:w="480" w:type="dxa"/>
            <w:vAlign w:val="bottom"/>
          </w:tcPr>
          <w:p>
            <w:pPr>
              <w:jc w:val="right"/>
              <w:spacing w:after="0"/>
              <w:rPr>
                <w:sz w:val="20"/>
                <w:szCs w:val="20"/>
                <w:color w:val="auto"/>
              </w:rPr>
            </w:pPr>
            <w:r>
              <w:rPr>
                <w:rFonts w:ascii="Arial" w:cs="Arial" w:eastAsia="Arial" w:hAnsi="Arial"/>
                <w:sz w:val="14"/>
                <w:szCs w:val="14"/>
                <w:color w:val="auto"/>
              </w:rPr>
              <w:t>14.9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96</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bookings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132</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44</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Backlog:</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1,098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196</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NC&amp;C</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16</w:t>
            </w: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24</w:t>
            </w:r>
          </w:p>
        </w:tc>
        <w:tc>
          <w:tcPr>
            <w:tcW w:w="44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IMS</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451</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Total backlog</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3,291</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2,844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2,684</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447</w:t>
            </w:r>
          </w:p>
        </w:tc>
        <w:tc>
          <w:tcPr>
            <w:tcW w:w="480" w:type="dxa"/>
            <w:vAlign w:val="bottom"/>
          </w:tcPr>
          <w:p>
            <w:pPr>
              <w:jc w:val="right"/>
              <w:spacing w:after="0"/>
              <w:rPr>
                <w:sz w:val="20"/>
                <w:szCs w:val="20"/>
                <w:color w:val="auto"/>
              </w:rPr>
            </w:pPr>
            <w:r>
              <w:rPr>
                <w:rFonts w:ascii="Arial" w:cs="Arial" w:eastAsia="Arial" w:hAnsi="Arial"/>
                <w:sz w:val="14"/>
                <w:szCs w:val="14"/>
                <w:color w:val="auto"/>
              </w:rPr>
              <w:t>15.7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160</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2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Estimated Potential Remaining Contract Value:</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AST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2,480</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2,429</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2,683</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51</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(254)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(152)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548</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22.4 %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2,777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2,928</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(115)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(151)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Estimated Contract Value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7,981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8,054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(217)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143</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 Ended December 31,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revenue growth at our AST segment was driven principally by programs transitioning from development to production and increased deliveries in our next generation dismounted Soldier Sensing and Targeting Systems programs, resulting in $109 million of additional revenue as compared to the prior year. Additionally, our AST segment also realized annual revenue expansion through progress on our recently awarded electronic control systems program for the U.S. Navy shipboard launch system ($22 million) and Pilot Training ($ 29 million) programs. This revenue growth was offset in part by lower Airborne Force Protection programs revenue resulting from the transition from our accelerated production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1440" w:right="339" w:bottom="1440" w:gutter="0" w:footer="0" w:header="0"/>
          <w:type w:val="continuous"/>
        </w:sectPr>
      </w:pPr>
    </w:p>
    <w:bookmarkStart w:id="99" w:name="page100"/>
    <w:bookmarkEnd w:id="99"/>
    <w:p>
      <w:pPr>
        <w:spacing w:after="0" w:line="15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efforts under the Urgent Operational Needs (“ONS”) program with the U.S. Navy in 2019 to development efforts to expand program capabilities in 2020, reducing revenue by $30 million. In total, segment revenue increased $159 million, or 20%, from $781 million for the year ended December 31, 2019 to $940 million for the year ended December 31,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AST’s revenue increased $122 million, or 18.5%, from $659 million for the year ended December 31, 2018 to $781 million for the year ended December 31, 2019. This growth was primarily attributed to revenue realized from program awards received in 2018 and 2019 including progress related to the following:</w:t>
      </w:r>
    </w:p>
    <w:p>
      <w:pPr>
        <w:spacing w:after="0" w:line="14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$56 million due to ramp up efforts on our newly awarded next generation weapon sight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$12 million from ramp up efforts on our newly awarded Mobile Protected Firepower (“MPF”)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$30 million attributed to increased demand for legacy sensing programs on ground vehicles;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 million due to incremental effort on our pilot training systems programs.</w:t>
      </w:r>
    </w:p>
    <w:p>
      <w:pPr>
        <w:spacing w:after="0" w:line="171"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This was offset in part by program delays on certain fixed-price sensors and precision targeting development programs, reducing revenue by $15 million.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AST’s Adjusted EBITDA increased by $29 million, or 30.7%, from $94 million for the year ended December 31, 2019 to $ 123 million for the year ended December 31, 2020. Adjusted EBITDA Margin increased from 12.0% for the year ended December 31, 2019 to 13.1% for the year ended December 31, 2020. This increase in Adjusted EBITDA is primarily attributed to the revenue increase noted above coupled with a favorable program mix with revenue growth in our higher margin program areas, including pilot training. The favorable program mix and revenue growth in excess of general and administrative costs growth contributed to the Adjusted EBITDA margin expansion of 1.1 basis points to 13.1%.</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AST’s Adjusted EBITDA increased by $21 million, or 28.8%, from $73 million for the year ended December 31, 2018 to $94 million for the year ended December 31, 2019. Adjusted EBITDA Margin increased from 11.1% for the year ended December 31, 2018 to 12.0% for the year ended December 31, 2019. The increase in Adjusted EBITDA and margin expansion are attributable to the $122 million increase in revenue combined with a reduction in general and administrative expenses as a percentage of sales related to costs for our pursuit of a training jet aircraft training program totaling $ 24 million that did not recur in 2019. Partially offsetting this Adjusted EBITDA expansion was cost growth on certain sensors and precision targeting fixed-price development programs of $5 million.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AST’s bookings decreased by $55 million, or 5.8%, from $953 million for the year ended December 31, 2019 to $898 million for the year ended December 31, 2020. The bookings results were highlighted by production awards received for our Next Generation Thermal Weapon Sight and Limited Interim Warning System programs, which had significant bookings of $ 168 million and $74 million, respectively, an increase of $30 million and $67 million, respectively, compared to the prior year ended December 31, 2019. The bookings growth was more than offset by the previously disclosed transition from Airborne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Force Protection ONS production awards received in 2019 to development programs resulting in a year over year bookings reduction of $72 million.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AST’s bookings increased $38 million, or 4.2%, from $915 million as of December 31, 2018 to $953 million as of December 31, 2019 as a result of incremental awards received on next generation weapon sight programs and increased sensor upgrades on legacy ground vehicle sensing programs as well as awards received supporting naval radar systems. These programs generated incremental orders of $67 million, $23 million and $ 37 million, respectively. These expansions were offset in part by accelerated program awards in 2018 related to Airborne Force Protection programs totaling $80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r>
        <w:rPr>
          <w:rFonts w:ascii="Arial" w:cs="Arial" w:eastAsia="Arial" w:hAnsi="Arial"/>
          <w:sz w:val="18"/>
          <w:szCs w:val="18"/>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AST’s backlog decreased by $20 million, or 1.6%, from $1,294 million for the year ended December 31, 2019 to $1,274 million for the year ended December 31, 2020. This was attributed to revenue slightly outpacing new bookings.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AST’s backlog increased $196 million, or 17.9%, from $1,098 million as of December 31, 2018 to $1,294 million as of December 31, 2019, primarily due to our bookings performance out-pacing revenue by $172 million coupled with additional unfunded backlog increases. The backlog expansion was highlighted by our awards on the next generation weapon sight program noted above which generated backlog of $52 million in 2019.</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Potential Remaining Contract Value</w:t>
      </w:r>
      <w:r>
        <w:rPr>
          <w:rFonts w:ascii="Arial" w:cs="Arial" w:eastAsia="Arial" w:hAnsi="Arial"/>
          <w:sz w:val="18"/>
          <w:szCs w:val="18"/>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AST’s estimated potential remaining contract value increased by $51 million from $2,429 million for the year ended December 31, 2019 to $2,480 million for the year ended December 31, 2020. This was primarily due to additional long term positions secured on EW opportunities ($123 million), long-term contracts received to provide next generation Tactical Terminal ($120 million) and awards to provide support to the U.S. Navy’s launch system program ($66 million). The increases were largely offset by continued contractual funding on next generation weapon sight programs ($76 million) and awards received on our Airborne Force Protection programs ($134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AST’s estimated potential remaining contract value declined $254 million attributed to funding received on our long-term contractual positions including our aircraft survivability programs of $151 million, soldier sensing programs of $55 million and legacy sensing programs of $31 million.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NC&amp;C</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NC&amp;C revenue decreased by $27 million or, 2.6%, from $1,053 million for the year ended December 31, 2019 to $1,026 million for the year ended December 31, 2020. This decrease was attributed to a management decision focus on program pursuits that better fit our strategic investment profile, lowering Naval common network services equipment by $ 64 million and lower throughput on antenna programs with the U.S. Navy of $16 million. This was largely offset by newly awarded advanced combat networking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hardware and ruggedized maintenance support programs which generated $41 million and $29 million of additional revenue,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NC&amp;C revenue decreased $57 million, or 5.2%, from $1,111 million for the year ended December 31, 2018 to $1,053 million for the year ended December 31, 2019 as a result of production transition on our foundational program, MFoCS migrated from our mature full rate production contract to our newly awarded contracts. The new program required achievement of certain certifications prior to progressing into full rate production, which resulted in a reduction of revenues of $52 million as compared to the prior year. This was largely offset by progress on newly awarded naval radar production program received in 2018, which generated additional revenue of $40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NC&amp;C’s Adjusted EBITDA increased by $15 million, or 19.6%, from $75 million for the year ended December 31, 2019 to $90 million for the year ended December 31, 2020. Adjusted Margin increased from 7.1% for the year ended December 31, 2019 to 8.7% for the year ended December 31, 2020. This increase in Adjusted EBITDA and margin expansion was attributed to program mix, including the reduction in revenue from our Naval common network services equipment by $64 million. This was offset in part by changes in our assumed recovery for certain requests for equitable adjustments in certain electronics programs with the U.S. Navy impacting EBITDA by $11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NC&amp;C’s Adjusted EBITDA increased $3 million, or 4.2%, from $72 million for the year ended December 31, 2018 to $75 million for the year ended December 31, 2019. Adjusted EBITDA Margin increased from 6.5% for the year ended December 31, 2018 to 7.1% for the year ended December 31, 2019. The year over year profitability increase was primarily attributable to the successful production transition to the newly awarded MFoCS program, which generated incremental $8 million of margin contribution despite the reduction in revenues noted above.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NC&amp;C’s bookings increased by $ 53 million, or 4.9%, to $1,121 million for the year ended December 31, 2020 from $1,068 million for the year ended December 31, 2019. Our bookings are highlighted by the continuance of our foundational programs including follow on Global Network program awards with Special Operations Command (“SOCOM”) and the U.S. Army and incremental funding on our MFoCS ruggedized computing hardware programs for $164 million and $180 million, respectively. The increase as compared to the prior year is attributed to the recently awarded advanced combat networking hardware with the U.S. Navy, increasing bookings $ 78 million against the prior year. This was offset in part by the strategic decision to focus our efforts and capacity on program pursuits that better fit our strategic investment profile, lowering our exposure to Naval common network services equipment by $37 million.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NC&amp;C’s bookings decreased $90 million, or 7.8%, from $1,158 million as of December 31, 2018 to $1,068 million as of December 31, 2019, due to a reduction in competitive awards on certain U.S. Navy hardware programs resulting in a decline of $ 102 million and the completion of existing submarine hardware upgrade programs in 2018. Despite being successful in our pursuit for the follow-on submarine hardware upgrade program, funding levels in 2019 were limited to initial funding values, which were $51 million lower than the 2018 levels. This was offset in part by our ruggedized computing battle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management modernization programs awarded in 2019, contributing an incremental $23 million in bookings for the year.</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NC&amp;C’s backlog increased by $16 million, or 2%, from $776 million as of December 31, 2019 to $792 million as of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due to bookings of $1,158 million slightly exceeding revenues of $1,026 million.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NC&amp;C's backlog increased by $24 million, or 3.2%, from $752 million as of December 31, 2018 to $776 million as of December 31, 2019, due to bookings of $1,068 million slightly exceeding our revenues recognized of $1,053 million. This increase is due to our ruggedized computing and diagnostics programs on land vehicles offset in part by the reduction in bookings received on competitive naval hardware programs.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Potential Remaining Contract Value</w:t>
      </w:r>
      <w:r>
        <w:rPr>
          <w:rFonts w:ascii="Arial" w:cs="Arial" w:eastAsia="Arial" w:hAnsi="Arial"/>
          <w:sz w:val="18"/>
          <w:szCs w:val="18"/>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NC&amp;C’s estimated potential remaining contract value decreased by $152 million to $ 2,839 million for the year ended December 31, 2020 from $2,991 million for the year ended December 31, 2019. This decrease was primarily due to funding received on long-term contracts in our Global Network program for $129 million and MFoCS ruggedized computing program for $111 million. These reductions were offset in part by the recently awarded long-term advanced combat networking hardware program with the U.S. Navy, increasing estimated potential remaining contract value $85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NC&amp;C’s estimated potential remaining contract value increased $548 million driven by contract awards to provide technology upgrades on submarines for the U.S. Navy totaling $ 700 million and the contract received to provide installation support for our MFoCS computing hardware of $233 million, offset by funding received on our long-term contract positions. The funding received includes $228 million on naval computing efforts, $126 million on satellite network programs and $30 million on land based computing awards.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IMS revenue decreased by $83 million, or 9%, from $917 million for the year ended December 31, 2019 to $834 million for the year ended December 31, 2020. This decrease was mostly attributed to the acceleration of $161 million of revenue on the APS program in 2019. Offsetting this decrease is incremental revenue generated from our recently awarded position on the Submarine Power Conversion program of $14 million and the receipt of our full rate production award for CUAS programs with the U.S. Army generating incremental $28 million of revenue as compared to 2019.</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IMS revenue increased $307 million, or 50.3%, from $610 million for the year ended December 31, 2018 to $917 million for the year ended December 31, 2019. The increase in revenue was predominantly attributable to our successful rapid development and deployment of our urgent operational needs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5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protection programs including our APS programs as well as CUAS systems. In total, our force protection programs generated incremental revenue of $274 million as compared to 2018 results.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IMS’s Adjusted EBITDA decreased by $8 million, or 12.2%, from $63 million for the year ended December 31, 2019 to $55 million for the year ended December 31, 2020. Adjusted Margin decreased from 6.9% for the year end December 31, 2019 to 6.6% for the year ended December 31, 2020. This decrease in Adjusted EBITDA and margin reduction was attributed to cost growth on fixed price development program efforts including submarine power and propulsion system components for the U.S. Navy impacting EBITDA margins by $37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IMS’s Adjusted EBITDA increased $22 million, or 53.7%, from $41 million for the year ended December 31, 2018 to $63 million for the year ended December 31, 2019. The increase in Adjusted EBITDA was primarily driven by the increased revenue contribution resulting from our force protection programs. Adjusted EBITDA Margin increased from 6.7% for the year ended December 31, 2018 to 6.9% for the year ended December 31, 2019. The increase was driven by a reduction in general and administrative expenses as a percentage of revenue in 2019 as compared to 2018, creating volume leverage that increased overall profitability.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Bookings increased by $134 million, or 14.9%, from $902 million as of December 31, 2019 to $1,036 million as of December 31, 2020. This increase was driven by awards received to support the CVN 80/81 carriers generating incremental bookings of $212 million as compared to the prior year. Further, our CUAS programs generated $19 million of additional awards as those programs transitioned from development into full rate production. These increases were largely offset by a reduction of awards received on our TROPHY™ APS programs of $195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Bookings increased $96 million, or 11.9%, from $806 million as of December 31, 2018 to $902 million as of December 31, 2019. The increase was driven by increased content awarded on our submarine programs with the U.S. Navy of $60 million and incremental funding on the APS program with the U.S. Army generating $16 million of additional bookings. This was offset in part by certain transport and logistics program transitions, including our bridging program which saw reduced order quantity as we transitioned from development to low-rate initial production awards reducing bookings by $19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Backlog increased by $ 451 million, or 58.3%, to $1,225 million for the year ended December 31, 2020 from $ 774 million for the year ended December 31, 2019. This was due to strong bookings driven principally by our awards to support the CVN 80/81 program ($212 million) and increased unfunded backlog on our submarine power and propulsion system components and other hybrid drive programs by $101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320" w:top="1440" w:right="399" w:bottom="1440" w:gutter="0" w:footer="0" w:header="0"/>
        </w:sectPr>
      </w:pPr>
    </w:p>
    <w:bookmarkStart w:id="104" w:name="page105"/>
    <w:bookmarkEnd w:id="104"/>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Backlog decreased $60 million, or 7.2%, from $834 million as of December 31, 2018 to $774 million as of December 31, 2019, primarily due to revenue exceeding bookings on our APS program as we accelerated progress to rapidly deploy force protection capability to the U.S. Army. This was offset in part by incremental funding received on our submarine programs as noted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Potential Remaining Contract Value</w:t>
      </w:r>
      <w:r>
        <w:rPr>
          <w:rFonts w:ascii="Arial" w:cs="Arial" w:eastAsia="Arial" w:hAnsi="Arial"/>
          <w:sz w:val="18"/>
          <w:szCs w:val="18"/>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180" w:firstLine="324"/>
        <w:spacing w:after="0" w:line="254" w:lineRule="auto"/>
        <w:rPr>
          <w:sz w:val="20"/>
          <w:szCs w:val="20"/>
          <w:color w:val="auto"/>
        </w:rPr>
      </w:pPr>
      <w:r>
        <w:rPr>
          <w:rFonts w:ascii="Arial" w:cs="Arial" w:eastAsia="Arial" w:hAnsi="Arial"/>
          <w:sz w:val="18"/>
          <w:szCs w:val="18"/>
          <w:color w:val="auto"/>
        </w:rPr>
        <w:t>IMS’s estimated potential remaining contract value decreased by $115 million, from $ 2,777 million as of December 31, 2019 to $2,662 million as of December 31, 2020. This was primarily attributed to receiving awards on our long-term contractual positions including our APS programs, which received funding of $279 million during the year. The decrease was offset by our successful long-term contract awards for CUAS programs adding $169 million to our estimated potential contract value.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IMS’s estimated potential remaining contract value decreased $151 million attributed to funding received on our long-term contractual positions including on our military transportation and logistics programs of $62 million, force protection programs of $36 million and $34 million on naval power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following table sets forth selected unaudited quarterly results of operations data for each of the eight quarters in the period ended December 31, 2020. This data should be read in conjunction with our audited Consolidated Financial Statements and related notes included elsewhere in this prospectus. These quarterly operating results are not necessarily indicative of our operating results for a full year or any future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3"/>
                <w:szCs w:val="13"/>
                <w:color w:val="auto"/>
                <w:w w:val="99"/>
              </w:rPr>
              <w:t>(Dollars in millions, except per share amounts)</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Q2</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Q1</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Q2</w:t>
            </w:r>
          </w:p>
        </w:tc>
        <w:tc>
          <w:tcPr>
            <w:tcW w:w="260" w:type="dxa"/>
            <w:vAlign w:val="bottom"/>
          </w:tcPr>
          <w:p>
            <w:pPr>
              <w:spacing w:after="0"/>
              <w:rPr>
                <w:sz w:val="18"/>
                <w:szCs w:val="18"/>
                <w:color w:val="auto"/>
              </w:rPr>
            </w:pPr>
          </w:p>
        </w:tc>
        <w:tc>
          <w:tcPr>
            <w:tcW w:w="720" w:type="dxa"/>
            <w:vAlign w:val="bottom"/>
          </w:tcPr>
          <w:p>
            <w:pPr>
              <w:jc w:val="right"/>
              <w:ind w:right="313"/>
              <w:spacing w:after="0"/>
              <w:rPr>
                <w:sz w:val="20"/>
                <w:szCs w:val="20"/>
                <w:color w:val="auto"/>
              </w:rPr>
            </w:pPr>
            <w:r>
              <w:rPr>
                <w:rFonts w:ascii="Arial" w:cs="Arial" w:eastAsia="Arial" w:hAnsi="Arial"/>
                <w:sz w:val="14"/>
                <w:szCs w:val="14"/>
                <w:b w:val="1"/>
                <w:bCs w:val="1"/>
                <w:color w:val="auto"/>
              </w:rPr>
              <w:t>Q1</w:t>
            </w:r>
          </w:p>
        </w:tc>
      </w:tr>
      <w:tr>
        <w:trPr>
          <w:trHeight w:val="250"/>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270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140" w:hanging="332"/>
        <w:spacing w:after="0" w:line="251" w:lineRule="auto"/>
        <w:tabs>
          <w:tab w:leader="none" w:pos="3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See “—Key Financial and Operating Measures—Non-GAAP Financial Measures” above for definitions of these measures. Adjusted EBITDA, Adjusted EBITDA Margin, Adjusted EPS, Leverage Ratio and free cash flow are non-GAAP measures. See “—Key Financial and Operating Measures—Non-GAAP Financial Measures” above for reconciliations of these measures to the most directly comparable financial measure calculated and presented in accordance with U.S. GAAP.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0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 We believe that the combination of our existing cash, access to credit facilities as described in </w:t>
      </w:r>
      <w:hyperlink w:anchor="page233">
        <w:r>
          <w:rPr>
            <w:rFonts w:ascii="Arial" w:cs="Arial" w:eastAsia="Arial" w:hAnsi="Arial"/>
            <w:sz w:val="18"/>
            <w:szCs w:val="18"/>
            <w:i w:val="1"/>
            <w:iCs w:val="1"/>
            <w:color w:val="auto"/>
          </w:rPr>
          <w:t>Note 11: Debt</w:t>
        </w:r>
        <w:r>
          <w:rPr>
            <w:rFonts w:ascii="Arial" w:cs="Arial" w:eastAsia="Arial" w:hAnsi="Arial"/>
            <w:sz w:val="18"/>
            <w:szCs w:val="18"/>
            <w:color w:val="auto"/>
          </w:rPr>
          <w:t xml:space="preserve"> </w:t>
        </w:r>
      </w:hyperlink>
      <w:r>
        <w:rPr>
          <w:rFonts w:ascii="Arial" w:cs="Arial" w:eastAsia="Arial" w:hAnsi="Arial"/>
          <w:sz w:val="18"/>
          <w:szCs w:val="18"/>
          <w:color w:val="auto"/>
        </w:rPr>
        <w:t>and future cash that we expect to generate from our operations will be sufficient to meet our short and long-term liquidity needs. There can be no assurance, however,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December 31, 2020 was $61 million compared to $85 million as of December 31, 2019.</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314"/>
        </w:trPr>
        <w:tc>
          <w:tcPr>
            <w:tcW w:w="6340" w:type="dxa"/>
            <w:vAlign w:val="bottom"/>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220" w:hanging="332"/>
        <w:spacing w:after="0" w:line="260" w:lineRule="auto"/>
        <w:tabs>
          <w:tab w:leader="none" w:pos="3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Free cash flow is a Non-GAAP measure. The reasons we use this Non-GAAP financial measure and its reconciliation to the most directly comparable U.S. GAAP financial measure is provided above under “—Key Financial and Operating Measures—Non-GAAP Financial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Years Ended December 31,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generated cash from operating activities of $125 million for the year ended December 31, 2020 as compared to $157 million for the year ended December 31, 2019. This decrease was primarily attributed to an increase in working capital resulting from a reduction in our vendor payable obligations in December 31, 2020 as compared to the prior year. This resulted in cash usage of $58 million. Additionally, we also generated higher accounts receivables driving a cash usage of $35 million. This increase in working capital was partially offset by a $65 million reduction in contract assets in connection with the achievement of billable milestones on development type programs, including our APS, which reduced contract assets by $ 60 million during the year. In addition to the contract asset reduction, we also decreased working capital through the social security payroll tax deferral offered as part of the COVID-19 relief efforts.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generated cash from operating activities of $157 million for the year ended December 31, 2019 and $105 million for the year ended December 31, 2018. The primary driver of cash inflow improvement is attributed to the increase in operating earnings noted above coupled with an increase in current liabilities including accounts payable of $ 156 million as of December 31, 2019 as compared to December 31, 2018, generating additional cash from operating activities. This was largely offset by a $166 million increase in contract assets related primarily to certain design programs for which we had not yet achieved billable milestones as of year end. The cash increase was further offset by our payments on finance interest-related expenditures which increased $4 million from 2018 to a total of $59 million in 2019, the majority of which were to our parent company, US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Investing activities used $70 million of cash during the year ended December 31, 2020 as compared to $151 million during the year ended December 31, 2019. The $81 million reduction in investing cash outflows is attributed to the 2019 loan of $100 million issued to US Holding. The loan was repaid during the 2020 fiscal year and a subsequent loan was issued totaling $115 million in December of 2020. The net cash outflow of the intercompany loans was $15 million in 2020 compared to $100 million in 2019.</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Cash used in investing activities was $151 million for the year ended December 31, 2019 and $46 million for the year ended December 31, 2018. The primary use of cash for investing activities is driven by a $100 million intercompany loan to our parent company US Holding generated from excess cash on hand as of December 31, 2019, which was subsequently repaid in January of 2020. Additionally, we increased capital expenditures attributed to capacity expansions to support our recent program awards at our AST segment.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Cash used in financing activities for the year ended December 31, 2020 and December 31, 2019 was $ 80 million and $1 million, respectively. Cash used in financing activities increased primarily as a result of the principal payment of our 4% term debt of $50 million and $15 million of principal reduction of the Daylight Term Loan.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Cash used in financing activities for the year ended December 31, 2019 and December 31, 2018 was $1 million and $30 million, respectively. Cash used in financing activities was for principal payments on the term loan used to acquire Daylight Solutions of $15 million and $10 million, respectively, for 2019 and 2018. Additionally, in 2018 we paid $13 million of contingent consideration to the former owners of Daylight Solutions predicated on the achievement of prenegotiated operational targets. These outflows were partially offset by additional borrowings made during the year.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Free cash flow decreased by $36 million, or 32.7%, to $ 74 million for the year ended December 31, 2020 as compared to $110 million for the year ended December 31, 2019. This was primarily due to growth in operating working capital driven from a reduction in accounts payable of $58 million and accounts receivable growth of $35 million year over year. This was largely offset by reduction in contract assets of $65 million as we completed development programs and transitioned them to production programs.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Free cash flow increased $45 million, or 69.2%, from $ 65 million for the year ended December 31, 2018 to $110 million for the year ended December 31, 2019. The increase in free cash flow was mainly due to the increases in cash provided by operating activities noted above partially offset by an increase in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our contractual obligations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rPr>
              <w:t>Payments Due by Period</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Less than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ind w:right="234"/>
              <w:spacing w:after="0"/>
              <w:rPr>
                <w:sz w:val="20"/>
                <w:szCs w:val="20"/>
                <w:color w:val="auto"/>
              </w:rPr>
            </w:pPr>
            <w:r>
              <w:rPr>
                <w:rFonts w:ascii="Arial" w:cs="Arial" w:eastAsia="Arial" w:hAnsi="Arial"/>
                <w:sz w:val="14"/>
                <w:szCs w:val="14"/>
                <w:b w:val="1"/>
                <w:bCs w:val="1"/>
                <w:color w:val="auto"/>
                <w:w w:val="98"/>
              </w:rPr>
              <w:t>1-3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94"/>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1 Year</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5 Years</w:t>
            </w:r>
          </w:p>
        </w:tc>
      </w:tr>
      <w:tr>
        <w:trPr>
          <w:trHeight w:val="27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with related parties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Loans from banks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Finance leases and other</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obligations</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320" w:hanging="332"/>
        <w:spacing w:after="0" w:line="250"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scheduled interest payments. For a discussion of certain recapitalization transactions that Leonardo S.p.A. and its affiliates will enter into in connection with this offering, see “Recapitalization.”</w:t>
      </w:r>
    </w:p>
    <w:p>
      <w:pPr>
        <w:ind w:left="340" w:right="100" w:hanging="332"/>
        <w:spacing w:after="0" w:line="250"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Finance leases and other includes a build-to-suit, failed sale leaseback asset obligation of $49 million as of December 31, 2020. See </w:t>
      </w:r>
      <w:r>
        <w:rPr>
          <w:rFonts w:ascii="Arial" w:cs="Arial" w:eastAsia="Arial" w:hAnsi="Arial"/>
          <w:sz w:val="17"/>
          <w:szCs w:val="17"/>
          <w:i w:val="1"/>
          <w:iCs w:val="1"/>
          <w:color w:val="auto"/>
        </w:rPr>
        <w:t>Note 11</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7"/>
          <w:szCs w:val="17"/>
          <w:i w:val="1"/>
          <w:iCs w:val="1"/>
          <w:color w:val="auto"/>
        </w:rPr>
        <w:t>Debt</w:t>
      </w:r>
      <w:r>
        <w:rPr>
          <w:rFonts w:ascii="Arial" w:cs="Arial" w:eastAsia="Arial" w:hAnsi="Arial"/>
          <w:sz w:val="16"/>
          <w:szCs w:val="16"/>
          <w:color w:val="auto"/>
        </w:rPr>
        <w:t xml:space="preserve"> of our Notes to Consolidated Financial Statements.</w:t>
      </w:r>
    </w:p>
    <w:p>
      <w:pPr>
        <w:spacing w:after="0" w:line="1" w:lineRule="exact"/>
        <w:rPr>
          <w:rFonts w:ascii="Arial" w:cs="Arial" w:eastAsia="Arial" w:hAnsi="Arial"/>
          <w:sz w:val="16"/>
          <w:szCs w:val="16"/>
          <w:color w:val="auto"/>
        </w:rPr>
      </w:pPr>
    </w:p>
    <w:p>
      <w:pPr>
        <w:ind w:left="340" w:right="480" w:hanging="332"/>
        <w:spacing w:after="0" w:line="266"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Post-retirement obligations include those amounts we expect to pay out in benefits payments and are further explained in </w:t>
      </w:r>
      <w:r>
        <w:rPr>
          <w:rFonts w:ascii="Arial" w:cs="Arial" w:eastAsia="Arial" w:hAnsi="Arial"/>
          <w:sz w:val="17"/>
          <w:szCs w:val="17"/>
          <w:i w:val="1"/>
          <w:iCs w:val="1"/>
          <w:color w:val="auto"/>
        </w:rPr>
        <w:t>Note 12</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7"/>
          <w:szCs w:val="17"/>
          <w:i w:val="1"/>
          <w:iCs w:val="1"/>
          <w:color w:val="auto"/>
        </w:rPr>
        <w:t>Pension and</w:t>
      </w:r>
      <w:r>
        <w:rPr>
          <w:rFonts w:ascii="Arial" w:cs="Arial" w:eastAsia="Arial" w:hAnsi="Arial"/>
          <w:sz w:val="16"/>
          <w:szCs w:val="16"/>
          <w:color w:val="auto"/>
        </w:rPr>
        <w:t xml:space="preserve"> </w:t>
      </w:r>
      <w:r>
        <w:rPr>
          <w:rFonts w:ascii="Arial" w:cs="Arial" w:eastAsia="Arial" w:hAnsi="Arial"/>
          <w:sz w:val="17"/>
          <w:szCs w:val="17"/>
          <w:i w:val="1"/>
          <w:iCs w:val="1"/>
          <w:color w:val="auto"/>
        </w:rPr>
        <w:t xml:space="preserve">Other Postretirement Benefits </w:t>
      </w:r>
      <w:r>
        <w:rPr>
          <w:rFonts w:ascii="Arial" w:cs="Arial" w:eastAsia="Arial" w:hAnsi="Arial"/>
          <w:sz w:val="16"/>
          <w:szCs w:val="16"/>
          <w:color w:val="auto"/>
        </w:rPr>
        <w:t>of our Notes to Consolidated Financial Statements.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Purchase commitments include open purchase orders with vendors for which the Company is contractually obligated.</w:t>
      </w:r>
    </w:p>
    <w:p>
      <w:pPr>
        <w:spacing w:after="0" w:line="38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Off-Balance Sheet Arrangements</w:t>
      </w:r>
    </w:p>
    <w:p>
      <w:pPr>
        <w:spacing w:after="0" w:line="19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As of December 31, 2020 and 2019, we had no significant off balance sheet arrangements.</w:t>
      </w:r>
    </w:p>
    <w:p>
      <w:pPr>
        <w:spacing w:after="0" w:line="14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Recapitalization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To prepare for this offering and operation as a stand-alone public company, we have undertaken recapitalization initiatives to align our capital structure more closely with other U.S. public companies, including the expected repayment in full of our outstanding related -party borrowings of $237 million and entry into financing arrangements providing for the issuance of $450 million of third-party debt. The third-party debt is expected to consist of (i) the Term A Loan and (ii) the Bridge Loan, in each case subject to the consummation of this offering. We anticipate that the Bridge Loan will be repaid with the net proceeds from the issuance of unsecured senior notes following this offering. Any such unsecured senior notes would be offered pursuant to a separate offering memorandum and nothing contained in this prospectus shall constitute an offer to sell or solicitation of an offer to buy such unsecured senior notes. See “Recapitalization” and “Unaudited Pro Forma Consolidated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The following is not intended to be a comprehensive list of all of our accounting policies. Our significant accounting policies are more fully described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the Consolidated Financial Statements. In many cases, the accounting treatment of a particular transaction is dictated by accounting principles generally accepted in the United States of America. Other areas require management's judgment to make estimates and assumptions that affect the reported amounts of assets and liabilities and the reported amounts of revenues and costs and expenses during the reporting period. Ultimately, actual amounts may differ from these estimates. We believe that critical accounting estimates have the following attributes: (1) they require management to make assumptions about matters that are uncertain at the time of the estimate; and (2) different estimates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5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reasonably could have used, or changes in the estimates that are reasonably likely to occur, that would have a material effect on our consolidated financial condition or results of operations.</w:t>
      </w:r>
    </w:p>
    <w:p>
      <w:pPr>
        <w:spacing w:after="0" w:line="14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believe the following critical accounting policies contain the more significant judgments and estimates used in the preparation of our Consolidated Financial Statements.</w:t>
      </w:r>
    </w:p>
    <w:p>
      <w:pPr>
        <w:spacing w:after="0" w:line="144"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Revenue Recognition and Contract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Reviews for Impairment of Goodwill and Long-Lived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Pension Assumptions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on Contracts and Contract Estimates</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recognize revenue from contracts with customers using the five-step model prescribed in ASC 606. Substantially all of our contracts are accounted for using the over time, cost-to-cost accounting method as determined by the ratio of cumulative costs incurred to date to estimated total contract costs at completion. We believe this is an appropriate measure of progress toward satisfaction of performance obligations as this measure most accurately depicts the progress of our work and transfer of control to our customers.</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Revenue and cost estimates for substantially all over time contract performance obligations are reviewed and updated quarterly. Contract estimates are based on various assumptions to project the outcome of future events that can span multiple years. These assumptions include labor productivity and availability, the complexity of the work to be performed, the cost and availability of materials, the performance of subcontractors and the availability and timing of funding from the customer. Changes in estimates affecting sales, costs and profits are recognized in the period in which the change becomes known using the cumulative catch-up method. Under this method, the impact of the adjustment on profit recorded to date on a contract is recognized in the period the adjustment is identified. Revenue and profit in future periods of contract performance are recognized using the adjusted estimate. The aggregate impact of adjustments in contract estimates are $77 million, $55 million, and $26 million for 2020, 2019, and 2018, respectively. The changes in estimates are primarily attributed to changes in our firm-fixed-priced development type programs. As changes happen in the design to meet required specifications, those changes often result in changes to the overall profitability of the programs. Our contract reviews are conducted at least quarterly in which we incorporate our best estimate to complete the program known at that point in time.</w:t>
      </w:r>
    </w:p>
    <w:p>
      <w:pPr>
        <w:spacing w:after="0" w:line="139" w:lineRule="exact"/>
        <w:rPr>
          <w:sz w:val="20"/>
          <w:szCs w:val="20"/>
          <w:color w:val="auto"/>
        </w:rPr>
      </w:pPr>
    </w:p>
    <w:p>
      <w:pPr>
        <w:ind w:left="340" w:right="1480"/>
        <w:spacing w:after="0" w:line="448" w:lineRule="auto"/>
        <w:rPr>
          <w:sz w:val="20"/>
          <w:szCs w:val="20"/>
          <w:color w:val="auto"/>
        </w:rPr>
      </w:pPr>
      <w:r>
        <w:rPr>
          <w:rFonts w:ascii="Arial" w:cs="Arial" w:eastAsia="Arial" w:hAnsi="Arial"/>
          <w:sz w:val="18"/>
          <w:szCs w:val="18"/>
          <w:color w:val="auto"/>
        </w:rPr>
        <w:t xml:space="preserve">For further discussion,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 the Consolidated Financial Statements. </w:t>
      </w:r>
      <w:r>
        <w:rPr>
          <w:rFonts w:ascii="Arial" w:cs="Arial" w:eastAsia="Arial" w:hAnsi="Arial"/>
          <w:sz w:val="18"/>
          <w:szCs w:val="18"/>
          <w:b w:val="1"/>
          <w:bCs w:val="1"/>
          <w:i w:val="1"/>
          <w:iCs w:val="1"/>
          <w:color w:val="auto"/>
        </w:rPr>
        <w:t>Reviews for Impairment of Goodwill and Long-lived Assets</w:t>
      </w:r>
    </w:p>
    <w:p>
      <w:pPr>
        <w:spacing w:after="0" w:line="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Goodwill represents the excess purchase price paid to acquire a business over the fair value of net assets acquired. We review goodwill for impairment annually at each of our reporting units or when changes in circumstances indicate that the carrying value may not be recoverable. Such circumstances include a significant adverse change in the business climate for one of our reporting units or a decision to dispose of a reporting unit or a significant portion of a reporting unit.</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use both qualitative and quantitative approaches when testing goodwill for impairment. When determining the approach to be used, we consider the current facts and circumstances of each reporting unit as well as the excess of each reporting unit’s estimated fair value over its carrying value based on our most recent quantitative assessments. Our qualitative approach evaluates the business environment and various events impacting the reporting unit including, but not limited to, macroeconomic conditions (e.g., impact of COVID-19), changes in the business environment and reporting unit-specific events. If, based on the qualitative assessment, we determine that it is more likely than not that the fair value of a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5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unit is greater than its carrying value, then a quantitative assessment is not necessary. However, if a quantitative assessment is determined to be necessary, we estimate the fair value of the reporting unit and compare that to its carrying value. To the extent the carrying value exceeds the fair value of a reporting unit, an impairment is recorded for the amount equal to this excess.</w:t>
      </w:r>
    </w:p>
    <w:p>
      <w:pPr>
        <w:spacing w:after="0" w:line="14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estimate of fair value is based primarily on the discounted projected cash flows of the underlying operations and requires the use of judgment by management. The process requires numerous assumptions, including the timing of work embedded in our backlog, our performance and profitability under our contracts, our success in securing future business and the appropriate risk adjusted interest rate used to discount the projected cash flows. Due to the variables inherent in our estimates of fair value, differences in assumptions may have a material effect on the result of our impairment analysis.</w:t>
      </w:r>
    </w:p>
    <w:p>
      <w:pPr>
        <w:spacing w:after="0" w:line="15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As of December 31, 2020 and 2019, we completed quantitative assessments for our reporting units and the fair value of each reporting unit exceeded its carrying value. As a result, no impairments to goodwill were recorded.</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Long-lived assets held for use, which primarily includes finite-lived intangible assets and property, plant and equipment, are evaluated for impairment whenever events or circumstances indicate that the undiscounted net cash flows to be generated by their use over their expected useful lives and eventual disposition are less than their carrying value. The long-term nature of these assets requires the estimation of their cash inflows and outflows several years into the future and only takes into consideration technological advances known at the time of the impairment test.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Assumptions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Our defined-benefit pension and other post-retirement benefit costs and obligations depend on several assumptions and estimates. The key assumptions include interest rates used to discount estimated future liabilities and projected long-term rates of return on plan assets. The expected long-term rate of return is based on the market expectations at the beginning of the period for returns over the entire life of the related obligation. These retirement plan assumptions are based on our best judgment, including consideration of current and future market conditions. In the event any of the assumptions change, pension and other post-retirement benefit cost could increase or decrease. For further discussion about our retirement plan assumptions, see </w:t>
      </w:r>
      <w:r>
        <w:rPr>
          <w:rFonts w:ascii="Arial" w:cs="Arial" w:eastAsia="Arial" w:hAnsi="Arial"/>
          <w:sz w:val="18"/>
          <w:szCs w:val="18"/>
          <w:i w:val="1"/>
          <w:iCs w:val="1"/>
          <w:color w:val="auto"/>
        </w:rPr>
        <w:t>Note 12: Pension and Other Postretirement Benefits</w:t>
      </w:r>
      <w:r>
        <w:rPr>
          <w:rFonts w:ascii="Arial" w:cs="Arial" w:eastAsia="Arial" w:hAnsi="Arial"/>
          <w:sz w:val="18"/>
          <w:szCs w:val="18"/>
          <w:color w:val="auto"/>
        </w:rPr>
        <w:t xml:space="preserve"> to the Consolidated Financial Statements.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15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15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currently payable because certain items of income and expense are recognized in different reporting periods for financial reporting purposes than for income tax purposes.</w:t>
      </w:r>
    </w:p>
    <w:p>
      <w:pPr>
        <w:spacing w:after="0" w:line="144"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to be realized upon ultimate settlement. We recognize interest and penalties related to uncertain tax positions in our income tax expense.</w:t>
      </w:r>
    </w:p>
    <w:p>
      <w:pPr>
        <w:spacing w:after="0" w:line="15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of December 31, 2020 and December 31, 2019, we had gross deferred tax assets of $154 million and $178 million, respectively, and deferred tax asset valuation allowances of $11 million and $ 14 million, respectively. The deferred tax assets principally relate to benefit accruals, inventory obsolescence, tax benefit carryforwards and contract reserves. The deferred tax assets as of December 31, 2020 and December 31, 2019 include $39 million and $69 million, respectively, related to tax benefit carryforwards associated with net operating losses.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Updates (ASU)</w:t>
      </w:r>
    </w:p>
    <w:p>
      <w:pPr>
        <w:spacing w:after="0" w:line="175" w:lineRule="exact"/>
        <w:rPr>
          <w:sz w:val="20"/>
          <w:szCs w:val="20"/>
          <w:color w:val="auto"/>
        </w:rPr>
      </w:pPr>
    </w:p>
    <w:p>
      <w:pPr>
        <w:jc w:val="both"/>
        <w:ind w:right="60" w:firstLine="32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212">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w:t>
        </w:r>
      </w:hyperlink>
      <w:r>
        <w:rPr>
          <w:rFonts w:ascii="Arial" w:cs="Arial" w:eastAsia="Arial" w:hAnsi="Arial"/>
          <w:sz w:val="18"/>
          <w:szCs w:val="18"/>
          <w:color w:val="auto"/>
        </w:rPr>
        <w:t>to the Consolidated Financial Statements for information regarding accounting standards we adopted in 2019 and other new accounting standards that have been issued by the Financial Accounting Standards Board but are not effective until after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of Market Risks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Risk</w:t>
      </w:r>
    </w:p>
    <w:p>
      <w:pPr>
        <w:spacing w:after="0" w:line="17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 xml:space="preserve">We currently have limited risk related to fluctuations in marketable securities. Outside of pension assets which are disclosed in </w:t>
      </w:r>
      <w:r>
        <w:rPr>
          <w:rFonts w:ascii="Arial" w:cs="Arial" w:eastAsia="Arial" w:hAnsi="Arial"/>
          <w:sz w:val="18"/>
          <w:szCs w:val="18"/>
          <w:i w:val="1"/>
          <w:iCs w:val="1"/>
          <w:color w:val="auto"/>
        </w:rPr>
        <w:t>Note 12: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and Other Postretirement Benefits </w:t>
      </w:r>
      <w:r>
        <w:rPr>
          <w:rFonts w:ascii="Arial" w:cs="Arial" w:eastAsia="Arial" w:hAnsi="Arial"/>
          <w:sz w:val="18"/>
          <w:szCs w:val="18"/>
          <w:color w:val="auto"/>
        </w:rPr>
        <w:t>to the Consolidated Financial Statements, the only investments the Company holds are overnight</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accounts. Fluctuations are unlikely and would have limited impact on the financial statements of the Company.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We are exposed to interest rate risk on variable-rate borrowings under our revolving credit facilities, for which no amounts were outstanding as of December 31, 2020. Our remaining debt facilities are fixed rate obligations and not subject to fluctuations in interest rates.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certain circumstances, we may be exposed to foreign currency risk. However, as the overwhelming majority of our revenue is derived from U.S. sources directly as a prime contractor or indirectly as a subcontractor for the U.S. government as end-customer, we have limited foreign currency exposure. Currently our exposure is primarily with the Canadian dollar and limited to receivables owed of $ 53 million as of December 31, 2020. A 10% fluctuation in exchange rates would not have a material impact on our financial statements. We do not enter into or issue derivative instruments for trading purposes.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have generally been able to anticipate increases in costs when pricing our contracts. Bids for longer-term firm fixed-price contracts typically include assumptions for labor and other cost escalations in amounts that historically have been sufficient to cover cost increases over the period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1440" w:right="379" w:bottom="1440" w:gutter="0" w:footer="0" w:header="0"/>
        </w:sectPr>
      </w:pPr>
    </w:p>
    <w:bookmarkStart w:id="111" w:name="page112"/>
    <w:bookmarkEnd w:id="111"/>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DRS is a leading provider of defense products and technologies that are used across land, air, sea, space and cyber domains. Our diverse array of defense systems and solutions is offered to all branches of the U.S. military, major aerospace and defense prime contractors, government intelligence agencies and international military customers for deployment on a wide range of military platforms. We focus our capabilities in areas of critical importance to the U.S. military, such as sensing, electronic warfare (“EW”), cyber security, network computing, communications, force protection and electrical power conversion and propulsion. As a mid-tier defense company with a portfolio that includes internally developed proprietary intellectual property (“IP”) and offerings at the component, sub-system and system level, we are able to serve as either prime contractor or a sub-contractor on key contracts, affording us flexibility in how we approach the market.</w:t>
      </w:r>
    </w:p>
    <w:p>
      <w:pPr>
        <w:spacing w:after="0" w:line="15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alignment with the nation’s top defense priorities has allowed us to achieve a 12% compounded annual growth rate (“CAGR”) in revenues from the year ended December 31, 2016 through the year ended December 31, 2020. This growth, which exceeded the DoD budget CAGR of 5.3% during such perio</w:t>
      </w:r>
      <w:r>
        <w:rPr>
          <w:rFonts w:ascii="Arial" w:cs="Arial" w:eastAsia="Arial" w:hAnsi="Arial"/>
          <w:sz w:val="18"/>
          <w:szCs w:val="18"/>
          <w:color w:val="1F497D"/>
        </w:rPr>
        <w:t>d</w:t>
      </w:r>
      <w:r>
        <w:rPr>
          <w:rFonts w:ascii="Arial" w:cs="Arial" w:eastAsia="Arial" w:hAnsi="Arial"/>
          <w:sz w:val="18"/>
          <w:szCs w:val="18"/>
          <w:color w:val="auto"/>
        </w:rPr>
        <w:t xml:space="preserve"> and drove our annual revenue to approximately $2.8 billion for the year ended December 31, 2020, was driven by organic growth. During the same period, our net earnings (loss) improved by $247 million to $85 million, our operating earnings grew $178 million to $181 million and our Adjusted EBITDA grew $117 million to $ 268 million (CAGR of 16%). Adjusted EBITDA is a non-GAAP measure. See “Management’s Discussion and Analysis of Financial Condition and Results of Operations—Key Financial and Operating Measures—Non-GAAP Financial Measures” for a reconciliation of Adjusted EBITDA to net earnings.</w:t>
      </w:r>
    </w:p>
    <w:p>
      <w:pPr>
        <w:spacing w:after="0" w:line="15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have a 50-year legacy of designing and manufacturing innovative and differentiated products and solutions for military applications. From our earliest sonar systems that were instrumental in detecting enemy submarines, to today’s best-in-class electro-optical sensors, we have continually developed advanced technologies to address complex military challenges. Throughout much of our history, we have targeted our investments towards the highest growth areas of the DoD defense budgets. Today, we employ approximately 6,500 people including a substantial number of highly trained engineers and personnel with security clearances to support classified programs for the U.S military.</w:t>
      </w:r>
    </w:p>
    <w:p>
      <w:pPr>
        <w:spacing w:after="0" w:line="15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focus on products, systems and solutions that can be adapted for installation on a wide range of military platforms. This allows us to leverage our technology investments to expand revenue opportunities. Our high-technology solutions are designed to transition from one military platform to another. In addition, we have a significant installed base of products and solutions, which allows us to enhance revenue opportunities by providing upgrades to existing platforms. This gives us a resilient position to offer new solutions and technology in changing budget environments. Our growth has been facilitated by our longstanding relationships and position as a trusted partner with the U.S. military, intelligence community and industry customers. Together, these characteristics allow us to pivot quickly to address emerging needs for our customers and generate growth opportunities in today’s dynamic defense market.</w:t>
      </w:r>
    </w:p>
    <w:p>
      <w:pPr>
        <w:spacing w:after="0" w:line="15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operate in three segments: Advanced Sensor Technologies, Network Computing &amp; Communications and Integrated Mission Systems. We have achieved significant growth over the past five years by aligning our investments and technology development to address the greatest threats to U.S. defense interests.</w:t>
      </w:r>
    </w:p>
    <w:p>
      <w:pPr>
        <w:spacing w:after="0" w:line="126" w:lineRule="exact"/>
        <w:rPr>
          <w:sz w:val="20"/>
          <w:szCs w:val="20"/>
          <w:color w:val="auto"/>
        </w:rPr>
      </w:pPr>
    </w:p>
    <w:p>
      <w:pPr>
        <w:ind w:left="340" w:right="540"/>
        <w:spacing w:after="0" w:line="244" w:lineRule="auto"/>
        <w:rPr>
          <w:sz w:val="20"/>
          <w:szCs w:val="20"/>
          <w:color w:val="auto"/>
        </w:rPr>
      </w:pPr>
      <w:r>
        <w:rPr>
          <w:rFonts w:ascii="Arial" w:cs="Arial" w:eastAsia="Arial" w:hAnsi="Arial"/>
          <w:sz w:val="18"/>
          <w:szCs w:val="18"/>
          <w:b w:val="1"/>
          <w:bCs w:val="1"/>
          <w:i w:val="1"/>
          <w:iCs w:val="1"/>
          <w:color w:val="auto"/>
        </w:rPr>
        <w:t>Advanced Sensor Technologies</w:t>
      </w:r>
      <w:r>
        <w:rPr>
          <w:rFonts w:ascii="Arial" w:cs="Arial" w:eastAsia="Arial" w:hAnsi="Arial"/>
          <w:sz w:val="18"/>
          <w:szCs w:val="18"/>
          <w:color w:val="auto"/>
        </w:rPr>
        <w:t>: Our Advanced Sensor Technologies segment provides world-class electro-optical sensor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laser systems, EW systems and intelligence and surveillance solutions to U.S. military and intelligence community customers. We are a leading provider of ground vehicle targeting and surveillance sensors, including electro-optical and advanced detection systems. We are also a leading provider of soldier sensor systems in high priority modernization areas such as infrared imaging and precision targeting systems. Our infrared focal plane array foundry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57" w:lineRule="exact"/>
        <w:rPr>
          <w:sz w:val="20"/>
          <w:szCs w:val="20"/>
          <w:color w:val="auto"/>
        </w:rPr>
      </w:pPr>
    </w:p>
    <w:p>
      <w:pPr>
        <w:ind w:left="340" w:right="60"/>
        <w:spacing w:after="0" w:line="238" w:lineRule="auto"/>
        <w:rPr>
          <w:sz w:val="20"/>
          <w:szCs w:val="20"/>
          <w:color w:val="auto"/>
        </w:rPr>
      </w:pPr>
      <w:r>
        <w:rPr>
          <w:rFonts w:ascii="Arial" w:cs="Arial" w:eastAsia="Arial" w:hAnsi="Arial"/>
          <w:sz w:val="18"/>
          <w:szCs w:val="18"/>
          <w:color w:val="auto"/>
        </w:rPr>
        <w:t>as a leading provider of high performance and small sized cryogenically cooled and uncooled detector arrays. We are also a leading and world-recognized provider of signals intelligence high-performance radio frequency receivers and transceivers for U.S. and international customers. Our quantum cascade laser technology has promising military and commercial medical applications. Collectively, these sensor technologies provide our warfighters with a distinct battlefield advantage.</w:t>
      </w:r>
    </w:p>
    <w:p>
      <w:pPr>
        <w:spacing w:after="0" w:line="129"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b w:val="1"/>
          <w:bCs w:val="1"/>
          <w:i w:val="1"/>
          <w:iCs w:val="1"/>
          <w:color w:val="auto"/>
        </w:rPr>
        <w:t xml:space="preserve">Network Computing &amp; Communications: </w:t>
      </w:r>
      <w:r>
        <w:rPr>
          <w:rFonts w:ascii="Arial" w:cs="Arial" w:eastAsia="Arial" w:hAnsi="Arial"/>
          <w:sz w:val="18"/>
          <w:szCs w:val="18"/>
          <w:color w:val="auto"/>
        </w:rPr>
        <w:t>Our Network Computing &amp; Communications segment provides advanced defense electronics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warfare domains. Our technologies and products are used on legacy and new military platforms, end-to-end network communication systems, network services and cyber solutions. We are a leading provider of ruggedized computing equipment, having provided advanced tactical computing units for ground combat vehicles and command post operations for more than two decades. During this period we have delivered more than 125,000 units. For the U.S. Navy and its allies, we provide naval computing infrastructure, network and data distribution, radar and rugged naval control systems, which are present on naval surface and subsurface combatant vessels. Across the full spectrum of our network computing capabilities, we have leadership positions at both the product and sub-systems levels. Our global communications network is a worldwide network of terrestrial and satellite bandwidth that ensures our customers’ data is secure and reliable. As a result of this capability, we are positioned as one of the leading providers of secured commercial satellite communications to the U.S. military.</w:t>
      </w:r>
    </w:p>
    <w:p>
      <w:pPr>
        <w:spacing w:after="0" w:line="131" w:lineRule="exact"/>
        <w:rPr>
          <w:sz w:val="20"/>
          <w:szCs w:val="20"/>
          <w:color w:val="auto"/>
        </w:rPr>
      </w:pPr>
    </w:p>
    <w:p>
      <w:pPr>
        <w:ind w:left="340" w:right="20"/>
        <w:spacing w:after="0" w:line="254" w:lineRule="auto"/>
        <w:rPr>
          <w:sz w:val="20"/>
          <w:szCs w:val="20"/>
          <w:color w:val="auto"/>
        </w:rPr>
      </w:pPr>
      <w:r>
        <w:rPr>
          <w:rFonts w:ascii="Arial" w:cs="Arial" w:eastAsia="Arial" w:hAnsi="Arial"/>
          <w:sz w:val="18"/>
          <w:szCs w:val="18"/>
          <w:b w:val="1"/>
          <w:bCs w:val="1"/>
          <w:i w:val="1"/>
          <w:iCs w:val="1"/>
          <w:color w:val="auto"/>
        </w:rPr>
        <w:t xml:space="preserve">Integrated Mission Systems: </w:t>
      </w:r>
      <w:r>
        <w:rPr>
          <w:rFonts w:ascii="Arial" w:cs="Arial" w:eastAsia="Arial" w:hAnsi="Arial"/>
          <w:sz w:val="18"/>
          <w:szCs w:val="18"/>
          <w:color w:val="auto"/>
        </w:rPr>
        <w:t>Our Integrated Mission Systems segment provides critical force protection, vehicle integration,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In 2018, we were awarded the Expedited Active Protection System program by bringing the TROPHY™ Active Protection System (“APS”) to the U.S. market, making us the leading U.S. provider of active protection systems for the U.S. Army. We were also awarded the Initial Maneuver Short-Range Air Defense (“IM-SHORAD”) Mission Equipment Package Program for the U.S. Army that year, culminating an 18-month cycle from development to customer delivery. We have military transportation and logistics offerings and ground vehicle integration capabilities to support U.S. forces in a wide range of operational environments.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Defense Market Trends and Market Opportunities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core markets have experienced strong growth. The DoD defense budget has grown at a CAGR of 5.3% from 2016 to 2020, reflecting the shift of the DoD’s priorities from a focus on global terrorism to emerging threats from more sophisticated and technologically advanced adversaries requiring enhanced capabilities across the DoD. Additionally, we foresee growth opportunities in foreign military sales and direct commercial sales, particularly as international allies require similar force modernization.</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DoD is our largest customer and, for the year ended December 31, 2020, accounted for approximately 84% of our business as an end-user, with revenues principally derived directly or indirectly from contracts with the U.S. Army and U.S. Navy, which represented 43% and 32%, respectively, of our total revenues for the year ended December 31, 2020. The stated U.S. National Defense Strategy is to “compete, win and deter” in a challenging and complex international security environment. The current landscape is defined by rapid technological change and competition from emerging peer and near-peer adversaries who are nation states that are becoming great powers. Every domain of U.S. military advantage is expected to be contested, including air, land, sea, space and cyberspace. U.S. forces facing these new threats are in need of modernization as readiness has been strained following nearly two decades of continuous conflict with both traditional and novel adversaries. In order to face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5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challenges, the U.S. military will likely need to balance limited resources between new high-cost technological capabilities and upgrades of existing equipment.</w:t>
      </w:r>
    </w:p>
    <w:p>
      <w:pPr>
        <w:spacing w:after="0" w:line="144"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In today’s threat environment, the U.S. military is positioning itself for non-stop, continuous competition against these rising nation state threats. Military services are increasingly moving towards multi-domain operations that now include both space and cyberspace domains in addition to the air, land and sea domains. The creation of the U.S. Space Force is also expected to drive new requirements for high technology defense capabilities, including increased space sensing and evolution of communications approaches. Even as new spending priorities shift towards addressing high-end threats, the U.S. military knows that it cannot compete with yesterday’s weapons or equipment. Military modernization programs and priorities are expected to provide both opportunities for new solutions and for upgrades to existing platforms. We believe that companies with an existing installed base of hardware will be able to perform upgrades to provide modernization solutions at a lower cost. Companies with strong customer relationships and outstanding execution will more effectively maintain program positions.</w:t>
      </w:r>
    </w:p>
    <w:p>
      <w:pPr>
        <w:spacing w:after="0" w:line="158" w:lineRule="exact"/>
        <w:rPr>
          <w:sz w:val="20"/>
          <w:szCs w:val="20"/>
          <w:color w:val="auto"/>
        </w:rPr>
      </w:pPr>
    </w:p>
    <w:p>
      <w:pPr>
        <w:ind w:right="200" w:firstLine="324"/>
        <w:spacing w:after="0" w:line="278" w:lineRule="auto"/>
        <w:rPr>
          <w:sz w:val="20"/>
          <w:szCs w:val="20"/>
          <w:color w:val="auto"/>
        </w:rPr>
      </w:pPr>
      <w:r>
        <w:rPr>
          <w:rFonts w:ascii="Arial" w:cs="Arial" w:eastAsia="Arial" w:hAnsi="Arial"/>
          <w:sz w:val="17"/>
          <w:szCs w:val="17"/>
          <w:color w:val="auto"/>
        </w:rPr>
        <w:t>In this new military environment, U.S. forces are seeking the ability to sense further from a greater distance and enhance their reach across the spectrum of warfare. Increased use of sensor technologies enables forces to detect threats further and more quickly and deliver rapid, forceful responses. Sensors and laser systems are expected to enable optionally manned and autonomous platforms for the future.</w:t>
      </w:r>
    </w:p>
    <w:p>
      <w:pPr>
        <w:spacing w:after="0" w:line="13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need for greater situational understanding for the warfighter also drives the need for increased data and communications bandwidth to and from command centers to forward-positioned military platforms and dismounted soldiers. Network computing and communications systems need to provide deployed forces with access to secure data to promote information-sharing and situational understanding for faster decision-making. Battlefield management systems and individual soldier communications systems require secure rugged computing solutions and are becoming increasingly interoperable with current combat air forces and naval computing infrastructure. Encrypted data and cyber protection capabilities aim to ensure that the data U.S. forces receive is trusted and protected from enemies. This capability is intended to allow forces to be more mobile and geographically dispersed while operating with immediate access to trusted information. Satellite communications systems also provide data to U.S. warfighters around the globe and are projected to increasingly utilize satellite constellations at all altitudes for redundancy, lower latency, expanded bandwidth and security.</w:t>
      </w:r>
    </w:p>
    <w:p>
      <w:pPr>
        <w:spacing w:after="0" w:line="15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U.S. forces are in need of greater force protection technologies. Emerging requirements for counter-unmanned aerial systems, active protection, infrared countermeasures and air defense systems require rapid deployment to keep U.S. military platforms and personnel safe from growing threats. The U.S. military is also focusing efforts on transportation and logistics capabilities, ensuring that their trained and equipped personnel and supplies can make it to the battlefield wherever that may be. All of the increased sensing, self-protection, directed energy, communications and computing needs for the warfighter require significantly higher levels of mobile power than in the past. Electrical power generation, conversion, storage and distribution and on-board vehicle power solutions will provide U.S. forces the energy they need in the future to win in this era of competition.</w:t>
      </w:r>
    </w:p>
    <w:p>
      <w:pPr>
        <w:spacing w:after="0" w:line="153" w:lineRule="exact"/>
        <w:rPr>
          <w:sz w:val="20"/>
          <w:szCs w:val="20"/>
          <w:color w:val="auto"/>
        </w:rPr>
      </w:pPr>
    </w:p>
    <w:p>
      <w:pPr>
        <w:ind w:right="380" w:firstLine="324"/>
        <w:spacing w:after="0" w:line="254" w:lineRule="auto"/>
        <w:rPr>
          <w:sz w:val="20"/>
          <w:szCs w:val="20"/>
          <w:color w:val="auto"/>
        </w:rPr>
      </w:pPr>
      <w:r>
        <w:rPr>
          <w:rFonts w:ascii="Arial" w:cs="Arial" w:eastAsia="Arial" w:hAnsi="Arial"/>
          <w:sz w:val="18"/>
          <w:szCs w:val="18"/>
          <w:color w:val="auto"/>
        </w:rPr>
        <w:t>The U.S. military budget accounts for nearly 40% of the world’s defense spending and foreign military allies often select U.S. military solutions to train, equip and modernize their forces to enhance interoperability. Beyond the opportunity for direct commercial and foreign military sales to these foreign countries, many allies leverage U.S. funding and equipment, providing opportunities for U.S. defense contractors offering solutions that can be sold internationally.</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global community is in a period of rapid technological change and new commercial technologies may change society and, ultimately, the character of conflicts. We believe that investing in high technological capabilities, developing proprietary intellectual capability, as well as integrating leading-edge commercial technology into our solutions will provide us with a competitive advantage. New acquisition programs are expected to seek innovative solutions. The need for innovation is more critical than ever, and to accelerate innovation, the DoD has deployed more rapid acquisition methods.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5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believe that these methods will provide greater opportunities for companies with proven abilities to quickly develop and deploy new technologies. The DoD has placed a high priority on defense procurement reform to speed up the development of new key capabilities, increase responsibility and accountability for major acquisition programs and reduce acquisition risk. As a result, we believe that mid-tier companies, such as DRS, with proven technological capabilities and an agile decision-making structure are positioned to rapidly respond to emerging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Solutions</w:t>
      </w:r>
    </w:p>
    <w:p>
      <w:pPr>
        <w:spacing w:after="0" w:line="193" w:lineRule="exact"/>
        <w:rPr>
          <w:sz w:val="20"/>
          <w:szCs w:val="20"/>
          <w:color w:val="auto"/>
        </w:rPr>
      </w:pPr>
    </w:p>
    <w:p>
      <w:pPr>
        <w:ind w:right="360" w:firstLine="324"/>
        <w:spacing w:after="0" w:line="252" w:lineRule="auto"/>
        <w:rPr>
          <w:sz w:val="20"/>
          <w:szCs w:val="20"/>
          <w:color w:val="auto"/>
        </w:rPr>
      </w:pPr>
      <w:r>
        <w:rPr>
          <w:rFonts w:ascii="Arial" w:cs="Arial" w:eastAsia="Arial" w:hAnsi="Arial"/>
          <w:sz w:val="18"/>
          <w:szCs w:val="18"/>
          <w:color w:val="auto"/>
        </w:rPr>
        <w:t>The DoD is placing its focus and investment priorities in several platforms and capabilities where we have compelling offerings and market share. These offerings include: Ground Vehicle Sensors; Soldier Sensor Systems; EW &amp; Cyber; Network Computing; Communications; Force Protection; Transportation and Logistics; and Electrical Power &amp; Propulsion. These directly align with our three segments: Advanced Sensor Technologies, Network Computing &amp; Communications, and Integrated Mission Systems. In these areas, we have distinguishing capabilities, core technologies and IP underlying our product portfolio that we believe provide us with a sustainable differentiation from our competitors. We believe that our installed base of existing products and platform-agnostic offerings provide an opportunity for our business to continue to grow.</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Advanced Sensor Technologies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Advanced Sensor Technologies segment provides world-class cryogenically cooled and uncooled infrared sensor technologies, laser systems, EW systems and intelligence and surveillance solutions to the U.S. military and intelligence community customers. Our products and solutions have significant capabilities and core technologies to meet the warfighter’s need for increased battlefield awareness and longer range sensing. Our infrared focal plane array foundry produces cooled and uncooled infrared sensors and our IP provides us with key technology differentiators and builds upon our long legacy of market-leading technology.</w:t>
      </w:r>
    </w:p>
    <w:p>
      <w:pPr>
        <w:spacing w:after="0" w:line="133"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i w:val="1"/>
          <w:iCs w:val="1"/>
          <w:color w:val="auto"/>
        </w:rPr>
        <w:t xml:space="preserve">Ground Vehicle Sensors </w:t>
      </w:r>
      <w:r>
        <w:rPr>
          <w:rFonts w:ascii="Arial" w:cs="Arial" w:eastAsia="Arial" w:hAnsi="Arial"/>
          <w:sz w:val="18"/>
          <w:szCs w:val="18"/>
          <w:color w:val="auto"/>
        </w:rPr>
        <w:t>– The U.S. military has identified specific needs for advanced sensor technology for ground vehicles,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electro-optical and advanced detection capabilities to enhance battlefield understanding, vehicle protection and vehicle targeting capabilities. Our market-leading sensor products include third-generation infrared sensing, fused sensing and sensors for threat detection and situational awareness, which we believe position us well for these opportunities. We are a leading provider of uncooled focal plane arrays and brownout solutions (which are sensors that can see through blowing sand). We are also a leader in ground vehicle sensor sighting systems led by our third-generation infrared imaging systems.</w:t>
      </w:r>
    </w:p>
    <w:p>
      <w:pPr>
        <w:spacing w:after="0" w:line="133" w:lineRule="exact"/>
        <w:rPr>
          <w:sz w:val="20"/>
          <w:szCs w:val="20"/>
          <w:color w:val="auto"/>
        </w:rPr>
      </w:pPr>
    </w:p>
    <w:p>
      <w:pPr>
        <w:ind w:left="340" w:right="20"/>
        <w:spacing w:after="0" w:line="277" w:lineRule="auto"/>
        <w:rPr>
          <w:sz w:val="20"/>
          <w:szCs w:val="20"/>
          <w:color w:val="auto"/>
        </w:rPr>
      </w:pPr>
      <w:r>
        <w:rPr>
          <w:rFonts w:ascii="Arial" w:cs="Arial" w:eastAsia="Arial" w:hAnsi="Arial"/>
          <w:sz w:val="17"/>
          <w:szCs w:val="17"/>
          <w:i w:val="1"/>
          <w:iCs w:val="1"/>
          <w:color w:val="auto"/>
        </w:rPr>
        <w:t xml:space="preserve">Soldier Sensors </w:t>
      </w:r>
      <w:r>
        <w:rPr>
          <w:rFonts w:ascii="Arial" w:cs="Arial" w:eastAsia="Arial" w:hAnsi="Arial"/>
          <w:sz w:val="17"/>
          <w:szCs w:val="17"/>
          <w:color w:val="auto"/>
        </w:rPr>
        <w:t>– Our complement of soldier sensor systems employs state-of-the-art sensors, precision targeting capabilities and optics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improve infantry combat effectiveness. We have produced a family of innovative electro-optical and infrared systems for soldiers, from our legacy imaging system, the Thermal Weapons Sight, to the next generation of thermal weapon sights being produced today. We believe that our current position on next-generation soldier precision targeting programs will enable us to compete effectively in this area of growing need. Our uncooled sensor technology also positions us well to support the future of soldier goggle systems.</w:t>
      </w:r>
    </w:p>
    <w:p>
      <w:pPr>
        <w:spacing w:after="0" w:line="114"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i w:val="1"/>
          <w:iCs w:val="1"/>
          <w:color w:val="auto"/>
        </w:rPr>
        <w:t xml:space="preserve">EW &amp; Cyber </w:t>
      </w:r>
      <w:r>
        <w:rPr>
          <w:rFonts w:ascii="Arial" w:cs="Arial" w:eastAsia="Arial" w:hAnsi="Arial"/>
          <w:sz w:val="18"/>
          <w:szCs w:val="18"/>
          <w:color w:val="auto"/>
        </w:rPr>
        <w:t>– We have significant technological capabilities and program experience in EW &amp; Cyber and offer integrated capabilities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multi-domain operations to supplement kinetic warfare. We have developed mounted and dismounted EW systems, EW software and training systems and intelligence solutions across a broad range of platforms. We believe that our capabilities in integrated mounted and dismounted ground EW, exploitation and cyber-based multi-domain operations position us well in this area of growing DoD priority. We have leveraged international EW programs to develop our capabilities for DoD offerings and have invested to meet developing U.S. Army and U.S. Marine Corps requirements for integrated solutions to address threats which are emanating from peer and near-peer adversaries.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9" w:lineRule="exact"/>
        <w:rPr>
          <w:sz w:val="20"/>
          <w:szCs w:val="20"/>
          <w:color w:val="auto"/>
        </w:rPr>
      </w:pPr>
    </w:p>
    <w:p>
      <w:pPr>
        <w:ind w:left="340" w:right="140"/>
        <w:spacing w:after="0" w:line="261" w:lineRule="auto"/>
        <w:rPr>
          <w:sz w:val="20"/>
          <w:szCs w:val="20"/>
          <w:color w:val="auto"/>
        </w:rPr>
      </w:pPr>
      <w:r>
        <w:rPr>
          <w:rFonts w:ascii="Arial" w:cs="Arial" w:eastAsia="Arial" w:hAnsi="Arial"/>
          <w:sz w:val="18"/>
          <w:szCs w:val="18"/>
          <w:i w:val="1"/>
          <w:iCs w:val="1"/>
          <w:color w:val="auto"/>
        </w:rPr>
        <w:t xml:space="preserve">Force Protection </w:t>
      </w:r>
      <w:r>
        <w:rPr>
          <w:rFonts w:ascii="Arial" w:cs="Arial" w:eastAsia="Arial" w:hAnsi="Arial"/>
          <w:sz w:val="18"/>
          <w:szCs w:val="18"/>
          <w:color w:val="auto"/>
        </w:rPr>
        <w:t>– Aircraft Survivability – Our Advanced Sensors Technology segment also features quantum cascade laser (“QCL”)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which, along with our advanced two-color infrared sensors, have enabled us to support a high-profile U.S. Navy contract for advanced systems to protect aircraft from ground-launch missiles. We are also a critical partner on the U.S. Army’s common infrared countermeasures program and the next generation missile warning program.</w:t>
      </w:r>
    </w:p>
    <w:p>
      <w:pPr>
        <w:spacing w:after="0" w:line="126"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i w:val="1"/>
          <w:iCs w:val="1"/>
          <w:color w:val="auto"/>
        </w:rPr>
        <w:t xml:space="preserve">Other Advanced Sensor Technologies Capabilities </w:t>
      </w:r>
      <w:r>
        <w:rPr>
          <w:rFonts w:ascii="Arial" w:cs="Arial" w:eastAsia="Arial" w:hAnsi="Arial"/>
          <w:sz w:val="18"/>
          <w:szCs w:val="18"/>
          <w:color w:val="auto"/>
        </w:rPr>
        <w:t>– Our aircraft training instrumentation systems were selected for the high-profile Joint</w:t>
      </w:r>
      <w:r>
        <w:rPr>
          <w:rFonts w:ascii="Arial" w:cs="Arial" w:eastAsia="Arial" w:hAnsi="Arial"/>
          <w:sz w:val="18"/>
          <w:szCs w:val="18"/>
          <w:i w:val="1"/>
          <w:iCs w:val="1"/>
          <w:color w:val="auto"/>
        </w:rPr>
        <w:t xml:space="preserve"> </w:t>
      </w:r>
      <w:r>
        <w:rPr>
          <w:rFonts w:ascii="Arial" w:cs="Arial" w:eastAsia="Arial" w:hAnsi="Arial"/>
          <w:sz w:val="18"/>
          <w:szCs w:val="18"/>
          <w:color w:val="auto"/>
        </w:rPr>
        <w:t>Strike Fighter program that has been the leading U.S. and allied forces military air platform in development over the past two decades. We are also a leading provider of the aircraft training instrumentation which deploy on both legacy and modern aircraft and are required for aircraft training programs.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Network Computing &amp; Communications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Our Network Computing &amp; Communications segment provides an array of network computing products and sub-systems that bring trusted and resilient communications and computational resources to U.S. and international military forces, allowing them to rapidly share data and improve situational understanding. We provide trusted computing systems for ground vehicles, naval computing infrastructure, network and data distribution programs, rugged naval computational and control systems and networked communications. We also provide terrestrial and satellite communications for the U.S. Army, U.S. Navy, U.S. Special Forces, and intelligence communities.</w:t>
      </w:r>
    </w:p>
    <w:p>
      <w:pPr>
        <w:spacing w:after="0" w:line="129" w:lineRule="exact"/>
        <w:rPr>
          <w:sz w:val="20"/>
          <w:szCs w:val="20"/>
          <w:color w:val="auto"/>
        </w:rPr>
      </w:pPr>
    </w:p>
    <w:p>
      <w:pPr>
        <w:ind w:left="340" w:right="120"/>
        <w:spacing w:after="0" w:line="238" w:lineRule="auto"/>
        <w:rPr>
          <w:sz w:val="20"/>
          <w:szCs w:val="20"/>
          <w:color w:val="auto"/>
        </w:rPr>
      </w:pPr>
      <w:r>
        <w:rPr>
          <w:rFonts w:ascii="Arial" w:cs="Arial" w:eastAsia="Arial" w:hAnsi="Arial"/>
          <w:sz w:val="18"/>
          <w:szCs w:val="18"/>
          <w:i w:val="1"/>
          <w:iCs w:val="1"/>
          <w:color w:val="auto"/>
        </w:rPr>
        <w:t xml:space="preserve">Network Computing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U.S. military has recently shifted its computing paradigm for command, control, communications, computers,</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surveillance and reconnaissance to include cyber capabilities. Our Mounted Family of Computing Systems (“MFoCs”) and MFoCs-II have earned us a reputation as a leading provider of mounted battle management systems hardware in the U.S. We have invested in cyber defense and trusted computing capabilities over the past several years to protect information at the edge of the battlefield. We have also transformed our legacy of naval display and computing equipment over the past several years, to secure a position as a leading provider of surface combat system components, submarine combat systems and command and control system components. We are a leading provider of naval ship communications, integrated logistics support and sustainment and manufacturing services to U.S. and allied military customers. We hold a leading market share in Command, Control, Communications, Computers and Intelligence (“C4I”) programs for the U.S. Navy, including those that will be upgraded as the fleet continues to modernize. For submarines, we provide hardware which is planned to be upgraded continuously over a two-year cycle. In addition, our joint venture, Advanced Acoustic Concepts, LLC (“AAC”), focuses on underwater products, acoustic training systems, and related products and services.</w:t>
      </w:r>
    </w:p>
    <w:p>
      <w:pPr>
        <w:spacing w:after="0" w:line="129" w:lineRule="exact"/>
        <w:rPr>
          <w:sz w:val="20"/>
          <w:szCs w:val="20"/>
          <w:color w:val="auto"/>
        </w:rPr>
      </w:pPr>
    </w:p>
    <w:p>
      <w:pPr>
        <w:ind w:left="340" w:right="240"/>
        <w:spacing w:after="0" w:line="242" w:lineRule="auto"/>
        <w:rPr>
          <w:sz w:val="20"/>
          <w:szCs w:val="20"/>
          <w:color w:val="auto"/>
        </w:rPr>
      </w:pPr>
      <w:r>
        <w:rPr>
          <w:rFonts w:ascii="Arial" w:cs="Arial" w:eastAsia="Arial" w:hAnsi="Arial"/>
          <w:sz w:val="18"/>
          <w:szCs w:val="18"/>
          <w:i w:val="1"/>
          <w:iCs w:val="1"/>
          <w:color w:val="auto"/>
        </w:rPr>
        <w:t xml:space="preserve">Communications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are contracted on two of the U.S. military’s top five satellite communications programs, including its largest,</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special operations forces with terrestrial and space bandwidth. This long-standing program provides secure and reliable communications for the U.S.’s forward-deployed military forces across the globe, and is well positioned to meet future needs. Our contracts on these programs make us one of the largest satellite communications providers for the U.S. military. We believe that our legacy and outstanding reputation with the U.S. military will enable us to continue to be a leading communications provider for all DoD services.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Integrated Mission Systems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Integrated Mission Systems segment supports the U.S. military’s need to deter and defend against increasingly lethal adversaries through a wide range of force protection solutions, integrated mission equipment, transportation and logistics products, naval power technologies and forward-deployed electrical power solutions. This segment enables us to maximize our customer offerings by integrating our products and systems onto platforms. We believe that our leading position in naval electrical power and propulsion will position us to help meet the U.S. military’s future electrical power needs as it increasingly deploys high technology capabilities to its forces.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39" w:lineRule="exact"/>
        <w:rPr>
          <w:sz w:val="20"/>
          <w:szCs w:val="20"/>
          <w:color w:val="auto"/>
        </w:rPr>
      </w:pPr>
    </w:p>
    <w:p>
      <w:pPr>
        <w:ind w:left="340" w:right="160"/>
        <w:spacing w:after="0" w:line="255" w:lineRule="auto"/>
        <w:rPr>
          <w:sz w:val="20"/>
          <w:szCs w:val="20"/>
          <w:color w:val="auto"/>
        </w:rPr>
      </w:pPr>
      <w:r>
        <w:rPr>
          <w:rFonts w:ascii="Arial" w:cs="Arial" w:eastAsia="Arial" w:hAnsi="Arial"/>
          <w:sz w:val="18"/>
          <w:szCs w:val="18"/>
          <w:i w:val="1"/>
          <w:iCs w:val="1"/>
          <w:color w:val="auto"/>
        </w:rPr>
        <w:t xml:space="preserve">Force Protection </w:t>
      </w:r>
      <w:r>
        <w:rPr>
          <w:rFonts w:ascii="Arial" w:cs="Arial" w:eastAsia="Arial" w:hAnsi="Arial"/>
          <w:sz w:val="18"/>
          <w:szCs w:val="18"/>
          <w:color w:val="auto"/>
        </w:rPr>
        <w:t>– DRS is an integrator of systems in ground vehicles, including reconnaissance and surveillance, mission support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survivability and protection. Protecting U.S. service members and valuable defense assets is always a top DoD priority. To help accomplish this mission, we have a family of key force protection systems, including counter-unmanned aerial systems and portable ground radar, active protection systems, modular combat vehicle turrets and stabilized sensor suites. We believe that our record providing the TROPHY™ APS to the U.S. Army enhances our reputation and positions us well to provide future vehicle protection systems. Our short-range air defense mission equipment package and mounted counter-unmanned aerial systems integrate market-leading technologies that are ready to rapidly deploy to the field in upcoming competitive pursuits.</w:t>
      </w:r>
    </w:p>
    <w:p>
      <w:pPr>
        <w:spacing w:after="0" w:line="135" w:lineRule="exact"/>
        <w:rPr>
          <w:sz w:val="20"/>
          <w:szCs w:val="20"/>
          <w:color w:val="auto"/>
        </w:rPr>
      </w:pPr>
    </w:p>
    <w:p>
      <w:pPr>
        <w:ind w:left="340" w:right="160"/>
        <w:spacing w:after="0" w:line="255" w:lineRule="auto"/>
        <w:rPr>
          <w:sz w:val="20"/>
          <w:szCs w:val="20"/>
          <w:color w:val="auto"/>
        </w:rPr>
      </w:pPr>
      <w:r>
        <w:rPr>
          <w:rFonts w:ascii="Arial" w:cs="Arial" w:eastAsia="Arial" w:hAnsi="Arial"/>
          <w:sz w:val="18"/>
          <w:szCs w:val="18"/>
          <w:i w:val="1"/>
          <w:iCs w:val="1"/>
          <w:color w:val="auto"/>
        </w:rPr>
        <w:t xml:space="preserve">Transportation and Logistics </w:t>
      </w:r>
      <w:r>
        <w:rPr>
          <w:rFonts w:ascii="Arial" w:cs="Arial" w:eastAsia="Arial" w:hAnsi="Arial"/>
          <w:sz w:val="18"/>
          <w:szCs w:val="18"/>
          <w:color w:val="auto"/>
        </w:rPr>
        <w:t>– DRS is a provider of transportation and logistics solutions for the DoD, including bridging systems, cargo</w:t>
      </w:r>
      <w:r>
        <w:rPr>
          <w:rFonts w:ascii="Arial" w:cs="Arial" w:eastAsia="Arial" w:hAnsi="Arial"/>
          <w:sz w:val="18"/>
          <w:szCs w:val="18"/>
          <w:i w:val="1"/>
          <w:iCs w:val="1"/>
          <w:color w:val="auto"/>
        </w:rPr>
        <w:t xml:space="preserve"> </w:t>
      </w:r>
      <w:r>
        <w:rPr>
          <w:rFonts w:ascii="Arial" w:cs="Arial" w:eastAsia="Arial" w:hAnsi="Arial"/>
          <w:sz w:val="18"/>
          <w:szCs w:val="18"/>
          <w:color w:val="auto"/>
        </w:rPr>
        <w:t>loaders and trailers. Our Tunner and Halvorsen programs have provided the U.S. Air Force with rapidly deployable, high-reach mechanized aircraft loaders that can lift up to 60,000 and 25,000 pounds, respectively, of cargo onto military aircraft. The Joint Assault Bridge program positions us well as the U.S. Army is looking to expand its tactical bridging capabilities. We believe that our legacy position in heavy military trailers will allow us to win new opportunities as the U.S. Army looks for increased solutions. We also have capabilities in military fuel and water handling and distribution which can support U.S. military forces in a variety of challenging forward deployed environments.</w:t>
      </w:r>
    </w:p>
    <w:p>
      <w:pPr>
        <w:spacing w:after="0" w:line="135" w:lineRule="exact"/>
        <w:rPr>
          <w:sz w:val="20"/>
          <w:szCs w:val="20"/>
          <w:color w:val="auto"/>
        </w:rPr>
      </w:pPr>
    </w:p>
    <w:p>
      <w:pPr>
        <w:ind w:left="340" w:right="20"/>
        <w:spacing w:after="0" w:line="256" w:lineRule="auto"/>
        <w:rPr>
          <w:sz w:val="20"/>
          <w:szCs w:val="20"/>
          <w:color w:val="auto"/>
        </w:rPr>
      </w:pPr>
      <w:r>
        <w:rPr>
          <w:rFonts w:ascii="Arial" w:cs="Arial" w:eastAsia="Arial" w:hAnsi="Arial"/>
          <w:sz w:val="18"/>
          <w:szCs w:val="18"/>
          <w:i w:val="1"/>
          <w:iCs w:val="1"/>
          <w:color w:val="auto"/>
        </w:rPr>
        <w:t xml:space="preserve">Electrical Power &amp; Propulsion </w:t>
      </w:r>
      <w:r>
        <w:rPr>
          <w:rFonts w:ascii="Arial" w:cs="Arial" w:eastAsia="Arial" w:hAnsi="Arial"/>
          <w:sz w:val="18"/>
          <w:szCs w:val="18"/>
          <w:color w:val="auto"/>
        </w:rPr>
        <w:t>– DRS is a leading provider of next generation electrical propulsion components and systems for the U.S.</w:t>
      </w:r>
      <w:r>
        <w:rPr>
          <w:rFonts w:ascii="Arial" w:cs="Arial" w:eastAsia="Arial" w:hAnsi="Arial"/>
          <w:sz w:val="18"/>
          <w:szCs w:val="18"/>
          <w:i w:val="1"/>
          <w:iCs w:val="1"/>
          <w:color w:val="auto"/>
        </w:rPr>
        <w:t xml:space="preserve"> </w:t>
      </w:r>
      <w:r>
        <w:rPr>
          <w:rFonts w:ascii="Arial" w:cs="Arial" w:eastAsia="Arial" w:hAnsi="Arial"/>
          <w:sz w:val="18"/>
          <w:szCs w:val="18"/>
          <w:color w:val="auto"/>
        </w:rPr>
        <w:t>Navy, with significant capabilities to service the fleet’s future needs, including on the Columbia-class submarine program which is integral to the United States’ deterrence strategy and among its highest priority programs. Beyond electrification of its fleet, the U.S. Navy will require increased power to expand and modernize its vessels, including for the introduction of laser weapons. This increased power demand will require improved power generation, storage, conversion, management and distribution, which align with the core competencies of this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As a diverse, defense technology company that is primarily focused on U.S. military programs, we have significant attributes that make us well positioned in the market. With a heritage of excellence in defense products, systems and solutions, we have transformed ourselves into a leading defense technology company with capabilities in sensing, electro-optics and laser systems, a critical provider of trusted network computing and communications systems and a key leader in integrated mission systems. We believe that we are positioned to grow our market position as a leading mid-tier U.S. defense technologies provider.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innovative portfolio is well positioned for core platform wins.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Over the past five decades, DRS has advanced its portfolio through focused innovation, targeted investments, selective partnerships and mergers and acquisitions. DRS has solutions for a number of military platforms and serves the branches of the U.S. military, and competes at the prime contractor, systems, supplier, or component level. Our core set of defense technologies and capabilities have applications that cross our three segments, allowing us to leverage research and development (“R&amp;D”) and IP across multiple product lines, platforms and end markets. We also provide higher-value integrated sub-systems and systems and have a goal of increasing scope and market share by integrating our own products and technologies.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portfolio of defense technologies is strategically aligned with key DoD priorities.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believe that our product and technology portfolio aligns with rising great power competition needs and modernization efforts, which are high priorities for DoD spending. Our technology portfolio and knowledge of the U.S. military enable us to win positions on key programs and adapt quickly to changing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5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customer dynamics. Our size and lean management structure allow us to shift our focus to changing priorities rapidly to best serve our customers’ growing needs. Our recent execution performance in short-range air defense exemplifies this ability, as we were able to rapidly develop and field new technology to address urgent needs of the warfighter in an extremely short procurement cycle.</w:t>
      </w:r>
    </w:p>
    <w:p>
      <w:pPr>
        <w:spacing w:after="0" w:line="126"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We hold an embedded position on key defense platforms and with prime contractors, supported by our installed base of existing products spanning U.S. Army, U.S. Navy and U.S. Air Force platforms.</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current installed base of existing products spans over 300,000 computer and display systems that are fielded globally, approximately 60,000 enhanced driver vision systems for military combat vehicles, over 50,000 thermal weapon systems and critical naval computing infrastructure and technology on every U.S. naval combatant vessel in service. The notable platforms for this installed base include: surface ships, submarines, tracked and wheeled ground vehicles, fixed and rotary wing aircraft, unmanned aircraft, operating bases, and commercial vehicles and facilities. This installed base of existing products provide us opportunities for upgrades and new business that leverages these solutions.</w:t>
      </w:r>
    </w:p>
    <w:p>
      <w:pPr>
        <w:spacing w:after="0" w:line="13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Our record of growth should drive profitability due to program lifecycle evolution, sole source positions and operational efficiencies.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Over the past five years through 2020, we have had a revenue CAGR of 12%, operating earnings expanded by $178 million and our Adjusted EBITDA Margin has increased to 9.6%. We have accomplished this through key program wins and sole-source positions, including prominent positions on the Columbia-class submarine program, MFoCS ruggedized computing battle management program, next generation of thermal weapon sights and our active protection system awards. Going forward, we anticipate that recent investments will drive profitability expansion and corresponding cash flow generation. As our program lifecycle in several key programs shifts from lower-margin, fixed-price development efforts to production, and topline growth brings more operational efficiencies, we expect to improve margin. Across our business, our continuous improvement culture is embodied in our Operational Excellence initiative called “Always Performing For Excellence,” or “APEX,” which strives to reduce cost and improves efficiencies while increasing the quality of our products and services.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highly experienced management team and talented workforce have transformed DRS.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management team has transformed DRS into the market-leading, high-growth, technology company it is today by focusing attention and investment on the fastest growing areas of the DoD budget. We have done this through an active portfolio management process that targeted investment to growing technological capabilities and acquisitions of smaller accretive companies that fill key strategic gaps in our portfolio, and by creating partnerships or joint ventures to supplement our own IP. The result of these efforts has led DRS to be well positioned in the U.S. defense market. Our management team has an average tenure of 15 years with the Company and nearly 30 years in the industry.</w:t>
      </w:r>
    </w:p>
    <w:p>
      <w:pPr>
        <w:spacing w:after="0" w:line="15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work force of approximately 6,500 people is highly innovative and we maintain a culture that fosters and rewards growth, problem-solving, technology development and process improvements. We have approximately 1,350 world-class engineers highly trained to work on programs in sensing, electro-optical infrared systems, laser systems, network computing, communications systems, integration and power propulsion. Our employees maintain over 2,000 security clearances to allow engineers and management to carry on business activities for our customers’ classified programs. Our strong commitment to diversity, inclusion, succession planning and training has fostered a highly collaborative and motivated work force. Our human resources policies and benefits have been designed to allow us to recruit and retain top talent.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focused on sustainability and diversity.</w:t>
      </w:r>
    </w:p>
    <w:p>
      <w:pPr>
        <w:spacing w:after="0" w:line="193"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We strongly believe that in order to succeed as a company, we must remain a strong and positive contributor to the communities where we do business, and the greater world around us. Sustainability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us means taking important steps towards protecting the environment, engaging in corporate social responsibility, ensuring a safe work force and promoting diversity. We have enacted a sustainability risk management model to take action towards responsible consumption. We have focused our corporate giving program on military veterans and have initiated a program called MyCommunity that matches donations to local charities and provides paid volunteer hours to employees. We created a Diversity Advisory Group to improve our diversity and inclusiveness so that we look like the communities in which we operate. We have targeted increases in minority hiring and women in management and overall women in the workforce, which is 2.6% higher than our industry average.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growth strategy is focused on four pillars: targeting investment to drive organic growth; executing on our programs to enhance profitability; actively managing our portfolio for optimization; and taking care of our people. Our goal is to grow and increase margins faster than the overall defense market through focused market selection, technology differentiation and operational excellence. Our vision is to be the best mid-tier defense technology company in the U.S. market.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Targeting Investment to Drive Organic Growth</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strategically select the markets where we compete and the programs on which we bid.</w:t>
      </w:r>
    </w:p>
    <w:p>
      <w:pPr>
        <w:spacing w:after="0" w:line="171" w:lineRule="exact"/>
        <w:rPr>
          <w:sz w:val="20"/>
          <w:szCs w:val="20"/>
          <w:color w:val="auto"/>
        </w:rPr>
      </w:pPr>
    </w:p>
    <w:p>
      <w:pPr>
        <w:ind w:left="660" w:right="80" w:hanging="328"/>
        <w:spacing w:after="0" w:line="253"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target programs in markets where we have strong core technology and where the DoD is focused. We seek to compete only in the areas in which we have a technological or market advantage, and which will attract funding. As an example, our core technology in high-performance receivers/transceivers is sought after by our customers for their wide-bandwidth and high signal dynamic range. These features are required for modern EW systems being developed for the U.S. Army, U.S. Marine Corp. and other customers to capture, exploit and/or disrupt modern signals.</w:t>
      </w:r>
    </w:p>
    <w:p>
      <w:pPr>
        <w:spacing w:after="0" w:line="151" w:lineRule="exact"/>
        <w:rPr>
          <w:rFonts w:ascii="Arial" w:cs="Arial" w:eastAsia="Arial" w:hAnsi="Arial"/>
          <w:sz w:val="18"/>
          <w:szCs w:val="18"/>
          <w:color w:val="auto"/>
        </w:rPr>
      </w:pPr>
    </w:p>
    <w:p>
      <w:pPr>
        <w:ind w:left="660" w:right="300" w:hanging="328"/>
        <w:spacing w:after="0" w:line="256"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target our investments in core technologies in areas of high market growth. Our investments fill gaps, create leading market offerings and make capital improvements to our business. We are also awarded, and leverage, significant customer research and development funding to complement our investments.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Executing on Our Programs to Enhance Profitability</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remain focused on continuing to drive operational enhancements and efficiencies, which we believe will result in improved profitability over time. We believe that our world-class technology and innovative solutions coupled with the transition of development programs into production will serve as the foundation for continued profitable growth.</w:t>
      </w:r>
    </w:p>
    <w:p>
      <w:pPr>
        <w:spacing w:after="0" w:line="148" w:lineRule="exact"/>
        <w:rPr>
          <w:sz w:val="20"/>
          <w:szCs w:val="20"/>
          <w:color w:val="auto"/>
        </w:rPr>
      </w:pPr>
    </w:p>
    <w:p>
      <w:pPr>
        <w:ind w:left="660" w:right="100" w:hanging="328"/>
        <w:spacing w:after="0" w:line="254"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believe that outstanding performance and timely execution on our programs will win us new business and lead to profitable growth, including new opportunities for follow-on orders which will add to our growing production base. Our recent short-range air defense program is an example of a program that we were able to win because of our reputation with the customer and our ability to quickly react to their needs.</w:t>
      </w:r>
    </w:p>
    <w:p>
      <w:pPr>
        <w:spacing w:after="0" w:line="149" w:lineRule="exact"/>
        <w:rPr>
          <w:rFonts w:ascii="Arial" w:cs="Arial" w:eastAsia="Arial" w:hAnsi="Arial"/>
          <w:sz w:val="18"/>
          <w:szCs w:val="18"/>
          <w:color w:val="auto"/>
        </w:rPr>
      </w:pPr>
    </w:p>
    <w:p>
      <w:pPr>
        <w:ind w:left="660" w:right="380" w:hanging="328"/>
        <w:spacing w:after="0" w:line="256"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Integrated systems offerings of our products and systems should further expand margins as we continue to grow the topline. Our Integrated Missions Systems business, for example, has strong integration capabilities which will enable us to grow content on programs as we increase our role from smaller sub-systems into full systems integration.</w:t>
      </w:r>
    </w:p>
    <w:p>
      <w:pPr>
        <w:spacing w:after="0" w:line="147" w:lineRule="exact"/>
        <w:rPr>
          <w:rFonts w:ascii="Arial" w:cs="Arial" w:eastAsia="Arial" w:hAnsi="Arial"/>
          <w:sz w:val="18"/>
          <w:szCs w:val="18"/>
          <w:color w:val="auto"/>
        </w:rPr>
      </w:pPr>
    </w:p>
    <w:p>
      <w:pPr>
        <w:ind w:left="660" w:right="340" w:hanging="328"/>
        <w:spacing w:after="0" w:line="256"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Successful execution on key development programs in early phases is expected to drive a transition to higher margin business in production, bringing sustained profitable success. Our Columbia-class submarine program is an example of a fixed-price development program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invested in while recognizing that it will deliver long-term profitable growth, beginning in 2021, when it transitions into production.</w:t>
      </w:r>
    </w:p>
    <w:p>
      <w:pPr>
        <w:spacing w:after="0" w:line="171" w:lineRule="exact"/>
        <w:rPr>
          <w:sz w:val="20"/>
          <w:szCs w:val="20"/>
          <w:color w:val="auto"/>
        </w:rPr>
      </w:pPr>
    </w:p>
    <w:p>
      <w:pPr>
        <w:ind w:left="660" w:right="160" w:hanging="328"/>
        <w:spacing w:after="0" w:line="254"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APEX program focuses on the achievement of operational savings in production, supply chain and our overall cost structure. The APEX program’s goal is to strive for continuous improvement through unification of our business practices, tools and metrics, ongoing employee training and innovation. Commitment to excellence requires us to challenge ourselves to exceed our customers’ expectations. A culture of continuous improvement will allow us to improve our efficiency and increase our margins.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Actively Managing our Portfolio for Optimization</w:t>
      </w:r>
    </w:p>
    <w:p>
      <w:pPr>
        <w:spacing w:after="0" w:line="193" w:lineRule="exact"/>
        <w:rPr>
          <w:sz w:val="20"/>
          <w:szCs w:val="20"/>
          <w:color w:val="auto"/>
        </w:rPr>
      </w:pPr>
    </w:p>
    <w:p>
      <w:pPr>
        <w:ind w:right="820" w:firstLine="324"/>
        <w:spacing w:after="0" w:line="261" w:lineRule="auto"/>
        <w:rPr>
          <w:sz w:val="20"/>
          <w:szCs w:val="20"/>
          <w:color w:val="auto"/>
        </w:rPr>
      </w:pPr>
      <w:r>
        <w:rPr>
          <w:rFonts w:ascii="Arial" w:cs="Arial" w:eastAsia="Arial" w:hAnsi="Arial"/>
          <w:sz w:val="18"/>
          <w:szCs w:val="18"/>
          <w:color w:val="auto"/>
        </w:rPr>
        <w:t>We manage our portfolio to optimize our growth in areas where we have the strongest core technology base, where we have a competitive cost structure and where the defense market is growing.</w:t>
      </w:r>
    </w:p>
    <w:p>
      <w:pPr>
        <w:spacing w:after="0" w:line="144" w:lineRule="exact"/>
        <w:rPr>
          <w:sz w:val="20"/>
          <w:szCs w:val="20"/>
          <w:color w:val="auto"/>
        </w:rPr>
      </w:pPr>
    </w:p>
    <w:p>
      <w:pPr>
        <w:ind w:left="660" w:right="100" w:hanging="328"/>
        <w:spacing w:after="0" w:line="25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DRS has a portfolio of products and services that we believe are positioned to move up the value chain to provide sub-systems and integrated systems and solutions. We regularly assess our portfolio to ensure strong alignment with our customers’ needs and priorities and consider accretive acquisitions in areas where we have strategic gaps to address our customer’s needs.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employ a strategy of active IP management to acquire technologies and IP through partnerships, teaming arrangements, strategic licenses and other business arrangements. This active IP management strategy allows us access to new technologies in a disciplined manner to maintain the strength of our diversified portfolio.</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Continue to Take Care of Our People</w:t>
      </w:r>
    </w:p>
    <w:p>
      <w:pPr>
        <w:spacing w:after="0" w:line="193"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We seek to recruit and retain the highest caliber of talent through competitive pay and benefits packages, diverse and inclusive personnel policies and fostering an innovative and modern workforce.</w:t>
      </w:r>
    </w:p>
    <w:p>
      <w:pPr>
        <w:spacing w:after="0" w:line="14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strive to maintain the highest ethical standards and foster a collaborative workplace to ensure a strong culture in our people.</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constantly assess and make thoughtful changes to our personnel practices, including changes to our pay and benefits packages and increased training and growth opportunities, to ensure that we attract and retain top talent.</w:t>
      </w:r>
    </w:p>
    <w:p>
      <w:pPr>
        <w:spacing w:after="0" w:line="143"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have implemented a strong diversity and inclusion program to ensure that our workforce looks like the communities in which they operate. This helps us to bring diverse ideas and perspectives to decision-making and problem-solving and allows us to draw from the largest pool of available talent.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the Company</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DRS was founded in 1969, in Mount Vernon, New York, as Diagnostic Retrieval Systems, and soon became best known by its acronym, DRS. In 1981, we first became a publicly traded company. Over the subsequent decades, DRS experienced a period of rapid growth driven in large part by numerous acquisitions. In 2008, our stock ceased to be publicly traded when we were acquired by the Italian-headquartered Finmeccanica S.p.A. (now known as Leonardo S.p.A.) and we subsequently rebranded ourselves as Leonardo DRS. Since the Leonardo acquisition, we have operated under agreements with the DoD and related security policies in order to limit our foreign parent’s ability to control our business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Structure</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Following completion of this offering, we expect that Leonardo S.p.A. will indirectly hold 78.0% of our common stock through US Holding (or 74.7% if the underwriters exercise their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320" w:top="1440" w:right="379" w:bottom="1440" w:gutter="0" w:footer="0" w:header="0"/>
        </w:sectPr>
      </w:pPr>
    </w:p>
    <w:bookmarkStart w:id="120" w:name="page121"/>
    <w:bookmarkEnd w:id="120"/>
    <w:p>
      <w:pPr>
        <w:spacing w:after="0" w:line="15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additional shares from the selling stockholder). As a U.S. defense contractor with high level personal and facility security clearances, DRS, US Holding and Leonardo S.p.A. have entered into an agreement with the DoD to mitigate against the potential for undue foreign ownership control and influence (“FOCI”) on the performance of classified programs by implementing various limitations on US Holding’s and Leonardo S.p.A.’s rights as the direct stockholder and ultimate foreign parent company of DRS, respectively. Specifically, US Holding has authorized certain cleared US persons to operate as its proxies and exercise the key prerogatives of stock ownership. The proxy agreement requires that DRS have the financial and operational ability to operate as an independent entity under an independent board of directors, subject to certain limited, enumerated consent rights of the majority stockholder (including material mergers and acquisitions and incurrence of debt). For additional information, see “Certain Relationships and Related Party Transactions—Transactions with Leonardo S.p.A. Affiliates—Proxy 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Ultimate Parent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Leonardo S.p.A., a global high-technology company, is among the top ten world players in Aerospace, Defense and Security and Italy’s main industrial company. Organized into five business divisions, Leonardo S.p.A. has a significant industrial presence in Italy, the United Kingdom, Poland and the USA, where it also operates through subsidiaries such as Leonardo DRS (defense electronics), and joint ventures and partnerships: ATR, MBDA, Telespazio, Thales Alenia Space and Avio. Leonardo S.p.A. competes in the most important international markets by leveraging its areas of technological and product leadership (Helicopters, Aircraft, Aerostructures, Electronics, Cyber Security and Space). Listed on the Milan Stock Exchange (LDO), in 2020 Leonardo S.p.A. recorded consolidated revenues of €13.4 billion and invested €1.6 billion in Research and Development. The group has been part of the Dow Jones Sustainability Index (“DJSI”) since 2010 and is named as sustainability global leader in the Aerospace &amp; Defense sector of DJSI for the second year in a row in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w:t>
      </w:r>
    </w:p>
    <w:p>
      <w:pPr>
        <w:spacing w:after="0" w:line="15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recorded revenues for customer-funded R&amp;D of approximately $247 million, $177 million and $148 million for the years ended December 31, 2020, 2019 and 2018, respectively. Such customer-funded activities are primarily the result of contracts directly or indirectly with the U.S. government. We also invest in internal R&amp;D. Expenditures for internal R&amp;D amounted to approximately $41 million, $31 million and $29 million for the years ended December 31, 2020, 2019 and 2018, respectively. Additionally, we employ a strategy of active IP management to acquire technologies and IP through partnerships, teaming arrangements, strategic licenses and other business arrangements. This active IP management strategy allows us access to new technologies in a disciplined manner.</w:t>
      </w:r>
    </w:p>
    <w:p>
      <w:pPr>
        <w:spacing w:after="0" w:line="15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are currently involved in research and development programs and investment projects in each segment. These include, but are not limited to, systems and components for naval propulsion and electrical conversion, soldier sensors, force protection, electronic warfare and computing and networking. We also invest in research and development of disruptive technologies in the fields of artificial intelligence, autonomy, and quantum sensing.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operate in a highly competitive environment. In the military sector, we compete with large, mid-tier and smaller defense contractors as well as some non-traditional contractors on the basis of product performance, cost, overall value, delivery schedule, embedded positions and reputation. Our products are sold in markets in which several of our competitors are substantially larger than we are, enabling them to devote substantially greater resources to research and development, and they, generally, have greater financial resources, allowing them to better withstand challenging operating conditions. We face a variety of competitors which vary across our segments and specific products. Although we compete with different competitors in each of our segments, our competitors include Raytheon Technologies, L3-Harris, BAE Systems, FLIR, Cubic and Elbit Systems, among others. We frequently partner with or are involved in subcontracting, teaming, supplier and customer relationships with companies that are, from time to time, competitors on other programs. Depending on the project or product, we may depend on parties with whom we complete vigorously on other projects and products. The extent of competition for any single project generally varies according to the complexity of the product and the dollar value of the anticipated award. We generally compete on the basis of:</w:t>
      </w:r>
    </w:p>
    <w:p>
      <w:pPr>
        <w:spacing w:after="0" w:line="157"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performance, adaptability and price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reputation for prompt, flexible, and responsive contract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installed base of existing products and track record as a trusted partner;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react to customer and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strong core technology capabilities and accumulated technical knowledge and expertise;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breadth of our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highly experienced management team and talented workforce;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capabilities of our facilities, equipment and personnel to undertake the programs for which we compete.</w:t>
      </w:r>
    </w:p>
    <w:p>
      <w:pPr>
        <w:spacing w:after="0" w:line="171"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Our future success will depend in large part upon our ability to improve existing product lines and to develop new products and technologies in the same or related fields.</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Since a number of consolidations and mergers of defense suppliers have occurred, the number of participants in the defense industry has decreased in recent years. We expect this consolidation trend to continue. As the industry consolidates, the large defense contractors are narrowing their supplier base, awarding increasing portions of projects to strategic mid- and lower-tier suppliers, and, in the process, are becoming oriented more toward systems integration and assembly. We believe that while this defense industry trend presents challenges, it also presents opportunities in certain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Supplies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manufacturing processes for our products include the assembly of purchased components and subsystems and testing of products at various stages in the assembly process. Purchased components include integrated circuits, circuit boards, metal fabricated into cabinets, resistors, capacitors, semiconductors, silicon wafers and other materials, wire and cables and subsystems including, but not limited to, off-the-shelf components such as servers, computers and peripherals. In addition, many of our products use castings and machined housings.</w:t>
      </w:r>
    </w:p>
    <w:p>
      <w:pPr>
        <w:spacing w:after="0" w:line="150"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manufacturing process for certain of our optic products includes the grinding, polishing and coating of various optical materials and the machining of metal components. Although materials and purchased components generally are available from a number of different suppliers, several suppliers are our sole source of certain components. If a supplier should cease to deliver such components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1440" w:right="439" w:bottom="1440" w:gutter="0" w:footer="0" w:header="0"/>
        </w:sectPr>
      </w:pPr>
    </w:p>
    <w:bookmarkStart w:id="122" w:name="page123"/>
    <w:bookmarkEnd w:id="122"/>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that other sources would be available; however, added cost and manufacturing delays might result. We occasionally experience delays attributable to supply shortages and quality and other related problems with respect to certain components, such as semiconductors and connectors. In addition, for our optical products, certain materials, such as rare earth materials, germanium, and zinc sulfide may not always be readily available.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patents on certain of our technologies and methods, semiconductor devices, rugged computer-related items and electro-optical and infrared focal plane array products, in addition to other technologies and methods. We and our subsidiaries have certain registered trademarks, none of which are considered material to our current operations. We also hold certain trade secrets without formal patent filings in order to protect them from disclosure. We believe our patent position and intellectual property portfolio in the aggregate are valuable to our operations. We do not believe that the conduct of our business as a whole is materially dependent on any single patent, trade secret, trademark or copyright.</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When we work on U.S. government contracts or use funding of the U.S. government, the U.S. government may have contractual rights to data for our technologies, source code and other developments associated with such government contracts. Records of our data rights are typically maintained in order to claim these rights as our proprietary technology, but it may not always be possible to delineate our proprietary developments from those developed under U.S. government contracts. The protection of our data from use by other U.S. government contractors is subject to negotiation from time to time between us and the U.S. government. The extent of the U.S. government’s data rights to any particular product generally depends upon whether the product was developed under a government contract and the degree of government funding for the development of such product. While we may retain rights over any technology, product or intellectual property that we develop under U.S. government contracts or using funding of the U.S. government, this requires us to take timely affirmative measures to preserve our right.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derive a significant portion of our revenue from long-term programs and programs for which we are the incumbent supplier or have been the sole or dual supplier for many years. A significant percentage of our revenue is derived from programs that are in the production phase. We also derive revenue from contracts on which we serve as either prime contractor or subcontractor. For the years ended December 31, 2020, 2019, and 2018, revenues were approximately even between contracts on which we served as prime contractor and subcontractor in our AST and IMS segments, whereas in our NC&amp;C segment approximately 61%, 64%, and 64%, respectively, of revenues were attributable to contracts on which we served as prime contractor and 39%, 36%, and 36%, respectively, were attributable to contracts on which we served as subcontractor, with the remainder attributable to intersegment sales.</w:t>
      </w:r>
    </w:p>
    <w:p>
      <w:pPr>
        <w:spacing w:after="0" w:line="15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While the majority of our revenue is derived from the U.S. government and DoD, within this we have a diverse business mix with limited dependence on any single contract. No single contract represented more than 10% of revenues for the years ended December 31, 2020, 2019 and 2018.</w:t>
      </w:r>
    </w:p>
    <w:p>
      <w:pPr>
        <w:spacing w:after="0" w:line="148"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amount of our revenues attributable to our contracts by contract type during the years ended December 31, 2020, 2019 and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5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Firm fixed price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314"/>
        </w:trPr>
        <w:tc>
          <w:tcPr>
            <w:tcW w:w="6320" w:type="dxa"/>
            <w:vAlign w:val="bottom"/>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Includes revenue derived from time-and-materials contracts.</w:t>
      </w:r>
    </w:p>
    <w:p>
      <w:pPr>
        <w:spacing w:after="0" w:line="164"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Typically we enter into three types of contracts: fixed price contracts, cost-plus contracts and time and material (“T&amp;M”) contracts (cost-plus contracts and T&amp;M contracts are aggregated above as flexibly priced contracts). and our contracts are normally for production, services or development. Production contracts are typically the fixed-price type, development contracts are sometimes of the cost-plus-type, and service contracts are sometimes of the time and materials type. We believe continued predominance of fixed-price contracts is reflective of the significant portion of production contracts in our U.S. government contract portfolio. Fixed-price contracts may provide for a fixed price or they may be fixed-price-incentive-fee contracts. Under fixed-price contracts, we agree to perform for an agreed-upon price. Accordingly, we derive benefits from cost savings, but bear the risk of cost overruns. Under fixed-price-incentive-fee contracts, if actual costs incurred in the performance of the contracts are less than estimated costs for the contracts the savings are apportioned between the customer and us. If actual costs under such a contract exceed estimated costs, however, excess costs are apportioned between the customer and us, up to a ceiling. We bear all costs that exceed the ceiling, if any.</w:t>
      </w:r>
    </w:p>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Cost-plus type contracts typically provide for reimbursement of allowable costs incurred plus a fee (profit). Under cost-plus-fixed-fee contracts, we are reimbursed for allowable costs and receive a fixed fee, which is negotiated and specified in the contract. Such fees have statutory limits. Unlike fixed-price contracts in which we are committed to deliver without regard to cost, cost-plus contracts normally obligate us to use our best efforts to accomplish the scope of work within a specified time and a stated contract dollar limitation. In addition, U.S. government procurement regulations typically result in lower profits for cost type contracts because of our reduced risk. Under cost-plus-incentive-fee contracts, an additional incentive fee awarded may be based on cost or performance. When the incentive is based on cost, the contract specifies that we are reimbursed for allowable incurred costs plus a fee adjusted by a formula based on the ratio of total allowable costs to target cost. Target cost, target fee, minimum and maximum fee, and adjustment formulae are agreed upon when the contract is negotiated. In the case of performance-based incentives, we are reimbursed for allowable incurred costs plus an incentive, contingent upon meeting or surpassing stated performance targets. The contract provides for increases in the fee to the extent that such targets are surpassed and for decreases to the extent that such targets are not met. In some instances, cost-plus-incentive-fee contracts also may include a combination of both cost and performance incentives. Under cost-plus-fixed-fee contracts, we are reimbursed for costs and receive a fixed fee, which is negotiated and specified in the contract. Time-and-material type contracts provide for reimbursement of labor hours expended at a contractual fixed labor rate per hour, plus the actual costs of material and other direct non-labor costs. The fixed labor rates on time-and-material type contracts include amounts for the cost of direct labor, indirect contract costs and profit.</w:t>
      </w:r>
    </w:p>
    <w:p>
      <w:pPr>
        <w:spacing w:after="0" w:line="15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For the majority of our contracts, revenues are recognized using an over time, cost-to-cost accounting method, with revenue recognized based on the ratio of cumulative costs incurred to date to estimated total contract costs at completion. For contracts accounted for in this way, our reported revenues may contain amounts which we have not billed to customers if we have incurred costs, and recognized related profits, in excess of billed progress payments.</w:t>
      </w:r>
    </w:p>
    <w:p>
      <w:pPr>
        <w:spacing w:after="0" w:line="1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Under U.S. GAAP, contract costs, including allowable general and administrative expenses on certain government contracts, are charged to work-in-progress inventory and are written off to costs and expenses as revenues are recognized. The Federal Acquisition Regulations (“FAR”) and the defense supplement (“DFARS”), incorporated by reference in U.S. government contracts, provide that internal research and development costs are allowable general and administrative expenses. Unallowable costs, pursuant to the FAR, are excluded from costs accumulated on U.S. government contracts.</w:t>
      </w:r>
    </w:p>
    <w:p>
      <w:pPr>
        <w:spacing w:after="0" w:line="15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Our defense contracts and subcontracts that require the submission of cost or pricing data are subject to audit, various profit and cost controls, and standard provisions for termination at the convenience of the customer. The DCAA performs these audits on behalf of the U.S. government. The DCAA has the right to perform audits on our incurred costs on cost-type or price redeterminable-type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contracts on a yearly basis. Approval of an incurred cost submission can take from one to three years from the date of the submission of the contract cost.</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U.S. government contracts are, by their terms, subject to termination by the U.S. government for either convenience or default by the contractor. Fixed-price contracts provide for payment upon termination for items delivered to and accepted by the U.S. government and, if the termination is for convenience, for payment of fair compensation of work performed plus the costs of settling and paying claims by terminated subcontractors, other settlement expenses and a reasonable profit on the costs incurred. Cost-plus contracts provide that, upon termination, the contractor is entitled to reimbursement of its allowable costs and, if the termination is for convenience, a total fee proportionate to the percentage of the work completed under the contract. If a contract termination is for default, however, the contractor is paid an amount agreed upon for completed and partially completed products and services accepted by the U.S. government. In these circumstances, the U.S. government is not liable for excess costs incurred by us in procuring undelivered items from another source.</w:t>
      </w:r>
    </w:p>
    <w:p>
      <w:pPr>
        <w:spacing w:after="0" w:line="15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addition to the right of the U.S. government to terminate U.S. government contracts, such contracts are conditioned upon the continuing availability of Congressional appropriations. Congress usually appropriates funds for a given program on a September 30 fiscal year basis, even though contract performance may take many years. Consequently, at the outset of a major program, the contract is typically only partially funded, and additional funds normally are committed to the contract by the procuring agency only as appropriations are made by Congress for future fiscal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Product warranty costs generally are accrued in proportion to product revenue realized in conjunction with our over-time revenue recognition policy. Product warranty expense is recognized based on the term of the product warranty, generally one to three years, and the related estimated costs, considering historical claims expense. Accrued warranty costs are reduced as these costs are incurred and as the warranty period expires, and otherwise may be modified as specific product performance issues are identified and resolved.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Strategic Investments and Mergers and Acquisitions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From time to time we enter into strategic joint ventures, investments and mergers and acquisitions. We hold a 51% ownership interest in Advanced Acoustic Concepts (“AAC”), a joint venture with a subsidiary of Thales S.A., which provides sonar systems and components, acoustic training systems, and other underwater systems. AAC engages in development of technology, products, and systems and also licenses technology and products from Thales for adaptation to the U.S. market when the opportunities are present. DRS provides support to AAC in the areas of security, export control, human resources, information technology, and at times, financing, among others. DRS chairs the joint management committee and, together with Thales, reviews and approves their business, financials, and business plans, including investments. AAC provided no cash dividends to DRS for the year ended December 31, 2020 and approximately $3 million and $5 million for the years ended December 31, 2019 and 2018, respectively.</w:t>
      </w:r>
    </w:p>
    <w:p>
      <w:pPr>
        <w:spacing w:after="0" w:line="15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June 2017, we acquired Daylight Solutions for a purchase price of $150 million in cash. Daylight Solutions designs and manufactures infrared Quantum Cascade Laser solutions that supplement the infrared sensors already in DRS’ portfolio. Together these two capabilities address the growing force protection needs for aircraft and ground vehicles by allowing them to sense threats and then enact countermeasures for certain classes of enemy missiles, thus saving lives. The acquisition of Daylight also allowed DRS to address markets unrelated to force protection, again by combining the infrared lasers with infrared sensors. To address the growing demands to sense further, and to increase situational understanding, these two capabilities allow for longer-range threat detection.</w:t>
      </w:r>
    </w:p>
    <w:p>
      <w:pPr>
        <w:spacing w:after="0" w:line="15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also hold an approximately 7% interest in Hoverfly Technologies, Inc. (“Hoverfly”), which designs, develops and manufactures power-tethered unmanned aerial systems and related products.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terms of our agreement with Hoverfly, we will increase our investment in Hoverfly to up to 10% if Hoverfly hits certain sales milestones and may increase our investment beyond 10%, at our option. We have also entered into an exclusive manufacturing and teaming agreement with Hoverfly.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do not consider any material portion of our business to be seasonal. However, our cash flows lack linearity with a majority of cash receipts generally occurring in the fourth quarter of our fiscal year. Various factors can affect the distribution of our revenues and cash flows between accounting periods, including the federal government’s budget cycle based on its October-to-September fiscal year, the timing of government awards, the availability of government funding, the timing of costs incurred (including when materials are received), product deliveries and customer acceptance.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and Regulation</w:t>
      </w:r>
    </w:p>
    <w:p>
      <w:pPr>
        <w:spacing w:after="0" w:line="193"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regulations related to cybersecurity, privacy, recovery of employee compensation costs, counterfeit parts, anti-human trafficking, specialty metals and conflict minerals) can significantly increase our costs and risks and reduce our profitability. 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 See “Risk Factors—Risks Relating to Our Business—We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spacing w:after="0" w:line="146"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(again, including our subcontractors and others with whom we do business) also are subject to, and expected to perform in compliance with, a vast array of federal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Export Control Reform Act, including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 Control, as well as rules and regulations administered by the U.S. Customs and Border Protection and the Bureau of Alcohol, Tobacco, Firearms and Explosives. If we are found to have violated such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15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operations include the use, generation and disposal of hazardous materials. We are subject to various U.S. federal, state, local and foreign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See “Risk Factors—Risks Relating to Our Business—We are subject to environmental laws and regulations, and our ongoing operations may expose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environmental liabilities affecting our reputation, business, financial condition and results of operations.” Except as described under “Legal Proceedings” below, we believe that we have been and are in material compliance with environmental laws and regulations and that we have no liabilities under environmental requirements that would be expected to have a material adverse effect on our business, results of operations, financial condition or liquidity. It is possible, however, that the ultimate resolution of the matters discussed under “—Legal Proceedings” below could result in a material adverse effect on our results of operations for a particular reporting period, any of which could have a material adverse effect on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In addition to backlog, we also evaluate estimated potential remaining contract value, which represents unexercised options associated with existing firm contracts and primarily includes options and agreements with existing customers to purchase new services. Estimated potential remaining contract value together with backlog represents total estimated contract value The following table summarizes the value of our backlog, estimated potential remaining contract value and total estimated contract value at the respective dates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40"/>
              <w:spacing w:after="0"/>
              <w:rPr>
                <w:sz w:val="20"/>
                <w:szCs w:val="20"/>
                <w:color w:val="auto"/>
              </w:rPr>
            </w:pPr>
            <w:r>
              <w:rPr>
                <w:rFonts w:ascii="Arial" w:cs="Arial" w:eastAsia="Arial" w:hAnsi="Arial"/>
                <w:sz w:val="18"/>
                <w:szCs w:val="18"/>
                <w:color w:val="auto"/>
              </w:rPr>
              <w:t>Funded</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2,847</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Unfunded</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backlog</w:t>
            </w:r>
            <w:r>
              <w:rPr>
                <w:rFonts w:ascii="Arial" w:cs="Arial" w:eastAsia="Arial" w:hAnsi="Arial"/>
                <w:sz w:val="23"/>
                <w:szCs w:val="23"/>
                <w:b w:val="1"/>
                <w:bCs w:val="1"/>
                <w:color w:val="auto"/>
                <w:vertAlign w:val="superscript"/>
              </w:rPr>
              <w:t>(1)</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potential remaining contract value</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estimated remaining contract value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11,272</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160" w:hanging="332"/>
        <w:spacing w:after="0" w:line="253"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See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As of March 15, 2021, we employed approximately 6,500 people. Approximately 255 of our employees at our West Plains, Missouri facility are represented by a labor union and are covered by a collective bargaining agreement that expires in April 2021 and approximately 221 employees at our Milwaukee, Wisconsin facility are represented by a union and are covered by a collective bargaining agreement that expires in March 2021. We consider our relations with our employees to be good.</w:t>
      </w:r>
    </w:p>
    <w:p>
      <w:pPr>
        <w:spacing w:after="0" w:line="150"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Our human capital resources objectives include identifying, recruiting, retaining, incentivizing and integrating our existing and additional employees. The principal purposes of our compensation program are to attract, retain and motivate selected employees through competitive base pay and cash-based performance bonus awards.</w:t>
      </w:r>
    </w:p>
    <w:p>
      <w:pPr>
        <w:spacing w:after="0" w:line="14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created a Diversity Advisory Group to improve our diversity and inclusiveness so that we look like the communities in which we operate. We have targeted increases in minority hiring and women in management and overall women in the workforce, which is 2.6% higher than our industry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93" w:lineRule="exact"/>
        <w:rPr>
          <w:sz w:val="20"/>
          <w:szCs w:val="20"/>
          <w:color w:val="auto"/>
        </w:rPr>
      </w:pPr>
    </w:p>
    <w:p>
      <w:pPr>
        <w:ind w:right="200" w:firstLine="324"/>
        <w:spacing w:after="0" w:line="251" w:lineRule="auto"/>
        <w:rPr>
          <w:sz w:val="20"/>
          <w:szCs w:val="20"/>
          <w:color w:val="auto"/>
        </w:rPr>
      </w:pPr>
      <w:r>
        <w:rPr>
          <w:rFonts w:ascii="Arial" w:cs="Arial" w:eastAsia="Arial" w:hAnsi="Arial"/>
          <w:sz w:val="18"/>
          <w:szCs w:val="18"/>
          <w:color w:val="auto"/>
        </w:rPr>
        <w:t>We are headquartered in Arlington, Virginia. Our principal executive offices are leased under a lease agreement expiring in March 31, 2027 with an option to extend for five years thereafter. We also lease space in 17 other states and the District of Columbia in the United States and in one city in Canada and we own properties in three states in the United States and in one city in Canada. We believe that our facilities are adequate for our intended use and sufficient for our immediate needs, including to meet any security certification requirements or requirements for locating facilities in certain locations. It is not certain whether we will negotiate new leases as existing leases expire or whether we will be able to negotiate new leases without substantial cost or at all. Such determinations will be made as existing leases approach expiration and will be based on an assessment of our requirements at that time. Further, we believe that we can obtain additional space, if necessary, based on prior experience and current real estate market conditions. The table below provides additional information about our significant leased and owned facilities and properties.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Activities</w:t>
            </w:r>
          </w:p>
        </w:tc>
        <w:tc>
          <w:tcPr>
            <w:tcW w:w="10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Operating Segment</w:t>
            </w:r>
          </w:p>
        </w:tc>
        <w:tc>
          <w:tcPr>
            <w:tcW w:w="8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Approximate Square Footage</w:t>
            </w:r>
          </w:p>
        </w:tc>
        <w:tc>
          <w:tcPr>
            <w:tcW w:w="10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Owned / Leased</w:t>
            </w:r>
          </w:p>
        </w:tc>
      </w:tr>
      <w:tr>
        <w:trPr>
          <w:trHeight w:val="24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4265 North 30th Street,</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Integrated Mission</w:t>
            </w:r>
          </w:p>
        </w:tc>
        <w:tc>
          <w:tcPr>
            <w:tcW w:w="2160" w:type="dxa"/>
            <w:vAlign w:val="bottom"/>
            <w:shd w:val="clear" w:color="auto" w:fill="CCEEFF"/>
          </w:tcPr>
          <w:p>
            <w:pPr>
              <w:jc w:val="right"/>
              <w:ind w:right="1392"/>
              <w:spacing w:after="0"/>
              <w:rPr>
                <w:sz w:val="20"/>
                <w:szCs w:val="20"/>
                <w:color w:val="auto"/>
              </w:rPr>
            </w:pPr>
            <w:r>
              <w:rPr>
                <w:rFonts w:ascii="Arial" w:cs="Arial" w:eastAsia="Arial" w:hAnsi="Arial"/>
                <w:sz w:val="18"/>
                <w:szCs w:val="18"/>
                <w:color w:val="auto"/>
              </w:rPr>
              <w:t>610,800</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1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Milwaukee, WI</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 Warehouse,</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Systems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4"/>
        </w:trPr>
        <w:tc>
          <w:tcPr>
            <w:tcW w:w="2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42"/>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1 McDaniel Street, West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Integrated Mission</w:t>
            </w:r>
          </w:p>
        </w:tc>
        <w:tc>
          <w:tcPr>
            <w:tcW w:w="2160" w:type="dxa"/>
            <w:vAlign w:val="bottom"/>
          </w:tcPr>
          <w:p>
            <w:pPr>
              <w:jc w:val="right"/>
              <w:ind w:right="1392"/>
              <w:spacing w:after="0"/>
              <w:rPr>
                <w:sz w:val="20"/>
                <w:szCs w:val="20"/>
                <w:color w:val="auto"/>
              </w:rPr>
            </w:pPr>
            <w:r>
              <w:rPr>
                <w:rFonts w:ascii="Arial" w:cs="Arial" w:eastAsia="Arial" w:hAnsi="Arial"/>
                <w:sz w:val="18"/>
                <w:szCs w:val="18"/>
                <w:color w:val="auto"/>
              </w:rPr>
              <w:t>447,067</w:t>
            </w:r>
          </w:p>
        </w:tc>
        <w:tc>
          <w:tcPr>
            <w:tcW w:w="10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Plains, MO</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Engineering, Warehouse,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Systems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 Hope Rd., Menomonee</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Integrated Mission</w:t>
            </w:r>
          </w:p>
        </w:tc>
        <w:tc>
          <w:tcPr>
            <w:tcW w:w="2160" w:type="dxa"/>
            <w:vAlign w:val="bottom"/>
            <w:shd w:val="clear" w:color="auto" w:fill="CCEEFF"/>
          </w:tcPr>
          <w:p>
            <w:pPr>
              <w:jc w:val="right"/>
              <w:ind w:right="1392"/>
              <w:spacing w:after="0"/>
              <w:rPr>
                <w:sz w:val="20"/>
                <w:szCs w:val="20"/>
                <w:color w:val="auto"/>
              </w:rPr>
            </w:pPr>
            <w:r>
              <w:rPr>
                <w:rFonts w:ascii="Arial" w:cs="Arial" w:eastAsia="Arial" w:hAnsi="Arial"/>
                <w:sz w:val="18"/>
                <w:szCs w:val="18"/>
                <w:color w:val="auto"/>
              </w:rPr>
              <w:t>372,856</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24"/>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Falls, WI</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Engineering, Warehouse</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Systems</w:t>
            </w: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42"/>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100 North Babcock Street,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Network Computer &amp;</w:t>
            </w:r>
          </w:p>
        </w:tc>
        <w:tc>
          <w:tcPr>
            <w:tcW w:w="2160" w:type="dxa"/>
            <w:vAlign w:val="bottom"/>
          </w:tcPr>
          <w:p>
            <w:pPr>
              <w:jc w:val="right"/>
              <w:ind w:right="1392"/>
              <w:spacing w:after="0"/>
              <w:rPr>
                <w:sz w:val="20"/>
                <w:szCs w:val="20"/>
                <w:color w:val="auto"/>
              </w:rPr>
            </w:pPr>
            <w:r>
              <w:rPr>
                <w:rFonts w:ascii="Arial" w:cs="Arial" w:eastAsia="Arial" w:hAnsi="Arial"/>
                <w:sz w:val="18"/>
                <w:szCs w:val="18"/>
                <w:color w:val="auto"/>
              </w:rPr>
              <w:t>311,287</w:t>
            </w:r>
          </w:p>
        </w:tc>
        <w:tc>
          <w:tcPr>
            <w:tcW w:w="10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Leased</w:t>
            </w: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Melbourne, FL</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Engineering, Warehouse,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Communications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6060 Highway, High Ridge,</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Integrated Mission</w:t>
            </w:r>
          </w:p>
        </w:tc>
        <w:tc>
          <w:tcPr>
            <w:tcW w:w="2160" w:type="dxa"/>
            <w:vAlign w:val="bottom"/>
            <w:shd w:val="clear" w:color="auto" w:fill="CCEEFF"/>
          </w:tcPr>
          <w:p>
            <w:pPr>
              <w:jc w:val="right"/>
              <w:ind w:right="1392"/>
              <w:spacing w:after="0"/>
              <w:rPr>
                <w:sz w:val="20"/>
                <w:szCs w:val="20"/>
                <w:color w:val="auto"/>
              </w:rPr>
            </w:pPr>
            <w:r>
              <w:rPr>
                <w:rFonts w:ascii="Arial" w:cs="Arial" w:eastAsia="Arial" w:hAnsi="Arial"/>
                <w:sz w:val="18"/>
                <w:szCs w:val="18"/>
                <w:color w:val="auto"/>
              </w:rPr>
              <w:t>183,600</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1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Systems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4"/>
        </w:trPr>
        <w:tc>
          <w:tcPr>
            <w:tcW w:w="2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42"/>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4545 N. Lindbergh Blvd,</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Integrated Mission</w:t>
            </w:r>
          </w:p>
        </w:tc>
        <w:tc>
          <w:tcPr>
            <w:tcW w:w="2160" w:type="dxa"/>
            <w:vAlign w:val="bottom"/>
          </w:tcPr>
          <w:p>
            <w:pPr>
              <w:jc w:val="right"/>
              <w:ind w:right="1392"/>
              <w:spacing w:after="0"/>
              <w:rPr>
                <w:sz w:val="20"/>
                <w:szCs w:val="20"/>
                <w:color w:val="auto"/>
              </w:rPr>
            </w:pPr>
            <w:r>
              <w:rPr>
                <w:rFonts w:ascii="Arial" w:cs="Arial" w:eastAsia="Arial" w:hAnsi="Arial"/>
                <w:sz w:val="18"/>
                <w:szCs w:val="18"/>
                <w:color w:val="auto"/>
              </w:rPr>
              <w:t>171,500</w:t>
            </w:r>
          </w:p>
        </w:tc>
        <w:tc>
          <w:tcPr>
            <w:tcW w:w="10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Leased</w:t>
            </w: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Bridgeton, MO</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Engineering, Warehouse,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Systems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 Milestone Center Court,</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Sensor</w:t>
            </w:r>
          </w:p>
        </w:tc>
        <w:tc>
          <w:tcPr>
            <w:tcW w:w="2160" w:type="dxa"/>
            <w:vAlign w:val="bottom"/>
            <w:shd w:val="clear" w:color="auto" w:fill="CCEEFF"/>
          </w:tcPr>
          <w:p>
            <w:pPr>
              <w:jc w:val="right"/>
              <w:ind w:right="1392"/>
              <w:spacing w:after="0"/>
              <w:rPr>
                <w:sz w:val="20"/>
                <w:szCs w:val="20"/>
                <w:color w:val="auto"/>
              </w:rPr>
            </w:pPr>
            <w:r>
              <w:rPr>
                <w:rFonts w:ascii="Arial" w:cs="Arial" w:eastAsia="Arial" w:hAnsi="Arial"/>
                <w:sz w:val="18"/>
                <w:szCs w:val="18"/>
                <w:color w:val="auto"/>
              </w:rPr>
              <w:t>133,140</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24"/>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Germantown, MD</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42"/>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7200 Redstone Gateway,</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Network Computer &amp;</w:t>
            </w:r>
          </w:p>
        </w:tc>
        <w:tc>
          <w:tcPr>
            <w:tcW w:w="2160" w:type="dxa"/>
            <w:vAlign w:val="bottom"/>
          </w:tcPr>
          <w:p>
            <w:pPr>
              <w:jc w:val="right"/>
              <w:ind w:right="1392"/>
              <w:spacing w:after="0"/>
              <w:rPr>
                <w:sz w:val="20"/>
                <w:szCs w:val="20"/>
                <w:color w:val="auto"/>
              </w:rPr>
            </w:pPr>
            <w:r>
              <w:rPr>
                <w:rFonts w:ascii="Arial" w:cs="Arial" w:eastAsia="Arial" w:hAnsi="Arial"/>
                <w:sz w:val="18"/>
                <w:szCs w:val="18"/>
                <w:color w:val="auto"/>
              </w:rPr>
              <w:t>131,498</w:t>
            </w:r>
          </w:p>
        </w:tc>
        <w:tc>
          <w:tcPr>
            <w:tcW w:w="10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Leased</w:t>
            </w: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Huntsville, AL</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Engineering,</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Communications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246 Airport Road, Johnstown,</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Network Computer &amp;</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129,716</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 Warehouse,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Communications</w:t>
            </w: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500 Palladium Drive, Ottawa,</w:t>
            </w:r>
          </w:p>
        </w:tc>
        <w:tc>
          <w:tcPr>
            <w:tcW w:w="222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rPr>
                <w:sz w:val="20"/>
                <w:szCs w:val="20"/>
                <w:color w:val="auto"/>
              </w:rPr>
            </w:pPr>
            <w:r>
              <w:rPr>
                <w:rFonts w:ascii="Arial" w:cs="Arial" w:eastAsia="Arial" w:hAnsi="Arial"/>
                <w:sz w:val="18"/>
                <w:szCs w:val="18"/>
                <w:color w:val="auto"/>
              </w:rPr>
              <w:t>Network Computer &amp;</w:t>
            </w:r>
          </w:p>
        </w:tc>
        <w:tc>
          <w:tcPr>
            <w:tcW w:w="1760" w:type="dxa"/>
            <w:vAlign w:val="bottom"/>
          </w:tcPr>
          <w:p>
            <w:pPr>
              <w:ind w:left="300"/>
              <w:spacing w:after="0"/>
              <w:rPr>
                <w:sz w:val="20"/>
                <w:szCs w:val="20"/>
                <w:color w:val="auto"/>
              </w:rPr>
            </w:pPr>
            <w:r>
              <w:rPr>
                <w:rFonts w:ascii="Arial" w:cs="Arial" w:eastAsia="Arial" w:hAnsi="Arial"/>
                <w:sz w:val="18"/>
                <w:szCs w:val="18"/>
                <w:color w:val="auto"/>
              </w:rPr>
              <w:t>127,334</w:t>
            </w:r>
          </w:p>
        </w:tc>
        <w:tc>
          <w:tcPr>
            <w:tcW w:w="2700" w:type="dxa"/>
            <w:vAlign w:val="bottom"/>
          </w:tcPr>
          <w:p>
            <w:pPr>
              <w:ind w:left="80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ON, Canada</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 Warehouse,</w:t>
            </w:r>
          </w:p>
        </w:tc>
        <w:tc>
          <w:tcPr>
            <w:tcW w:w="208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7"/>
        </w:trPr>
        <w:tc>
          <w:tcPr>
            <w:tcW w:w="24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 Flint Drive, Menomonee</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Integrated Mission</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118,620</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Leased</w:t>
            </w:r>
          </w:p>
        </w:tc>
      </w:tr>
      <w:tr>
        <w:trPr>
          <w:trHeight w:val="22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Falls, WI</w:t>
            </w: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166 Boulder Drive, Building</w:t>
            </w:r>
          </w:p>
        </w:tc>
        <w:tc>
          <w:tcPr>
            <w:tcW w:w="222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rPr>
                <w:sz w:val="20"/>
                <w:szCs w:val="20"/>
                <w:color w:val="auto"/>
              </w:rPr>
            </w:pPr>
            <w:r>
              <w:rPr>
                <w:rFonts w:ascii="Arial" w:cs="Arial" w:eastAsia="Arial" w:hAnsi="Arial"/>
                <w:sz w:val="18"/>
                <w:szCs w:val="18"/>
                <w:color w:val="auto"/>
              </w:rPr>
              <w:t>Integrated Mission</w:t>
            </w:r>
          </w:p>
        </w:tc>
        <w:tc>
          <w:tcPr>
            <w:tcW w:w="1760" w:type="dxa"/>
            <w:vAlign w:val="bottom"/>
          </w:tcPr>
          <w:p>
            <w:pPr>
              <w:ind w:left="300"/>
              <w:spacing w:after="0"/>
              <w:rPr>
                <w:sz w:val="20"/>
                <w:szCs w:val="20"/>
                <w:color w:val="auto"/>
              </w:rPr>
            </w:pPr>
            <w:r>
              <w:rPr>
                <w:rFonts w:ascii="Arial" w:cs="Arial" w:eastAsia="Arial" w:hAnsi="Arial"/>
                <w:sz w:val="18"/>
                <w:szCs w:val="18"/>
                <w:color w:val="auto"/>
              </w:rPr>
              <w:t>114,454</w:t>
            </w:r>
          </w:p>
        </w:tc>
        <w:tc>
          <w:tcPr>
            <w:tcW w:w="2700" w:type="dxa"/>
            <w:vAlign w:val="bottom"/>
          </w:tcPr>
          <w:p>
            <w:pPr>
              <w:ind w:left="800"/>
              <w:spacing w:after="0"/>
              <w:rPr>
                <w:sz w:val="20"/>
                <w:szCs w:val="20"/>
                <w:color w:val="auto"/>
              </w:rPr>
            </w:pPr>
            <w:r>
              <w:rPr>
                <w:rFonts w:ascii="Arial" w:cs="Arial" w:eastAsia="Arial" w:hAnsi="Arial"/>
                <w:sz w:val="18"/>
                <w:szCs w:val="18"/>
                <w:color w:val="auto"/>
              </w:rPr>
              <w:t>Leased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#2, Fitchburg, MA</w:t>
            </w:r>
          </w:p>
        </w:tc>
        <w:tc>
          <w:tcPr>
            <w:tcW w:w="2220" w:type="dxa"/>
            <w:vAlign w:val="bottom"/>
          </w:tcPr>
          <w:p>
            <w:pPr>
              <w:ind w:left="80"/>
              <w:spacing w:after="0"/>
              <w:rPr>
                <w:sz w:val="20"/>
                <w:szCs w:val="20"/>
                <w:color w:val="auto"/>
              </w:rPr>
            </w:pPr>
            <w:r>
              <w:rPr>
                <w:rFonts w:ascii="Arial" w:cs="Arial" w:eastAsia="Arial" w:hAnsi="Arial"/>
                <w:sz w:val="18"/>
                <w:szCs w:val="18"/>
                <w:color w:val="auto"/>
              </w:rPr>
              <w:t>Warehouse</w:t>
            </w:r>
          </w:p>
        </w:tc>
        <w:tc>
          <w:tcPr>
            <w:tcW w:w="2080" w:type="dxa"/>
            <w:vAlign w:val="bottom"/>
          </w:tcPr>
          <w:p>
            <w:pPr>
              <w:ind w:left="120"/>
              <w:spacing w:after="0"/>
              <w:rPr>
                <w:sz w:val="20"/>
                <w:szCs w:val="20"/>
                <w:color w:val="auto"/>
              </w:rPr>
            </w:pPr>
            <w:r>
              <w:rPr>
                <w:rFonts w:ascii="Arial" w:cs="Arial" w:eastAsia="Arial" w:hAnsi="Arial"/>
                <w:sz w:val="18"/>
                <w:szCs w:val="18"/>
                <w:color w:val="auto"/>
              </w:rPr>
              <w:t>Systems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6200 118th Avenue North,</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Network Computer &amp;</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113,329</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Owned</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Largo, FL</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Communications</w:t>
            </w: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10600 Valley View Street,</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tcPr>
          <w:p>
            <w:pPr>
              <w:ind w:left="300"/>
              <w:spacing w:after="0"/>
              <w:rPr>
                <w:sz w:val="20"/>
                <w:szCs w:val="20"/>
                <w:color w:val="auto"/>
              </w:rPr>
            </w:pPr>
            <w:r>
              <w:rPr>
                <w:rFonts w:ascii="Arial" w:cs="Arial" w:eastAsia="Arial" w:hAnsi="Arial"/>
                <w:sz w:val="18"/>
                <w:szCs w:val="18"/>
                <w:color w:val="auto"/>
              </w:rPr>
              <w:t>91,506</w:t>
            </w:r>
          </w:p>
        </w:tc>
        <w:tc>
          <w:tcPr>
            <w:tcW w:w="2700" w:type="dxa"/>
            <w:vAlign w:val="bottom"/>
          </w:tcPr>
          <w:p>
            <w:pPr>
              <w:ind w:left="800"/>
              <w:spacing w:after="0"/>
              <w:rPr>
                <w:sz w:val="20"/>
                <w:szCs w:val="20"/>
                <w:color w:val="auto"/>
              </w:rPr>
            </w:pPr>
            <w:r>
              <w:rPr>
                <w:rFonts w:ascii="Arial" w:cs="Arial" w:eastAsia="Arial" w:hAnsi="Arial"/>
                <w:sz w:val="18"/>
                <w:szCs w:val="18"/>
                <w:color w:val="auto"/>
              </w:rPr>
              <w:t>Leased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Cypress, CA</w:t>
            </w: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13532 N Central Expressway,</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89,982</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Dallas, TX</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645 Anchors Street, Ft.</w:t>
            </w:r>
          </w:p>
        </w:tc>
        <w:tc>
          <w:tcPr>
            <w:tcW w:w="222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tcPr>
          <w:p>
            <w:pPr>
              <w:ind w:left="300"/>
              <w:spacing w:after="0"/>
              <w:rPr>
                <w:sz w:val="20"/>
                <w:szCs w:val="20"/>
                <w:color w:val="auto"/>
              </w:rPr>
            </w:pPr>
            <w:r>
              <w:rPr>
                <w:rFonts w:ascii="Arial" w:cs="Arial" w:eastAsia="Arial" w:hAnsi="Arial"/>
                <w:sz w:val="18"/>
                <w:szCs w:val="18"/>
                <w:color w:val="auto"/>
              </w:rPr>
              <w:t>74,304</w:t>
            </w:r>
          </w:p>
        </w:tc>
        <w:tc>
          <w:tcPr>
            <w:tcW w:w="2700" w:type="dxa"/>
            <w:vAlign w:val="bottom"/>
          </w:tcPr>
          <w:p>
            <w:pPr>
              <w:ind w:left="800"/>
              <w:spacing w:after="0"/>
              <w:rPr>
                <w:sz w:val="20"/>
                <w:szCs w:val="20"/>
                <w:color w:val="auto"/>
              </w:rPr>
            </w:pPr>
            <w:r>
              <w:rPr>
                <w:rFonts w:ascii="Arial" w:cs="Arial" w:eastAsia="Arial" w:hAnsi="Arial"/>
                <w:sz w:val="18"/>
                <w:szCs w:val="18"/>
                <w:color w:val="auto"/>
              </w:rPr>
              <w:t>Owned</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Walton Beach, FL</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7"/>
        </w:trPr>
        <w:tc>
          <w:tcPr>
            <w:tcW w:w="24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 South Street, Danbury, CT</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Integrated Mission</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74,300</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Owned</w:t>
            </w:r>
          </w:p>
        </w:tc>
      </w:tr>
      <w:tr>
        <w:trPr>
          <w:trHeight w:val="216"/>
        </w:trPr>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 Warehouse,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1200 Sherman Street, Dallas,</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tcPr>
          <w:p>
            <w:pPr>
              <w:ind w:left="300"/>
              <w:spacing w:after="0"/>
              <w:rPr>
                <w:sz w:val="20"/>
                <w:szCs w:val="20"/>
                <w:color w:val="auto"/>
              </w:rPr>
            </w:pPr>
            <w:r>
              <w:rPr>
                <w:rFonts w:ascii="Arial" w:cs="Arial" w:eastAsia="Arial" w:hAnsi="Arial"/>
                <w:sz w:val="18"/>
                <w:szCs w:val="18"/>
                <w:color w:val="auto"/>
              </w:rPr>
              <w:t>73,646</w:t>
            </w:r>
          </w:p>
        </w:tc>
        <w:tc>
          <w:tcPr>
            <w:tcW w:w="2700" w:type="dxa"/>
            <w:vAlign w:val="bottom"/>
          </w:tcPr>
          <w:p>
            <w:pPr>
              <w:ind w:left="800"/>
              <w:spacing w:after="0"/>
              <w:rPr>
                <w:sz w:val="20"/>
                <w:szCs w:val="20"/>
                <w:color w:val="auto"/>
              </w:rPr>
            </w:pPr>
            <w:r>
              <w:rPr>
                <w:rFonts w:ascii="Arial" w:cs="Arial" w:eastAsia="Arial" w:hAnsi="Arial"/>
                <w:sz w:val="18"/>
                <w:szCs w:val="18"/>
                <w:color w:val="auto"/>
              </w:rPr>
              <w:t>Leased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TX</w:t>
            </w: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16465 Via Esprillo, San</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67,762</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Diego, CA</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650 Lovejoy, Ft. Walton</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tcPr>
          <w:p>
            <w:pPr>
              <w:ind w:left="300"/>
              <w:spacing w:after="0"/>
              <w:rPr>
                <w:sz w:val="20"/>
                <w:szCs w:val="20"/>
                <w:color w:val="auto"/>
              </w:rPr>
            </w:pPr>
            <w:r>
              <w:rPr>
                <w:rFonts w:ascii="Arial" w:cs="Arial" w:eastAsia="Arial" w:hAnsi="Arial"/>
                <w:sz w:val="18"/>
                <w:szCs w:val="18"/>
                <w:color w:val="auto"/>
              </w:rPr>
              <w:t>53,045</w:t>
            </w:r>
          </w:p>
        </w:tc>
        <w:tc>
          <w:tcPr>
            <w:tcW w:w="2700" w:type="dxa"/>
            <w:vAlign w:val="bottom"/>
          </w:tcPr>
          <w:p>
            <w:pPr>
              <w:ind w:left="800"/>
              <w:spacing w:after="0"/>
              <w:rPr>
                <w:sz w:val="20"/>
                <w:szCs w:val="20"/>
                <w:color w:val="auto"/>
              </w:rPr>
            </w:pPr>
            <w:r>
              <w:rPr>
                <w:rFonts w:ascii="Arial" w:cs="Arial" w:eastAsia="Arial" w:hAnsi="Arial"/>
                <w:sz w:val="18"/>
                <w:szCs w:val="18"/>
                <w:color w:val="auto"/>
              </w:rPr>
              <w:t>Owned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Beach, FL</w:t>
            </w: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2345 Crystal Drive, Arlington,</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49,048</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Leased</w:t>
            </w: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w:t>
            </w:r>
          </w:p>
        </w:tc>
        <w:tc>
          <w:tcPr>
            <w:tcW w:w="2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7"/>
        </w:trPr>
        <w:tc>
          <w:tcPr>
            <w:tcW w:w="24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13544 N Central Expressway,</w:t>
            </w:r>
          </w:p>
        </w:tc>
        <w:tc>
          <w:tcPr>
            <w:tcW w:w="180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500" w:type="dxa"/>
            <w:vAlign w:val="bottom"/>
          </w:tcPr>
          <w:p>
            <w:pPr>
              <w:ind w:left="540"/>
              <w:spacing w:after="0"/>
              <w:rPr>
                <w:sz w:val="20"/>
                <w:szCs w:val="20"/>
                <w:color w:val="auto"/>
              </w:rPr>
            </w:pPr>
            <w:r>
              <w:rPr>
                <w:rFonts w:ascii="Arial" w:cs="Arial" w:eastAsia="Arial" w:hAnsi="Arial"/>
                <w:sz w:val="18"/>
                <w:szCs w:val="18"/>
                <w:color w:val="auto"/>
              </w:rPr>
              <w:t>Advanced Sensor</w:t>
            </w:r>
          </w:p>
        </w:tc>
        <w:tc>
          <w:tcPr>
            <w:tcW w:w="1700" w:type="dxa"/>
            <w:vAlign w:val="bottom"/>
          </w:tcPr>
          <w:p>
            <w:pPr>
              <w:jc w:val="right"/>
              <w:ind w:right="750"/>
              <w:spacing w:after="0"/>
              <w:rPr>
                <w:sz w:val="20"/>
                <w:szCs w:val="20"/>
                <w:color w:val="auto"/>
              </w:rPr>
            </w:pPr>
            <w:r>
              <w:rPr>
                <w:rFonts w:ascii="Arial" w:cs="Arial" w:eastAsia="Arial" w:hAnsi="Arial"/>
                <w:sz w:val="18"/>
                <w:szCs w:val="18"/>
                <w:color w:val="auto"/>
              </w:rPr>
              <w:t>48,374</w:t>
            </w:r>
          </w:p>
        </w:tc>
        <w:tc>
          <w:tcPr>
            <w:tcW w:w="2760" w:type="dxa"/>
            <w:vAlign w:val="bottom"/>
          </w:tcPr>
          <w:p>
            <w:pPr>
              <w:ind w:left="86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Dallas, TX</w:t>
            </w:r>
          </w:p>
        </w:tc>
        <w:tc>
          <w:tcPr>
            <w:tcW w:w="180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500" w:type="dxa"/>
            <w:vAlign w:val="bottom"/>
          </w:tcPr>
          <w:p>
            <w:pPr>
              <w:ind w:left="540"/>
              <w:spacing w:after="0"/>
              <w:rPr>
                <w:sz w:val="20"/>
                <w:szCs w:val="20"/>
                <w:color w:val="auto"/>
              </w:rPr>
            </w:pPr>
            <w:r>
              <w:rPr>
                <w:rFonts w:ascii="Arial" w:cs="Arial" w:eastAsia="Arial" w:hAnsi="Arial"/>
                <w:sz w:val="18"/>
                <w:szCs w:val="18"/>
                <w:color w:val="auto"/>
              </w:rPr>
              <w:t>Technologies</w:t>
            </w: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7"/>
        </w:trPr>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7"/>
        </w:trPr>
        <w:tc>
          <w:tcPr>
            <w:tcW w:w="248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42"/>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2601 Mission Point Blvd,</w:t>
            </w:r>
          </w:p>
        </w:tc>
        <w:tc>
          <w:tcPr>
            <w:tcW w:w="1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Advanced Sensor</w:t>
            </w:r>
          </w:p>
        </w:tc>
        <w:tc>
          <w:tcPr>
            <w:tcW w:w="17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46,637</w:t>
            </w:r>
          </w:p>
        </w:tc>
        <w:tc>
          <w:tcPr>
            <w:tcW w:w="2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Leased</w:t>
            </w:r>
          </w:p>
        </w:tc>
      </w:tr>
      <w:tr>
        <w:trPr>
          <w:trHeight w:val="224"/>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Beavercreek, OH</w:t>
            </w:r>
          </w:p>
        </w:tc>
        <w:tc>
          <w:tcPr>
            <w:tcW w:w="1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Technologies</w:t>
            </w:r>
          </w:p>
        </w:tc>
        <w:tc>
          <w:tcPr>
            <w:tcW w:w="170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19"/>
                <w:szCs w:val="19"/>
                <w:color w:val="auto"/>
              </w:rPr>
            </w:pPr>
          </w:p>
        </w:tc>
      </w:tr>
      <w:tr>
        <w:trPr>
          <w:trHeight w:val="188"/>
        </w:trPr>
        <w:tc>
          <w:tcPr>
            <w:tcW w:w="360" w:type="dxa"/>
            <w:vAlign w:val="bottom"/>
          </w:tcPr>
          <w:p>
            <w:pPr>
              <w:ind w:left="20"/>
              <w:spacing w:after="0" w:line="189" w:lineRule="exact"/>
              <w:rPr>
                <w:sz w:val="20"/>
                <w:szCs w:val="20"/>
                <w:color w:val="auto"/>
              </w:rPr>
            </w:pPr>
            <w:r>
              <w:rPr>
                <w:rFonts w:ascii="Arial" w:cs="Arial" w:eastAsia="Arial" w:hAnsi="Arial"/>
                <w:sz w:val="18"/>
                <w:szCs w:val="18"/>
                <w:color w:val="auto"/>
              </w:rPr>
              <w:t>150</w:t>
            </w:r>
          </w:p>
        </w:tc>
        <w:tc>
          <w:tcPr>
            <w:tcW w:w="2120" w:type="dxa"/>
            <w:vAlign w:val="bottom"/>
          </w:tcPr>
          <w:p>
            <w:pPr>
              <w:ind w:left="20"/>
              <w:spacing w:after="0" w:line="189" w:lineRule="exact"/>
              <w:rPr>
                <w:sz w:val="20"/>
                <w:szCs w:val="20"/>
                <w:color w:val="auto"/>
              </w:rPr>
            </w:pPr>
            <w:r>
              <w:rPr>
                <w:rFonts w:ascii="Arial" w:cs="Arial" w:eastAsia="Arial" w:hAnsi="Arial"/>
                <w:sz w:val="18"/>
                <w:szCs w:val="18"/>
                <w:color w:val="auto"/>
              </w:rPr>
              <w:t>Bluewater Road,</w:t>
            </w:r>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Manufacturing,</w:t>
            </w:r>
          </w:p>
        </w:tc>
        <w:tc>
          <w:tcPr>
            <w:tcW w:w="2500" w:type="dxa"/>
            <w:vAlign w:val="bottom"/>
          </w:tcPr>
          <w:p>
            <w:pPr>
              <w:ind w:left="540"/>
              <w:spacing w:after="0" w:line="189" w:lineRule="exact"/>
              <w:rPr>
                <w:sz w:val="20"/>
                <w:szCs w:val="20"/>
                <w:color w:val="auto"/>
              </w:rPr>
            </w:pPr>
            <w:r>
              <w:rPr>
                <w:rFonts w:ascii="Arial" w:cs="Arial" w:eastAsia="Arial" w:hAnsi="Arial"/>
                <w:sz w:val="18"/>
                <w:szCs w:val="18"/>
                <w:color w:val="auto"/>
              </w:rPr>
              <w:t>Network Computer &amp;</w:t>
            </w:r>
          </w:p>
        </w:tc>
        <w:tc>
          <w:tcPr>
            <w:tcW w:w="170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41,750</w:t>
            </w:r>
          </w:p>
        </w:tc>
        <w:tc>
          <w:tcPr>
            <w:tcW w:w="2760" w:type="dxa"/>
            <w:vAlign w:val="bottom"/>
          </w:tcPr>
          <w:p>
            <w:pPr>
              <w:ind w:left="860"/>
              <w:spacing w:after="0" w:line="189" w:lineRule="exact"/>
              <w:rPr>
                <w:sz w:val="20"/>
                <w:szCs w:val="20"/>
                <w:color w:val="auto"/>
              </w:rPr>
            </w:pPr>
            <w:r>
              <w:rPr>
                <w:rFonts w:ascii="Arial" w:cs="Arial" w:eastAsia="Arial" w:hAnsi="Arial"/>
                <w:sz w:val="18"/>
                <w:szCs w:val="18"/>
                <w:color w:val="auto"/>
              </w:rPr>
              <w:t>Owned</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Bedford, NS, Canada</w:t>
            </w: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Engineering,</w:t>
            </w:r>
          </w:p>
        </w:tc>
        <w:tc>
          <w:tcPr>
            <w:tcW w:w="2500" w:type="dxa"/>
            <w:vAlign w:val="bottom"/>
          </w:tcPr>
          <w:p>
            <w:pPr>
              <w:ind w:left="540"/>
              <w:spacing w:after="0" w:line="176" w:lineRule="exact"/>
              <w:rPr>
                <w:sz w:val="20"/>
                <w:szCs w:val="20"/>
                <w:color w:val="auto"/>
              </w:rPr>
            </w:pPr>
            <w:r>
              <w:rPr>
                <w:rFonts w:ascii="Arial" w:cs="Arial" w:eastAsia="Arial" w:hAnsi="Arial"/>
                <w:sz w:val="18"/>
                <w:szCs w:val="18"/>
                <w:color w:val="auto"/>
              </w:rPr>
              <w:t>Communications</w:t>
            </w:r>
          </w:p>
        </w:tc>
        <w:tc>
          <w:tcPr>
            <w:tcW w:w="17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17"/>
        </w:trPr>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88"/>
        </w:trPr>
        <w:tc>
          <w:tcPr>
            <w:tcW w:w="2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21345 Ridgetop Circle,</w:t>
            </w:r>
          </w:p>
        </w:tc>
        <w:tc>
          <w:tcPr>
            <w:tcW w:w="18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Engineering,</w:t>
            </w:r>
          </w:p>
        </w:tc>
        <w:tc>
          <w:tcPr>
            <w:tcW w:w="250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Network Computer &amp;</w:t>
            </w:r>
          </w:p>
        </w:tc>
        <w:tc>
          <w:tcPr>
            <w:tcW w:w="1700" w:type="dxa"/>
            <w:vAlign w:val="bottom"/>
            <w:shd w:val="clear" w:color="auto" w:fill="CCEEFF"/>
          </w:tcPr>
          <w:p>
            <w:pPr>
              <w:jc w:val="right"/>
              <w:ind w:right="750"/>
              <w:spacing w:after="0" w:line="189" w:lineRule="exact"/>
              <w:rPr>
                <w:sz w:val="20"/>
                <w:szCs w:val="20"/>
                <w:color w:val="auto"/>
              </w:rPr>
            </w:pPr>
            <w:r>
              <w:rPr>
                <w:rFonts w:ascii="Arial" w:cs="Arial" w:eastAsia="Arial" w:hAnsi="Arial"/>
                <w:sz w:val="18"/>
                <w:szCs w:val="18"/>
                <w:color w:val="auto"/>
              </w:rPr>
              <w:t>40,412</w:t>
            </w:r>
          </w:p>
        </w:tc>
        <w:tc>
          <w:tcPr>
            <w:tcW w:w="276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21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Dulles, VA</w:t>
            </w:r>
          </w:p>
        </w:tc>
        <w:tc>
          <w:tcPr>
            <w:tcW w:w="1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Communications</w:t>
            </w: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188"/>
        </w:trPr>
        <w:tc>
          <w:tcPr>
            <w:tcW w:w="360" w:type="dxa"/>
            <w:vAlign w:val="bottom"/>
          </w:tcPr>
          <w:p>
            <w:pPr>
              <w:ind w:left="20"/>
              <w:spacing w:after="0" w:line="189" w:lineRule="exact"/>
              <w:rPr>
                <w:sz w:val="20"/>
                <w:szCs w:val="20"/>
                <w:color w:val="auto"/>
              </w:rPr>
            </w:pPr>
            <w:r>
              <w:rPr>
                <w:rFonts w:ascii="Arial" w:cs="Arial" w:eastAsia="Arial" w:hAnsi="Arial"/>
                <w:sz w:val="18"/>
                <w:szCs w:val="18"/>
                <w:color w:val="auto"/>
              </w:rPr>
              <w:t>825</w:t>
            </w:r>
          </w:p>
        </w:tc>
        <w:tc>
          <w:tcPr>
            <w:tcW w:w="2120" w:type="dxa"/>
            <w:vAlign w:val="bottom"/>
          </w:tcPr>
          <w:p>
            <w:pPr>
              <w:ind w:left="20"/>
              <w:spacing w:after="0" w:line="189" w:lineRule="exact"/>
              <w:rPr>
                <w:sz w:val="20"/>
                <w:szCs w:val="20"/>
                <w:color w:val="auto"/>
              </w:rPr>
            </w:pPr>
            <w:r>
              <w:rPr>
                <w:rFonts w:ascii="Arial" w:cs="Arial" w:eastAsia="Arial" w:hAnsi="Arial"/>
                <w:sz w:val="18"/>
                <w:szCs w:val="18"/>
                <w:color w:val="auto"/>
              </w:rPr>
              <w:t>Greenbrier Circle,</w:t>
            </w:r>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Manufacturing,</w:t>
            </w:r>
          </w:p>
        </w:tc>
        <w:tc>
          <w:tcPr>
            <w:tcW w:w="2500" w:type="dxa"/>
            <w:vAlign w:val="bottom"/>
          </w:tcPr>
          <w:p>
            <w:pPr>
              <w:ind w:left="540"/>
              <w:spacing w:after="0" w:line="189" w:lineRule="exact"/>
              <w:rPr>
                <w:sz w:val="20"/>
                <w:szCs w:val="20"/>
                <w:color w:val="auto"/>
              </w:rPr>
            </w:pPr>
            <w:r>
              <w:rPr>
                <w:rFonts w:ascii="Arial" w:cs="Arial" w:eastAsia="Arial" w:hAnsi="Arial"/>
                <w:sz w:val="18"/>
                <w:szCs w:val="18"/>
                <w:color w:val="auto"/>
              </w:rPr>
              <w:t>Network Computer &amp;</w:t>
            </w:r>
          </w:p>
        </w:tc>
        <w:tc>
          <w:tcPr>
            <w:tcW w:w="170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34,299</w:t>
            </w:r>
          </w:p>
        </w:tc>
        <w:tc>
          <w:tcPr>
            <w:tcW w:w="2760" w:type="dxa"/>
            <w:vAlign w:val="bottom"/>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Chesapeake, VA</w:t>
            </w:r>
          </w:p>
        </w:tc>
        <w:tc>
          <w:tcPr>
            <w:tcW w:w="1800" w:type="dxa"/>
            <w:vAlign w:val="bottom"/>
          </w:tcPr>
          <w:p>
            <w:pPr>
              <w:ind w:left="80"/>
              <w:spacing w:after="0" w:line="176" w:lineRule="exact"/>
              <w:rPr>
                <w:sz w:val="20"/>
                <w:szCs w:val="20"/>
                <w:color w:val="auto"/>
              </w:rPr>
            </w:pPr>
            <w:r>
              <w:rPr>
                <w:rFonts w:ascii="Arial" w:cs="Arial" w:eastAsia="Arial" w:hAnsi="Arial"/>
                <w:sz w:val="18"/>
                <w:szCs w:val="18"/>
                <w:color w:val="auto"/>
              </w:rPr>
              <w:t>Engineering,</w:t>
            </w:r>
          </w:p>
        </w:tc>
        <w:tc>
          <w:tcPr>
            <w:tcW w:w="2500" w:type="dxa"/>
            <w:vAlign w:val="bottom"/>
          </w:tcPr>
          <w:p>
            <w:pPr>
              <w:ind w:left="540"/>
              <w:spacing w:after="0" w:line="176" w:lineRule="exact"/>
              <w:rPr>
                <w:sz w:val="20"/>
                <w:szCs w:val="20"/>
                <w:color w:val="auto"/>
              </w:rPr>
            </w:pPr>
            <w:r>
              <w:rPr>
                <w:rFonts w:ascii="Arial" w:cs="Arial" w:eastAsia="Arial" w:hAnsi="Arial"/>
                <w:sz w:val="18"/>
                <w:szCs w:val="18"/>
                <w:color w:val="auto"/>
              </w:rPr>
              <w:t>Communications</w:t>
            </w:r>
          </w:p>
        </w:tc>
        <w:tc>
          <w:tcPr>
            <w:tcW w:w="17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17"/>
        </w:trPr>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88"/>
        </w:trPr>
        <w:tc>
          <w:tcPr>
            <w:tcW w:w="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651</w:t>
            </w:r>
          </w:p>
        </w:tc>
        <w:tc>
          <w:tcPr>
            <w:tcW w:w="2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Anchors Street, Ft.</w:t>
            </w:r>
          </w:p>
        </w:tc>
        <w:tc>
          <w:tcPr>
            <w:tcW w:w="18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Manufacturing,</w:t>
            </w:r>
          </w:p>
        </w:tc>
        <w:tc>
          <w:tcPr>
            <w:tcW w:w="250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Advanced Sensor</w:t>
            </w:r>
          </w:p>
        </w:tc>
        <w:tc>
          <w:tcPr>
            <w:tcW w:w="1700" w:type="dxa"/>
            <w:vAlign w:val="bottom"/>
            <w:shd w:val="clear" w:color="auto" w:fill="CCEEFF"/>
          </w:tcPr>
          <w:p>
            <w:pPr>
              <w:jc w:val="right"/>
              <w:ind w:right="750"/>
              <w:spacing w:after="0" w:line="189" w:lineRule="exact"/>
              <w:rPr>
                <w:sz w:val="20"/>
                <w:szCs w:val="20"/>
                <w:color w:val="auto"/>
              </w:rPr>
            </w:pPr>
            <w:r>
              <w:rPr>
                <w:rFonts w:ascii="Arial" w:cs="Arial" w:eastAsia="Arial" w:hAnsi="Arial"/>
                <w:sz w:val="18"/>
                <w:szCs w:val="18"/>
                <w:color w:val="auto"/>
              </w:rPr>
              <w:t>32,107</w:t>
            </w:r>
          </w:p>
        </w:tc>
        <w:tc>
          <w:tcPr>
            <w:tcW w:w="276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rPr>
              <w:t>Owned</w:t>
            </w:r>
          </w:p>
        </w:tc>
      </w:tr>
      <w:tr>
        <w:trPr>
          <w:trHeight w:val="176"/>
        </w:trPr>
        <w:tc>
          <w:tcPr>
            <w:tcW w:w="2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Walton Beach, FL</w:t>
            </w:r>
          </w:p>
        </w:tc>
        <w:tc>
          <w:tcPr>
            <w:tcW w:w="18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Engineering,</w:t>
            </w:r>
          </w:p>
        </w:tc>
        <w:tc>
          <w:tcPr>
            <w:tcW w:w="250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Technologies</w:t>
            </w:r>
          </w:p>
        </w:tc>
        <w:tc>
          <w:tcPr>
            <w:tcW w:w="17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r>
      <w:tr>
        <w:trPr>
          <w:trHeight w:val="217"/>
        </w:trPr>
        <w:tc>
          <w:tcPr>
            <w:tcW w:w="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188"/>
        </w:trPr>
        <w:tc>
          <w:tcPr>
            <w:tcW w:w="2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1057 South Sherman,</w:t>
            </w:r>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Engineering,</w:t>
            </w:r>
          </w:p>
        </w:tc>
        <w:tc>
          <w:tcPr>
            <w:tcW w:w="2500" w:type="dxa"/>
            <w:vAlign w:val="bottom"/>
          </w:tcPr>
          <w:p>
            <w:pPr>
              <w:ind w:left="540"/>
              <w:spacing w:after="0" w:line="189" w:lineRule="exact"/>
              <w:rPr>
                <w:sz w:val="20"/>
                <w:szCs w:val="20"/>
                <w:color w:val="auto"/>
              </w:rPr>
            </w:pPr>
            <w:r>
              <w:rPr>
                <w:rFonts w:ascii="Arial" w:cs="Arial" w:eastAsia="Arial" w:hAnsi="Arial"/>
                <w:sz w:val="18"/>
                <w:szCs w:val="18"/>
                <w:color w:val="auto"/>
              </w:rPr>
              <w:t>Advanced Sensor</w:t>
            </w:r>
          </w:p>
        </w:tc>
        <w:tc>
          <w:tcPr>
            <w:tcW w:w="170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26,696</w:t>
            </w:r>
          </w:p>
        </w:tc>
        <w:tc>
          <w:tcPr>
            <w:tcW w:w="2760" w:type="dxa"/>
            <w:vAlign w:val="bottom"/>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217"/>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Richardson, TX</w:t>
            </w:r>
          </w:p>
        </w:tc>
        <w:tc>
          <w:tcPr>
            <w:tcW w:w="1800" w:type="dxa"/>
            <w:vAlign w:val="bottom"/>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tcPr>
          <w:p>
            <w:pPr>
              <w:ind w:left="540"/>
              <w:spacing w:after="0"/>
              <w:rPr>
                <w:sz w:val="20"/>
                <w:szCs w:val="20"/>
                <w:color w:val="auto"/>
              </w:rPr>
            </w:pPr>
            <w:r>
              <w:rPr>
                <w:rFonts w:ascii="Arial" w:cs="Arial" w:eastAsia="Arial" w:hAnsi="Arial"/>
                <w:sz w:val="18"/>
                <w:szCs w:val="18"/>
                <w:color w:val="auto"/>
              </w:rPr>
              <w:t>Technologies</w:t>
            </w: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88"/>
        </w:trPr>
        <w:tc>
          <w:tcPr>
            <w:tcW w:w="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590</w:t>
            </w:r>
          </w:p>
        </w:tc>
        <w:tc>
          <w:tcPr>
            <w:tcW w:w="2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Territorial Drive,</w:t>
            </w:r>
          </w:p>
        </w:tc>
        <w:tc>
          <w:tcPr>
            <w:tcW w:w="18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Manufacturing,</w:t>
            </w:r>
          </w:p>
        </w:tc>
        <w:tc>
          <w:tcPr>
            <w:tcW w:w="250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Advanced Sensor</w:t>
            </w:r>
          </w:p>
        </w:tc>
        <w:tc>
          <w:tcPr>
            <w:tcW w:w="1700" w:type="dxa"/>
            <w:vAlign w:val="bottom"/>
            <w:shd w:val="clear" w:color="auto" w:fill="CCEEFF"/>
          </w:tcPr>
          <w:p>
            <w:pPr>
              <w:jc w:val="right"/>
              <w:ind w:right="750"/>
              <w:spacing w:after="0" w:line="189" w:lineRule="exact"/>
              <w:rPr>
                <w:sz w:val="20"/>
                <w:szCs w:val="20"/>
                <w:color w:val="auto"/>
              </w:rPr>
            </w:pPr>
            <w:r>
              <w:rPr>
                <w:rFonts w:ascii="Arial" w:cs="Arial" w:eastAsia="Arial" w:hAnsi="Arial"/>
                <w:sz w:val="18"/>
                <w:szCs w:val="18"/>
                <w:color w:val="auto"/>
              </w:rPr>
              <w:t>26,460</w:t>
            </w:r>
          </w:p>
        </w:tc>
        <w:tc>
          <w:tcPr>
            <w:tcW w:w="276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176"/>
        </w:trPr>
        <w:tc>
          <w:tcPr>
            <w:tcW w:w="2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Bolingbrook, IL</w:t>
            </w:r>
          </w:p>
        </w:tc>
        <w:tc>
          <w:tcPr>
            <w:tcW w:w="18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Engineering,</w:t>
            </w:r>
          </w:p>
        </w:tc>
        <w:tc>
          <w:tcPr>
            <w:tcW w:w="250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Technologies</w:t>
            </w:r>
          </w:p>
        </w:tc>
        <w:tc>
          <w:tcPr>
            <w:tcW w:w="17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r>
      <w:tr>
        <w:trPr>
          <w:trHeight w:val="217"/>
        </w:trPr>
        <w:tc>
          <w:tcPr>
            <w:tcW w:w="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188"/>
        </w:trPr>
        <w:tc>
          <w:tcPr>
            <w:tcW w:w="360" w:type="dxa"/>
            <w:vAlign w:val="bottom"/>
          </w:tcPr>
          <w:p>
            <w:pPr>
              <w:ind w:left="20"/>
              <w:spacing w:after="0" w:line="189" w:lineRule="exact"/>
              <w:rPr>
                <w:sz w:val="20"/>
                <w:szCs w:val="20"/>
                <w:color w:val="auto"/>
              </w:rPr>
            </w:pPr>
            <w:r>
              <w:rPr>
                <w:rFonts w:ascii="Arial" w:cs="Arial" w:eastAsia="Arial" w:hAnsi="Arial"/>
                <w:sz w:val="18"/>
                <w:szCs w:val="18"/>
                <w:color w:val="auto"/>
              </w:rPr>
              <w:t>166</w:t>
            </w:r>
          </w:p>
        </w:tc>
        <w:tc>
          <w:tcPr>
            <w:tcW w:w="2120" w:type="dxa"/>
            <w:vAlign w:val="bottom"/>
          </w:tcPr>
          <w:p>
            <w:pPr>
              <w:ind w:left="20"/>
              <w:spacing w:after="0" w:line="189" w:lineRule="exact"/>
              <w:rPr>
                <w:sz w:val="20"/>
                <w:szCs w:val="20"/>
                <w:color w:val="auto"/>
              </w:rPr>
            </w:pPr>
            <w:r>
              <w:rPr>
                <w:rFonts w:ascii="Arial" w:cs="Arial" w:eastAsia="Arial" w:hAnsi="Arial"/>
                <w:sz w:val="18"/>
                <w:szCs w:val="18"/>
                <w:color w:val="auto"/>
              </w:rPr>
              <w:t>Boulder Drive, Fitchburg,</w:t>
            </w:r>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Engineering,</w:t>
            </w:r>
          </w:p>
        </w:tc>
        <w:tc>
          <w:tcPr>
            <w:tcW w:w="2500" w:type="dxa"/>
            <w:vAlign w:val="bottom"/>
          </w:tcPr>
          <w:p>
            <w:pPr>
              <w:ind w:left="540"/>
              <w:spacing w:after="0" w:line="189" w:lineRule="exact"/>
              <w:rPr>
                <w:sz w:val="20"/>
                <w:szCs w:val="20"/>
                <w:color w:val="auto"/>
              </w:rPr>
            </w:pPr>
            <w:r>
              <w:rPr>
                <w:rFonts w:ascii="Arial" w:cs="Arial" w:eastAsia="Arial" w:hAnsi="Arial"/>
                <w:sz w:val="18"/>
                <w:szCs w:val="18"/>
                <w:color w:val="auto"/>
              </w:rPr>
              <w:t>Integrated Mission</w:t>
            </w:r>
          </w:p>
        </w:tc>
        <w:tc>
          <w:tcPr>
            <w:tcW w:w="170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22,000</w:t>
            </w:r>
          </w:p>
        </w:tc>
        <w:tc>
          <w:tcPr>
            <w:tcW w:w="2760" w:type="dxa"/>
            <w:vAlign w:val="bottom"/>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217"/>
        </w:trPr>
        <w:tc>
          <w:tcPr>
            <w:tcW w:w="360" w:type="dxa"/>
            <w:vAlign w:val="bottom"/>
          </w:tcPr>
          <w:p>
            <w:pPr>
              <w:ind w:left="20"/>
              <w:spacing w:after="0"/>
              <w:rPr>
                <w:sz w:val="20"/>
                <w:szCs w:val="20"/>
                <w:color w:val="auto"/>
              </w:rPr>
            </w:pPr>
            <w:r>
              <w:rPr>
                <w:rFonts w:ascii="Arial" w:cs="Arial" w:eastAsia="Arial" w:hAnsi="Arial"/>
                <w:sz w:val="18"/>
                <w:szCs w:val="18"/>
                <w:color w:val="auto"/>
              </w:rPr>
              <w:t>MA</w:t>
            </w:r>
          </w:p>
        </w:tc>
        <w:tc>
          <w:tcPr>
            <w:tcW w:w="212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tcPr>
          <w:p>
            <w:pPr>
              <w:ind w:left="540"/>
              <w:spacing w:after="0"/>
              <w:rPr>
                <w:sz w:val="20"/>
                <w:szCs w:val="20"/>
                <w:color w:val="auto"/>
              </w:rPr>
            </w:pPr>
            <w:r>
              <w:rPr>
                <w:rFonts w:ascii="Arial" w:cs="Arial" w:eastAsia="Arial" w:hAnsi="Arial"/>
                <w:sz w:val="18"/>
                <w:szCs w:val="18"/>
                <w:color w:val="auto"/>
              </w:rPr>
              <w:t>Systems</w:t>
            </w: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88"/>
        </w:trPr>
        <w:tc>
          <w:tcPr>
            <w:tcW w:w="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640</w:t>
            </w:r>
          </w:p>
        </w:tc>
        <w:tc>
          <w:tcPr>
            <w:tcW w:w="2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Lovejoy West, Ft. Walton</w:t>
            </w:r>
          </w:p>
        </w:tc>
        <w:tc>
          <w:tcPr>
            <w:tcW w:w="18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Engineering,</w:t>
            </w:r>
          </w:p>
        </w:tc>
        <w:tc>
          <w:tcPr>
            <w:tcW w:w="250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Advanced Sensor</w:t>
            </w:r>
          </w:p>
        </w:tc>
        <w:tc>
          <w:tcPr>
            <w:tcW w:w="1700" w:type="dxa"/>
            <w:vAlign w:val="bottom"/>
            <w:shd w:val="clear" w:color="auto" w:fill="CCEEFF"/>
          </w:tcPr>
          <w:p>
            <w:pPr>
              <w:jc w:val="right"/>
              <w:ind w:right="750"/>
              <w:spacing w:after="0" w:line="189" w:lineRule="exact"/>
              <w:rPr>
                <w:sz w:val="20"/>
                <w:szCs w:val="20"/>
                <w:color w:val="auto"/>
              </w:rPr>
            </w:pPr>
            <w:r>
              <w:rPr>
                <w:rFonts w:ascii="Arial" w:cs="Arial" w:eastAsia="Arial" w:hAnsi="Arial"/>
                <w:sz w:val="18"/>
                <w:szCs w:val="18"/>
                <w:color w:val="auto"/>
              </w:rPr>
              <w:t>11,226</w:t>
            </w:r>
          </w:p>
        </w:tc>
        <w:tc>
          <w:tcPr>
            <w:tcW w:w="276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rPr>
              <w:t>Owned</w:t>
            </w:r>
          </w:p>
        </w:tc>
      </w:tr>
      <w:tr>
        <w:trPr>
          <w:trHeight w:val="21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Beach, FL</w:t>
            </w:r>
          </w:p>
        </w:tc>
        <w:tc>
          <w:tcPr>
            <w:tcW w:w="1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Technologies</w:t>
            </w: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we believe that any amounts exceeding our recorded accruals should not materially adversely affect our financial condition or liquidity. It is possible, however, that the ultimate resolution of those matters could result in a material adverse effect on our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5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predecessor to our subsidiary over 50 years ago. Following our subsidiary’s response to the RFI, the NPS directed it and another alleged former operator to perform an Engineering Evaluation and Cost Analysis (“EE/CA”) of a portion of the site. Our subsidiary made a good faith offer to conduct an alternative EE/CA work plan, but the NPS rejected this offer and opted to perform the EE/CA itself. The NPS previously posted its intention to open a formal public comment period regarding the EE/CA at the end of 2019. To our knowledge, the EE/CA has not been released and a public comment period has yet to be opened.</w:t>
      </w:r>
    </w:p>
    <w:p>
      <w:pPr>
        <w:spacing w:after="0" w:line="15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We believe that we have legitimate defenses to our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1440" w:right="459" w:bottom="1440" w:gutter="0" w:footer="0" w:header="0"/>
        </w:sectPr>
      </w:pPr>
    </w:p>
    <w:bookmarkStart w:id="131" w:name="page132"/>
    <w:bookmarkEnd w:id="13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sets forth certain information concerning our directors and executive officers. The respective age of each individual in the table below is as of March 15,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17"/>
                <w:szCs w:val="17"/>
                <w:color w:val="auto"/>
              </w:rPr>
            </w:pP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J. Lynn III</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David W. Carey*</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76</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George W. Casey, Jr. (Ret.)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Kenneth J. Krieg*</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Peter A. Marino*</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79</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Philip A. Odeen*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85</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Frances F. Townsend*</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Gail Baker</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Prospective 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Mary E. Gallagher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Prospective Director</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John A. Baylouny</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Executive Vice President, Chief Operating Officer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D. Dippold</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29"/>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Mark A. Dorfman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&amp; Secretary</w:t>
            </w:r>
          </w:p>
        </w:tc>
      </w:tr>
      <w:tr>
        <w:trPr>
          <w:trHeight w:val="22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Sally A. Wallace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Business Operations</w:t>
            </w:r>
          </w:p>
        </w:tc>
      </w:tr>
      <w:tr>
        <w:trPr>
          <w:trHeight w:val="191"/>
        </w:trPr>
        <w:tc>
          <w:tcPr>
            <w:tcW w:w="442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tcPr>
          <w:p>
            <w:pPr>
              <w:spacing w:after="0"/>
              <w:rPr>
                <w:sz w:val="16"/>
                <w:szCs w:val="16"/>
                <w:color w:val="auto"/>
              </w:rPr>
            </w:pPr>
          </w:p>
        </w:tc>
      </w:tr>
    </w:tbl>
    <w:p>
      <w:pPr>
        <w:ind w:left="340" w:right="860" w:hanging="332"/>
        <w:spacing w:after="0" w:line="260" w:lineRule="auto"/>
        <w:tabs>
          <w:tab w:leader="none" w:pos="3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Proxy holder. See “Certain Relationships and Related-Party Transactions—Relationship with Leonardo S.p.A. Following this Offering—Proxy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William J. Lynn III</w:t>
      </w:r>
    </w:p>
    <w:p>
      <w:pPr>
        <w:spacing w:after="0" w:line="19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Mr. Lynn has been a director since 2012 and has been our Chief Executive Officer since January 2012. Mr. Lynn will also serve as chairman of our board upon the effective date of the registration statement of which this prospectus forms a part. Prior to joining DRS in January 2012, Mr. Lynn served as the 30th United States Deputy Secretary of Defense from 2009 to 2011. From 2002 to 2009, Mr. Lynn was Senior Vice President of Government Operations and Strategy at the Raytheon Company. In this position, he directed strategic planning, oversaw merger and acquisition activities and supervised government relations. Previously, he served as the Chief Financial Officer and Under Secretary of Defense (Comptroller) from 1997 to 2001. From 1993 to 1997, he led strategic planning for DoD as Director of Program Analysis and Evaluation. Mr. Lynn worked for Senator Ted Kennedy as counsel to the Senate Armed Services Committee from 1987 to 1993.</w:t>
      </w:r>
    </w:p>
    <w:p>
      <w:pPr>
        <w:spacing w:after="0" w:line="140" w:lineRule="exact"/>
        <w:rPr>
          <w:sz w:val="20"/>
          <w:szCs w:val="20"/>
          <w:color w:val="auto"/>
        </w:rPr>
      </w:pPr>
    </w:p>
    <w:p>
      <w:pPr>
        <w:jc w:val="both"/>
        <w:ind w:right="120" w:firstLine="324"/>
        <w:spacing w:after="0" w:line="252" w:lineRule="auto"/>
        <w:rPr>
          <w:sz w:val="20"/>
          <w:szCs w:val="20"/>
          <w:color w:val="auto"/>
        </w:rPr>
      </w:pPr>
      <w:r>
        <w:rPr>
          <w:rFonts w:ascii="Arial" w:cs="Arial" w:eastAsia="Arial" w:hAnsi="Arial"/>
          <w:sz w:val="18"/>
          <w:szCs w:val="18"/>
          <w:color w:val="auto"/>
        </w:rPr>
        <w:t>Mr. Lynn is a member of the boards of Accenture Federal Services, the United Service Organizations, the Atlantic Council, the Marshall Legacy Institute and the Center for a New American Security. He has been recognized for numerous professional and service contributions, including four DoD Distinguished Public Service medals and the Distinguished Civilian Service Award from the Chairman of the Joint Chiefs of Staff. A graduate of Dartmouth College, Mr. Lynn holds a law degree from Cornell Law School and a master’s degree from the Princeton School of Public and International Affairs. Mr. Lynn brings to the board his extensive experience in national security, both in government and in industry.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David W. Carey</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Mr. Carey has been a director since 2009, and a member of our Audit Committee since 2012. Mr. Carey will also serve as lead independent director upon the effective date of the registration statement of which this prospectus forms a part. Since 2008, Mr. Carey has operated a consulting practice providing business development and strategic advice to U.S. and foreign firms engaged in defense and intelligence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5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electronics. From 2005 to 2008, he was an Executive Director with Blackbird Technologies Inc., and from 2001 to 2005 served as Vice President, Information Assurance for Oracle Corporation where he built and directed Oracle’s Information Assurance Center. Prior to 2001, Mr. Carey held several senior positions during a 32-year career at the Central Intelligence Agency including serving as Executive Director. In this capacity, he oversaw all of the Agency’s strategic planning, budgetary, procurement, financial, logistics and research and development activities as well as day-to-day operations.</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to serving on the board of DRS, Mr. Carey serves on the boards of OnPoint Consulting, Inc., Informatica Federal Operations Corp., and the CIA Officers Memorial Foundation Board. He previously served on the boards of ImageWare Systems, Inc. from 2006 to 2020 and Qinetiq North America from 2014 to 2019, and on the advisory board of Recorded Future Inc. from 2011 to 2019. Mr. Carey is a graduate of Cornell University and the University of Delaware. We consider Mr. Carey’s experience in key operational and leadership positions dealing with critical national security threats and challenges as a significant asset to our board. Mr. Carey is a proxy holder and was appointed to our board in accordance with the proxy agreement.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George W. Casey, Jr. (Ret.)</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Gen. Casey has been a director since 2020. Gen. Casey is a published author, and currently serves as a Distinguished Senior Lecturer of Leadership at the SC Johnson College of Business, Cornell University, and as the Rice Family Professor of Practice at the Korbel School, University of Denver. He has lectured on leadership internationally at business schools and to numerous organizations, including Coca-Cola, Caterpillar, the National Australian Bank, Amazon, TDAmeritrade, Pentagon Federal Credit Union and General Electric. Before joining DRS, Gen. Casey served 41-years in the U.S. Army including from 2007 to 2011 as the 36th Chief of Staff of the U.S. Army where he led arguably the world’s largest and most complex organization with over 1.1 million personnel and an annual budget of over $200 billion. From 2004 to 2007 he commanded the Multi-National Force – Iraq, a coalition of more than 30 countries, and in that role worked to build-up Iraqi security institutions while battling an insurgency and sectarian violence.</w:t>
      </w:r>
    </w:p>
    <w:p>
      <w:pPr>
        <w:spacing w:after="0" w:line="151"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Gen. Casey also serves as the Chairman of the Board of Governors of the United Service Organizations, and as a director of Colt Holding Company, LLC. In addition, he serves as a member of the board of advisors for Streetshares, RallyPoint, Techwerks and Sarcos. Gen. Casey holds a master’s degree in international relations from Denver University. Gen. Casey brings to the board a deep knowledge of the military and a demonstrated history of leadership in the armed forces, academia, the non-profit sector and industry.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Kenneth J. Krieg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Mr. Krieg has been a director since 2008. Mr. Krieg serves as the head of Samford Global Strategies, an advisory and consulting practice which he founded in 2007. Since 2010, Mr. Krieg has also held the position of Executive in Residence with Renaissance Strategic Advisors, one of the leading consultancies supporting premier firms in the aerospace, defense, space, intelligence and government services industry. From 2001 to 2007, Mr. Krieg served in several positions within the DoD, including as the Undersecretary of Defense for Acquisition, Technology and Logistics from 2005 to 2007 where he had overall responsibility for the DoD’s procurement, research and development programs. Prior to joining the DoD, he spent 11 years working for the International Paper Company, most recently as Vice President and General Manager of the Office and Consumer Papers Division.</w:t>
      </w:r>
    </w:p>
    <w:p>
      <w:pPr>
        <w:spacing w:after="0" w:line="15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Mr. Krieg currently serves as chair of the board of Logistics Management Institute, and is a director with BWX Technologies, Inc. He has previously served on the boards of Tempus Applied Solutions Holdings, Inc. (2014 to 2016) and API Technologies Corp. (2011 to 2016). Mr. Krieg has a bachelor of arts degree in history from Davidson College and a master’s degree in public policy from the Kennedy School of Government at Harvard University. Mr. Krieg has significant experience overseeing major research, development and procurement programs for the DoD. His background provides our board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valuable insight into acquisition priorities and considerations of the U.S. government and he has significant experience in FOCI mitigation and public company governance. Mr. Krieg is a proxy holder and was appointed to our board in accordance with the proxy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Peter A. Marino</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Mr. Marino has been a director, chair of our Government Security Committee and member of our Audit Committee since 2012. Since 1999, Mr. Marino has operated a sole proprietorship as a private consultant for government and industry on defense and intelligence issues. His clients have included the DoD, Department of Homeland Security, CIA, the Director of National Intelligence and both small and large defense and aerospace companies. From 1996 to 1999, he was CEO and President of Firearms Training Systems, from 1991 to 1996 was Senior VP E-Systems, Inc., from 1988 to 1991 was President and Chief Operating Officer of Fairchild Industries, Inc., and from 1986 to 1988 was President and Chief Operating Office of Lockheed Electronics. Prior to that, Mr. Marino served in several positions with the CIA from technical officer and manager responsible for the design of electronic, mechanical and communications equipment, to senior executive official with responsibility for the support of worldwide technical operations of people and equipment for the Directorate of Operations.</w:t>
      </w:r>
    </w:p>
    <w:p>
      <w:pPr>
        <w:spacing w:after="0" w:line="15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Mr. Marino currently serves on the boards of QTS Realty Trust, Inc., System &amp; Technology Research, Inmarsat US and RADA Electronic Industries Ltd., as well as several government and non-profit advisory boards. He previously served on the board of Engility Corporation from 2015 to 2018. Mr. Marino has a bachelor of science degree in physics from Rollins College, and a master’s degree from Pennsylvania State University. He also currently serves as a Senior Executive Fellow at Harvard University. Mr. Marino’s broad experience in leadership roles in the defense industry and intelligence community help him bring a valuable perspective to our board. Mr. Marino is a proxy holder and was appointed to our board in accordance with the proxy agreement.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Philip A. Odeen</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Mr. Odeen has been a director since 2012. Prior to joining DRS, Mr. Odeen served as a director for numerous public companies including Booz Allen Hamilton, from 2008 to 2019, ASC Signal Corporation, from 2009 to 2015, AES Corporation from 2003 to 2013, and Northrop Grumman from 2003 to 2008. From 2005 to 2006, Mr. Odeen served as CEO of Qinetic North America, and from 2004 to 2005 was Chairman and CEO of Reynolds &amp; Reynolds, a provider of software and management services to automotive retailers. Mr. Odeen also held several positions from 1997 to 2002 with TRW Inc. including serving as Chairman and CEO. Mr. Odeen previously served as a senior official with the Office of the Secretary of Defense and the National Security Council. He is a former member of the Defense Science Board, the Defense Business Board and the Chief of Naval Operations Executive Panel.</w:t>
      </w:r>
    </w:p>
    <w:p>
      <w:pPr>
        <w:spacing w:after="0" w:line="15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to serving on the board of DRS, Mr. Odeen currently serves as a director with Globant, an international information technology and software development company. Mr. Odeen received a bachelor of arts degree in government from the University of South Dakota, is a Fulbright scholar, and earned a master’s degree from the University of Wisconsin. Mr. Odeen provides invaluable guidance to our board from his decades of experience in leadership positions across industry and government. Mr. Odeen is a proxy holder and was appointed to our board in accordance with the proxy agreement.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Frances F. Townsend</w:t>
      </w:r>
    </w:p>
    <w:p>
      <w:pPr>
        <w:spacing w:after="0" w:line="19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Ms. Townsend has been a director and chair of our Compensation Committee since 2009. Presently, she is working as the EVP of Corporate Affairs, Corporate Secretary and Chief Compliance Officer at Activision Blizzard. From 2010-2020, Ms. Townsend worked at MacAndrews &amp; Forbes Inc. and concluded her tenure there as Vice Chairman, General Counsel and Chief Administrative Officer. Before that she was Executive Vice President for Worldwide Government, Legal and Business Affairs working across MacAndrew’s portfolio companies focusing on international, legal, compliance and business development issues. Since 2016, Ms. Townsend has also been an on-air senior national security analyst for CBS News. From April 2009 to October 2010, Ms. Townsend was a corporate partner with the law firm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Baker Botts, LLP. Prior to that, Ms. Townsend served as Assistant to President George W. Bush for Homeland Security and Counterterrorism and chaired the Homeland Security Council from 2004 to 2008. She also served as Deputy National Security Advisor for Combatting Terrorism from May 2003 to May 2004. Ms. Townsend also spent 13 years at the U.S. Department of Justice under the administrations of President George H. W. Bush, President Bill Clinton and President George W. Bush.</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Ms. Townsend currently serves as a director with Chubb Limited, and Freeport-McMoRan Inc. She previously served on the boards of SciPlay Corporation (2019 to 2020), Scientific Games Corporation (2010 to 2020), and Western Union (2013 to 2020). Ms. Townsend serves on several non-profit boards including the Council on Foreign Relations, the Atlantic Council, the Center for Strategic and International Studies, the McCain Institute and the New York City Police Foundation. Ms. Townsend received a bachelor of arts degree in political science and a bachelor of science degree in psychology from American University. She also received a juris doctor degree from the University of San Diego School of Law. Ms. Townsend brings to our board a deep understanding of national security issues and broad experience providing strategic advice in law, business and government. Ms. Townsend is a proxy holder and was appointed to our board in accordance with the proxy agreement.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Gail Baker</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Ms. Baker has agreed to become a member of our board as of the effective date of the registration statement of which this prospectus is a part. Ms. Baker served as the President, Aftermarket services for Collins Aerospace from 2019 until her retirement in 2020. In this role, she led the worldwide commercial and military aftermarket business and customer service organizations, and her responsibilities included customer-tailored solutions, long-term aftermarket programs, spares planning and delivery, asset management, technical and strategic planning and management of 14 global maintenance, repair and overhaul facilities. From 2017 to 2019, Ms. Baker served as the President, Intelligence, Surveillance, Reconnaissance and Space at Collins Aerospace. From 2015 to 2017, she served as the Vice President, Air Management Systems, European Entities and Aftermarket for UTC Aerospace Systems, a predecessor of Collins Aerospace. From 2011 to 2015 she also served as the President, Aerospace Customers and Business Development for UTC Aerospace Systems.</w:t>
      </w:r>
    </w:p>
    <w:p>
      <w:pPr>
        <w:spacing w:after="0" w:line="1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Ms. Baker is a member of the Wings Club, the Association of the United States Army, the Air Force Association and is the executive chair for the audit committee on the board of directors for the Hartford Bishop’s Foundation. Ms. Baker received her bachelor’s degree in mechanical engineering from Worcester Polytechnic Institute and a master’s degree in mechanical engineering from Rensselaer Polytechnic Institute. Ms. Baker’s experience in key business and operational leadership roles within the defense industry make her a valuable addition to our board.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Mary E. Gallagher</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Ms. Gallagher has agreed to become a member of our board as of the effective date of the registration statement of which this prospectus is a part. Ms. Gallagher served as Chief Financial Officer for Wheels Up, a membership-based private aviation company, from 2016 to 2018. From 2004 to 2016, Ms. Gallagher held a variety of top financial roles at United Technologies Corporation (now Raytheon Company), a global leader in aerospace and building technologies, most recently serving as Chief Financial Officer of Sikorsky Aircraft from November 2013 through June 2016. From 1996 to 2004, Ms. Gallagher served as the Vice President Controller and Chief Accounting Officer of Olin Corporation, a global manufacturer and distributor of chemical products and a leading U.S. manufacturer of ammunition. Prior to joining Olin, Ms. Gallagher spent nine years with KPMG in various positions in the audit, mergers/acquisitions, consulting and training groups.</w:t>
      </w:r>
    </w:p>
    <w:p>
      <w:pPr>
        <w:spacing w:after="0" w:line="15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Ms. Gallagher also serves as a director of Novaria, and as a director and Chair of the audit committee for both American Outdoor Brands and LGL Systems Acquisition Corp., a special purpose acquisition company formed for the purpose of entering into a business combination with one or more businesses or entities. Ms. Gallagher graduated from the University of Vermont in 1987 with a bachelor’s degree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5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accounting and earned her masters of business administration from the Massachusetts Institute of Technology in 2008. Ms. Gallagher is a Certified Public Accountant in New York. We believe Ms. Gallagher is well-qualified to join our board based on her prior leadership roles within the defense industry, as well as her background as a Certified Public Accountant.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current executive officers (other than our chief executive officer, whose biography is included above in the directors information) are as follows: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John A. Baylouny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Mr. Baylouny has been our Executive Vice President and Chief Operating Officer since October 2018. In that role, Mr. Baylouny is responsible for overseeing the business operations and technical strategy of the Company. He is also currently the chairman of the AAC joint venture management committee. Prior to assuming the position of Chief Operating Officer, Mr. Baylouny served as our Chief Technology Officer from January 2017 to October 2018. Prior to that, Mr. Baylouny served as Vice President and General Manager of the Company’s Land Systems and Advanced ISR businesses from January 2014 to January 2017, among other leadership roles. Mr. Baylouny has more than 30 years of experience in the aerospace and defense industry with diverse experience in operational responsibility, general management, technology, product and system design and development, and program management.</w:t>
      </w:r>
    </w:p>
    <w:p>
      <w:pPr>
        <w:spacing w:after="0" w:line="153"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Mr. Baylouny has a master’s degree in electrical engineering from Stevens Institute of Technology, and a bachelor of science degree in electrical engineering from Fairleigh Dickinson University.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Michael D. Dippold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Michael Dippold has been our Executive Vice President and Chief Financial Officer since January 2017. As the Chief Financial Officer, Mr. Dippold is responsible for overseeing our financial activities and operations, controllership, treasury functions, and economic and business-related strategies. In addition, he is currently treasurer of AAC. Throughout his fifteen years at DRS, Mr. Dippold has held a variety of roles of increasing responsibility. Prior to assuming the position of CFO, Mr. Dippold served as Senior Vice President, Corporate Controller from December 2015 to January 2017, and Vice President, Assistant Controller from December 2010 to December 2015. Prior to joining DRS in 2006, Mr. Dippold spent three years at KPMG where he worked primarily on defense industry client accounts, including DRS.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Dippold received a bachelor of science degree in accounting from Pennsylvania State University.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 A. Dorfman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Mr. Dorfman has been our Executive Vice President, General Counsel and Secretary since February 2011. Mr. Dorfman is responsible for providing advice and counsel to the Company’s board of directors and executive leadership of the Company on legal and business matters. As the Company’s chief legal officer, Mr. Dorfman oversees the Company's legal and regulatory affairs, including transactions, litigation, corporate governance, internal audit, contracts, insurance, intellectual property protection, and ethics and compliance programs (including environmental health and safety, international trade, and industrial and cyber security). Mr. Dorfman joined the Company in 2005 as corporate counsel and was promoted multiple times between 2006 and 2011 to his current executive leadership position. Prior to assuming the position of Executive Vice President, General Counsel and Secretary, Mr. Dorfman served as Senior Vice President, General Counsel and Secretary from December 2009 to February 2011; Vice President, Corporate Counsel from March 2006 to December 2009; and Corporate Counsel from September 2005 to March 2006.</w:t>
      </w:r>
    </w:p>
    <w:p>
      <w:pPr>
        <w:spacing w:after="0" w:line="158"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Prior to joining DRS, from 1999 to 2005, Mr. Dorfman was a corporate attorney first at Chadbourne &amp; Parke and then Lowenstein Sandler PC, where his practice included representation of corporate and other clients in connection with mergers and acquisitions, divestitures, public and private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15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offerings, joint ventures and other complex transactions and providing advice and counsel on a variety of matters, including securities law and corporate governance.</w:t>
      </w:r>
    </w:p>
    <w:p>
      <w:pPr>
        <w:spacing w:after="0" w:line="144" w:lineRule="exact"/>
        <w:rPr>
          <w:sz w:val="20"/>
          <w:szCs w:val="20"/>
          <w:color w:val="auto"/>
        </w:rPr>
      </w:pPr>
    </w:p>
    <w:p>
      <w:pPr>
        <w:ind w:right="800" w:firstLine="324"/>
        <w:spacing w:after="0" w:line="261" w:lineRule="auto"/>
        <w:rPr>
          <w:sz w:val="20"/>
          <w:szCs w:val="20"/>
          <w:color w:val="auto"/>
        </w:rPr>
      </w:pPr>
      <w:r>
        <w:rPr>
          <w:rFonts w:ascii="Arial" w:cs="Arial" w:eastAsia="Arial" w:hAnsi="Arial"/>
          <w:sz w:val="18"/>
          <w:szCs w:val="18"/>
          <w:color w:val="auto"/>
        </w:rPr>
        <w:t>Mr. Dorfman holds a bachelor of arts degree in political science from Emory University and a juris doctor degree from New York University School of Law.</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Sally A. Wallace</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Ms. Wallace has been our Executive Vice President, Operations since December 2016. As EVP Operations, Ms. Wallace is responsible for overseeing the policies and standards required for effective program execution. Ms. Wallace has more than 30 years’ experience, in roles of increasing responsibility, within the defense industry. Prior to assuming the position of Executive Vice President, Operations, Ms. Wallace was President of the C4ISR Group within DRS from April 2014 to December 2016, Vice President of Business Operations for DRS Maritime and Combat Support Systems Group from July 2008 to April 2014, as well as the Vice President and General Manager of DRS Power and Control Technologies from 2004 to July 2008.</w:t>
      </w:r>
    </w:p>
    <w:p>
      <w:pPr>
        <w:spacing w:after="0" w:line="154"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Ms. Wallace has a master’s degree in business from the University of Chicago, a master’s degree in mechanical engineering from the University of Connecticut and a bachelor of science degree in engineering physics from Grove City College.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Composition and Director Independence</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board will be composed of nine directors as of the effective date of the registration statement of which this prospectus forms a part. Our directors will be elected annually to serve until the next annual meeting of stockholders or until their successors are duly elected and qualified. Pursuant to the proxy agreement, Leonardo S.p.A., US Holding, the DCSA and the proxy holders will have specified board designation and/or approval rights following this offering. The proxy agreement requires that our board include the five proxy holders appointed by US Holding after consultation with Leonardo S.p.A. and approval by the DCSA. The proxy agreement also requires that our board include four additional directors consisting of our chief executive officer and three additional candidates, selected by the proxy holders in their sole discretion from candidates proposed by US Holding, after reasonable consultation with the nominating and corporate governance committee, subject to approval of the DCSA in certain circumstances. See “Certain Relationships and Related-Party Transactions— Relationship with Leonardo S.p.A Following this Offering—Proxy Agreement.”</w:t>
      </w:r>
    </w:p>
    <w:p>
      <w:pPr>
        <w:spacing w:after="0" w:line="158"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While the proxy agreement remains in effect, the number of members on our board will be determined in accordance with the proxy agreement and therefore a fully constituted board will consist of nine directors. During any period when the proxy agreement is not in effect, the number of members on our board may be fixed by majority vote of the members of our board. While the proxy agreement remains in effect, any vacancy in the board that results from the death, disability, resignation, disqualification or removal, or expiration of the term of (i) any proxy holder shall be filled by the new proxy holder appointed to take such proxy holder’s place in accordance with the proxy agreement and (ii) any director who is not a proxy holder shall be filled by candidates determined in accordance with the proxy agreement, by the majority vote of the proxy holders, subject to approval of the DCSA in certain circumstances. During any period when the proxy agreement is not in effect, any vacancy in the board shall be filled by an affirmative vote of at least a majority of the directors then in office, even if less than a quorum, or by a sole remaining director. Each director shall hold office until his or her successor has been duly elected and qualified, or until his or her earlier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57"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Our board has determined that the proxy holders, Gen. Casey, Ms. Baker and Ms. Gallagher are “independent” as defined under the rules and the Exchange Act rules and regulations.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Controlled Company</w:t>
      </w:r>
    </w:p>
    <w:p>
      <w:pPr>
        <w:spacing w:after="0" w:line="193" w:lineRule="exact"/>
        <w:rPr>
          <w:sz w:val="20"/>
          <w:szCs w:val="20"/>
          <w:color w:val="auto"/>
        </w:rPr>
      </w:pPr>
    </w:p>
    <w:p>
      <w:pPr>
        <w:jc w:val="both"/>
        <w:ind w:right="80" w:firstLine="324"/>
        <w:spacing w:after="0" w:line="253" w:lineRule="auto"/>
        <w:rPr>
          <w:sz w:val="20"/>
          <w:szCs w:val="20"/>
          <w:color w:val="auto"/>
        </w:rPr>
      </w:pPr>
      <w:r>
        <w:rPr>
          <w:rFonts w:ascii="Arial" w:cs="Arial" w:eastAsia="Arial" w:hAnsi="Arial"/>
          <w:sz w:val="18"/>
          <w:szCs w:val="18"/>
          <w:color w:val="auto"/>
        </w:rPr>
        <w:t>Leonardo S.p.A., through US Holding, will own 78.0% of our common stock following this offering (or 74.7% if the underwriters exercise in full their option to purchase additional shares from the selling stockholder). Accordingly, we expect to be a “controlled company” within the meaning of the NYSE corporate governance standards. Under NYSE rules, a company of which more than 50% of the voting power is held by an individual, group or another company is a “controlled company” and may elect not to comply with certain NYSE corporate governance standards, including:</w:t>
      </w:r>
    </w:p>
    <w:p>
      <w:pPr>
        <w:spacing w:after="0" w:line="15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requirement that a majority of the board consist of independent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71"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While we do not currently intend to use these exemptions, we may in the future decide to do so. Accordingly, you may not have the same protections afforded to stockholders of companies that are subject to all of the NYSE corporate governance rules and requirements. The “controlled company” exception does not modify audit committee independence requirements of Rule 10A</w:t>
      </w:r>
      <w:r>
        <w:rPr>
          <w:rFonts w:ascii="MS PGothic" w:cs="MS PGothic" w:eastAsia="MS PGothic" w:hAnsi="MS PGothic"/>
          <w:sz w:val="18"/>
          <w:szCs w:val="18"/>
          <w:color w:val="auto"/>
        </w:rPr>
        <w:t>‑</w:t>
      </w:r>
      <w:r>
        <w:rPr>
          <w:rFonts w:ascii="Arial" w:cs="Arial" w:eastAsia="Arial" w:hAnsi="Arial"/>
          <w:sz w:val="18"/>
          <w:szCs w:val="18"/>
          <w:color w:val="auto"/>
        </w:rPr>
        <w:t>3 under the Exchange Act and NYSE rules.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Prior to the completion of this offering, our board will maintain an audit committee, a compensation committee, a nominating and corporate governance committee and a government security committee. Under NYSE rules, our audit committee will be required to be composed entirely of independent directors within one year from the date of this prospectus. As a controlled company, we are not required to have independent compensation or nominating and corporate governance committees. The composition of our government security committee is governed by the proxy agreement. The following is a brief description of our committees.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18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primary purposes of the audit committee will be to: (i) to assist the board in overseeing (a) the quality and integrity of our financial statements, (b) the qualifications, independence and performance of our independent auditor, (c) our accounting, financial and external reporting policies and practices, (d) the performance of our internal audit function and (e) our compliance with legal and regulatory requirements, including without limitation any requirements promulgated by the Public Company Accounting Oversight Board and the Financial Accounting Standards Board; and (ii) to prepare the report of the audit committee required to be included in our annual proxy statement. The charter of our audit committee will be available without charge on the investor relations portion of our website upon the listing of our common stock.</w:t>
      </w:r>
    </w:p>
    <w:p>
      <w:pPr>
        <w:spacing w:after="0" w:line="15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Upon the completion of this offering, the members of our Audit Committee will be Mr. Carey, Ms. Gallagher, Mr. Krieg and Mr. Marino, with Ms. Gallagher serving as Chair of the committee. Our board has designated Ms. Gallagher as an “audit committee financial expert” and each of Mr. Carey, Ms. Gallagher, Mr. Krieg and Mr. Marino has been determined to be “financially literate” under NYSE rules. Our board has also determined that Mr. Carey, Ms. Gallagher, Mr. Krieg and Mr. Marino are “independent” as defined under NYSE and Exchange Act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189" w:lineRule="exact"/>
        <w:rPr>
          <w:sz w:val="20"/>
          <w:szCs w:val="20"/>
          <w:color w:val="auto"/>
        </w:rPr>
      </w:pPr>
    </w:p>
    <w:p>
      <w:pPr>
        <w:ind w:right="220" w:firstLine="324"/>
        <w:spacing w:after="0" w:line="216" w:lineRule="exact"/>
        <w:rPr>
          <w:sz w:val="20"/>
          <w:szCs w:val="20"/>
          <w:color w:val="auto"/>
        </w:rPr>
      </w:pPr>
      <w:r>
        <w:rPr>
          <w:rFonts w:ascii="Arial" w:cs="Arial" w:eastAsia="Arial" w:hAnsi="Arial"/>
          <w:sz w:val="18"/>
          <w:szCs w:val="18"/>
          <w:color w:val="auto"/>
        </w:rPr>
        <w:t>The primary purpose of the compensation committee will be to: (i) be responsible for general oversight of compensation and compensation-related matters; (ii) prepare any report on executive compensation required by the rules and regulations of the SEC for inclusion in our annual proxy statement or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(iii) take such other actions relating to our compensation and benefits structure as the compensation committee deems necessary or appropriate. The charter of our compensation committee will be available without charge on the investor relations portion of our website upon the listing of our common stock.</w:t>
      </w:r>
    </w:p>
    <w:p>
      <w:pPr>
        <w:spacing w:after="0" w:line="16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Upon the completion of this offering, the members of our compensation committee will be Ms. Baker, Gen. Casey, Mr. Odeen and Ms. Townsend, with Ms. Townsend serving as Chair of the committee. Our board has also determined that Ms. Baker, Gen. Casey, Mr. Odeen and Ms. Townsend are “independent” as defined under NYSE and Exchange Act rules and regulations. In light of our status as a “controlled company” within the meaning of the corporate governance standards of the NYSE following this offering, we are exempt from the requirement that our compensation committee be composed entirely of independent directors under listing standards applicable to membership on the compensation committee. We do not currently intend to use this exemption, but we may in the future decide to do so.</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89"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Our nominating and corporate governance committee will be responsible, among its other duties and responsibilities, for: (i) identifying individuals qualified and suitable to become board members and recommending to the board the director nominees for each annual meeting of stockholders; (ii) regularly review our corporate governance policies and practices, including compliance with existing laws and regulations, corporate governance developments, emerging trends and best practices and recommend any proposed changes to the board of directors; and (iii) otherwise taking a leadership role in shaping our corporate governance policies. While the proxy agreement is in effect,</w:t>
      </w:r>
    </w:p>
    <w:p>
      <w:pPr>
        <w:spacing w:after="0" w:line="2" w:lineRule="exact"/>
        <w:rPr>
          <w:sz w:val="20"/>
          <w:szCs w:val="20"/>
          <w:color w:val="auto"/>
        </w:rPr>
      </w:pPr>
    </w:p>
    <w:p>
      <w:pPr>
        <w:ind w:right="120" w:firstLine="8"/>
        <w:spacing w:after="0" w:line="253" w:lineRule="auto"/>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will consist solely of proxy holders, each of whom will be appointed by US Holding after reasonable consultation with Leonardo S.p.A. and subject to DCSA approval, and (y) US Holding, in consultation with the nominating and corporate governance committee (and subject to approval of DCSA in certain circumstances), will have the right to identify non-proxy holder director candidates. The charter of our nominating and corporate governance committee will be available without charge on the investor relations portion of our website following this offering.</w:t>
      </w:r>
    </w:p>
    <w:p>
      <w:pPr>
        <w:spacing w:after="0" w:line="1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Upon the completion of this offering, the the members of our nominating and corporate governance committee will be Mr. Carey, Mr. Krieg, and Mr. Marino, with Mr. Krieg serving as Chair of the committee. Our board has also determined that Mr. Carey, Mr. Krieg and Mr. Marino are “independent” as defined under NYSE and Exchange Act rules and regulations. In light of our status as a “controlled company” within the meaning of the corporate governance standards of the NYSE following this offering, we are exempt from the requirement that our nominating and corporate governance committee be composed entirely of independent directors. We do not currently intend to use this exemption, but we may in the future decide to do so.</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Government Security Committee</w:t>
      </w:r>
    </w:p>
    <w:p>
      <w:pPr>
        <w:spacing w:after="0" w:line="18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proxy agreement requires our board to establish a government security committee (the “GSC”), consisting of all proxy holders, our chief executive officer, our general counsel, our corporate facility security officer (“CFSO”) and our technology control officer (“TCO”), to the extent that such officers have adequate security clearances. The primary purpose of the GSC is to ensure that we maintain policies and procedures, including a technology control plan, to safeguard classified information in our possession and to ensure that we comply with the proxy agreement, the ITAR, the EAR, and the NISPOM.</w:t>
      </w:r>
    </w:p>
    <w:p>
      <w:pPr>
        <w:spacing w:after="0" w:line="15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Upon the completion of this offering, the members of the GSC will be Mr. Carey, Mr. Krieg, Mr. Marino, Mr. Odeen, Ms. Townsend, and our Chief Executive Officer, General Counsel,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60"/>
          </w:cols>
          <w:pgMar w:left="320" w:top="1440" w:right="419" w:bottom="1440" w:gutter="0" w:footer="0" w:header="0"/>
        </w:sectPr>
      </w:pPr>
    </w:p>
    <w:bookmarkStart w:id="139" w:name="page140"/>
    <w:bookmarkEnd w:id="13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Facility Security Officer and Technology Control Officer, with Mr. Marino serving as Chair of the committee.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8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has ever been, an officer or employee of our company.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Lead Independent Director</w:t>
      </w:r>
    </w:p>
    <w:p>
      <w:pPr>
        <w:spacing w:after="0" w:line="193"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Our board of directors has designated Mr. Carey to serve as our lead independent director upon the effective date of the registration statement of which this prospectus forms a part.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Oversight of Risk Management</w:t>
      </w:r>
    </w:p>
    <w:p>
      <w:pPr>
        <w:spacing w:after="0" w:line="19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Our board believes that effective risk management and control processes are critical to our safety and soundness, our ability to predict and manage the challenges that we face and, ultimately, our long-term corporate success. Our board, both directly and through its committees, is responsible for overseeing our risk management processes, with each of the committees of our board assuming a different and important role in overseeing the management of the risks we face.</w:t>
      </w:r>
    </w:p>
    <w:p>
      <w:pPr>
        <w:spacing w:after="0" w:line="150"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audit committee is responsible for overseeing risks associated with financial matters including financial reporting, accounting practices and policies, disclosure controls and procedures and internal control over financial reporting. The compensation committee of our board has primary responsibility for risks and exposures associated with our compensation policies, plans and practices, regarding both executive compensation and the compensation structure generally. The nominating and corporate governance committee of our board of directors oversees risks associated with the independence of our board of directors, potential conflicts of interest and overall enterprise risk. The government security committee of our board oversees risks associated with our obligation to safeguard classified information in our possession and our compliance with the proxy agreement and applicable law and regulation including ITAR, EAR, and NISPOM.</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senior management is responsible for implementing and reporting to our board regarding our risk management processes, including by assessing and managing the risks we face on a day-to-day basis. The role of our board in our risk oversight is consistent with our leadership structure, with our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Code of Ethics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Upon completion of this offering, our board will adopt a code of business conduct and ethics that will apply to all of our directors, officers and employees and is intended to comply with the relevant NYSE requirements for a code of conduct as well as qualify as a “code of ethics” as defined by the rules of the SEC. The code will contain general guidelines for conducting 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https://www.leonardodrs.com/ as required by applicable law or NYSE requirements. The code of business conduct and ethics will be available without charge on the investor relations portion of our website following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Compensation Discussion and Analysis provides the details of our executive compensation program and the decisions made as they relate to the Company’s Named Executive Officers (“NEOs”). The discussion below relates to compensation programs in effect for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Overview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executive compensation philosophy is to provide market-based competitive total compensation to support our strategic plan for growth and success, attract and retain executives and other key employees to drive a superior performance culture, and closely link pay to the performance of our executives. Our management team strives to deliver optimal results through focused operational excellence, management of costs and investments, optimization of human capital, leadership, and driving collaboration across our businesses to achieve our strategic goals. The executive compensation and benefit programs are guided by the following principles:</w:t>
      </w:r>
    </w:p>
    <w:p>
      <w:pPr>
        <w:spacing w:after="0" w:line="151" w:lineRule="exact"/>
        <w:rPr>
          <w:sz w:val="20"/>
          <w:szCs w:val="20"/>
          <w:color w:val="auto"/>
        </w:rPr>
      </w:pPr>
    </w:p>
    <w:p>
      <w:pPr>
        <w:ind w:left="660" w:right="320" w:hanging="328"/>
        <w:spacing w:after="0" w:line="256"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 for Performance. Our program is intended to reward superior past performance and create incentives for future exemplary performance that will create long-term value. To achieve these objectives, our compensation program is designed to reward long-term strategic management and to create a performance-oriented environment.</w:t>
      </w:r>
    </w:p>
    <w:p>
      <w:pPr>
        <w:spacing w:after="0" w:line="147" w:lineRule="exact"/>
        <w:rPr>
          <w:rFonts w:ascii="Arial" w:cs="Arial" w:eastAsia="Arial" w:hAnsi="Arial"/>
          <w:sz w:val="18"/>
          <w:szCs w:val="18"/>
          <w:color w:val="auto"/>
        </w:rPr>
      </w:pPr>
    </w:p>
    <w:p>
      <w:pPr>
        <w:ind w:left="660" w:right="180" w:hanging="328"/>
        <w:spacing w:after="0" w:line="254"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Competitive Pay. We generally target NEO total direct compensation, base salary, annual incentive compensation, and long-term incentive compensation at or around the median of our peers, although we do not target a specific level and give consideration to a number of other factors. Our program provides the opportunity for above-median pay for above-median performance and below-median pay for below-median performance.</w:t>
      </w:r>
    </w:p>
    <w:p>
      <w:pPr>
        <w:spacing w:after="0" w:line="149"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Strategic Goals and Metrics. Annual Incentive Compensation (IC) metrics and targets are driven by the Company’s strategic, financial, and operational business goals. Long-Term Incentives (LTI) provide NEOs with a significant personal stake in the long-term success of the business by tying earned amounts to three-year financial performance cycles, facilitating retention of key talent, and aligning incentives with our long-term strategic goals.</w:t>
      </w:r>
    </w:p>
    <w:p>
      <w:pPr>
        <w:spacing w:after="0" w:line="149"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Leadership Recruitment and Retention. Compensation is designed to be competitive within our industry and to retain top talent. Our compensation program is designed to recruit, motivate, retain, and reward NEOs for delivering operational and strategic performance over time.</w:t>
      </w:r>
    </w:p>
    <w:p>
      <w:pPr>
        <w:spacing w:after="0" w:line="148"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compensation committee of the Company’s board of directors (the “compensation committee”) intends to provide a balanced mix of short- and long-term compensation. When the compensation committee considers any component of the NEOs’ compensation, the aggregate value and mix of all components are taken into consideration. The compensation committee believes that each component of compensation is important and that it is the appropriate combination of these components that enable us to appropriately compensate and retain executives.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To support our compensation philosophy, our NEO compensation program for 2020 provided a mix of fixed and variable compensation components that based the majority of each executive’s compensation on the success of the Company’s operating performance as measured by the financial metrics of bookings, revenue, adjusted earnings before interest, taxes and amortization (EBITA), and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5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from continuing operations, as well as the executive’s individual performance relative to the Company’s business goals of execution of our strategic operating plan, growth, and taking care of our people.</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shd w:val="clear" w:color="auto" w:fill="D9D9D9"/>
          </w:tcPr>
          <w:p>
            <w:pPr>
              <w:ind w:left="680"/>
              <w:spacing w:after="0"/>
              <w:rPr>
                <w:sz w:val="20"/>
                <w:szCs w:val="20"/>
                <w:color w:val="auto"/>
              </w:rPr>
            </w:pPr>
            <w:r>
              <w:rPr>
                <w:rFonts w:ascii="Arial" w:cs="Arial" w:eastAsia="Arial" w:hAnsi="Arial"/>
                <w:sz w:val="18"/>
                <w:szCs w:val="18"/>
                <w:b w:val="1"/>
                <w:bCs w:val="1"/>
                <w:color w:val="auto"/>
              </w:rPr>
              <w:t>Compensation Components</w:t>
            </w:r>
          </w:p>
        </w:tc>
        <w:tc>
          <w:tcPr>
            <w:tcW w:w="3740" w:type="dxa"/>
            <w:vAlign w:val="bottom"/>
            <w:tcBorders>
              <w:top w:val="single" w:sz="8" w:color="auto"/>
              <w:bottom w:val="single" w:sz="8" w:color="auto"/>
              <w:right w:val="single" w:sz="8" w:color="auto"/>
            </w:tcBorders>
            <w:shd w:val="clear" w:color="auto" w:fill="D9D9D9"/>
          </w:tcPr>
          <w:p>
            <w:pPr>
              <w:ind w:left="1500"/>
              <w:spacing w:after="0"/>
              <w:rPr>
                <w:sz w:val="20"/>
                <w:szCs w:val="20"/>
                <w:color w:val="auto"/>
              </w:rPr>
            </w:pPr>
            <w:r>
              <w:rPr>
                <w:rFonts w:ascii="Arial" w:cs="Arial" w:eastAsia="Arial" w:hAnsi="Arial"/>
                <w:sz w:val="18"/>
                <w:szCs w:val="18"/>
                <w:b w:val="1"/>
                <w:bCs w:val="1"/>
                <w:color w:val="auto"/>
              </w:rPr>
              <w:t>Purpose</w:t>
            </w:r>
          </w:p>
        </w:tc>
        <w:tc>
          <w:tcPr>
            <w:tcW w:w="3760" w:type="dxa"/>
            <w:vAlign w:val="bottom"/>
            <w:tcBorders>
              <w:top w:val="single" w:sz="8" w:color="auto"/>
              <w:bottom w:val="single" w:sz="8" w:color="auto"/>
              <w:right w:val="single" w:sz="8" w:color="auto"/>
            </w:tcBorders>
            <w:shd w:val="clear" w:color="auto" w:fill="D9D9D9"/>
          </w:tcPr>
          <w:p>
            <w:pPr>
              <w:ind w:left="13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Base Salary is set based on market</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Annual Base Salary</w:t>
            </w: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Provides competitive, fixed-rate cash</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comparables, level of responsibility, position</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compensation.</w:t>
            </w:r>
          </w:p>
        </w:tc>
        <w:tc>
          <w:tcPr>
            <w:tcW w:w="376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held, job performance, years of experience in</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vMerge w:val="continue"/>
          </w:tcPr>
          <w:p>
            <w:pPr>
              <w:spacing w:after="0"/>
              <w:rPr>
                <w:sz w:val="4"/>
                <w:szCs w:val="4"/>
                <w:color w:val="auto"/>
              </w:rPr>
            </w:pPr>
          </w:p>
        </w:tc>
        <w:tc>
          <w:tcPr>
            <w:tcW w:w="37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position, and market value.</w:t>
            </w: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   2020 annual incentives were tied to</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340"/>
              <w:spacing w:after="0" w:line="176" w:lineRule="exact"/>
              <w:rPr>
                <w:sz w:val="20"/>
                <w:szCs w:val="20"/>
                <w:color w:val="auto"/>
              </w:rPr>
            </w:pPr>
            <w:r>
              <w:rPr>
                <w:rFonts w:ascii="Arial" w:cs="Arial" w:eastAsia="Arial" w:hAnsi="Arial"/>
                <w:sz w:val="18"/>
                <w:szCs w:val="18"/>
                <w:color w:val="auto"/>
              </w:rPr>
              <w:t>financial metrics (75%) and individual</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340"/>
              <w:spacing w:after="0" w:line="176" w:lineRule="exact"/>
              <w:rPr>
                <w:sz w:val="20"/>
                <w:szCs w:val="20"/>
                <w:color w:val="auto"/>
              </w:rPr>
            </w:pPr>
            <w:r>
              <w:rPr>
                <w:rFonts w:ascii="Arial" w:cs="Arial" w:eastAsia="Arial" w:hAnsi="Arial"/>
                <w:sz w:val="18"/>
                <w:szCs w:val="18"/>
                <w:color w:val="auto"/>
              </w:rPr>
              <w:t>performance objectives (25%).</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660"/>
              <w:spacing w:after="0" w:line="176" w:lineRule="exact"/>
              <w:rPr>
                <w:sz w:val="20"/>
                <w:szCs w:val="20"/>
                <w:color w:val="auto"/>
              </w:rPr>
            </w:pPr>
            <w:r>
              <w:rPr>
                <w:rFonts w:ascii="Arial" w:cs="Arial" w:eastAsia="Arial" w:hAnsi="Arial"/>
                <w:sz w:val="18"/>
                <w:szCs w:val="18"/>
                <w:color w:val="auto"/>
              </w:rPr>
              <w:t>◦   Financial metrics were based 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Designed to provide a cash incentive based</w:t>
            </w:r>
          </w:p>
        </w:tc>
        <w:tc>
          <w:tcPr>
            <w:tcW w:w="3760" w:type="dxa"/>
            <w:vAlign w:val="bottom"/>
            <w:tcBorders>
              <w:right w:val="single" w:sz="8" w:color="auto"/>
            </w:tcBorders>
          </w:tcPr>
          <w:p>
            <w:pPr>
              <w:ind w:left="1000"/>
              <w:spacing w:after="0" w:line="176" w:lineRule="exact"/>
              <w:rPr>
                <w:sz w:val="20"/>
                <w:szCs w:val="20"/>
                <w:color w:val="auto"/>
              </w:rPr>
            </w:pPr>
            <w:r>
              <w:rPr>
                <w:rFonts w:ascii="Arial" w:cs="Arial" w:eastAsia="Arial" w:hAnsi="Arial"/>
                <w:sz w:val="18"/>
                <w:szCs w:val="18"/>
                <w:color w:val="auto"/>
              </w:rPr>
              <w:t>bookings (25%), revenue (25%),</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00"/>
              <w:spacing w:after="0" w:line="176" w:lineRule="exact"/>
              <w:rPr>
                <w:sz w:val="20"/>
                <w:szCs w:val="20"/>
                <w:color w:val="auto"/>
              </w:rPr>
            </w:pPr>
            <w:r>
              <w:rPr>
                <w:rFonts w:ascii="Arial" w:cs="Arial" w:eastAsia="Arial" w:hAnsi="Arial"/>
                <w:sz w:val="18"/>
                <w:szCs w:val="18"/>
                <w:color w:val="auto"/>
              </w:rPr>
              <w:t>adjusted earnings before interest,</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Annual Incentive Compensation</w:t>
            </w: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on annual business performance aligned with</w:t>
            </w:r>
          </w:p>
        </w:tc>
        <w:tc>
          <w:tcPr>
            <w:tcW w:w="3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continue"/>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00"/>
              <w:spacing w:after="0" w:line="176" w:lineRule="exact"/>
              <w:rPr>
                <w:sz w:val="20"/>
                <w:szCs w:val="20"/>
                <w:color w:val="auto"/>
              </w:rPr>
            </w:pPr>
            <w:r>
              <w:rPr>
                <w:rFonts w:ascii="Arial" w:cs="Arial" w:eastAsia="Arial" w:hAnsi="Arial"/>
                <w:sz w:val="18"/>
                <w:szCs w:val="18"/>
                <w:color w:val="auto"/>
              </w:rPr>
              <w:t>taxes and amortization (25%),</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our financial, strategic, and operational goals.</w:t>
            </w:r>
          </w:p>
        </w:tc>
        <w:tc>
          <w:tcPr>
            <w:tcW w:w="3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restart"/>
          </w:tcPr>
          <w:p>
            <w:pPr>
              <w:ind w:left="1000"/>
              <w:spacing w:after="0" w:line="176" w:lineRule="exact"/>
              <w:rPr>
                <w:sz w:val="20"/>
                <w:szCs w:val="20"/>
                <w:color w:val="auto"/>
              </w:rPr>
            </w:pPr>
            <w:r>
              <w:rPr>
                <w:rFonts w:ascii="Arial" w:cs="Arial" w:eastAsia="Arial" w:hAnsi="Arial"/>
                <w:sz w:val="18"/>
                <w:szCs w:val="18"/>
                <w:color w:val="auto"/>
              </w:rPr>
              <w:t>and free cash flow (25%).*</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660"/>
              <w:spacing w:after="0" w:line="176" w:lineRule="exact"/>
              <w:rPr>
                <w:sz w:val="20"/>
                <w:szCs w:val="20"/>
                <w:color w:val="auto"/>
              </w:rPr>
            </w:pPr>
            <w:r>
              <w:rPr>
                <w:rFonts w:ascii="Arial" w:cs="Arial" w:eastAsia="Arial" w:hAnsi="Arial"/>
                <w:sz w:val="18"/>
                <w:szCs w:val="18"/>
                <w:color w:val="auto"/>
              </w:rPr>
              <w:t>◦   Individual performance objectives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1000"/>
              <w:spacing w:after="0" w:line="176" w:lineRule="exact"/>
              <w:rPr>
                <w:sz w:val="20"/>
                <w:szCs w:val="20"/>
                <w:color w:val="auto"/>
              </w:rPr>
            </w:pPr>
            <w:r>
              <w:rPr>
                <w:rFonts w:ascii="Arial" w:cs="Arial" w:eastAsia="Arial" w:hAnsi="Arial"/>
                <w:sz w:val="18"/>
                <w:szCs w:val="18"/>
                <w:color w:val="auto"/>
              </w:rPr>
              <w:t>(25%) were aligned with 2020</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1000"/>
              <w:spacing w:after="0" w:line="176" w:lineRule="exact"/>
              <w:rPr>
                <w:sz w:val="20"/>
                <w:szCs w:val="20"/>
                <w:color w:val="auto"/>
              </w:rPr>
            </w:pPr>
            <w:r>
              <w:rPr>
                <w:rFonts w:ascii="Arial" w:cs="Arial" w:eastAsia="Arial" w:hAnsi="Arial"/>
                <w:sz w:val="18"/>
                <w:szCs w:val="18"/>
                <w:color w:val="auto"/>
              </w:rPr>
              <w:t>strategic and operational</w:t>
            </w: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objectives.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60"/>
          </w:cols>
          <w:pgMar w:left="320" w:top="1440" w:right="319" w:bottom="1440" w:gutter="0" w:footer="0" w:header="0"/>
        </w:sectPr>
      </w:pPr>
    </w:p>
    <w:bookmarkStart w:id="142" w:name="page143"/>
    <w:bookmarkEnd w:id="142"/>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760" w:type="dxa"/>
            <w:vAlign w:val="bottom"/>
            <w:tcBorders>
              <w:top w:val="single" w:sz="8" w:color="auto"/>
              <w:left w:val="single" w:sz="8" w:color="auto"/>
              <w:right w:val="single" w:sz="8" w:color="auto"/>
            </w:tcBorders>
          </w:tcPr>
          <w:p>
            <w:pPr>
              <w:spacing w:after="0"/>
              <w:rPr>
                <w:sz w:val="17"/>
                <w:szCs w:val="17"/>
                <w:color w:val="auto"/>
              </w:rPr>
            </w:pPr>
          </w:p>
        </w:tc>
        <w:tc>
          <w:tcPr>
            <w:tcW w:w="3740" w:type="dxa"/>
            <w:vAlign w:val="bottom"/>
            <w:tcBorders>
              <w:top w:val="single" w:sz="8" w:color="auto"/>
              <w:right w:val="single" w:sz="8" w:color="auto"/>
            </w:tcBorders>
          </w:tcPr>
          <w:p>
            <w:pPr>
              <w:spacing w:after="0"/>
              <w:rPr>
                <w:sz w:val="17"/>
                <w:szCs w:val="17"/>
                <w:color w:val="auto"/>
              </w:rPr>
            </w:pPr>
          </w:p>
        </w:tc>
        <w:tc>
          <w:tcPr>
            <w:tcW w:w="3760" w:type="dxa"/>
            <w:vAlign w:val="bottom"/>
            <w:tcBorders>
              <w:top w:val="single" w:sz="8" w:color="auto"/>
              <w:right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   The LTIP provides participants with an</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annual award target distributed over a</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three-year performance cycle, with earned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awards paid on an annual basis.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The LTIP awards earned in 2020 were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based on participants’ target awards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granted in 2018, 2019, and 2020.</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The LTIP is comprised of two</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Provides our NEOs with a significant personal</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components: Company performance</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gridSpan w:val="2"/>
            <w:vMerge w:val="restart"/>
          </w:tcPr>
          <w:p>
            <w:pPr>
              <w:ind w:left="340"/>
              <w:spacing w:after="0" w:line="176" w:lineRule="exact"/>
              <w:rPr>
                <w:sz w:val="20"/>
                <w:szCs w:val="20"/>
                <w:color w:val="auto"/>
              </w:rPr>
            </w:pPr>
            <w:r>
              <w:rPr>
                <w:rFonts w:ascii="Arial" w:cs="Arial" w:eastAsia="Arial" w:hAnsi="Arial"/>
                <w:sz w:val="18"/>
                <w:szCs w:val="18"/>
                <w:color w:val="auto"/>
              </w:rPr>
              <w:t>(70%) and retention (30%).</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stake in the long-term success of the</w:t>
            </w:r>
          </w:p>
        </w:tc>
        <w:tc>
          <w:tcPr>
            <w:tcW w:w="3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Long-Term Incentive Plan (“LTIP”)</w:t>
            </w:r>
          </w:p>
        </w:tc>
        <w:tc>
          <w:tcPr>
            <w:tcW w:w="3740" w:type="dxa"/>
            <w:vAlign w:val="bottom"/>
            <w:tcBorders>
              <w:right w:val="single" w:sz="8" w:color="auto"/>
            </w:tcBorders>
            <w:vMerge w:val="continue"/>
          </w:tcPr>
          <w:p>
            <w:pPr>
              <w:spacing w:after="0"/>
              <w:rPr>
                <w:sz w:val="7"/>
                <w:szCs w:val="7"/>
                <w:color w:val="auto"/>
              </w:rPr>
            </w:pPr>
          </w:p>
        </w:tc>
        <w:tc>
          <w:tcPr>
            <w:tcW w:w="880" w:type="dxa"/>
            <w:vAlign w:val="bottom"/>
            <w:vMerge w:val="restart"/>
          </w:tcPr>
          <w:p>
            <w:pPr>
              <w:ind w:left="660"/>
              <w:spacing w:after="0" w:line="176" w:lineRule="exact"/>
              <w:rPr>
                <w:sz w:val="20"/>
                <w:szCs w:val="20"/>
                <w:color w:val="auto"/>
              </w:rPr>
            </w:pPr>
            <w:r>
              <w:rPr>
                <w:rFonts w:ascii="Arial" w:cs="Arial" w:eastAsia="Arial" w:hAnsi="Arial"/>
                <w:sz w:val="18"/>
                <w:szCs w:val="18"/>
                <w:color w:val="auto"/>
              </w:rPr>
              <w:t>◦</w:t>
            </w:r>
          </w:p>
        </w:tc>
        <w:tc>
          <w:tcPr>
            <w:tcW w:w="2880" w:type="dxa"/>
            <w:vAlign w:val="bottom"/>
            <w:tcBorders>
              <w:right w:val="single" w:sz="8" w:color="auto"/>
            </w:tcBorders>
            <w:vMerge w:val="restart"/>
          </w:tcPr>
          <w:p>
            <w:pPr>
              <w:ind w:left="100"/>
              <w:spacing w:after="0" w:line="176" w:lineRule="exact"/>
              <w:rPr>
                <w:sz w:val="20"/>
                <w:szCs w:val="20"/>
                <w:color w:val="auto"/>
              </w:rPr>
            </w:pPr>
            <w:r>
              <w:rPr>
                <w:rFonts w:ascii="Arial" w:cs="Arial" w:eastAsia="Arial" w:hAnsi="Arial"/>
                <w:sz w:val="18"/>
                <w:szCs w:val="18"/>
                <w:color w:val="auto"/>
              </w:rPr>
              <w:t>Company performance</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business, aligns the incentive to support our</w:t>
            </w:r>
          </w:p>
        </w:tc>
        <w:tc>
          <w:tcPr>
            <w:tcW w:w="880" w:type="dxa"/>
            <w:vAlign w:val="bottom"/>
            <w:vMerge w:val="continue"/>
          </w:tcPr>
          <w:p>
            <w:pPr>
              <w:spacing w:after="0"/>
              <w:rPr>
                <w:sz w:val="8"/>
                <w:szCs w:val="8"/>
                <w:color w:val="auto"/>
              </w:rPr>
            </w:pPr>
          </w:p>
        </w:tc>
        <w:tc>
          <w:tcPr>
            <w:tcW w:w="2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Compensation</w:t>
            </w:r>
          </w:p>
        </w:tc>
        <w:tc>
          <w:tcPr>
            <w:tcW w:w="3740" w:type="dxa"/>
            <w:vAlign w:val="bottom"/>
            <w:tcBorders>
              <w:right w:val="single" w:sz="8" w:color="auto"/>
            </w:tcBorders>
            <w:vMerge w:val="continue"/>
          </w:tcPr>
          <w:p>
            <w:pPr>
              <w:spacing w:after="0"/>
              <w:rPr>
                <w:sz w:val="7"/>
                <w:szCs w:val="7"/>
                <w:color w:val="auto"/>
              </w:rPr>
            </w:pPr>
          </w:p>
        </w:tc>
        <w:tc>
          <w:tcPr>
            <w:tcW w:w="880" w:type="dxa"/>
            <w:vAlign w:val="bottom"/>
          </w:tcPr>
          <w:p>
            <w:pPr>
              <w:spacing w:after="0"/>
              <w:rPr>
                <w:sz w:val="7"/>
                <w:szCs w:val="7"/>
                <w:color w:val="auto"/>
              </w:rPr>
            </w:pPr>
          </w:p>
        </w:tc>
        <w:tc>
          <w:tcPr>
            <w:tcW w:w="2880" w:type="dxa"/>
            <w:vAlign w:val="bottom"/>
            <w:tcBorders>
              <w:right w:val="single" w:sz="8" w:color="auto"/>
            </w:tcBorders>
            <w:vMerge w:val="restart"/>
          </w:tcPr>
          <w:p>
            <w:pPr>
              <w:ind w:left="120"/>
              <w:spacing w:after="0" w:line="176" w:lineRule="exact"/>
              <w:rPr>
                <w:sz w:val="20"/>
                <w:szCs w:val="20"/>
                <w:color w:val="auto"/>
              </w:rPr>
            </w:pPr>
            <w:r>
              <w:rPr>
                <w:rFonts w:ascii="Arial" w:cs="Arial" w:eastAsia="Arial" w:hAnsi="Arial"/>
                <w:sz w:val="18"/>
                <w:szCs w:val="18"/>
                <w:color w:val="auto"/>
              </w:rPr>
              <w:t>component of the annual target is</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long-term strategic goals, and facilitates the</w:t>
            </w:r>
          </w:p>
        </w:tc>
        <w:tc>
          <w:tcPr>
            <w:tcW w:w="880" w:type="dxa"/>
            <w:vAlign w:val="bottom"/>
          </w:tcPr>
          <w:p>
            <w:pPr>
              <w:spacing w:after="0"/>
              <w:rPr>
                <w:sz w:val="8"/>
                <w:szCs w:val="8"/>
                <w:color w:val="auto"/>
              </w:rPr>
            </w:pPr>
          </w:p>
        </w:tc>
        <w:tc>
          <w:tcPr>
            <w:tcW w:w="2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880" w:type="dxa"/>
            <w:vAlign w:val="bottom"/>
          </w:tcPr>
          <w:p>
            <w:pPr>
              <w:spacing w:after="0"/>
              <w:rPr>
                <w:sz w:val="7"/>
                <w:szCs w:val="7"/>
                <w:color w:val="auto"/>
              </w:rPr>
            </w:pPr>
          </w:p>
        </w:tc>
        <w:tc>
          <w:tcPr>
            <w:tcW w:w="2880" w:type="dxa"/>
            <w:vAlign w:val="bottom"/>
            <w:tcBorders>
              <w:right w:val="single" w:sz="8" w:color="auto"/>
            </w:tcBorders>
            <w:vMerge w:val="restart"/>
          </w:tcPr>
          <w:p>
            <w:pPr>
              <w:ind w:left="120"/>
              <w:spacing w:after="0" w:line="176" w:lineRule="exact"/>
              <w:rPr>
                <w:sz w:val="20"/>
                <w:szCs w:val="20"/>
                <w:color w:val="auto"/>
              </w:rPr>
            </w:pPr>
            <w:r>
              <w:rPr>
                <w:rFonts w:ascii="Arial" w:cs="Arial" w:eastAsia="Arial" w:hAnsi="Arial"/>
                <w:sz w:val="18"/>
                <w:szCs w:val="18"/>
                <w:color w:val="auto"/>
              </w:rPr>
              <w:t>distributed equally over the three-</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retention of key talent over the long-term.</w:t>
            </w:r>
          </w:p>
        </w:tc>
        <w:tc>
          <w:tcPr>
            <w:tcW w:w="880" w:type="dxa"/>
            <w:vAlign w:val="bottom"/>
          </w:tcPr>
          <w:p>
            <w:pPr>
              <w:spacing w:after="0"/>
              <w:rPr>
                <w:sz w:val="8"/>
                <w:szCs w:val="8"/>
                <w:color w:val="auto"/>
              </w:rPr>
            </w:pPr>
          </w:p>
        </w:tc>
        <w:tc>
          <w:tcPr>
            <w:tcW w:w="2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880" w:type="dxa"/>
            <w:vAlign w:val="bottom"/>
          </w:tcPr>
          <w:p>
            <w:pPr>
              <w:spacing w:after="0"/>
              <w:rPr>
                <w:sz w:val="10"/>
                <w:szCs w:val="10"/>
                <w:color w:val="auto"/>
              </w:rPr>
            </w:pPr>
          </w:p>
        </w:tc>
        <w:tc>
          <w:tcPr>
            <w:tcW w:w="2880" w:type="dxa"/>
            <w:vAlign w:val="bottom"/>
            <w:tcBorders>
              <w:right w:val="single" w:sz="8" w:color="auto"/>
            </w:tcBorders>
            <w:vMerge w:val="restart"/>
          </w:tcPr>
          <w:p>
            <w:pPr>
              <w:ind w:left="120"/>
              <w:spacing w:after="0" w:line="176" w:lineRule="exact"/>
              <w:rPr>
                <w:sz w:val="20"/>
                <w:szCs w:val="20"/>
                <w:color w:val="auto"/>
              </w:rPr>
            </w:pPr>
            <w:r>
              <w:rPr>
                <w:rFonts w:ascii="Arial" w:cs="Arial" w:eastAsia="Arial" w:hAnsi="Arial"/>
                <w:sz w:val="18"/>
                <w:szCs w:val="18"/>
                <w:color w:val="auto"/>
              </w:rPr>
              <w:t>year cycle and is based on</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28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bookings (60% weighting) and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economic value added (40%</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weighting).*</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ind w:left="660"/>
              <w:spacing w:after="0" w:line="176" w:lineRule="exact"/>
              <w:rPr>
                <w:sz w:val="20"/>
                <w:szCs w:val="20"/>
                <w:color w:val="auto"/>
              </w:rPr>
            </w:pPr>
            <w:r>
              <w:rPr>
                <w:rFonts w:ascii="Arial" w:cs="Arial" w:eastAsia="Arial" w:hAnsi="Arial"/>
                <w:sz w:val="18"/>
                <w:szCs w:val="18"/>
                <w:color w:val="auto"/>
              </w:rPr>
              <w:t>◦</w:t>
            </w:r>
          </w:p>
        </w:tc>
        <w:tc>
          <w:tcPr>
            <w:tcW w:w="288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Retention component requires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continued employment for three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Entirely cash-based plan prior to the</w:t>
            </w: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Company’s initial public offering.</w:t>
            </w: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 401(k) Plan provides all eligible employees,</w:t>
            </w:r>
          </w:p>
        </w:tc>
        <w:tc>
          <w:tcPr>
            <w:tcW w:w="3760" w:type="dxa"/>
            <w:vAlign w:val="bottom"/>
            <w:tcBorders>
              <w:right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   401(k) Plan provides a discretionary</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including executive officers, with the ability to</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Company match contribution, which is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set aside compensation on a pre-tax or Roth</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immediately vested.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Retirement Benefits</w:t>
            </w: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basis and receive competitive matching</w:t>
            </w:r>
          </w:p>
        </w:tc>
        <w:tc>
          <w:tcPr>
            <w:tcW w:w="37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Benefit accruals under the legacy frozen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vMerge w:val="continue"/>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contributions.</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defined benefit pension plan for eligible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Certain employees participate in a legacy</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employees were frozen at the end of</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880" w:type="dxa"/>
            <w:vAlign w:val="bottom"/>
            <w:vMerge w:val="restart"/>
          </w:tcPr>
          <w:p>
            <w:pPr>
              <w:ind w:left="340"/>
              <w:spacing w:after="0"/>
              <w:rPr>
                <w:sz w:val="20"/>
                <w:szCs w:val="20"/>
                <w:color w:val="auto"/>
              </w:rPr>
            </w:pPr>
            <w:r>
              <w:rPr>
                <w:rFonts w:ascii="Arial" w:cs="Arial" w:eastAsia="Arial" w:hAnsi="Arial"/>
                <w:sz w:val="18"/>
                <w:szCs w:val="18"/>
                <w:color w:val="auto"/>
              </w:rPr>
              <w:t>2011.</w:t>
            </w:r>
          </w:p>
        </w:tc>
        <w:tc>
          <w:tcPr>
            <w:tcW w:w="2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frozen defined benefit pension plan from a</w:t>
            </w:r>
          </w:p>
        </w:tc>
        <w:tc>
          <w:tcPr>
            <w:tcW w:w="880" w:type="dxa"/>
            <w:vAlign w:val="bottom"/>
            <w:vMerge w:val="continue"/>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76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880" w:type="dxa"/>
            <w:vAlign w:val="bottom"/>
          </w:tcPr>
          <w:p>
            <w:pPr>
              <w:spacing w:after="0"/>
              <w:rPr>
                <w:sz w:val="5"/>
                <w:szCs w:val="5"/>
                <w:color w:val="auto"/>
              </w:rPr>
            </w:pPr>
          </w:p>
        </w:tc>
        <w:tc>
          <w:tcPr>
            <w:tcW w:w="2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prior acquisition.</w:t>
            </w:r>
          </w:p>
        </w:tc>
        <w:tc>
          <w:tcPr>
            <w:tcW w:w="880" w:type="dxa"/>
            <w:vAlign w:val="bottom"/>
            <w:tcBorders>
              <w:bottom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   In 2020, participating executives received</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Eligible executives participate in the Executive</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an annual fixed amount, paid on a bi-</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gridSpan w:val="2"/>
            <w:vMerge w:val="restart"/>
          </w:tcPr>
          <w:p>
            <w:pPr>
              <w:ind w:left="340"/>
              <w:spacing w:after="0" w:line="176" w:lineRule="exact"/>
              <w:rPr>
                <w:sz w:val="20"/>
                <w:szCs w:val="20"/>
                <w:color w:val="auto"/>
              </w:rPr>
            </w:pPr>
            <w:r>
              <w:rPr>
                <w:rFonts w:ascii="Arial" w:cs="Arial" w:eastAsia="Arial" w:hAnsi="Arial"/>
                <w:sz w:val="18"/>
                <w:szCs w:val="18"/>
                <w:color w:val="auto"/>
              </w:rPr>
              <w:t>weekly basis.</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Allowance Program. This allowance program</w:t>
            </w:r>
          </w:p>
        </w:tc>
        <w:tc>
          <w:tcPr>
            <w:tcW w:w="3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Limited Executive Perquisites</w:t>
            </w:r>
          </w:p>
        </w:tc>
        <w:tc>
          <w:tcPr>
            <w:tcW w:w="3740" w:type="dxa"/>
            <w:vAlign w:val="bottom"/>
            <w:tcBorders>
              <w:right w:val="single" w:sz="8" w:color="auto"/>
            </w:tcBorders>
            <w:vMerge w:val="continue"/>
          </w:tcPr>
          <w:p>
            <w:pPr>
              <w:spacing w:after="0"/>
              <w:rPr>
                <w:sz w:val="14"/>
                <w:szCs w:val="14"/>
                <w:color w:val="auto"/>
              </w:rPr>
            </w:pPr>
          </w:p>
        </w:tc>
        <w:tc>
          <w:tcPr>
            <w:tcW w:w="37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8"/>
                <w:szCs w:val="18"/>
                <w:color w:val="auto"/>
              </w:rPr>
              <w:t>•   The allowance covered expenses</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tcPr>
          <w:p>
            <w:pPr>
              <w:spacing w:after="0" w:line="94" w:lineRule="exact"/>
              <w:rPr>
                <w:sz w:val="20"/>
                <w:szCs w:val="20"/>
                <w:color w:val="auto"/>
              </w:rPr>
            </w:pPr>
            <w:r>
              <w:rPr>
                <w:rFonts w:ascii="Arial" w:cs="Arial" w:eastAsia="Arial" w:hAnsi="Arial"/>
                <w:sz w:val="10"/>
                <w:szCs w:val="10"/>
                <w:color w:val="auto"/>
              </w:rPr>
              <w:t>was designed to provide limited benefits to</w:t>
            </w:r>
          </w:p>
        </w:tc>
        <w:tc>
          <w:tcPr>
            <w:tcW w:w="3760" w:type="dxa"/>
            <w:vAlign w:val="bottom"/>
            <w:tcBorders>
              <w:right w:val="single" w:sz="8" w:color="auto"/>
            </w:tcBorders>
            <w:gridSpan w:val="2"/>
            <w:vMerge w:val="restart"/>
          </w:tcPr>
          <w:p>
            <w:pPr>
              <w:ind w:left="340"/>
              <w:spacing w:after="0" w:line="189" w:lineRule="exact"/>
              <w:rPr>
                <w:sz w:val="20"/>
                <w:szCs w:val="20"/>
                <w:color w:val="auto"/>
              </w:rPr>
            </w:pPr>
            <w:r>
              <w:rPr>
                <w:rFonts w:ascii="Arial" w:cs="Arial" w:eastAsia="Arial" w:hAnsi="Arial"/>
                <w:sz w:val="18"/>
                <w:szCs w:val="18"/>
                <w:color w:val="auto"/>
              </w:rPr>
              <w:t>associated with such needs as executive</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assist with costs associated with personal,</w:t>
            </w:r>
          </w:p>
        </w:tc>
        <w:tc>
          <w:tcPr>
            <w:tcW w:w="3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gridSpan w:val="2"/>
            <w:vMerge w:val="restart"/>
          </w:tcPr>
          <w:p>
            <w:pPr>
              <w:ind w:left="340"/>
              <w:spacing w:after="0" w:line="176" w:lineRule="exact"/>
              <w:rPr>
                <w:sz w:val="20"/>
                <w:szCs w:val="20"/>
                <w:color w:val="auto"/>
              </w:rPr>
            </w:pPr>
            <w:r>
              <w:rPr>
                <w:rFonts w:ascii="Arial" w:cs="Arial" w:eastAsia="Arial" w:hAnsi="Arial"/>
                <w:sz w:val="18"/>
                <w:szCs w:val="18"/>
                <w:color w:val="auto"/>
              </w:rPr>
              <w:t>physical exams, life insurance, disability</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physical, and fiscal fitness.</w:t>
            </w:r>
          </w:p>
        </w:tc>
        <w:tc>
          <w:tcPr>
            <w:tcW w:w="3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gridSpan w:val="2"/>
            <w:vMerge w:val="restart"/>
          </w:tcPr>
          <w:p>
            <w:pPr>
              <w:ind w:left="340"/>
              <w:spacing w:after="0" w:line="176" w:lineRule="exact"/>
              <w:rPr>
                <w:sz w:val="20"/>
                <w:szCs w:val="20"/>
                <w:color w:val="auto"/>
              </w:rPr>
            </w:pPr>
            <w:r>
              <w:rPr>
                <w:rFonts w:ascii="Arial" w:cs="Arial" w:eastAsia="Arial" w:hAnsi="Arial"/>
                <w:sz w:val="18"/>
                <w:szCs w:val="18"/>
                <w:color w:val="auto"/>
              </w:rPr>
              <w:t>and/or liability insurance, tax preparation</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services, financial planning.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60"/>
          </w:cols>
          <w:pgMar w:left="320" w:top="1440" w:right="319" w:bottom="1440" w:gutter="0" w:footer="0" w:header="0"/>
        </w:sectPr>
      </w:pPr>
    </w:p>
    <w:bookmarkStart w:id="143" w:name="page144"/>
    <w:bookmarkEnd w:id="143"/>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760" w:type="dxa"/>
            <w:vAlign w:val="bottom"/>
            <w:tcBorders>
              <w:top w:val="single" w:sz="8" w:color="auto"/>
              <w:left w:val="single" w:sz="8" w:color="auto"/>
              <w:right w:val="single" w:sz="8" w:color="auto"/>
            </w:tcBorders>
          </w:tcPr>
          <w:p>
            <w:pPr>
              <w:spacing w:after="0"/>
              <w:rPr>
                <w:sz w:val="17"/>
                <w:szCs w:val="17"/>
                <w:color w:val="auto"/>
              </w:rPr>
            </w:pPr>
          </w:p>
        </w:tc>
        <w:tc>
          <w:tcPr>
            <w:tcW w:w="374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color w:val="auto"/>
              </w:rPr>
              <w:t>The Change in Control Agreement is intended</w:t>
            </w:r>
          </w:p>
        </w:tc>
        <w:tc>
          <w:tcPr>
            <w:tcW w:w="2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w:t>
            </w:r>
          </w:p>
        </w:tc>
        <w:tc>
          <w:tcPr>
            <w:tcW w:w="3560" w:type="dxa"/>
            <w:vAlign w:val="bottom"/>
            <w:tcBorders>
              <w:top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The Change in Control Agreements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to retain qualified executives, maintain a</w:t>
            </w:r>
          </w:p>
        </w:tc>
        <w:tc>
          <w:tcPr>
            <w:tcW w:w="200" w:type="dxa"/>
            <w:vAlign w:val="bottom"/>
          </w:tcPr>
          <w:p>
            <w:pPr>
              <w:spacing w:after="0"/>
              <w:rPr>
                <w:sz w:val="15"/>
                <w:szCs w:val="15"/>
                <w:color w:val="auto"/>
              </w:rPr>
            </w:pPr>
          </w:p>
        </w:tc>
        <w:tc>
          <w:tcPr>
            <w:tcW w:w="356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provide “double-trigger” severance if an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Double-Trigger Change in Control Benefits</w:t>
            </w: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stable work environment, and provide</w:t>
            </w:r>
          </w:p>
        </w:tc>
        <w:tc>
          <w:tcPr>
            <w:tcW w:w="200" w:type="dxa"/>
            <w:vAlign w:val="bottom"/>
          </w:tcPr>
          <w:p>
            <w:pPr>
              <w:spacing w:after="0"/>
              <w:rPr>
                <w:sz w:val="15"/>
                <w:szCs w:val="15"/>
                <w:color w:val="auto"/>
              </w:rPr>
            </w:pPr>
          </w:p>
        </w:tc>
        <w:tc>
          <w:tcPr>
            <w:tcW w:w="356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executive’s employment is terminated by</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economic security in the event of certain</w:t>
            </w:r>
          </w:p>
        </w:tc>
        <w:tc>
          <w:tcPr>
            <w:tcW w:w="200" w:type="dxa"/>
            <w:vAlign w:val="bottom"/>
          </w:tcPr>
          <w:p>
            <w:pPr>
              <w:spacing w:after="0"/>
              <w:rPr>
                <w:sz w:val="10"/>
                <w:szCs w:val="10"/>
                <w:color w:val="auto"/>
              </w:rPr>
            </w:pPr>
          </w:p>
        </w:tc>
        <w:tc>
          <w:tcPr>
            <w:tcW w:w="3560" w:type="dxa"/>
            <w:vAlign w:val="bottom"/>
            <w:tcBorders>
              <w:right w:val="single" w:sz="8" w:color="auto"/>
            </w:tcBorders>
            <w:vMerge w:val="restart"/>
          </w:tcPr>
          <w:p>
            <w:pPr>
              <w:ind w:left="140"/>
              <w:spacing w:after="0" w:line="176" w:lineRule="exact"/>
              <w:rPr>
                <w:sz w:val="20"/>
                <w:szCs w:val="20"/>
                <w:color w:val="auto"/>
              </w:rPr>
            </w:pPr>
            <w:r>
              <w:rPr>
                <w:rFonts w:ascii="Arial" w:cs="Arial" w:eastAsia="Arial" w:hAnsi="Arial"/>
                <w:sz w:val="18"/>
                <w:szCs w:val="18"/>
                <w:color w:val="auto"/>
              </w:rPr>
              <w:t>the Company without cause or by the</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35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terminations of employment as a result of a</w:t>
            </w:r>
          </w:p>
        </w:tc>
        <w:tc>
          <w:tcPr>
            <w:tcW w:w="200" w:type="dxa"/>
            <w:vAlign w:val="bottom"/>
          </w:tcPr>
          <w:p>
            <w:pPr>
              <w:spacing w:after="0"/>
              <w:rPr>
                <w:sz w:val="15"/>
                <w:szCs w:val="15"/>
                <w:color w:val="auto"/>
              </w:rPr>
            </w:pPr>
          </w:p>
        </w:tc>
        <w:tc>
          <w:tcPr>
            <w:tcW w:w="356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executive for good reason within two</w:t>
            </w: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change in control.</w:t>
            </w:r>
          </w:p>
        </w:tc>
        <w:tc>
          <w:tcPr>
            <w:tcW w:w="200" w:type="dxa"/>
            <w:vAlign w:val="bottom"/>
            <w:tcBorders>
              <w:bottom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years following a change in control.</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right="340" w:hanging="332"/>
        <w:spacing w:after="0" w:line="260" w:lineRule="auto"/>
        <w:tabs>
          <w:tab w:leader="none" w:pos="3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Certain of the Company performance metrics are non-GAAP measures, as discussed in more detail under “Components of Compensation Program”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p>
        </w:tc>
        <w:tc>
          <w:tcPr>
            <w:tcW w:w="1660" w:type="dxa"/>
            <w:vAlign w:val="bottom"/>
          </w:tcPr>
          <w:p>
            <w:pPr>
              <w:ind w:left="720"/>
              <w:spacing w:after="0"/>
              <w:rPr>
                <w:sz w:val="20"/>
                <w:szCs w:val="20"/>
                <w:color w:val="auto"/>
              </w:rPr>
            </w:pPr>
            <w:r>
              <w:rPr>
                <w:rFonts w:ascii="Arial" w:cs="Arial" w:eastAsia="Arial" w:hAnsi="Arial"/>
                <w:sz w:val="18"/>
                <w:szCs w:val="18"/>
                <w:b w:val="1"/>
                <w:bCs w:val="1"/>
                <w:color w:val="auto"/>
              </w:rPr>
              <w:t>CEO</w:t>
            </w:r>
          </w:p>
        </w:tc>
        <w:tc>
          <w:tcPr>
            <w:tcW w:w="1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Other NEOs - Average</w:t>
            </w:r>
          </w:p>
        </w:tc>
      </w:tr>
      <w:tr>
        <w:trPr>
          <w:trHeight w:val="247"/>
        </w:trPr>
        <w:tc>
          <w:tcPr>
            <w:tcW w:w="1480" w:type="dxa"/>
            <w:vAlign w:val="bottom"/>
          </w:tcPr>
          <w:p>
            <w:pPr>
              <w:ind w:left="240"/>
              <w:spacing w:after="0"/>
              <w:rPr>
                <w:sz w:val="20"/>
                <w:szCs w:val="20"/>
                <w:color w:val="auto"/>
              </w:rPr>
            </w:pPr>
            <w:r>
              <w:rPr>
                <w:rFonts w:ascii="Arial" w:cs="Arial" w:eastAsia="Arial" w:hAnsi="Arial"/>
                <w:sz w:val="18"/>
                <w:szCs w:val="18"/>
                <w:b w:val="1"/>
                <w:bCs w:val="1"/>
                <w:color w:val="auto"/>
              </w:rPr>
              <w:t>Base Salary</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Annual Cash</w:t>
            </w:r>
          </w:p>
        </w:tc>
        <w:tc>
          <w:tcPr>
            <w:tcW w:w="24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Long-Term</w:t>
            </w:r>
          </w:p>
        </w:tc>
        <w:tc>
          <w:tcPr>
            <w:tcW w:w="7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Base Salary</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Annual Cash</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7"/>
              </w:rPr>
              <w:t>Long-Term</w:t>
            </w:r>
          </w:p>
        </w:tc>
      </w:tr>
      <w:tr>
        <w:trPr>
          <w:trHeight w:val="239"/>
        </w:trPr>
        <w:tc>
          <w:tcPr>
            <w:tcW w:w="14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rPr>
              <w:t>Incentive (target)</w:t>
            </w:r>
          </w:p>
        </w:tc>
        <w:tc>
          <w:tcPr>
            <w:tcW w:w="24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rPr>
              <w:t>Incentive (target)</w:t>
            </w: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Incentive (target)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Incentive (target)</w:t>
            </w:r>
          </w:p>
        </w:tc>
      </w:tr>
      <w:tr>
        <w:trPr>
          <w:trHeight w:val="27"/>
        </w:trPr>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1480" w:type="dxa"/>
            <w:vAlign w:val="bottom"/>
            <w:tcBorders>
              <w:bottom w:val="single" w:sz="8" w:color="D9D9D9"/>
            </w:tcBorders>
            <w:shd w:val="clear" w:color="auto" w:fill="D9D9D9"/>
          </w:tcPr>
          <w:p>
            <w:pPr>
              <w:ind w:left="560"/>
              <w:spacing w:after="0"/>
              <w:rPr>
                <w:sz w:val="20"/>
                <w:szCs w:val="20"/>
                <w:color w:val="auto"/>
              </w:rPr>
            </w:pPr>
            <w:r>
              <w:rPr>
                <w:rFonts w:ascii="Arial" w:cs="Arial" w:eastAsia="Arial" w:hAnsi="Arial"/>
                <w:sz w:val="18"/>
                <w:szCs w:val="18"/>
                <w:b w:val="1"/>
                <w:bCs w:val="1"/>
                <w:color w:val="auto"/>
              </w:rPr>
              <w:t>23%</w:t>
            </w:r>
          </w:p>
        </w:tc>
        <w:tc>
          <w:tcPr>
            <w:tcW w:w="166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26%</w:t>
            </w:r>
          </w:p>
        </w:tc>
        <w:tc>
          <w:tcPr>
            <w:tcW w:w="1660" w:type="dxa"/>
            <w:vAlign w:val="bottom"/>
            <w:tcBorders>
              <w:bottom w:val="single" w:sz="8" w:color="808080"/>
            </w:tcBorders>
            <w:shd w:val="clear" w:color="auto" w:fill="808080"/>
          </w:tcPr>
          <w:p>
            <w:pPr>
              <w:jc w:val="center"/>
              <w:spacing w:after="0"/>
              <w:rPr>
                <w:sz w:val="20"/>
                <w:szCs w:val="20"/>
                <w:color w:val="auto"/>
              </w:rPr>
            </w:pPr>
            <w:r>
              <w:rPr>
                <w:rFonts w:ascii="Arial" w:cs="Arial" w:eastAsia="Arial" w:hAnsi="Arial"/>
                <w:sz w:val="18"/>
                <w:szCs w:val="18"/>
                <w:b w:val="1"/>
                <w:bCs w:val="1"/>
                <w:color w:val="auto"/>
                <w:w w:val="99"/>
              </w:rPr>
              <w:t>51%</w:t>
            </w: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00" w:type="dxa"/>
            <w:vAlign w:val="bottom"/>
            <w:tcBorders>
              <w:bottom w:val="single" w:sz="8" w:color="D9D9D9"/>
              <w:right w:val="single" w:sz="8" w:color="D9D9D9"/>
            </w:tcBorders>
            <w:shd w:val="clear" w:color="auto" w:fill="D9D9D9"/>
          </w:tcPr>
          <w:p>
            <w:pPr>
              <w:jc w:val="right"/>
              <w:ind w:right="470"/>
              <w:spacing w:after="0"/>
              <w:rPr>
                <w:sz w:val="20"/>
                <w:szCs w:val="20"/>
                <w:color w:val="auto"/>
              </w:rPr>
            </w:pPr>
            <w:r>
              <w:rPr>
                <w:rFonts w:ascii="Arial" w:cs="Arial" w:eastAsia="Arial" w:hAnsi="Arial"/>
                <w:sz w:val="18"/>
                <w:szCs w:val="18"/>
                <w:b w:val="1"/>
                <w:bCs w:val="1"/>
                <w:color w:val="auto"/>
              </w:rPr>
              <w:t>33%</w:t>
            </w:r>
          </w:p>
        </w:tc>
        <w:tc>
          <w:tcPr>
            <w:tcW w:w="166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23%</w:t>
            </w:r>
          </w:p>
        </w:tc>
        <w:tc>
          <w:tcPr>
            <w:tcW w:w="1720" w:type="dxa"/>
            <w:vAlign w:val="bottom"/>
            <w:tcBorders>
              <w:bottom w:val="single" w:sz="8" w:color="808080"/>
            </w:tcBorders>
            <w:shd w:val="clear" w:color="auto" w:fill="808080"/>
          </w:tcPr>
          <w:p>
            <w:pPr>
              <w:jc w:val="center"/>
              <w:spacing w:after="0"/>
              <w:rPr>
                <w:sz w:val="20"/>
                <w:szCs w:val="20"/>
                <w:color w:val="auto"/>
              </w:rPr>
            </w:pPr>
            <w:r>
              <w:rPr>
                <w:rFonts w:ascii="Arial" w:cs="Arial" w:eastAsia="Arial" w:hAnsi="Arial"/>
                <w:sz w:val="18"/>
                <w:szCs w:val="18"/>
                <w:b w:val="1"/>
                <w:bCs w:val="1"/>
                <w:color w:val="auto"/>
                <w:w w:val="99"/>
              </w:rPr>
              <w:t>44%</w:t>
            </w:r>
          </w:p>
        </w:tc>
      </w:tr>
      <w:tr>
        <w:trPr>
          <w:trHeight w:val="250"/>
        </w:trPr>
        <w:tc>
          <w:tcPr>
            <w:tcW w:w="1480" w:type="dxa"/>
            <w:vAlign w:val="bottom"/>
          </w:tcPr>
          <w:p>
            <w:pPr>
              <w:spacing w:after="0"/>
              <w:rPr>
                <w:sz w:val="21"/>
                <w:szCs w:val="21"/>
                <w:color w:val="auto"/>
              </w:rPr>
            </w:pPr>
          </w:p>
        </w:tc>
        <w:tc>
          <w:tcPr>
            <w:tcW w:w="3320" w:type="dxa"/>
            <w:vAlign w:val="bottom"/>
            <w:tcBorders>
              <w:bottom w:val="single" w:sz="8" w:color="DBDBDB"/>
            </w:tcBorders>
            <w:gridSpan w:val="2"/>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Performance-Based</w:t>
            </w: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380" w:type="dxa"/>
            <w:vAlign w:val="bottom"/>
            <w:tcBorders>
              <w:bottom w:val="single" w:sz="8" w:color="DBDBDB"/>
            </w:tcBorders>
            <w:gridSpan w:val="2"/>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Performance-Based</w:t>
            </w:r>
          </w:p>
        </w:tc>
      </w:tr>
      <w:tr>
        <w:trPr>
          <w:trHeight w:val="243"/>
        </w:trPr>
        <w:tc>
          <w:tcPr>
            <w:tcW w:w="1480" w:type="dxa"/>
            <w:vAlign w:val="bottom"/>
          </w:tcPr>
          <w:p>
            <w:pPr>
              <w:spacing w:after="0"/>
              <w:rPr>
                <w:sz w:val="21"/>
                <w:szCs w:val="21"/>
                <w:color w:val="auto"/>
              </w:rPr>
            </w:pPr>
          </w:p>
        </w:tc>
        <w:tc>
          <w:tcPr>
            <w:tcW w:w="41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rPr>
              <w:t>77% At Risk</w:t>
            </w:r>
          </w:p>
        </w:tc>
        <w:tc>
          <w:tcPr>
            <w:tcW w:w="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67% At Risk</w:t>
            </w:r>
          </w:p>
        </w:tc>
      </w:tr>
      <w:tr>
        <w:trPr>
          <w:trHeight w:val="405"/>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Executive Compensation Practices</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8"/>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WHAT WE DO</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b w:val="1"/>
                <w:bCs w:val="1"/>
                <w:color w:val="auto"/>
              </w:rPr>
              <w:t>WHAT WE DON’T DO</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External compensation consultant to review and advise on</w:t>
            </w:r>
          </w:p>
        </w:tc>
        <w:tc>
          <w:tcPr>
            <w:tcW w:w="5640" w:type="dxa"/>
            <w:vAlign w:val="bottom"/>
            <w:gridSpan w:val="4"/>
          </w:tcPr>
          <w:p>
            <w:pPr>
              <w:ind w:left="40"/>
              <w:spacing w:after="0"/>
              <w:rPr>
                <w:sz w:val="20"/>
                <w:szCs w:val="20"/>
                <w:color w:val="auto"/>
              </w:rPr>
            </w:pPr>
            <w:r>
              <w:rPr>
                <w:rFonts w:ascii="Arial" w:cs="Arial" w:eastAsia="Arial" w:hAnsi="Arial"/>
                <w:sz w:val="18"/>
                <w:szCs w:val="18"/>
                <w:color w:val="auto"/>
              </w:rPr>
              <w:t>û Do not engage in executive compensation practices that encourage</w:t>
            </w:r>
          </w:p>
        </w:tc>
      </w:tr>
      <w:tr>
        <w:trPr>
          <w:trHeight w:val="176"/>
        </w:trPr>
        <w:tc>
          <w:tcPr>
            <w:tcW w:w="5600" w:type="dxa"/>
            <w:vAlign w:val="bottom"/>
            <w:gridSpan w:val="4"/>
          </w:tcPr>
          <w:p>
            <w:pPr>
              <w:ind w:left="360"/>
              <w:spacing w:after="0" w:line="176" w:lineRule="exact"/>
              <w:rPr>
                <w:sz w:val="20"/>
                <w:szCs w:val="20"/>
                <w:color w:val="auto"/>
              </w:rPr>
            </w:pPr>
            <w:r>
              <w:rPr>
                <w:rFonts w:ascii="Arial" w:cs="Arial" w:eastAsia="Arial" w:hAnsi="Arial"/>
                <w:sz w:val="18"/>
                <w:szCs w:val="18"/>
                <w:color w:val="auto"/>
              </w:rPr>
              <w:t>executive compensation with annual reporting to the</w:t>
            </w:r>
          </w:p>
        </w:tc>
        <w:tc>
          <w:tcPr>
            <w:tcW w:w="22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excessive risk</w:t>
            </w:r>
          </w:p>
        </w:tc>
        <w:tc>
          <w:tcPr>
            <w:tcW w:w="16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7"/>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compensation committee</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Conduct annual proactive engagement with the compensation</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û No excessive perquisites</w:t>
            </w:r>
          </w:p>
        </w:tc>
        <w:tc>
          <w:tcPr>
            <w:tcW w:w="16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17"/>
        </w:trPr>
        <w:tc>
          <w:tcPr>
            <w:tcW w:w="5600" w:type="dxa"/>
            <w:vAlign w:val="bottom"/>
            <w:gridSpan w:val="4"/>
          </w:tcPr>
          <w:p>
            <w:pPr>
              <w:ind w:left="360"/>
              <w:spacing w:after="0"/>
              <w:rPr>
                <w:sz w:val="20"/>
                <w:szCs w:val="20"/>
                <w:color w:val="auto"/>
              </w:rPr>
            </w:pPr>
            <w:r>
              <w:rPr>
                <w:rFonts w:ascii="Arial" w:cs="Arial" w:eastAsia="Arial" w:hAnsi="Arial"/>
                <w:sz w:val="18"/>
                <w:szCs w:val="18"/>
                <w:color w:val="auto"/>
              </w:rPr>
              <w:t>committee to discuss executive pay program</w:t>
            </w: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Align pay and performance using annual and multi-year measures</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û No excise tax gross-ups</w:t>
            </w:r>
          </w:p>
        </w:tc>
        <w:tc>
          <w:tcPr>
            <w:tcW w:w="16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17"/>
        </w:trPr>
        <w:tc>
          <w:tcPr>
            <w:tcW w:w="5600" w:type="dxa"/>
            <w:vAlign w:val="bottom"/>
            <w:gridSpan w:val="4"/>
          </w:tcPr>
          <w:p>
            <w:pPr>
              <w:ind w:left="360"/>
              <w:spacing w:after="0"/>
              <w:rPr>
                <w:sz w:val="20"/>
                <w:szCs w:val="20"/>
                <w:color w:val="auto"/>
              </w:rPr>
            </w:pPr>
            <w:r>
              <w:rPr>
                <w:rFonts w:ascii="Arial" w:cs="Arial" w:eastAsia="Arial" w:hAnsi="Arial"/>
                <w:sz w:val="18"/>
                <w:szCs w:val="18"/>
                <w:color w:val="auto"/>
              </w:rPr>
              <w:t>of financial, operational, and business objectives</w:t>
            </w: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Short and long-term incentives based on clear, measurable goals</w:t>
            </w:r>
          </w:p>
        </w:tc>
        <w:tc>
          <w:tcPr>
            <w:tcW w:w="3920" w:type="dxa"/>
            <w:vAlign w:val="bottom"/>
            <w:gridSpan w:val="3"/>
          </w:tcPr>
          <w:p>
            <w:pPr>
              <w:ind w:left="40"/>
              <w:spacing w:after="0"/>
              <w:rPr>
                <w:sz w:val="20"/>
                <w:szCs w:val="20"/>
                <w:color w:val="auto"/>
              </w:rPr>
            </w:pPr>
            <w:r>
              <w:rPr>
                <w:rFonts w:ascii="Arial" w:cs="Arial" w:eastAsia="Arial" w:hAnsi="Arial"/>
                <w:sz w:val="18"/>
                <w:szCs w:val="18"/>
                <w:color w:val="auto"/>
              </w:rPr>
              <w:t>û No excessive change in control provisions</w:t>
            </w:r>
          </w:p>
        </w:tc>
        <w:tc>
          <w:tcPr>
            <w:tcW w:w="1720" w:type="dxa"/>
            <w:vAlign w:val="bottom"/>
          </w:tcPr>
          <w:p>
            <w:pPr>
              <w:spacing w:after="0"/>
              <w:rPr>
                <w:sz w:val="21"/>
                <w:szCs w:val="21"/>
                <w:color w:val="auto"/>
              </w:rPr>
            </w:pPr>
          </w:p>
        </w:tc>
      </w:tr>
      <w:tr>
        <w:trPr>
          <w:trHeight w:val="175"/>
        </w:trPr>
        <w:tc>
          <w:tcPr>
            <w:tcW w:w="5600" w:type="dxa"/>
            <w:vAlign w:val="bottom"/>
            <w:gridSpan w:val="4"/>
          </w:tcPr>
          <w:p>
            <w:pPr>
              <w:ind w:left="360"/>
              <w:spacing w:after="0" w:line="176" w:lineRule="exact"/>
              <w:rPr>
                <w:sz w:val="20"/>
                <w:szCs w:val="20"/>
                <w:color w:val="auto"/>
              </w:rPr>
            </w:pPr>
            <w:r>
              <w:rPr>
                <w:rFonts w:ascii="Arial" w:cs="Arial" w:eastAsia="Arial" w:hAnsi="Arial"/>
                <w:sz w:val="18"/>
                <w:szCs w:val="18"/>
                <w:color w:val="auto"/>
              </w:rPr>
              <w:t>tied to key financial and operational metrics that drive current and</w:t>
            </w: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7"/>
        </w:trPr>
        <w:tc>
          <w:tcPr>
            <w:tcW w:w="5600" w:type="dxa"/>
            <w:vAlign w:val="bottom"/>
            <w:gridSpan w:val="4"/>
          </w:tcPr>
          <w:p>
            <w:pPr>
              <w:ind w:left="360"/>
              <w:spacing w:after="0"/>
              <w:rPr>
                <w:sz w:val="20"/>
                <w:szCs w:val="20"/>
                <w:color w:val="auto"/>
              </w:rPr>
            </w:pPr>
            <w:r>
              <w:rPr>
                <w:rFonts w:ascii="Arial" w:cs="Arial" w:eastAsia="Arial" w:hAnsi="Arial"/>
                <w:sz w:val="18"/>
                <w:szCs w:val="18"/>
                <w:color w:val="auto"/>
              </w:rPr>
              <w:t>future business performance and value creation</w:t>
            </w: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Place maximum caps on incentive payouts consistent with market</w:t>
            </w:r>
          </w:p>
        </w:tc>
        <w:tc>
          <w:tcPr>
            <w:tcW w:w="3920" w:type="dxa"/>
            <w:vAlign w:val="bottom"/>
            <w:gridSpan w:val="3"/>
          </w:tcPr>
          <w:p>
            <w:pPr>
              <w:ind w:left="40"/>
              <w:spacing w:after="0"/>
              <w:rPr>
                <w:sz w:val="20"/>
                <w:szCs w:val="20"/>
                <w:color w:val="auto"/>
              </w:rPr>
            </w:pPr>
            <w:r>
              <w:rPr>
                <w:rFonts w:ascii="Arial" w:cs="Arial" w:eastAsia="Arial" w:hAnsi="Arial"/>
                <w:sz w:val="18"/>
                <w:szCs w:val="18"/>
                <w:color w:val="auto"/>
              </w:rPr>
              <w:t>û No deferred compensation offerings</w:t>
            </w:r>
          </w:p>
        </w:tc>
        <w:tc>
          <w:tcPr>
            <w:tcW w:w="1720" w:type="dxa"/>
            <w:vAlign w:val="bottom"/>
          </w:tcPr>
          <w:p>
            <w:pPr>
              <w:spacing w:after="0"/>
              <w:rPr>
                <w:sz w:val="21"/>
                <w:szCs w:val="21"/>
                <w:color w:val="auto"/>
              </w:rPr>
            </w:pPr>
          </w:p>
        </w:tc>
      </w:tr>
      <w:tr>
        <w:trPr>
          <w:trHeight w:val="217"/>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competitive practice</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67" w:lineRule="exact"/>
        <w:rPr>
          <w:sz w:val="20"/>
          <w:szCs w:val="20"/>
          <w:color w:val="auto"/>
        </w:rPr>
      </w:pPr>
    </w:p>
    <w:p>
      <w:pPr>
        <w:ind w:left="180" w:hanging="154"/>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 a clawback in all incentive compensation</w:t>
      </w:r>
    </w:p>
    <w:p>
      <w:pPr>
        <w:spacing w:after="0" w:line="76" w:lineRule="exact"/>
        <w:rPr>
          <w:rFonts w:ascii="Arial" w:cs="Arial" w:eastAsia="Arial" w:hAnsi="Arial"/>
          <w:sz w:val="18"/>
          <w:szCs w:val="18"/>
          <w:color w:val="auto"/>
        </w:rPr>
      </w:pPr>
    </w:p>
    <w:p>
      <w:pPr>
        <w:ind w:left="180" w:hanging="154"/>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Double-trigger change in control agreements</w:t>
      </w:r>
    </w:p>
    <w:p>
      <w:pPr>
        <w:spacing w:after="0" w:line="76" w:lineRule="exact"/>
        <w:rPr>
          <w:rFonts w:ascii="Arial" w:cs="Arial" w:eastAsia="Arial" w:hAnsi="Arial"/>
          <w:sz w:val="18"/>
          <w:szCs w:val="18"/>
          <w:color w:val="auto"/>
        </w:rPr>
      </w:pPr>
    </w:p>
    <w:p>
      <w:pPr>
        <w:ind w:left="360" w:right="5680" w:hanging="334"/>
        <w:spacing w:after="0" w:line="219" w:lineRule="auto"/>
        <w:tabs>
          <w:tab w:leader="none" w:pos="1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Thoughtfully selected peer group consisting of other aerospace and defense firms as well as other mid/large-cap companies in related industries with annual compensation committee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60"/>
          </w:cols>
          <w:pgMar w:left="320" w:top="1440" w:right="319" w:bottom="1440" w:gutter="0" w:footer="0" w:header="0"/>
        </w:sectPr>
      </w:pPr>
    </w:p>
    <w:bookmarkStart w:id="144" w:name="page145"/>
    <w:bookmarkEnd w:id="14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PROCESS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93" w:lineRule="exact"/>
        <w:rPr>
          <w:sz w:val="20"/>
          <w:szCs w:val="20"/>
          <w:color w:val="auto"/>
        </w:rPr>
      </w:pPr>
    </w:p>
    <w:p>
      <w:pPr>
        <w:ind w:firstLine="324"/>
        <w:spacing w:after="0" w:line="278" w:lineRule="auto"/>
        <w:rPr>
          <w:sz w:val="20"/>
          <w:szCs w:val="20"/>
          <w:color w:val="auto"/>
        </w:rPr>
      </w:pPr>
      <w:r>
        <w:rPr>
          <w:rFonts w:ascii="Arial" w:cs="Arial" w:eastAsia="Arial" w:hAnsi="Arial"/>
          <w:sz w:val="17"/>
          <w:szCs w:val="17"/>
          <w:color w:val="auto"/>
        </w:rPr>
        <w:t>The board of directors has delegated its authority to the compensation committee for certain compensation related matters. The compensation committee approves and is actively engaged in the design and implementation of the Company’s executive compensation program, with the support of the compensation consultant and Company management. In performing its duties, the compensation committee:</w:t>
      </w:r>
    </w:p>
    <w:p>
      <w:pPr>
        <w:spacing w:after="0" w:line="13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Oversees the administration of the Company’s executive compensation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Reviews, determines and approves the compensation levels for all NEOs annually.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Receives advice from Willis Towers Watson, the Company’s compensation consultant.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Reviews peer group and benchmarking data and other survey input from the compensation consultant.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Evaluates the competitiveness of each executive officer’s total compensation package.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Oversees and approves the cost and design of the Company’s retirement plans.</w:t>
      </w:r>
    </w:p>
    <w:p>
      <w:pPr>
        <w:spacing w:after="0" w:line="171"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Reviews and approves the individual and Company annual and long-term goals and objectives for the NEOs, evaluates the Company’s strategic, financial, and operational performance against those goals and objectives, and determines and approves all annual and long-term compensation earned by the NEOs based on this evaluation.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Reviews competitiveness and business fit of overall executive compensation plans, philosophies, and policies.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9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Company retains Willis Towers Watson as its compensation consultant to provide advice on executive compensation matters. The role of the compensation consultant includes:</w:t>
      </w:r>
    </w:p>
    <w:p>
      <w:pPr>
        <w:spacing w:after="0" w:line="144"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Provides information on competitive market data in general executive compensation as it impacts NEOs.</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consultation with management, develops peer group proxy data and provides survey data from likely sources of competition for executive talent to assess competitive levels and target positioning.</w:t>
      </w:r>
    </w:p>
    <w:p>
      <w:pPr>
        <w:spacing w:after="0" w:line="143"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Reviews and advises the compensation committee on executive compensation philosophy and programs, pay and performance alignment, and program design.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Identifies market trends and practices and advises the compensation committee on program design implications.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Advises compensation committee on other topics as the compensation committee deems appropriate.</w:t>
      </w:r>
    </w:p>
    <w:p>
      <w:pPr>
        <w:spacing w:after="0" w:line="17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Company retained Willis Towers Watson to provide perspectives about market practices for executive compensation, peer Company analysis and selection, the levels and structure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compensation program and compensation governance. During 2020, Willis Towers Watson performed the following specific services:</w:t>
      </w:r>
    </w:p>
    <w:p>
      <w:pPr>
        <w:spacing w:after="0" w:line="171" w:lineRule="exact"/>
        <w:rPr>
          <w:sz w:val="20"/>
          <w:szCs w:val="20"/>
          <w:color w:val="auto"/>
        </w:rPr>
      </w:pPr>
    </w:p>
    <w:p>
      <w:pPr>
        <w:ind w:left="660" w:right="40" w:hanging="328"/>
        <w:spacing w:after="0" w:line="261"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Attended compensation committee meeting held in January for review and discussion of the compensation processes and to present the market benchmarking analysis.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Provided regulatory education to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Provided information and advice relating to executive compensation matters.</w:t>
      </w:r>
    </w:p>
    <w:p>
      <w:pPr>
        <w:spacing w:after="0" w:line="17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Willis Towers Watson also provided communication services and consulting and broker services to the Company in 2020. In 2020, the Company paid fees to Willis Towers Watson for its services as a compensation consultant of approximately $147,000, for its communication services of approximately $102,500 and for its consulting and broker services of approximately $390,000.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Company’s chief executive officer evaluates the performance of other NEOs and makes recommendations to the compensation committee regarding base salary, annual compensation targets, and long-term cash incentive compensation targets for the NEOs other than himself. Other members of the Company’s management, including the chief financial officer; chief operating officer; general counsel; and senior vice president, human resources, make recommendations to the chief executive officer regarding annual and long-term incentive plan design and performance metrics, provide NEO analysis in collaboration with the compensation consultant and provide information and recommendations regarding board of director pay with guidance from the compensation consultant.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Competitive Compensation Data</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demonstrate our commitment to aligning compensation with Company performance by strongly linking compensation to the strategic, financial and operational performance of the Company. The Company generally targets NEO total direct compensation at or around the median percentile of the peer group by component, although we do not target a specific level and give consideration to a number of other factors including level of responsibility, position held, job performance, years of experience in the position, internal pay equity, and market value. Realized compensation from other factors of wealth accumulation are not considered in setting current compensation levels. Our program provides for above-median pay for above-median performance and below-median pay for below-median performance. To the extent total compensation exceeds targeted levels, it is directly attributable to performance that increases Company value and exceeds measurable, clearly defined performance goals. Conversely, total compensation can be substantially less than target for performance that falls significantly short of pre-established targets.</w:t>
      </w:r>
    </w:p>
    <w:p>
      <w:pPr>
        <w:spacing w:after="0" w:line="158"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The compensation committee analyzed competitive market data utilizing peer group and industry survey data when evaluating NEO compensation levels. The peer group is representative of competitors within similar markets and industries and with comparable annual revenue. Peer group performance is a key relative measure for the Company’s annual incentive plan and performance-based LTIP metrics. The compensation committee, with guidance from Willis Towers Watson and management, used a 2019 peer group consisting of the following 16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Revenue</w:t>
            </w:r>
          </w:p>
        </w:tc>
        <w:tc>
          <w:tcPr>
            <w:tcW w:w="16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Employee</w:t>
            </w:r>
          </w:p>
        </w:tc>
        <w:tc>
          <w:tcPr>
            <w:tcW w:w="220" w:type="dxa"/>
            <w:vAlign w:val="bottom"/>
          </w:tcPr>
          <w:p>
            <w:pPr>
              <w:spacing w:after="0"/>
              <w:rPr>
                <w:sz w:val="14"/>
                <w:szCs w:val="14"/>
                <w:color w:val="auto"/>
              </w:rPr>
            </w:pPr>
          </w:p>
        </w:tc>
        <w:tc>
          <w:tcPr>
            <w:tcW w:w="1360" w:type="dxa"/>
            <w:vAlign w:val="bottom"/>
          </w:tcPr>
          <w:p>
            <w:pPr>
              <w:jc w:val="center"/>
              <w:ind w:right="133"/>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35"/>
        </w:trPr>
        <w:tc>
          <w:tcPr>
            <w:tcW w:w="62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Peer Group Companies</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33"/>
              <w:spacing w:after="0" w:line="135" w:lineRule="exact"/>
              <w:rPr>
                <w:sz w:val="20"/>
                <w:szCs w:val="20"/>
                <w:color w:val="auto"/>
              </w:rPr>
            </w:pPr>
            <w:r>
              <w:rPr>
                <w:rFonts w:ascii="Arial" w:cs="Arial" w:eastAsia="Arial" w:hAnsi="Arial"/>
                <w:sz w:val="14"/>
                <w:szCs w:val="14"/>
                <w:b w:val="1"/>
                <w:bCs w:val="1"/>
                <w:color w:val="auto"/>
              </w:rPr>
              <w:t>Capitalization</w:t>
            </w:r>
          </w:p>
        </w:tc>
        <w:tc>
          <w:tcPr>
            <w:tcW w:w="0" w:type="dxa"/>
            <w:vAlign w:val="bottom"/>
          </w:tcPr>
          <w:p>
            <w:pPr>
              <w:spacing w:after="0"/>
              <w:rPr>
                <w:sz w:val="1"/>
                <w:szCs w:val="1"/>
                <w:color w:val="auto"/>
              </w:rPr>
            </w:pPr>
          </w:p>
        </w:tc>
      </w:tr>
      <w:tr>
        <w:trPr>
          <w:trHeight w:val="175"/>
        </w:trPr>
        <w:tc>
          <w:tcPr>
            <w:tcW w:w="62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Population</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AAR Corp.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Aerojet Rocketdyne Holdings,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1,895.9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3,409.7</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CACI International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5,885.1</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Crane Co.</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3,345.5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4,968.7</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Cubic Corporation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2,302.1</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Curtiss-Wright Corporation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5,962.8</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FLIR Systems,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7,145.0</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ManTech International Corporation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1,958.6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3,225.8</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Moog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3,031.3</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QinetiQ Group plc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1,912.3</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SAIC,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4,863.1</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Teledyne Technologies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2,901.8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12,635.5</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Triumph Group,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Unisys Corporation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2,825.0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Viasat,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4,540.1</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Woodward,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2,900.2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6,888.4</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Leonardo DRS,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2,714.0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n/a</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Note: Data from Standard &amp; Poor’s Capital IQ database and reflects the 2018 fiscal year.</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Engility Holdings, Inc. was acquired by SAIC, Inc. in 2019.</w:t>
      </w:r>
    </w:p>
    <w:p>
      <w:pPr>
        <w:spacing w:after="0" w:line="107"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For purposes of evaluating market pay for 2020, an alternative peer group for benchmarking purposes was used as a source of supplemental information for the chief executive officer position only, utilizing the Division President level of larger aerospace and defense companies. This additional peer group consisted of BAE Systems Plc, The Boeing Company, General Dynamics Corporation, Honeywell International, Inc., Huntington Ingalls Industries, Inc., L3Harris Technologies, Inc., Leidos Holdings, Inc., Lockheed Martin Corporation, Northrop Grumman Corporation, Raytheon Company, and United Technologies 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 PROGRAM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goal of our base salary is to provide a competitive, fixed rate of cash compensation. Base salaries are reviewed annually, and increases, when they occur, are driven primarily by changes in the market. For 2020, we adjusted the salaries for all of our NEOs. We believe that organizations perform well over the long term when they make an effort to pay salaries at or near the market median and create opportunities for executives to earn above-median compensation through annual and long-term incentives that are awarded based on performance relative to challenging and clear performance goals. The base salary earned by each NEO was: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4"/>
                <w:szCs w:val="14"/>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Base Salary</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William J. Lynn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1,134,558</w:t>
            </w:r>
          </w:p>
        </w:tc>
      </w:tr>
      <w:tr>
        <w:trPr>
          <w:trHeight w:val="243"/>
        </w:trPr>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John Baylouny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475,000</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Mike Dippold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r>
      <w:tr>
        <w:trPr>
          <w:trHeight w:val="243"/>
        </w:trPr>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Mark Dorfman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418,000</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Sally Wallace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428,000</w:t>
            </w: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NEOs were eligible to earn an annual cash incentive award under our Incentive Compensation Plan (the “ICP”) for performance in 2020. The ICP is designed to make a significant portion of each NEO’s total cash compensation contingent upon the successful achievement of certain annual company financial and individual strategic and operational goals. For that reason, 75% of the NEOs’ annual incentive target is tied to financial performance, while the remaining 25% is tied to significant individual strategic and operational goals. The incentive received is based on both Company and individual performance against specific, measurable goals established at the beginning of the year and approved by the compensation committee. For individual performance, the chief executive officer assesses the other NEOs’ individual contributions, and the compensation committee assesses and approves the chief executive officer’s contributions and approves the chief executive officer’s assessment of each NEO’s contributions.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Targets for Annual Incentive</w:t>
      </w:r>
    </w:p>
    <w:p>
      <w:pPr>
        <w:spacing w:after="0" w:line="18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Each NEO’s target annual incentive, as a percentage of base salary, was determined during our annual compensation benchmarking process and is generally designed to provide total cash compensation at or around the market median and balances other considerations such as Company performance, complexity of the role, length of service, future expected contributions, and impact to the Company’s annual growth and profitability. Consistent with peer and market practice, the maximum incentive award that can be earned under the ICP is two times the target amount. For performance that falls significantly short of the pre-established target, there may be no payout.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Target Incentive (% of</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Maximum Incentive</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96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Base)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Target Incentive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of Base)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Maximum Incentive $</w:t>
            </w: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J. Lynn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1,134,558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1,248,014</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2,496,028</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John Baylouny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356,250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712,500</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Mike Dippold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595,000</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Mark Dorfman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271,700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543,400</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278,200</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556,400</w:t>
            </w:r>
          </w:p>
        </w:tc>
      </w:tr>
      <w:tr>
        <w:trPr>
          <w:trHeight w:val="27"/>
        </w:trPr>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Metrics for Annual Incentive</w:t>
      </w:r>
    </w:p>
    <w:p>
      <w:pPr>
        <w:spacing w:after="0" w:line="189"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For 2020, the annual incentive for each NEO was determined based on two categories of performance metrics: four equally weighted financial metrics totaling 75% of the award opportunity; and individual strategic and operational goals, both strategic and operational, weighted at 25% of the award opportunity. At the beginning of 2020, the Company performance objectives were approved by the compensation committee to align our annual operating plan, reflect the Company’s strategic plan, and to ensure challenging goal-setting. Individual strategic and operational goals were developed independently between the respective NEO and chief executive officer. The individual strategic and operational goals for the chief executive officer’s annual incentive were developed by the chief executive officer and presented to the compensation committee for consideration and approval. All goals are tied to strategic business needs for the coming year and are pushed down through the organization to align all incentive pay participants with Company goals and objectives. The compensation committee determines the final payout by considering the NEOs’ achievements and contributions during the year as well as Company performance, market conditions and difficulty of achieving the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Financial and Individual Performance Targets and Achievement for Annual Incentive</w:t>
      </w:r>
    </w:p>
    <w:p>
      <w:pPr>
        <w:spacing w:after="0" w:line="189"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u w:val="single" w:color="auto"/>
          <w:color w:val="auto"/>
        </w:rPr>
        <w:t>Financial Performance Metric</w:t>
      </w:r>
      <w:r>
        <w:rPr>
          <w:rFonts w:ascii="Arial" w:cs="Arial" w:eastAsia="Arial" w:hAnsi="Arial"/>
          <w:sz w:val="18"/>
          <w:szCs w:val="18"/>
          <w:color w:val="auto"/>
        </w:rPr>
        <w:t>. Each financial performance metric is weighted equally at 25%, with the performance thresholds and payout ranges shown in the table below and no payout earned for performance below the minimum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92075</wp:posOffset>
            </wp:positionV>
            <wp:extent cx="4286250" cy="900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2020 Company financial performance objectives are set forth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Performance Metric</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Target (in</w:t>
            </w:r>
          </w:p>
        </w:tc>
        <w:tc>
          <w:tcPr>
            <w:tcW w:w="220" w:type="dxa"/>
            <w:vAlign w:val="bottom"/>
          </w:tcPr>
          <w:p>
            <w:pPr>
              <w:spacing w:after="0"/>
              <w:rPr>
                <w:sz w:val="14"/>
                <w:szCs w:val="14"/>
                <w:color w:val="auto"/>
              </w:rPr>
            </w:pPr>
          </w:p>
        </w:tc>
        <w:tc>
          <w:tcPr>
            <w:tcW w:w="1340" w:type="dxa"/>
            <w:vAlign w:val="bottom"/>
          </w:tcPr>
          <w:p>
            <w:pPr>
              <w:jc w:val="right"/>
              <w:ind w:right="236"/>
              <w:spacing w:after="0"/>
              <w:rPr>
                <w:sz w:val="20"/>
                <w:szCs w:val="20"/>
                <w:color w:val="auto"/>
              </w:rPr>
            </w:pPr>
            <w:r>
              <w:rPr>
                <w:rFonts w:ascii="Arial" w:cs="Arial" w:eastAsia="Arial" w:hAnsi="Arial"/>
                <w:sz w:val="14"/>
                <w:szCs w:val="14"/>
                <w:b w:val="1"/>
                <w:bCs w:val="1"/>
                <w:color w:val="auto"/>
              </w:rPr>
              <w:t>Maximum ( in</w:t>
            </w:r>
          </w:p>
        </w:tc>
        <w:tc>
          <w:tcPr>
            <w:tcW w:w="0" w:type="dxa"/>
            <w:vAlign w:val="bottom"/>
          </w:tcPr>
          <w:p>
            <w:pPr>
              <w:spacing w:after="0"/>
              <w:rPr>
                <w:sz w:val="1"/>
                <w:szCs w:val="1"/>
                <w:color w:val="auto"/>
              </w:rPr>
            </w:pPr>
          </w:p>
        </w:tc>
      </w:tr>
      <w:tr>
        <w:trPr>
          <w:trHeight w:val="202"/>
        </w:trPr>
        <w:tc>
          <w:tcPr>
            <w:tcW w:w="4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Weighting</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Minimum (in millions)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millions)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63"/>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Bookings</w:t>
            </w:r>
            <w:r>
              <w:rPr>
                <w:rFonts w:ascii="Arial" w:cs="Arial" w:eastAsia="Arial" w:hAnsi="Arial"/>
                <w:sz w:val="23"/>
                <w:szCs w:val="23"/>
                <w:color w:val="auto"/>
                <w:vertAlign w:val="superscript"/>
              </w:rPr>
              <w:t>(2)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7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(3)</w:t>
            </w:r>
          </w:p>
        </w:tc>
        <w:tc>
          <w:tcPr>
            <w:tcW w:w="17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2,520.00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2,800.0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EBITA</w:t>
            </w:r>
            <w:r>
              <w:rPr>
                <w:rFonts w:ascii="Arial" w:cs="Arial" w:eastAsia="Arial" w:hAnsi="Arial"/>
                <w:sz w:val="23"/>
                <w:szCs w:val="23"/>
                <w:color w:val="auto"/>
                <w:vertAlign w:val="superscript"/>
              </w:rPr>
              <w:t>(4)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0" w:type="dxa"/>
            <w:vAlign w:val="bottom"/>
          </w:tcPr>
          <w:p>
            <w:pPr>
              <w:spacing w:after="0"/>
              <w:rPr>
                <w:sz w:val="1"/>
                <w:szCs w:val="1"/>
                <w:color w:val="auto"/>
              </w:rPr>
            </w:pPr>
          </w:p>
        </w:tc>
      </w:tr>
      <w:tr>
        <w:trPr>
          <w:trHeight w:val="272"/>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(5)</w:t>
            </w:r>
          </w:p>
        </w:tc>
        <w:tc>
          <w:tcPr>
            <w:tcW w:w="17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780" w:hanging="332"/>
        <w:spacing w:after="0" w:line="246"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Targets calculated in accordance with International Financial Reporting Standards (IFRS). The Company used IFRS as its principal method of accounting.</w:t>
      </w:r>
    </w:p>
    <w:p>
      <w:pPr>
        <w:ind w:left="340" w:right="60" w:hanging="332"/>
        <w:spacing w:after="0" w:line="246"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“Bookings” is calculated as the total value of contract awards received from the U.S. government for which it has appropriated funds and legally obligated such funds to the Company through a contract or purchase order, plus the value of contract awards and orders received from customers other than the U.S. government.</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purposes of the ICP, Revenue is calculated as the revenue results achieved during 2020 as reported in the Company’s audited financials.</w:t>
      </w:r>
    </w:p>
    <w:p>
      <w:pPr>
        <w:spacing w:after="0" w:line="5" w:lineRule="exact"/>
        <w:rPr>
          <w:rFonts w:ascii="Arial" w:cs="Arial" w:eastAsia="Arial" w:hAnsi="Arial"/>
          <w:sz w:val="16"/>
          <w:szCs w:val="16"/>
          <w:color w:val="auto"/>
        </w:rPr>
      </w:pPr>
    </w:p>
    <w:p>
      <w:pPr>
        <w:ind w:left="340" w:right="280" w:hanging="332"/>
        <w:spacing w:after="0" w:line="246"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Adjusted EBITA is calculated as our net earnings before income taxes, amortization of acquired intangible assets, restructuring costs, interest, transaction costs related to this offering, acquisition and divestiture related expenses, foreign exchange, non-service pension expenditures and other one-time non-operational events.</w:t>
      </w:r>
    </w:p>
    <w:p>
      <w:pPr>
        <w:spacing w:after="0" w:line="1" w:lineRule="exact"/>
        <w:rPr>
          <w:rFonts w:ascii="Arial" w:cs="Arial" w:eastAsia="Arial" w:hAnsi="Arial"/>
          <w:sz w:val="16"/>
          <w:szCs w:val="16"/>
          <w:color w:val="auto"/>
        </w:rPr>
      </w:pPr>
    </w:p>
    <w:p>
      <w:pPr>
        <w:ind w:left="340" w:right="200" w:hanging="332"/>
        <w:spacing w:after="0" w:line="260"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“Free Cash Flow” is calculated as cash flows provided by operating activities and the cash flows provided by (used in) investing activities pertaining to capital expenditures and proceeds generated from the sale of assets.</w:t>
      </w:r>
    </w:p>
    <w:p>
      <w:pPr>
        <w:spacing w:after="0" w:line="13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ICP financial performance objectives were subject to adjustment by the compensation committee, as recommended by the chief executive officer, for any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acquisitions or divestitures; foreign exchange gains and losses; a change in the Company’s fiscal year; and any other nonrecurring events. The chief executive officer, with the approval of the compensation committee, had the discretion to determine that no award would be earned by a participant if the Company’s Adjusted EBITA for the year did not exceed 50% of the Adjusted EBITA target established for the 2020 ICP.</w:t>
      </w:r>
    </w:p>
    <w:p>
      <w:pPr>
        <w:spacing w:after="0" w:line="15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u w:val="single" w:color="auto"/>
          <w:color w:val="auto"/>
        </w:rPr>
        <w:t>Individual Performance Objectives (25% of Incentive Opportunity)</w:t>
      </w:r>
      <w:r>
        <w:rPr>
          <w:rFonts w:ascii="Arial" w:cs="Arial" w:eastAsia="Arial" w:hAnsi="Arial"/>
          <w:sz w:val="18"/>
          <w:szCs w:val="18"/>
          <w:color w:val="auto"/>
        </w:rPr>
        <w:t>. The individual strategic and operational goals are specific, measurable goals, can be quantitative or more subjective, and are evaluated based on their relative importance to the strategic and operational performance, solid execution, and success of the Company. The chief executive officer provides a goal rating from 0% to 200% for each of the other NEO’s individual strategic and operational goals, and the goal ratings are averaged to determine each NEO’s overall goal rating. The compensation committee is presented with each NEO’s achievement of his or her individual strategic and operational goals, and the overall goal rating for review and approval. For the chief executive officer, the compensation committee reviews the individual strategic and operational goal performance, and approves an overall goal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u w:val="single" w:color="auto"/>
          <w:color w:val="auto"/>
        </w:rPr>
        <w:t>Earned Awards</w:t>
      </w:r>
      <w:r>
        <w:rPr>
          <w:rFonts w:ascii="Arial" w:cs="Arial" w:eastAsia="Arial" w:hAnsi="Arial"/>
          <w:sz w:val="18"/>
          <w:szCs w:val="18"/>
          <w:color w:val="auto"/>
        </w:rPr>
        <w:t>. In January 2021, the level at which each of the NEOs earned the award opportunity under the ICP was recommended by the chief executive officer (for NEOs other than the chief executive officer) and approved by the compensation committee, and determined by the compensation committee for the chief executive officer. The 2020 ICP awards were paid in March 2021.</w:t>
      </w:r>
    </w:p>
    <w:p>
      <w:pPr>
        <w:spacing w:after="0" w:line="14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chief executive officer, with compensation committee consent, has the ability to apply an additional factor to the ICP earned award for the other NEOs, referred to as a discretionary factor, which is an increase or decrease to an ICP earned award. The discretionary factor adjusts the ICP earned award under the ICP performance objectives (Company and individual) for an NEO when there is outstanding performance, or when an NEO has fallen short of expectations in the plan year. The compensation committee has the sole authority to apply a discretionary factor to the chief executive officer’s ICP earned award.</w:t>
      </w:r>
    </w:p>
    <w:p>
      <w:pPr>
        <w:spacing w:after="0" w:line="15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7"/>
          <w:szCs w:val="17"/>
          <w:color w:val="auto"/>
        </w:rPr>
        <w:t>The compensation committee approved the final ICP earned award for each of the NEOs, based on Company and individual performance, and any discretionary factor. In no event may the ICP final earned award exceed 200% of the NEO’s target award opportunity.</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Incentive Performance Achievement</w:t>
      </w:r>
    </w:p>
    <w:p>
      <w:pPr>
        <w:spacing w:after="0" w:line="18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u w:val="single" w:color="auto"/>
          <w:color w:val="auto"/>
        </w:rPr>
        <w:t>Company Performance (75% of Incentive Opportunity)</w:t>
      </w:r>
      <w:r>
        <w:rPr>
          <w:rFonts w:ascii="Arial" w:cs="Arial" w:eastAsia="Arial" w:hAnsi="Arial"/>
          <w:sz w:val="18"/>
          <w:szCs w:val="18"/>
          <w:color w:val="auto"/>
        </w:rPr>
        <w:t>. The compensation committee determined that the achieved ICP company performance objectives for 2020 were as follows, reflecting above-target achievement of bookings, slightly below target level achievement of revenue, and below minimum level achievement of the Adjusted EBITA and free cash flow metrics: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Actual 2020</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2000" w:type="dxa"/>
            <w:vAlign w:val="bottom"/>
            <w:gridSpan w:val="2"/>
          </w:tcPr>
          <w:p>
            <w:pPr>
              <w:ind w:left="520"/>
              <w:spacing w:after="0"/>
              <w:rPr>
                <w:sz w:val="20"/>
                <w:szCs w:val="20"/>
                <w:color w:val="auto"/>
              </w:rPr>
            </w:pPr>
            <w:r>
              <w:rPr>
                <w:rFonts w:ascii="Arial" w:cs="Arial" w:eastAsia="Arial" w:hAnsi="Arial"/>
                <w:sz w:val="14"/>
                <w:szCs w:val="14"/>
                <w:b w:val="1"/>
                <w:bCs w:val="1"/>
                <w:color w:val="auto"/>
              </w:rPr>
              <w:t>Performance</w:t>
            </w:r>
          </w:p>
        </w:tc>
        <w:tc>
          <w:tcPr>
            <w:tcW w:w="18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2020 Plan (in</w:t>
            </w:r>
          </w:p>
        </w:tc>
        <w:tc>
          <w:tcPr>
            <w:tcW w:w="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Performance (in</w:t>
            </w: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 Performance</w:t>
            </w: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ICP Performance</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ind w:right="355"/>
              <w:spacing w:after="0"/>
              <w:rPr>
                <w:sz w:val="20"/>
                <w:szCs w:val="20"/>
                <w:color w:val="auto"/>
              </w:rPr>
            </w:pPr>
            <w:r>
              <w:rPr>
                <w:rFonts w:ascii="Arial" w:cs="Arial" w:eastAsia="Arial" w:hAnsi="Arial"/>
                <w:sz w:val="14"/>
                <w:szCs w:val="14"/>
                <w:b w:val="1"/>
                <w:bCs w:val="1"/>
                <w:color w:val="auto"/>
              </w:rPr>
              <w:t>Weighted</w:t>
            </w:r>
          </w:p>
        </w:tc>
      </w:tr>
      <w:tr>
        <w:trPr>
          <w:trHeight w:val="203"/>
        </w:trPr>
        <w:tc>
          <w:tcPr>
            <w:tcW w:w="19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Objective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millions)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8"/>
              <w:spacing w:after="0" w:line="202" w:lineRule="exact"/>
              <w:rPr>
                <w:sz w:val="20"/>
                <w:szCs w:val="20"/>
                <w:color w:val="auto"/>
              </w:rPr>
            </w:pPr>
            <w:r>
              <w:rPr>
                <w:rFonts w:ascii="Arial" w:cs="Arial" w:eastAsia="Arial" w:hAnsi="Arial"/>
                <w:sz w:val="14"/>
                <w:szCs w:val="14"/>
                <w:b w:val="1"/>
                <w:bCs w:val="1"/>
                <w:color w:val="auto"/>
                <w:w w:val="99"/>
              </w:rPr>
              <w:t>millions)</w:t>
            </w:r>
            <w:r>
              <w:rPr>
                <w:rFonts w:ascii="Arial" w:cs="Arial" w:eastAsia="Arial" w:hAnsi="Arial"/>
                <w:sz w:val="18"/>
                <w:szCs w:val="18"/>
                <w:b w:val="1"/>
                <w:bCs w:val="1"/>
                <w:color w:val="auto"/>
                <w:w w:val="99"/>
                <w:vertAlign w:val="superscript"/>
              </w:rPr>
              <w:t>1</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Achieved</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96"/>
              <w:spacing w:after="0" w:line="202" w:lineRule="exact"/>
              <w:rPr>
                <w:sz w:val="20"/>
                <w:szCs w:val="20"/>
                <w:color w:val="auto"/>
              </w:rPr>
            </w:pPr>
            <w:r>
              <w:rPr>
                <w:rFonts w:ascii="Arial" w:cs="Arial" w:eastAsia="Arial" w:hAnsi="Arial"/>
                <w:sz w:val="14"/>
                <w:szCs w:val="14"/>
                <w:b w:val="1"/>
                <w:bCs w:val="1"/>
                <w:color w:val="auto"/>
              </w:rPr>
              <w:t>Factor</w:t>
            </w:r>
            <w:r>
              <w:rPr>
                <w:rFonts w:ascii="Arial" w:cs="Arial" w:eastAsia="Arial" w:hAnsi="Arial"/>
                <w:sz w:val="18"/>
                <w:szCs w:val="18"/>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Weighting</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rPr>
              <w:t>Performance Factor</w:t>
            </w:r>
            <w:r>
              <w:rPr>
                <w:rFonts w:ascii="Arial" w:cs="Arial" w:eastAsia="Arial" w:hAnsi="Arial"/>
                <w:sz w:val="18"/>
                <w:szCs w:val="18"/>
                <w:b w:val="1"/>
                <w:bCs w:val="1"/>
                <w:color w:val="auto"/>
                <w:vertAlign w:val="superscript"/>
              </w:rPr>
              <w:t>(3)</w:t>
            </w:r>
          </w:p>
        </w:tc>
      </w:tr>
      <w:tr>
        <w:trPr>
          <w:trHeight w:val="24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EBITA</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1"/>
                <w:szCs w:val="21"/>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19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3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Financial Performance Achievement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191"/>
        </w:trPr>
        <w:tc>
          <w:tcPr>
            <w:tcW w:w="1920" w:type="dxa"/>
            <w:vAlign w:val="bottom"/>
          </w:tcPr>
          <w:p>
            <w:pP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bl>
    <w:p>
      <w:pPr>
        <w:ind w:left="320" w:hanging="312"/>
        <w:spacing w:after="0"/>
        <w:tabs>
          <w:tab w:leader="none" w:pos="3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Actual performance was calculated in accordance with IFRS. The company used IFRS as its principal method of accounting.</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After the Percentage of Performance Achieved is calculated for each metric, an interpolation table is used to determine the ICP Performance Factor.</w:t>
      </w:r>
    </w:p>
    <w:p>
      <w:pPr>
        <w:spacing w:after="0" w:line="5" w:lineRule="exact"/>
        <w:rPr>
          <w:rFonts w:ascii="Arial" w:cs="Arial" w:eastAsia="Arial" w:hAnsi="Arial"/>
          <w:sz w:val="16"/>
          <w:szCs w:val="16"/>
          <w:color w:val="auto"/>
        </w:rPr>
      </w:pPr>
    </w:p>
    <w:p>
      <w:pPr>
        <w:ind w:left="340" w:right="660" w:hanging="332"/>
        <w:spacing w:after="0" w:line="253" w:lineRule="auto"/>
        <w:tabs>
          <w:tab w:leader="none" w:pos="25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Weighted Performance Factor is calculated for each metric based on applying the Weighting to the ICP Performance Factor. The Financial Performance Achievement is the total of the Weighted Performance Factors, and is used along with the Individual Performance Achievement to determine the Calculated Award.</w:t>
      </w:r>
    </w:p>
    <w:p>
      <w:pPr>
        <w:spacing w:after="0" w:line="144"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u w:val="single" w:color="auto"/>
          <w:color w:val="auto"/>
        </w:rPr>
        <w:t>Individual Performance (25% of Incentive Opportunity)</w:t>
      </w:r>
      <w:r>
        <w:rPr>
          <w:rFonts w:ascii="Arial" w:cs="Arial" w:eastAsia="Arial" w:hAnsi="Arial"/>
          <w:sz w:val="18"/>
          <w:szCs w:val="18"/>
          <w:color w:val="auto"/>
        </w:rPr>
        <w:t>. The individual strategic and operational goals for each NEO were designed to reflect the significant individual performance expectations for the NEO and reward notable achievements that exceeded expectations. Each NEO is expected to contribute to the financial performance of the Company beyond that specifically recognized in the financial performance metrics listed in the table above. The NEO’s results of their individual strategic and operational goals were taken into consideration by the compensation committee to determine the individual performance achievement. for each NEO and are reflected in the level at which the individual performance metric was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640" w:type="dxa"/>
            <w:vAlign w:val="bottom"/>
            <w:tcBorders>
              <w:top w:val="single" w:sz="8" w:color="auto"/>
              <w:left w:val="single" w:sz="8" w:color="auto"/>
              <w:right w:val="single" w:sz="8" w:color="auto"/>
            </w:tcBorders>
            <w:shd w:val="clear" w:color="auto" w:fill="F2F2F2"/>
          </w:tcPr>
          <w:p>
            <w:pPr>
              <w:spacing w:after="0"/>
              <w:rPr>
                <w:sz w:val="22"/>
                <w:szCs w:val="22"/>
                <w:color w:val="auto"/>
              </w:rPr>
            </w:pPr>
          </w:p>
        </w:tc>
        <w:tc>
          <w:tcPr>
            <w:tcW w:w="1800" w:type="dxa"/>
            <w:vAlign w:val="bottom"/>
            <w:tcBorders>
              <w:top w:val="single" w:sz="8" w:color="auto"/>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Individual</w:t>
            </w:r>
          </w:p>
        </w:tc>
        <w:tc>
          <w:tcPr>
            <w:tcW w:w="6820" w:type="dxa"/>
            <w:vAlign w:val="bottom"/>
            <w:tcBorders>
              <w:top w:val="single" w:sz="8" w:color="auto"/>
              <w:right w:val="single" w:sz="8" w:color="auto"/>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640" w:type="dxa"/>
            <w:vAlign w:val="bottom"/>
            <w:tcBorders>
              <w:left w:val="single" w:sz="8" w:color="auto"/>
              <w:right w:val="single" w:sz="8" w:color="auto"/>
            </w:tcBorders>
            <w:vMerge w:val="restart"/>
            <w:shd w:val="clear" w:color="auto" w:fill="F2F2F2"/>
          </w:tcPr>
          <w:p>
            <w:pPr>
              <w:ind w:left="360"/>
              <w:spacing w:after="0"/>
              <w:rPr>
                <w:sz w:val="20"/>
                <w:szCs w:val="20"/>
                <w:color w:val="auto"/>
              </w:rPr>
            </w:pPr>
            <w:r>
              <w:rPr>
                <w:rFonts w:ascii="Arial" w:cs="Arial" w:eastAsia="Arial" w:hAnsi="Arial"/>
                <w:sz w:val="18"/>
                <w:szCs w:val="18"/>
                <w:color w:val="auto"/>
              </w:rPr>
              <w:t>Name</w:t>
            </w:r>
          </w:p>
        </w:tc>
        <w:tc>
          <w:tcPr>
            <w:tcW w:w="1800" w:type="dxa"/>
            <w:vAlign w:val="bottom"/>
            <w:tcBorders>
              <w:right w:val="single" w:sz="8" w:color="auto"/>
            </w:tcBorders>
            <w:shd w:val="clear" w:color="auto" w:fill="F2F2F2"/>
          </w:tcPr>
          <w:p>
            <w:pPr>
              <w:spacing w:after="0" w:line="206" w:lineRule="exact"/>
              <w:rPr>
                <w:sz w:val="20"/>
                <w:szCs w:val="20"/>
                <w:color w:val="auto"/>
              </w:rPr>
            </w:pPr>
            <w:r>
              <w:rPr>
                <w:rFonts w:ascii="Arial" w:cs="Arial" w:eastAsia="Arial" w:hAnsi="Arial"/>
                <w:sz w:val="18"/>
                <w:szCs w:val="18"/>
                <w:color w:val="auto"/>
              </w:rPr>
              <w:t>Performance</w:t>
            </w:r>
          </w:p>
        </w:tc>
        <w:tc>
          <w:tcPr>
            <w:tcW w:w="6820" w:type="dxa"/>
            <w:vAlign w:val="bottom"/>
            <w:tcBorders>
              <w:right w:val="single" w:sz="8" w:color="auto"/>
            </w:tcBorders>
            <w:vMerge w:val="restart"/>
            <w:shd w:val="clear" w:color="auto" w:fill="F2F2F2"/>
          </w:tcPr>
          <w:p>
            <w:pPr>
              <w:ind w:left="340"/>
              <w:spacing w:after="0"/>
              <w:rPr>
                <w:sz w:val="20"/>
                <w:szCs w:val="20"/>
                <w:color w:val="auto"/>
              </w:rPr>
            </w:pPr>
            <w:r>
              <w:rPr>
                <w:rFonts w:ascii="Arial" w:cs="Arial" w:eastAsia="Arial" w:hAnsi="Arial"/>
                <w:sz w:val="18"/>
                <w:szCs w:val="18"/>
                <w:color w:val="auto"/>
              </w:rPr>
              <w:t>Individual Performance Summary</w:t>
            </w:r>
          </w:p>
        </w:tc>
        <w:tc>
          <w:tcPr>
            <w:tcW w:w="0" w:type="dxa"/>
            <w:vAlign w:val="bottom"/>
          </w:tcPr>
          <w:p>
            <w:pPr>
              <w:spacing w:after="0"/>
              <w:rPr>
                <w:sz w:val="1"/>
                <w:szCs w:val="1"/>
                <w:color w:val="auto"/>
              </w:rPr>
            </w:pPr>
          </w:p>
        </w:tc>
      </w:tr>
      <w:tr>
        <w:trPr>
          <w:trHeight w:val="92"/>
        </w:trPr>
        <w:tc>
          <w:tcPr>
            <w:tcW w:w="2640" w:type="dxa"/>
            <w:vAlign w:val="bottom"/>
            <w:tcBorders>
              <w:left w:val="single" w:sz="8" w:color="auto"/>
              <w:right w:val="single" w:sz="8" w:color="auto"/>
            </w:tcBorders>
            <w:vMerge w:val="continue"/>
            <w:shd w:val="clear" w:color="auto" w:fill="F2F2F2"/>
          </w:tcPr>
          <w:p>
            <w:pPr>
              <w:spacing w:after="0"/>
              <w:rPr>
                <w:sz w:val="8"/>
                <w:szCs w:val="8"/>
                <w:color w:val="auto"/>
              </w:rPr>
            </w:pPr>
          </w:p>
        </w:tc>
        <w:tc>
          <w:tcPr>
            <w:tcW w:w="1800" w:type="dxa"/>
            <w:vAlign w:val="bottom"/>
            <w:tcBorders>
              <w:right w:val="single" w:sz="8" w:color="auto"/>
            </w:tcBorders>
            <w:vMerge w:val="restart"/>
            <w:shd w:val="clear" w:color="auto" w:fill="F2F2F2"/>
          </w:tcPr>
          <w:p>
            <w:pPr>
              <w:spacing w:after="0"/>
              <w:rPr>
                <w:sz w:val="20"/>
                <w:szCs w:val="20"/>
                <w:color w:val="auto"/>
              </w:rPr>
            </w:pPr>
            <w:r>
              <w:rPr>
                <w:rFonts w:ascii="Arial" w:cs="Arial" w:eastAsia="Arial" w:hAnsi="Arial"/>
                <w:sz w:val="18"/>
                <w:szCs w:val="18"/>
                <w:color w:val="auto"/>
              </w:rPr>
              <w:t xml:space="preserve">Achievement </w:t>
            </w:r>
            <w:r>
              <w:rPr>
                <w:rFonts w:ascii="Arial" w:cs="Arial" w:eastAsia="Arial" w:hAnsi="Arial"/>
                <w:sz w:val="23"/>
                <w:szCs w:val="23"/>
                <w:color w:val="auto"/>
                <w:vertAlign w:val="superscript"/>
              </w:rPr>
              <w:t>(1)</w:t>
            </w:r>
          </w:p>
        </w:tc>
        <w:tc>
          <w:tcPr>
            <w:tcW w:w="682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640" w:type="dxa"/>
            <w:vAlign w:val="bottom"/>
            <w:tcBorders>
              <w:left w:val="single" w:sz="8" w:color="auto"/>
              <w:right w:val="single" w:sz="8" w:color="auto"/>
            </w:tcBorders>
            <w:shd w:val="clear" w:color="auto" w:fill="F2F2F2"/>
          </w:tcPr>
          <w:p>
            <w:pPr>
              <w:spacing w:after="0"/>
              <w:rPr>
                <w:sz w:val="17"/>
                <w:szCs w:val="17"/>
                <w:color w:val="auto"/>
              </w:rPr>
            </w:pPr>
          </w:p>
        </w:tc>
        <w:tc>
          <w:tcPr>
            <w:tcW w:w="1800" w:type="dxa"/>
            <w:vAlign w:val="bottom"/>
            <w:tcBorders>
              <w:right w:val="single" w:sz="8" w:color="auto"/>
            </w:tcBorders>
            <w:vMerge w:val="continue"/>
            <w:shd w:val="clear" w:color="auto" w:fill="F2F2F2"/>
          </w:tcPr>
          <w:p>
            <w:pPr>
              <w:spacing w:after="0"/>
              <w:rPr>
                <w:sz w:val="17"/>
                <w:szCs w:val="17"/>
                <w:color w:val="auto"/>
              </w:rPr>
            </w:pPr>
          </w:p>
        </w:tc>
        <w:tc>
          <w:tcPr>
            <w:tcW w:w="6820" w:type="dxa"/>
            <w:vAlign w:val="bottom"/>
            <w:tcBorders>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64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1800" w:type="dxa"/>
            <w:vAlign w:val="bottom"/>
            <w:tcBorders>
              <w:bottom w:val="single" w:sz="8" w:color="auto"/>
              <w:right w:val="single" w:sz="8" w:color="auto"/>
            </w:tcBorders>
            <w:shd w:val="clear" w:color="auto" w:fill="F2F2F2"/>
          </w:tcPr>
          <w:p>
            <w:pPr>
              <w:spacing w:after="0"/>
              <w:rPr>
                <w:sz w:val="10"/>
                <w:szCs w:val="10"/>
                <w:color w:val="auto"/>
              </w:rPr>
            </w:pPr>
          </w:p>
        </w:tc>
        <w:tc>
          <w:tcPr>
            <w:tcW w:w="6820" w:type="dxa"/>
            <w:vAlign w:val="bottom"/>
            <w:tcBorders>
              <w:bottom w:val="single" w:sz="8" w:color="auto"/>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6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Prepared for an Initial Public Offering (IPO) for Leonardo DRS by leading our</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team through intensive organizational, financial, and legal processes.</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Achieved bookings of over $3 billion, which was $550 million or about 21</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percent above plan. Our book-to-bill ratio was over 1.1 to 1.</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Implemented mitigation plans for COVID-19 that minimized risk to our</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18"/>
                <w:szCs w:val="18"/>
                <w:color w:val="auto"/>
              </w:rPr>
              <w:t>William J. Lynn</w:t>
            </w:r>
          </w:p>
        </w:tc>
        <w:tc>
          <w:tcPr>
            <w:tcW w:w="1800" w:type="dxa"/>
            <w:vAlign w:val="bottom"/>
            <w:tcBorders>
              <w:right w:val="single" w:sz="8" w:color="auto"/>
            </w:tcBorders>
            <w:vMerge w:val="restart"/>
          </w:tcPr>
          <w:p>
            <w:pPr>
              <w:jc w:val="right"/>
              <w:ind w:right="930"/>
              <w:spacing w:after="0"/>
              <w:rPr>
                <w:sz w:val="20"/>
                <w:szCs w:val="20"/>
                <w:color w:val="auto"/>
              </w:rPr>
            </w:pPr>
            <w:r>
              <w:rPr>
                <w:rFonts w:ascii="Arial" w:cs="Arial" w:eastAsia="Arial" w:hAnsi="Arial"/>
                <w:sz w:val="18"/>
                <w:szCs w:val="18"/>
                <w:color w:val="auto"/>
              </w:rPr>
              <w:t>200%</w:t>
            </w: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employees, continued the delivery of critical product to customers, and</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vMerge w:val="continue"/>
          </w:tcPr>
          <w:p>
            <w:pPr>
              <w:spacing w:after="0"/>
              <w:rPr>
                <w:sz w:val="18"/>
                <w:szCs w:val="18"/>
                <w:color w:val="auto"/>
              </w:rPr>
            </w:pPr>
          </w:p>
        </w:tc>
        <w:tc>
          <w:tcPr>
            <w:tcW w:w="1800" w:type="dxa"/>
            <w:vAlign w:val="bottom"/>
            <w:tcBorders>
              <w:right w:val="single" w:sz="8" w:color="auto"/>
            </w:tcBorders>
            <w:vMerge w:val="continue"/>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reduced the financial impact to our business.</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Managed succession planning through several senior leadership transitions</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and provided key guidance and oversight to new leaders.</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Expanded our diversity and inclusion program by instituting action teams at</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each of our locations, and continued to progress our hiring and promotion of</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women and minorities.</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68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Improved key customer relationships, leading to new awards, by retiring</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legacy issues and improving program performance and execution.</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Together with Human Resources and Legal, developed and implemented the</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company’s COVID-19 plans to maintain business continuity while prioritizing</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employee’s safety.</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Improved our risk and opportunity management and bid processes to reduce</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risk on new and existing programs.</w:t>
            </w: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John Baylouny</w:t>
            </w:r>
          </w:p>
        </w:tc>
        <w:tc>
          <w:tcPr>
            <w:tcW w:w="1800" w:type="dxa"/>
            <w:vAlign w:val="bottom"/>
            <w:tcBorders>
              <w:right w:val="single" w:sz="8" w:color="auto"/>
            </w:tcBorders>
          </w:tcPr>
          <w:p>
            <w:pPr>
              <w:jc w:val="right"/>
              <w:ind w:right="930"/>
              <w:spacing w:after="0"/>
              <w:rPr>
                <w:sz w:val="20"/>
                <w:szCs w:val="20"/>
                <w:color w:val="auto"/>
              </w:rPr>
            </w:pPr>
            <w:r>
              <w:rPr>
                <w:rFonts w:ascii="Arial" w:cs="Arial" w:eastAsia="Arial" w:hAnsi="Arial"/>
                <w:sz w:val="18"/>
                <w:szCs w:val="18"/>
                <w:color w:val="auto"/>
              </w:rPr>
              <w:t>200%</w:t>
            </w:r>
          </w:p>
        </w:tc>
        <w:tc>
          <w:tcPr>
            <w:tcW w:w="68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   Led the company’s operational excellence program to increase quality and</w:t>
            </w:r>
          </w:p>
        </w:tc>
        <w:tc>
          <w:tcPr>
            <w:tcW w:w="0" w:type="dxa"/>
            <w:vAlign w:val="bottom"/>
          </w:tcPr>
          <w:p>
            <w:pPr>
              <w:spacing w:after="0"/>
              <w:rPr>
                <w:sz w:val="1"/>
                <w:szCs w:val="1"/>
                <w:color w:val="auto"/>
              </w:rPr>
            </w:pPr>
          </w:p>
        </w:tc>
      </w:tr>
      <w:tr>
        <w:trPr>
          <w:trHeight w:val="107"/>
        </w:trPr>
        <w:tc>
          <w:tcPr>
            <w:tcW w:w="264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6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uniformity across the business in execution with the goal of increased</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margins.</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Provided significant direction to ensure succession-planning efforts were</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timely executed without management disruption.</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Led the operational leadership team for the Company, and provided</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guidance and removed barriers to enable the team to succeed.</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68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60"/>
          </w:cols>
          <w:pgMar w:left="320" w:top="1440" w:right="319" w:bottom="1440" w:gutter="0" w:footer="0" w:header="0"/>
        </w:sectPr>
      </w:pPr>
    </w:p>
    <w:bookmarkStart w:id="151" w:name="page152"/>
    <w:bookmarkEnd w:id="151"/>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640" w:type="dxa"/>
            <w:vAlign w:val="bottom"/>
            <w:tcBorders>
              <w:top w:val="single" w:sz="8" w:color="auto"/>
              <w:left w:val="single" w:sz="8" w:color="auto"/>
              <w:right w:val="single" w:sz="8" w:color="auto"/>
            </w:tcBorders>
          </w:tcPr>
          <w:p>
            <w:pPr>
              <w:spacing w:after="0"/>
              <w:rPr>
                <w:sz w:val="22"/>
                <w:szCs w:val="22"/>
                <w:color w:val="auto"/>
              </w:rPr>
            </w:pPr>
          </w:p>
        </w:tc>
        <w:tc>
          <w:tcPr>
            <w:tcW w:w="1800" w:type="dxa"/>
            <w:vAlign w:val="bottom"/>
            <w:tcBorders>
              <w:top w:val="single" w:sz="8" w:color="auto"/>
              <w:right w:val="single" w:sz="8" w:color="auto"/>
            </w:tcBorders>
          </w:tcPr>
          <w:p>
            <w:pPr>
              <w:spacing w:after="0"/>
              <w:rPr>
                <w:sz w:val="22"/>
                <w:szCs w:val="22"/>
                <w:color w:val="auto"/>
              </w:rPr>
            </w:pPr>
          </w:p>
        </w:tc>
        <w:tc>
          <w:tcPr>
            <w:tcW w:w="6820" w:type="dxa"/>
            <w:vAlign w:val="bottom"/>
            <w:tcBorders>
              <w:top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   Drove and implemented financial business operations strategies and</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managed financial resources to ensure the achievement of the Company’s</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business plans</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Led the financial direction of cost reduction and cash maximization efforts</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across the company to achieve margin and net profit improvement.</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Mike Dippold</w:t>
            </w:r>
          </w:p>
        </w:tc>
        <w:tc>
          <w:tcPr>
            <w:tcW w:w="1800" w:type="dxa"/>
            <w:vAlign w:val="bottom"/>
            <w:tcBorders>
              <w:right w:val="single" w:sz="8" w:color="auto"/>
            </w:tcBorders>
          </w:tcPr>
          <w:p>
            <w:pPr>
              <w:jc w:val="right"/>
              <w:ind w:right="930"/>
              <w:spacing w:after="0"/>
              <w:rPr>
                <w:sz w:val="20"/>
                <w:szCs w:val="20"/>
                <w:color w:val="auto"/>
              </w:rPr>
            </w:pPr>
            <w:r>
              <w:rPr>
                <w:rFonts w:ascii="Arial" w:cs="Arial" w:eastAsia="Arial" w:hAnsi="Arial"/>
                <w:sz w:val="18"/>
                <w:szCs w:val="18"/>
                <w:color w:val="auto"/>
              </w:rPr>
              <w:t>200%</w:t>
            </w: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Converted our restatement of financial statements under GAAP standards,</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modified the financial reporting structure, updated financial processes, and</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worked closely with the chief executive officer in preparation to become a</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public company.</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Provided the leadership, oversight, and succession planning guidance to the</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finance function.</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682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68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Prepared for an Initial Public Offering (IPO) for Leonardo DRS by leading our</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team through intensive organizational, financial, and legal processes.</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Supported the chief executive officer’s strategic and business priorities by</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providing stellar advice, counsel and leadership.</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Led the DRS legal team to achieve outstanding results in critical business</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engagements and negotiations.</w:t>
            </w:r>
          </w:p>
        </w:tc>
        <w:tc>
          <w:tcPr>
            <w:tcW w:w="0" w:type="dxa"/>
            <w:vAlign w:val="bottom"/>
          </w:tcPr>
          <w:p>
            <w:pPr>
              <w:spacing w:after="0"/>
              <w:rPr>
                <w:sz w:val="1"/>
                <w:szCs w:val="1"/>
                <w:color w:val="auto"/>
              </w:rPr>
            </w:pPr>
          </w:p>
        </w:tc>
      </w:tr>
      <w:tr>
        <w:trPr>
          <w:trHeight w:val="378"/>
        </w:trPr>
        <w:tc>
          <w:tcPr>
            <w:tcW w:w="264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18"/>
                <w:szCs w:val="18"/>
                <w:color w:val="auto"/>
              </w:rPr>
              <w:t>Mark Dorfman</w:t>
            </w:r>
          </w:p>
        </w:tc>
        <w:tc>
          <w:tcPr>
            <w:tcW w:w="1800" w:type="dxa"/>
            <w:vAlign w:val="bottom"/>
            <w:tcBorders>
              <w:right w:val="single" w:sz="8" w:color="auto"/>
            </w:tcBorders>
            <w:vMerge w:val="restart"/>
          </w:tcPr>
          <w:p>
            <w:pPr>
              <w:jc w:val="right"/>
              <w:ind w:right="930"/>
              <w:spacing w:after="0"/>
              <w:rPr>
                <w:sz w:val="20"/>
                <w:szCs w:val="20"/>
                <w:color w:val="auto"/>
              </w:rPr>
            </w:pPr>
            <w:r>
              <w:rPr>
                <w:rFonts w:ascii="Arial" w:cs="Arial" w:eastAsia="Arial" w:hAnsi="Arial"/>
                <w:sz w:val="18"/>
                <w:szCs w:val="18"/>
                <w:color w:val="auto"/>
              </w:rPr>
              <w:t>200%</w:t>
            </w:r>
          </w:p>
        </w:tc>
        <w:tc>
          <w:tcPr>
            <w:tcW w:w="68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Favorably resolved Company litigation and other significant legal matters.</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right w:val="single" w:sz="8" w:color="auto"/>
            </w:tcBorders>
            <w:vMerge w:val="continue"/>
          </w:tcPr>
          <w:p>
            <w:pPr>
              <w:spacing w:after="0"/>
              <w:rPr>
                <w:sz w:val="16"/>
                <w:szCs w:val="16"/>
                <w:color w:val="auto"/>
              </w:rPr>
            </w:pPr>
          </w:p>
        </w:tc>
        <w:tc>
          <w:tcPr>
            <w:tcW w:w="1800" w:type="dxa"/>
            <w:vAlign w:val="bottom"/>
            <w:tcBorders>
              <w:right w:val="single" w:sz="8" w:color="auto"/>
            </w:tcBorders>
            <w:vMerge w:val="continue"/>
          </w:tcPr>
          <w:p>
            <w:pPr>
              <w:spacing w:after="0"/>
              <w:rPr>
                <w:sz w:val="16"/>
                <w:szCs w:val="16"/>
                <w:color w:val="auto"/>
              </w:rPr>
            </w:pPr>
          </w:p>
        </w:tc>
        <w:tc>
          <w:tcPr>
            <w:tcW w:w="68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rPr>
              <w:t>•   Reduced overall enterprise risk through active engagement with Company</w:t>
            </w:r>
          </w:p>
        </w:tc>
        <w:tc>
          <w:tcPr>
            <w:tcW w:w="0" w:type="dxa"/>
            <w:vAlign w:val="bottom"/>
          </w:tcPr>
          <w:p>
            <w:pPr>
              <w:spacing w:after="0"/>
              <w:rPr>
                <w:sz w:val="1"/>
                <w:szCs w:val="1"/>
                <w:color w:val="auto"/>
              </w:rPr>
            </w:pPr>
          </w:p>
        </w:tc>
      </w:tr>
      <w:tr>
        <w:trPr>
          <w:trHeight w:val="188"/>
        </w:trPr>
        <w:tc>
          <w:tcPr>
            <w:tcW w:w="26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68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leaders and innovative problem-solving.</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Provided exceptional oversight of our internal audit, international trade</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compliance, and industrial and cyber security functions, including an</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industrial security team that was awarded five Cogswell Awards.</w:t>
            </w:r>
          </w:p>
        </w:tc>
        <w:tc>
          <w:tcPr>
            <w:tcW w:w="0" w:type="dxa"/>
            <w:vAlign w:val="bottom"/>
          </w:tcPr>
          <w:p>
            <w:pPr>
              <w:spacing w:after="0"/>
              <w:rPr>
                <w:sz w:val="1"/>
                <w:szCs w:val="1"/>
                <w:color w:val="auto"/>
              </w:rPr>
            </w:pPr>
          </w:p>
        </w:tc>
      </w:tr>
      <w:tr>
        <w:trPr>
          <w:trHeight w:val="377"/>
        </w:trPr>
        <w:tc>
          <w:tcPr>
            <w:tcW w:w="2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Fostered and cultivated a strong culture of ethics, compliance and integrity</w:t>
            </w: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across the enterprise.</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3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60"/>
          </w:cols>
          <w:pgMar w:left="320" w:top="1440" w:right="31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Sally Wallace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22" w:right="320" w:hanging="322"/>
        <w:spacing w:after="0" w:line="261" w:lineRule="auto"/>
        <w:tabs>
          <w:tab w:leader="none" w:pos="3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Led the efforts to standardize planning, risk and opportunity management and EAC development.</w:t>
      </w:r>
    </w:p>
    <w:p>
      <w:pPr>
        <w:spacing w:after="0" w:line="143" w:lineRule="exact"/>
        <w:rPr>
          <w:rFonts w:ascii="Arial" w:cs="Arial" w:eastAsia="Arial" w:hAnsi="Arial"/>
          <w:sz w:val="18"/>
          <w:szCs w:val="18"/>
          <w:color w:val="auto"/>
        </w:rPr>
      </w:pPr>
    </w:p>
    <w:p>
      <w:pPr>
        <w:ind w:left="322" w:right="200" w:hanging="322"/>
        <w:spacing w:after="0" w:line="256" w:lineRule="auto"/>
        <w:tabs>
          <w:tab w:leader="none" w:pos="3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Led the program analysis for the company to allow better insight into the Company’s key business drivers, and analyzed and developed roadmap to mitigate impact and achieve the financial operating plan.</w:t>
      </w:r>
    </w:p>
    <w:p>
      <w:pPr>
        <w:spacing w:after="0" w:line="147" w:lineRule="exact"/>
        <w:rPr>
          <w:rFonts w:ascii="Arial" w:cs="Arial" w:eastAsia="Arial" w:hAnsi="Arial"/>
          <w:sz w:val="18"/>
          <w:szCs w:val="18"/>
          <w:color w:val="auto"/>
        </w:rPr>
      </w:pPr>
    </w:p>
    <w:p>
      <w:pPr>
        <w:ind w:left="322" w:right="120" w:hanging="322"/>
        <w:spacing w:after="0" w:line="256" w:lineRule="auto"/>
        <w:tabs>
          <w:tab w:leader="none" w:pos="3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Instrumental in bringing our management processes to the next level by working with IT, Enterprise Resource Planning and Program teams to better align with the strategic initiatives of the Company.</w:t>
      </w:r>
    </w:p>
    <w:p>
      <w:pPr>
        <w:spacing w:after="0" w:line="147" w:lineRule="exact"/>
        <w:rPr>
          <w:rFonts w:ascii="Arial" w:cs="Arial" w:eastAsia="Arial" w:hAnsi="Arial"/>
          <w:sz w:val="18"/>
          <w:szCs w:val="18"/>
          <w:color w:val="auto"/>
        </w:rPr>
      </w:pPr>
    </w:p>
    <w:p>
      <w:pPr>
        <w:ind w:left="322" w:right="640" w:hanging="322"/>
        <w:spacing w:after="0" w:line="261" w:lineRule="auto"/>
        <w:tabs>
          <w:tab w:leader="none" w:pos="3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Supported the transition of a new business leader to include strategy, customer relationships, and negotiations of new contracts.</w:t>
      </w:r>
    </w:p>
    <w:p>
      <w:pPr>
        <w:spacing w:after="0" w:line="143" w:lineRule="exact"/>
        <w:rPr>
          <w:rFonts w:ascii="Arial" w:cs="Arial" w:eastAsia="Arial" w:hAnsi="Arial"/>
          <w:sz w:val="18"/>
          <w:szCs w:val="18"/>
          <w:color w:val="auto"/>
        </w:rPr>
      </w:pPr>
    </w:p>
    <w:p>
      <w:pPr>
        <w:ind w:left="322" w:right="260" w:hanging="322"/>
        <w:spacing w:after="0" w:line="261" w:lineRule="auto"/>
        <w:tabs>
          <w:tab w:leader="none" w:pos="3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Provided leadership guidance as the executive sponsor for the company’s Diversity Advisory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-2093595</wp:posOffset>
            </wp:positionV>
            <wp:extent cx="7140575" cy="2211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2211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240" w:space="720"/>
            <w:col w:w="1098" w:space="720"/>
            <w:col w:w="6462"/>
          </w:cols>
          <w:pgMar w:left="320" w:top="1440" w:right="339" w:bottom="1440" w:gutter="0" w:footer="0" w:header="0"/>
        </w:sectPr>
      </w:pPr>
    </w:p>
    <w:p>
      <w:pPr>
        <w:spacing w:after="0" w:line="149" w:lineRule="exact"/>
        <w:rPr>
          <w:sz w:val="20"/>
          <w:szCs w:val="20"/>
          <w:color w:val="auto"/>
        </w:rPr>
      </w:pPr>
    </w:p>
    <w:p>
      <w:pPr>
        <w:ind w:left="340" w:right="260" w:hanging="332"/>
        <w:spacing w:after="0" w:line="260" w:lineRule="auto"/>
        <w:tabs>
          <w:tab w:leader="none" w:pos="3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Individual Performance Achievement can range from 0% to 200%. As referenced in the Individual Performance Objectives section, this component is weighted at 25%, and when multiplied by the Individual Performance Achievement determines an Individual’s Performance Achievement Factor.</w:t>
      </w:r>
    </w:p>
    <w:p>
      <w:pPr>
        <w:spacing w:after="0" w:line="12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Annual Incentive Plan (ICP) Earned Award Payment</w:t>
      </w:r>
    </w:p>
    <w:p>
      <w:pPr>
        <w:spacing w:after="0" w:line="189"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The table below summarizes the NEOs’ targets and the compensation committee’s determination of ICP earned awards based on financial and individual performance achievement.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Target Incentive (%</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Financial</w:t>
            </w:r>
          </w:p>
        </w:tc>
        <w:tc>
          <w:tcPr>
            <w:tcW w:w="180" w:type="dxa"/>
            <w:vAlign w:val="bottom"/>
          </w:tcPr>
          <w:p>
            <w:pPr>
              <w:spacing w:after="0"/>
              <w:rPr>
                <w:sz w:val="10"/>
                <w:szCs w:val="1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Individual</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7"/>
              </w:rPr>
              <w:t>Discretionary Factor</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Target Incentive</w:t>
            </w:r>
          </w:p>
        </w:tc>
        <w:tc>
          <w:tcPr>
            <w:tcW w:w="160" w:type="dxa"/>
            <w:vAlign w:val="bottom"/>
          </w:tcPr>
          <w:p>
            <w:pPr>
              <w:spacing w:after="0"/>
              <w:rPr>
                <w:sz w:val="9"/>
                <w:szCs w:val="9"/>
                <w:color w:val="auto"/>
              </w:rPr>
            </w:pPr>
          </w:p>
        </w:tc>
        <w:tc>
          <w:tcPr>
            <w:tcW w:w="1060" w:type="dxa"/>
            <w:vAlign w:val="bottom"/>
            <w:gridSpan w:val="2"/>
          </w:tcPr>
          <w:p>
            <w:pPr>
              <w:jc w:val="center"/>
              <w:ind w:right="260"/>
              <w:spacing w:after="0" w:line="110" w:lineRule="exact"/>
              <w:rPr>
                <w:sz w:val="20"/>
                <w:szCs w:val="20"/>
                <w:color w:val="auto"/>
              </w:rPr>
            </w:pPr>
            <w:r>
              <w:rPr>
                <w:rFonts w:ascii="Arial" w:cs="Arial" w:eastAsia="Arial" w:hAnsi="Arial"/>
                <w:sz w:val="11"/>
                <w:szCs w:val="11"/>
                <w:b w:val="1"/>
                <w:bCs w:val="1"/>
                <w:color w:val="auto"/>
                <w:w w:val="99"/>
              </w:rPr>
              <w:t>Achievement</w:t>
            </w:r>
          </w:p>
        </w:tc>
        <w:tc>
          <w:tcPr>
            <w:tcW w:w="180" w:type="dxa"/>
            <w:vAlign w:val="bottom"/>
          </w:tcPr>
          <w:p>
            <w:pPr>
              <w:spacing w:after="0"/>
              <w:rPr>
                <w:sz w:val="9"/>
                <w:szCs w:val="9"/>
                <w:color w:val="auto"/>
              </w:rPr>
            </w:pPr>
          </w:p>
        </w:tc>
        <w:tc>
          <w:tcPr>
            <w:tcW w:w="1060" w:type="dxa"/>
            <w:vAlign w:val="bottom"/>
            <w:gridSpan w:val="2"/>
          </w:tcPr>
          <w:p>
            <w:pPr>
              <w:jc w:val="center"/>
              <w:ind w:right="260"/>
              <w:spacing w:after="0" w:line="110" w:lineRule="exact"/>
              <w:rPr>
                <w:sz w:val="20"/>
                <w:szCs w:val="20"/>
                <w:color w:val="auto"/>
              </w:rPr>
            </w:pPr>
            <w:r>
              <w:rPr>
                <w:rFonts w:ascii="Arial" w:cs="Arial" w:eastAsia="Arial" w:hAnsi="Arial"/>
                <w:sz w:val="11"/>
                <w:szCs w:val="11"/>
                <w:b w:val="1"/>
                <w:bCs w:val="1"/>
                <w:color w:val="auto"/>
                <w:w w:val="99"/>
              </w:rPr>
              <w:t>Achievement</w:t>
            </w:r>
          </w:p>
        </w:tc>
        <w:tc>
          <w:tcPr>
            <w:tcW w:w="12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Calculated Award</w:t>
            </w:r>
            <w:r>
              <w:rPr>
                <w:rFonts w:ascii="Arial" w:cs="Arial" w:eastAsia="Arial" w:hAnsi="Arial"/>
                <w:sz w:val="14"/>
                <w:szCs w:val="14"/>
                <w:b w:val="1"/>
                <w:bCs w:val="1"/>
                <w:color w:val="auto"/>
                <w:vertAlign w:val="superscript"/>
              </w:rPr>
              <w:t>(3)</w:t>
            </w: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Earned Award</w:t>
            </w:r>
            <w:r>
              <w:rPr>
                <w:rFonts w:ascii="Arial" w:cs="Arial" w:eastAsia="Arial" w:hAnsi="Arial"/>
                <w:sz w:val="14"/>
                <w:szCs w:val="14"/>
                <w:b w:val="1"/>
                <w:bCs w:val="1"/>
                <w:color w:val="auto"/>
                <w:vertAlign w:val="superscript"/>
              </w:rPr>
              <w:t>(5)</w:t>
            </w:r>
          </w:p>
        </w:tc>
        <w:tc>
          <w:tcPr>
            <w:tcW w:w="1140" w:type="dxa"/>
            <w:vAlign w:val="bottom"/>
          </w:tcPr>
          <w:p>
            <w:pPr>
              <w:jc w:val="right"/>
              <w:spacing w:after="0" w:line="110" w:lineRule="exact"/>
              <w:rPr>
                <w:sz w:val="20"/>
                <w:szCs w:val="20"/>
                <w:color w:val="auto"/>
              </w:rPr>
            </w:pPr>
            <w:r>
              <w:rPr>
                <w:rFonts w:ascii="Arial" w:cs="Arial" w:eastAsia="Arial" w:hAnsi="Arial"/>
                <w:sz w:val="11"/>
                <w:szCs w:val="11"/>
                <w:b w:val="1"/>
                <w:bCs w:val="1"/>
                <w:color w:val="auto"/>
                <w:w w:val="99"/>
              </w:rPr>
              <w:t>Overall Achievement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2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rPr>
              <w:t>of Base)</w:t>
            </w: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jc w:val="center"/>
              <w:ind w:right="97"/>
              <w:spacing w:after="0"/>
              <w:rPr>
                <w:sz w:val="20"/>
                <w:szCs w:val="20"/>
                <w:color w:val="auto"/>
              </w:rPr>
            </w:pPr>
            <w:r>
              <w:rPr>
                <w:rFonts w:ascii="Arial" w:cs="Arial" w:eastAsia="Arial" w:hAnsi="Arial"/>
                <w:sz w:val="7"/>
                <w:szCs w:val="7"/>
                <w:b w:val="1"/>
                <w:bCs w:val="1"/>
                <w:color w:val="auto"/>
                <w:w w:val="92"/>
              </w:rPr>
              <w:t>(1)</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jc w:val="center"/>
              <w:ind w:right="117"/>
              <w:spacing w:after="0"/>
              <w:rPr>
                <w:sz w:val="20"/>
                <w:szCs w:val="20"/>
                <w:color w:val="auto"/>
              </w:rPr>
            </w:pPr>
            <w:r>
              <w:rPr>
                <w:rFonts w:ascii="Arial" w:cs="Arial" w:eastAsia="Arial" w:hAnsi="Arial"/>
                <w:sz w:val="7"/>
                <w:szCs w:val="7"/>
                <w:b w:val="1"/>
                <w:bCs w:val="1"/>
                <w:color w:val="auto"/>
                <w:w w:val="92"/>
              </w:rPr>
              <w:t>(2)</w:t>
            </w: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60" w:type="dxa"/>
            <w:vAlign w:val="bottom"/>
            <w:gridSpan w:val="2"/>
          </w:tcPr>
          <w:p>
            <w:pPr>
              <w:jc w:val="center"/>
              <w:ind w:right="100"/>
              <w:spacing w:after="0" w:line="81" w:lineRule="exact"/>
              <w:rPr>
                <w:sz w:val="20"/>
                <w:szCs w:val="20"/>
                <w:color w:val="auto"/>
              </w:rPr>
            </w:pPr>
            <w:r>
              <w:rPr>
                <w:rFonts w:ascii="Arial" w:cs="Arial" w:eastAsia="Arial" w:hAnsi="Arial"/>
                <w:sz w:val="7"/>
                <w:szCs w:val="7"/>
                <w:b w:val="1"/>
                <w:bCs w:val="1"/>
                <w:color w:val="auto"/>
              </w:rPr>
              <w:t>Award</w:t>
            </w:r>
            <w:r>
              <w:rPr>
                <w:rFonts w:ascii="Arial" w:cs="Arial" w:eastAsia="Arial" w:hAnsi="Arial"/>
                <w:sz w:val="9"/>
                <w:szCs w:val="9"/>
                <w:b w:val="1"/>
                <w:bCs w:val="1"/>
                <w:color w:val="auto"/>
                <w:vertAlign w:val="superscript"/>
              </w:rPr>
              <w:t>(4)</w:t>
            </w: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40" w:type="dxa"/>
            <w:vAlign w:val="bottom"/>
          </w:tcPr>
          <w:p>
            <w:pPr>
              <w:jc w:val="right"/>
              <w:ind w:right="476"/>
              <w:spacing w:after="0"/>
              <w:rPr>
                <w:sz w:val="20"/>
                <w:szCs w:val="20"/>
                <w:color w:val="auto"/>
              </w:rPr>
            </w:pPr>
            <w:r>
              <w:rPr>
                <w:rFonts w:ascii="Arial" w:cs="Arial" w:eastAsia="Arial" w:hAnsi="Arial"/>
                <w:sz w:val="7"/>
                <w:szCs w:val="7"/>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William J. Lynn</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599,047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624,007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1,223,054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1,467,700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John Baylouny</w:t>
            </w:r>
          </w:p>
        </w:tc>
        <w:tc>
          <w:tcPr>
            <w:tcW w:w="11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356,250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171,000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
              <w:spacing w:after="0"/>
              <w:rPr>
                <w:sz w:val="20"/>
                <w:szCs w:val="20"/>
                <w:color w:val="auto"/>
              </w:rPr>
            </w:pPr>
            <w:r>
              <w:rPr>
                <w:rFonts w:ascii="Arial" w:cs="Arial" w:eastAsia="Arial" w:hAnsi="Arial"/>
                <w:sz w:val="14"/>
                <w:szCs w:val="14"/>
                <w:color w:val="auto"/>
              </w:rPr>
              <w:t>178,125</w:t>
            </w:r>
          </w:p>
        </w:tc>
        <w:tc>
          <w:tcPr>
            <w:tcW w:w="80" w:type="dxa"/>
            <w:vAlign w:val="bottom"/>
          </w:tcPr>
          <w:p>
            <w:pPr>
              <w:spacing w:after="0"/>
              <w:rPr>
                <w:sz w:val="18"/>
                <w:szCs w:val="18"/>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349,125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419,000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Mike Dippold</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148,750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291,550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Mark Dorfman</w:t>
            </w:r>
          </w:p>
        </w:tc>
        <w:tc>
          <w:tcPr>
            <w:tcW w:w="11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271,700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130,416</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
              <w:spacing w:after="0"/>
              <w:rPr>
                <w:sz w:val="20"/>
                <w:szCs w:val="20"/>
                <w:color w:val="auto"/>
              </w:rPr>
            </w:pPr>
            <w:r>
              <w:rPr>
                <w:rFonts w:ascii="Arial" w:cs="Arial" w:eastAsia="Arial" w:hAnsi="Arial"/>
                <w:sz w:val="14"/>
                <w:szCs w:val="14"/>
                <w:color w:val="auto"/>
              </w:rPr>
              <w:t>135,850</w:t>
            </w:r>
          </w:p>
        </w:tc>
        <w:tc>
          <w:tcPr>
            <w:tcW w:w="80" w:type="dxa"/>
            <w:vAlign w:val="bottom"/>
          </w:tcPr>
          <w:p>
            <w:pPr>
              <w:spacing w:after="0"/>
              <w:rPr>
                <w:sz w:val="18"/>
                <w:szCs w:val="18"/>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266,266</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319,600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Sally Wallace</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125,190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258,726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310,500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1"/>
        </w:trPr>
        <w:tc>
          <w:tcPr>
            <w:tcW w:w="1440" w:type="dxa"/>
            <w:vAlign w:val="bottom"/>
            <w:gridSpan w:val="3"/>
          </w:tcPr>
          <w:p>
            <w:pPr>
              <w:spacing w:after="0"/>
              <w:rPr>
                <w:sz w:val="20"/>
                <w:szCs w:val="20"/>
                <w:color w:val="auto"/>
              </w:rPr>
            </w:pPr>
            <w:r>
              <w:rPr>
                <w:rFonts w:ascii="Arial" w:cs="Arial" w:eastAsia="Arial" w:hAnsi="Arial"/>
                <w:sz w:val="16"/>
                <w:szCs w:val="16"/>
                <w:color w:val="auto"/>
              </w:rPr>
              <w:t>______________</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Financial Achievement is based on Company Performance Factor of .64, and weighted at 75%.</w:t>
      </w:r>
    </w:p>
    <w:p>
      <w:pPr>
        <w:spacing w:after="0" w:line="5" w:lineRule="exact"/>
        <w:rPr>
          <w:rFonts w:ascii="Arial" w:cs="Arial" w:eastAsia="Arial" w:hAnsi="Arial"/>
          <w:sz w:val="16"/>
          <w:szCs w:val="16"/>
          <w:color w:val="auto"/>
        </w:rPr>
      </w:pPr>
    </w:p>
    <w:p>
      <w:pPr>
        <w:ind w:left="440" w:hanging="432"/>
        <w:spacing w:after="0"/>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Individual Achievement is based on the Individual Performance Achievement Percentage and weighted at 75%.</w:t>
      </w:r>
    </w:p>
    <w:p>
      <w:pPr>
        <w:spacing w:after="0" w:line="5" w:lineRule="exact"/>
        <w:rPr>
          <w:rFonts w:ascii="Arial" w:cs="Arial" w:eastAsia="Arial" w:hAnsi="Arial"/>
          <w:sz w:val="16"/>
          <w:szCs w:val="16"/>
          <w:color w:val="auto"/>
        </w:rPr>
      </w:pPr>
    </w:p>
    <w:p>
      <w:pPr>
        <w:ind w:left="440" w:hanging="432"/>
        <w:spacing w:after="0"/>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Calculated Award is the Sum of the Financial and Individual Achievement.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Discretionary Factor Award may be applied at the discretion of the Committee, and is a multiplier on the Calculated Award.</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Earned Award is the Calculated Award with the Discretionary Factor applied. The Earned Award Amounts are rounded to the nearest $100.</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Overall Achievement represents the percentage achievement of the Target Incentive.</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Incentive</w:t>
      </w:r>
    </w:p>
    <w:p>
      <w:pPr>
        <w:spacing w:after="0" w:line="19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historically have awarded cash-based long-term incentive opportunities to the NEOs under our 2014 Long-Term Incentive Plan (“LTIP”), rather than equity-based opportunities, because we were privately held. The purpose of the LTIP is to motivate participants by making a portion of their compensation contingent on the achievement of certain multi-year Company performance goals and a retention component to enable the Company to attract and retain key talent, and promote effective use of the Company’s resources to achieve expected and superior performance. The LTIP comprises more than 40% of each NEO’s target total direct compensation. This provides our executives with a significant personal stake in the long-term success of Leonardo DRS. As delegated by the board of directors, the LTIP is administered by the compensation committee. Each NEO’s annual target and earned award recommendation are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type w:val="continuous"/>
        </w:sectPr>
      </w:pPr>
    </w:p>
    <w:bookmarkStart w:id="153" w:name="page154"/>
    <w:bookmarkEnd w:id="153"/>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Targets for Long-Term Incentive</w:t>
      </w:r>
    </w:p>
    <w:p>
      <w:pPr>
        <w:spacing w:after="0" w:line="18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aggregate target opportunity for each NEO under the LTIP was established using competitive benchmarking at or around the market median and balances other considerations such as Company performance, complexity of the role, length of service, future expected contributions, and impact to long-term growth and profitability. We believe the LTIP allows for the consideration of other factors in addition to the quantitative metrics that drive annual incentive payments. Earned awards provided under the LTIP may range from 0% to 200% of the target award opportunity. The annual LTIP target awards for the NEOs are shown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4"/>
                <w:szCs w:val="14"/>
                <w:color w:val="auto"/>
              </w:rPr>
            </w:pPr>
          </w:p>
        </w:tc>
        <w:tc>
          <w:tcPr>
            <w:tcW w:w="1320" w:type="dxa"/>
            <w:vAlign w:val="bottom"/>
          </w:tcPr>
          <w:p>
            <w:pPr>
              <w:jc w:val="right"/>
              <w:ind w:right="313"/>
              <w:spacing w:after="0"/>
              <w:rPr>
                <w:sz w:val="20"/>
                <w:szCs w:val="20"/>
                <w:color w:val="auto"/>
              </w:rPr>
            </w:pPr>
            <w:r>
              <w:rPr>
                <w:rFonts w:ascii="Arial" w:cs="Arial" w:eastAsia="Arial" w:hAnsi="Arial"/>
                <w:sz w:val="14"/>
                <w:szCs w:val="14"/>
                <w:b w:val="1"/>
                <w:bCs w:val="1"/>
                <w:color w:val="auto"/>
              </w:rPr>
              <w:t>LTIP Target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William J. Lynn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43"/>
        </w:trPr>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John Baylouny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Mike Dippold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43"/>
        </w:trPr>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Mark Dorfman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470,000</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Sally Wallace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w:t>
            </w: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Vesting Terms for Long-Term Incentive</w:t>
      </w:r>
    </w:p>
    <w:p>
      <w:pPr>
        <w:spacing w:after="0" w:line="189" w:lineRule="exact"/>
        <w:rPr>
          <w:sz w:val="20"/>
          <w:szCs w:val="20"/>
          <w:color w:val="auto"/>
        </w:rPr>
      </w:pPr>
    </w:p>
    <w:p>
      <w:pPr>
        <w:ind w:right="420" w:firstLine="324"/>
        <w:spacing w:after="0" w:line="254" w:lineRule="auto"/>
        <w:rPr>
          <w:sz w:val="20"/>
          <w:szCs w:val="20"/>
          <w:color w:val="auto"/>
        </w:rPr>
      </w:pPr>
      <w:r>
        <w:rPr>
          <w:rFonts w:ascii="Arial" w:cs="Arial" w:eastAsia="Arial" w:hAnsi="Arial"/>
          <w:sz w:val="18"/>
          <w:szCs w:val="18"/>
          <w:color w:val="auto"/>
        </w:rPr>
        <w:t>The 2020 LTIP target awards were comprised of two components, a Company financial performance component designed to tie compensation opportunities to achievement of certain company performance goals over a three year performance cycle; and a retention component to encourage the retention of key employees. The two components combined provided a total compensation opportunity competitive with the businesses with which the Company competes.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95885</wp:posOffset>
            </wp:positionV>
            <wp:extent cx="2914650" cy="788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146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u w:val="single" w:color="auto"/>
          <w:color w:val="auto"/>
        </w:rPr>
        <w:t>Company Performance</w:t>
      </w:r>
      <w:r>
        <w:rPr>
          <w:rFonts w:ascii="Arial" w:cs="Arial" w:eastAsia="Arial" w:hAnsi="Arial"/>
          <w:sz w:val="18"/>
          <w:szCs w:val="18"/>
          <w:color w:val="auto"/>
        </w:rPr>
        <w:t>. The Company performance component comprised 70% of each NEO’s 2020 target LTIP award, vesting in three equal annual installments over the period from 2020 through 2022. In order to be eligible for payment of any portion of the Company performance component of the LTIP award, the NEO must be actively employed by the Company and in good standing on the date of payment.</w:t>
      </w:r>
    </w:p>
    <w:p>
      <w:pPr>
        <w:spacing w:after="0" w:line="1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 performance metrics for the 2020 LTIP, comprising metrics for each of 2020, 2021 and 2022, were approved in March of 2020 by the compensation committee. Performance is measured based on bookings weighted at 60%, and economic value added (EVA) weighted at 40%, with the performance thresholds and payout ranges shown in the table below and no payout earned for performance below the minimum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95885</wp:posOffset>
            </wp:positionV>
            <wp:extent cx="4414520" cy="11061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1452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“Bookings” has the same meaning as used for purposes of the ICP. See “Annual Incentive Compensation”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57"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“Economic Value Added” or “EVA” is calculated as net operating profit after taxes (NOPAT) minus the Company’s average invested capital multiplied by the Company’s weighted average cost of capital. NOPAT is calculated as EBITA minus tax expenses.</w:t>
      </w:r>
    </w:p>
    <w:p>
      <w:pPr>
        <w:spacing w:after="0" w:line="14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u w:val="single" w:color="auto"/>
          <w:color w:val="auto"/>
        </w:rPr>
        <w:t>Retention</w:t>
      </w:r>
      <w:r>
        <w:rPr>
          <w:rFonts w:ascii="Arial" w:cs="Arial" w:eastAsia="Arial" w:hAnsi="Arial"/>
          <w:sz w:val="18"/>
          <w:szCs w:val="18"/>
          <w:color w:val="auto"/>
        </w:rPr>
        <w:t>. The retention component comprised 30% of each NEO’s target LTIP award and will be payable after the end of the three-year performance cycle. In order to be eligible for the retention component of the LTIP award, the NEO must be actively employed by the Company and in good standing on the date of payment.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Approval of Performance Achievement for the Long-Term Incentive</w:t>
      </w:r>
    </w:p>
    <w:p>
      <w:pPr>
        <w:spacing w:after="0" w:line="18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Earned award recommendations for each of the NEOs are approved by the compensation committee. The compensation committee has the authority to adjust the LTIP performance objectives for any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acquisitions or divestitures; foreign exchange gains and losses; a change in the Company’s fiscal year; and any other nonrecurring events. The LTIP permits the compensation committee to exercise negative discretion to reduce or eliminate an award that would have been earned under the performance objectives as the compensation committee determines appropriate.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Long-Term Incentive Performance Component Achievement (2018, 2019, 2020 Performance Awards)</w:t>
      </w:r>
    </w:p>
    <w:p>
      <w:pPr>
        <w:spacing w:after="0" w:line="18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Consistent with the long-term incentives awarded for 2020, each of the NEOs was granted long-term incentive awards in 2019 and 2018 under the LTIP. The Company performance targets were established for bookings and EVA for each performance cycle (2018, 2019 and 2020) in February of each Performance Year. A portion of the performance component for the NEOs’ 2020, 2019, and 2018 awards vested based on the level at which 2020 performance metrics were achieved.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Financial Award</w:t>
            </w:r>
          </w:p>
        </w:tc>
      </w:tr>
      <w:tr>
        <w:trPr>
          <w:trHeight w:val="16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Revised Target (in</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Achievement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Factor</w:t>
            </w:r>
          </w:p>
        </w:tc>
      </w:tr>
      <w:tr>
        <w:trPr>
          <w:trHeight w:val="203"/>
        </w:trPr>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LTIP Award</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Metric</w:t>
            </w:r>
          </w:p>
        </w:tc>
        <w:tc>
          <w:tcPr>
            <w:tcW w:w="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Weighting</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3"/>
              <w:spacing w:after="0" w:line="202" w:lineRule="exact"/>
              <w:rPr>
                <w:sz w:val="20"/>
                <w:szCs w:val="20"/>
                <w:color w:val="auto"/>
              </w:rPr>
            </w:pPr>
            <w:r>
              <w:rPr>
                <w:rFonts w:ascii="Arial" w:cs="Arial" w:eastAsia="Arial" w:hAnsi="Arial"/>
                <w:sz w:val="14"/>
                <w:szCs w:val="14"/>
                <w:b w:val="1"/>
                <w:bCs w:val="1"/>
                <w:color w:val="auto"/>
              </w:rPr>
              <w:t>millions)</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Actual (in millions)</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p>
        </w:tc>
      </w:tr>
      <w:tr>
        <w:trPr>
          <w:trHeight w:val="243"/>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Bookings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EVA</w:t>
            </w:r>
          </w:p>
        </w:tc>
        <w:tc>
          <w:tcPr>
            <w:tcW w:w="16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Bookings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EVA</w:t>
            </w:r>
          </w:p>
        </w:tc>
        <w:tc>
          <w:tcPr>
            <w:tcW w:w="16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Bookings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EVA</w:t>
            </w:r>
          </w:p>
        </w:tc>
        <w:tc>
          <w:tcPr>
            <w:tcW w:w="16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14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b w:val="1"/>
                <w:bCs w:val="1"/>
                <w:color w:val="auto"/>
              </w:rPr>
              <w:t>2019 (3-Year Performance Cycle) Total Performance Award Factor</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191"/>
        </w:trPr>
        <w:tc>
          <w:tcPr>
            <w:tcW w:w="1460" w:type="dxa"/>
            <w:vAlign w:val="bottom"/>
          </w:tcPr>
          <w:p>
            <w:pPr>
              <w:jc w:val="cente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16"/>
          <w:szCs w:val="16"/>
          <w:b w:val="1"/>
          <w:bCs w:val="1"/>
          <w:color w:val="auto"/>
        </w:rPr>
        <w:t>Important Note:</w:t>
      </w:r>
    </w:p>
    <w:p>
      <w:pPr>
        <w:spacing w:after="0" w:line="5"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plan years adjusted to reflect the changes from the debt redemption that occurred in December 2020.</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2020 Long-Term Incentive Achievement for the Retention Component</w:t>
      </w:r>
    </w:p>
    <w:p>
      <w:pPr>
        <w:spacing w:after="0" w:line="189"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The retention component, 30% of the LTIP annual target, under the LTIP is payable after three-years subject to the NEO’s continued employment with the Company as of the LTIP award payment date.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achievement of the two LTIP components for the 2019 LTIP Earned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LTIP Components</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Achieved</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Target Weight</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Achievement Factor</w:t>
            </w:r>
          </w:p>
        </w:tc>
      </w:tr>
      <w:tr>
        <w:trPr>
          <w:trHeight w:val="27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 Performance</w:t>
            </w:r>
            <w:r>
              <w:rPr>
                <w:rFonts w:ascii="Arial" w:cs="Arial" w:eastAsia="Arial" w:hAnsi="Arial"/>
                <w:sz w:val="23"/>
                <w:szCs w:val="23"/>
                <w:color w:val="auto"/>
                <w:vertAlign w:val="superscript"/>
              </w:rPr>
              <w:t>(1)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7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Retention</w:t>
            </w:r>
            <w:r>
              <w:rPr>
                <w:rFonts w:ascii="Arial" w:cs="Arial" w:eastAsia="Arial" w:hAnsi="Arial"/>
                <w:sz w:val="23"/>
                <w:szCs w:val="23"/>
                <w:color w:val="auto"/>
                <w:vertAlign w:val="superscript"/>
              </w:rPr>
              <w:t>(2)</w:t>
            </w:r>
          </w:p>
        </w:tc>
        <w:tc>
          <w:tcPr>
            <w:tcW w:w="168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92 %</w:t>
            </w:r>
          </w:p>
        </w:tc>
      </w:tr>
      <w:tr>
        <w:trPr>
          <w:trHeight w:val="191"/>
        </w:trPr>
        <w:tc>
          <w:tcPr>
            <w:tcW w:w="5940" w:type="dxa"/>
            <w:vAlign w:val="bottom"/>
          </w:tcPr>
          <w:p>
            <w:pP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Company Performance component represents the 2020 performance year for each of the 2018, 2019 and 2020 awards.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Retention component represents the portion of the 2018 LTIP award that vested in 2020.</w:t>
      </w:r>
    </w:p>
    <w:p>
      <w:pPr>
        <w:spacing w:after="0" w:line="164"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As a result of the achievement for the components shown above, each NEO earned the following 2020 LTIP Total Payment, which were approved in February 2021 (vested portion of 2018, 2019 and 2020 Company performance component, and the 2018 retention component), and will be paid in March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LTIP Award</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364"/>
        </w:trPr>
        <w:tc>
          <w:tcPr>
            <w:tcW w:w="612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Executive</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LTIP Target</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Target Earned</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 Payment</w:t>
            </w:r>
            <w:r>
              <w:rPr>
                <w:rFonts w:ascii="Arial" w:cs="Arial" w:eastAsia="Arial" w:hAnsi="Arial"/>
                <w:sz w:val="18"/>
                <w:szCs w:val="18"/>
                <w:b w:val="1"/>
                <w:bCs w:val="1"/>
                <w:color w:val="auto"/>
                <w:vertAlign w:val="superscript"/>
              </w:rPr>
              <w:t>(1)</w:t>
            </w:r>
          </w:p>
        </w:tc>
      </w:tr>
      <w:tr>
        <w:trPr>
          <w:trHeight w:val="243"/>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J. Lynn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2,300,000</w:t>
            </w: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John Baylouny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690,000</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Mike Dippold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552,000</w:t>
            </w: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Mark Dorfman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470,000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432,400</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432,400</w:t>
            </w:r>
          </w:p>
        </w:tc>
      </w:tr>
      <w:tr>
        <w:trPr>
          <w:trHeight w:val="191"/>
        </w:trPr>
        <w:tc>
          <w:tcPr>
            <w:tcW w:w="612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bl>
    <w:p>
      <w:pPr>
        <w:ind w:left="340" w:right="340" w:hanging="332"/>
        <w:spacing w:after="0" w:line="260" w:lineRule="auto"/>
        <w:tabs>
          <w:tab w:leader="none" w:pos="335" w:val="left"/>
        </w:tabs>
        <w:numPr>
          <w:ilvl w:val="0"/>
          <w:numId w:val="83"/>
        </w:numPr>
        <w:rPr>
          <w:rFonts w:ascii="Arial" w:cs="Arial" w:eastAsia="Arial" w:hAnsi="Arial"/>
          <w:sz w:val="16"/>
          <w:szCs w:val="16"/>
          <w:color w:val="auto"/>
        </w:rPr>
      </w:pPr>
      <w:r>
        <w:rPr>
          <w:rFonts w:ascii="Arial" w:cs="Arial" w:eastAsia="Arial" w:hAnsi="Arial"/>
          <w:sz w:val="16"/>
          <w:szCs w:val="16"/>
          <w:color w:val="auto"/>
        </w:rPr>
        <w:t>2020 LTIP payment reflect the LTIP amounts for 2018 Cycle Year &amp; Retention Award (30%), 2019 Cycle Year, and the 2020 Cycle Year (collectively, 70%).</w:t>
      </w:r>
    </w:p>
    <w:p>
      <w:pPr>
        <w:spacing w:after="0" w:line="1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Benefits and Perquisites</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benefits provided by the Company are an important tool used to attract and retain executive talent. These benefits are designed to be competitive, cost-effective, and support the overall needs of our employees. The NEOs are eligible to participate in health and welfare benefits, retirement benefits, and executive perquisites.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Company-Sponsored Retirement Plans</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u w:val="single" w:color="auto"/>
          <w:color w:val="auto"/>
        </w:rPr>
        <w:t>Leonardo DRS 401(k) Plan</w:t>
      </w:r>
      <w:r>
        <w:rPr>
          <w:rFonts w:ascii="Arial" w:cs="Arial" w:eastAsia="Arial" w:hAnsi="Arial"/>
          <w:sz w:val="18"/>
          <w:szCs w:val="18"/>
          <w:color w:val="auto"/>
        </w:rPr>
        <w:t>. We sponsor a 401(k) Plan, a tax-qualified defined contribution plan, for our eligible employees, including the NEOs. Each NEO is eligible to make before-tax contributions to the 401(k) Plan, and after-tax contributions through a Roth 401(k) (or any combination of the foregoing), up to plan and tax law limits. The 401(k) Plan also provides participants with the opportunity to earn a Company match contribution. During 2020, the 401(k) Plan provided for a Company-matching contribution of 100% on contributions up to the first 5% of eligible pay for NEOs.</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u w:val="single" w:color="auto"/>
          <w:color w:val="auto"/>
        </w:rPr>
        <w:t>Defined-Benefit Retirement Plan</w:t>
      </w:r>
      <w:r>
        <w:rPr>
          <w:rFonts w:ascii="Arial" w:cs="Arial" w:eastAsia="Arial" w:hAnsi="Arial"/>
          <w:sz w:val="18"/>
          <w:szCs w:val="18"/>
          <w:color w:val="auto"/>
        </w:rPr>
        <w:t>. Certain employees participate in the Pension Plan for Employees of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and Welfare Benefits</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chief executive officer is the beneficiary of an individual term life insurance policy. We pay the required premiums for the policy on an annual basis. The policy was effective October 17, 2019, and is for a ten-year period. All NEOs, including our chief executive officer, are provided Company-funded group term life coverage of two times their annual base salary up to a maximum amount of $500,000 with reductions starting at age 65. The life benefit under the term life coverage will reduce by 35% at the age of 65 and will reduce by 50% at the age of 70.</w:t>
      </w:r>
    </w:p>
    <w:p>
      <w:pPr>
        <w:spacing w:after="0" w:line="15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All of our current NEOs are eligible to participate in our employee benefit plans, including our medical, dental, vision, life, disability and accidental death and dismemberment insurance plans, in each case on the same basis as all of our other employees. The senior leadership of the Company, including the NEOs, receive an enhanced short-term disability benefit of 70% of coverage with a weekly maximum of $3,500.00, and an enhanced long-term disability benefit of 66 2/3% of coverage with a monthly maximum of $15,000.00.</w:t>
      </w:r>
    </w:p>
    <w:p>
      <w:pPr>
        <w:spacing w:after="0" w:line="150"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Pursuant to our vacation policy, on an annual basis we pay eligible employees, including each of the NEOs, for any accrued and unused vacation benefits in excess of 240 hours, up to a maximum of 40 hours of base pay.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Perquisites</w:t>
      </w:r>
    </w:p>
    <w:p>
      <w:pPr>
        <w:spacing w:after="0" w:line="18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provide our NEOs with an annual fixed perquisite allowance under the Executive Allowance Program that the compensation committee believes is reasonable yet competitive to attract and retain key talent. The Company provides perquisites to the NEOs for purposes of recruitment, retention and security and to ensure the personal, physical, and fiscal fitness of our executives to facilitate the transaction of business. The annual perquisite allowance in 2020 was $39,200 for Mr. Lynn and $29,400 for the other NEOs. The Company consulted with Willis Towers Watson regarding the market practice of our peers when considering the perquisite allowance.</w:t>
      </w:r>
    </w:p>
    <w:p>
      <w:pPr>
        <w:spacing w:after="0" w:line="15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perquisite allowance provided to our NEOs was designed to be used at their discretion for such items as financial planning and tax preparation services, physical examinations, home security systems, personal liability and supplemental accidental death and dismemberment insurance, and the personal use of automobiles owned or leased by the NEO. The executive allowance is paid to NEOs on a bi-weekly basis.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and Change in Control Benefits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Incentive Awards</w:t>
      </w:r>
    </w:p>
    <w:p>
      <w:pPr>
        <w:spacing w:after="0" w:line="17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Termination under the ICP</w:t>
      </w:r>
      <w:r>
        <w:rPr>
          <w:rFonts w:ascii="Arial" w:cs="Arial" w:eastAsia="Arial" w:hAnsi="Arial"/>
          <w:sz w:val="18"/>
          <w:szCs w:val="18"/>
          <w:color w:val="auto"/>
        </w:rPr>
        <w:t>. Annual incentive awards earned under the ICP generally were only payable subject to the NEO’s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through the date on which awards are paid; however the compensation committee has the discretion to pay a prorated earned award in the event of a NEO’s involuntary separation of employment for reasons other than cause after September 1 of a plan year, or due to death or disability.</w:t>
      </w:r>
    </w:p>
    <w:p>
      <w:pPr>
        <w:spacing w:after="0" w:line="12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i w:val="1"/>
          <w:iCs w:val="1"/>
          <w:color w:val="auto"/>
        </w:rPr>
        <w:t>Termination under the LTIP</w:t>
      </w:r>
      <w:r>
        <w:rPr>
          <w:rFonts w:ascii="Arial" w:cs="Arial" w:eastAsia="Arial" w:hAnsi="Arial"/>
          <w:sz w:val="18"/>
          <w:szCs w:val="18"/>
          <w:color w:val="auto"/>
        </w:rPr>
        <w:t>. Long-term incentive awards earned under the LTIP are payable subject to the NEO’s continued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date on which awards are paid. In the event of a NEO’s involuntary separation of employment for reasons other than cause after December 31 of a plan year, the compensation committee may, in its sole discretion, authorize an award payment subject to achievement of any performance conditions for the plan year or portion of the performance cycle of which the plan year is a part. If the NEO’s employment was terminated due to death or disability, then the compensation committee, in its sole discretion, may authorize a prorated award payment subject to achievement of any performance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320" w:top="1440" w:right="379" w:bottom="1440" w:gutter="0" w:footer="0" w:header="0"/>
        </w:sectPr>
      </w:pPr>
    </w:p>
    <w:bookmarkStart w:id="157" w:name="page158"/>
    <w:bookmarkEnd w:id="157"/>
    <w:p>
      <w:pPr>
        <w:spacing w:after="0" w:line="13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Clawback Provision</w:t>
      </w:r>
      <w:r>
        <w:rPr>
          <w:rFonts w:ascii="Arial" w:cs="Arial" w:eastAsia="Arial" w:hAnsi="Arial"/>
          <w:sz w:val="18"/>
          <w:szCs w:val="18"/>
          <w:color w:val="auto"/>
        </w:rPr>
        <w:t>. The ICP and LTIP include executive compensation recoupment, or “clawback,” provisions. The clawback would</w:t>
      </w:r>
      <w:r>
        <w:rPr>
          <w:rFonts w:ascii="Arial" w:cs="Arial" w:eastAsia="Arial" w:hAnsi="Arial"/>
          <w:sz w:val="18"/>
          <w:szCs w:val="18"/>
          <w:i w:val="1"/>
          <w:iCs w:val="1"/>
          <w:color w:val="auto"/>
        </w:rPr>
        <w:t xml:space="preserve"> </w:t>
      </w:r>
      <w:r>
        <w:rPr>
          <w:rFonts w:ascii="Arial" w:cs="Arial" w:eastAsia="Arial" w:hAnsi="Arial"/>
          <w:sz w:val="18"/>
          <w:szCs w:val="18"/>
          <w:color w:val="auto"/>
        </w:rPr>
        <w:t>apply in the event that the Company subsequently discovers facts that, if known earlier, would have constituted grounds for termination of employment for “cause” (as defined in the ICP or LTIP as applicable) prior to the payment of the earned award. Additionally, in the event of a restatement of the Company’s financial results (other than a restatement caused by a change in applicable accounting rules or interpretations), the result of which is that an earned award would have been lower if calculated based on the restated results, the compensation committee will review each earned award during the period in question. If the compensation committee determines that the restatement is the result of the negligence, misconduct, deception, non-disclosure, policy violation or fraud by a NEO, the compensation committee in its discretion may require repayment of all or a portion of the award.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 in Control Benefits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Company has entered into a change in control agreement with each of the NEOs pursuant to the Leonardo DRS, Inc. Amended and Restated Executive Change in Control Plan (the “Change in Control Plan”) as in effect as of September 2016. The Company believes these agreements are an important tool for recruiting talent, maintaining a stable work environment, and retaining highly qualified executives. In 2016, the Change in Control Plan was entered into to protect the interests of the Company by including a “double-trigger” mechanism that results in a severance payout only when (a) change of control (as defined in the Change in Control Plan) is consummated, and (b) the executive’s employment is terminated by the Company without cause or by the executive for good reason within two years following the change in control. The compensation committee periodically evaluates and reviews payment and benefit levels under the Change in Control Plan and related agreements against the practices of our peer group companies. Upon the consummation of the offering, this plan will be terminated and replaced with the Executive Severance Plan described below in “Compensation Discussion and Analysis—Post-Offering 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Risk Management</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With the support of management and the compensation consultant, the compensation committee evaluates the Company’s overall risk profile relative to the incentive components of compensation. The use of long-term incentive awards as a significant portion of total direct compensation is structured to ensure management is focused on the long term and not incentivized to take excessive risk.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Code Section 162(m) limits tax deductions relating to executive compensation of certain executives of publicly held companies. For taxable years ended prior to this offering, the Company was not deemed to be publicly held for purposes of Code Section 162(m). Accordingly, these limitations were not applicable to the executive compensation program described above and were not taken into consideration in making compensation decisions. For future years, we expect to review and consider the deductibility of executive compensation under Internal Revenue Code Section 162(m), taking into account the changes to Code Section 162(m) effective for taxable years after 2017. However, in light of these changes, it is expected that we may pay compensation that is not deductible for federal income tax purposes when the board of directors (or a committee of the board of directors) believes that such payments are appropriate to attract, retain and incentivize executive talent.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presents the compensation of our Named Executive Officers for services performed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Change in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 Value</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Nonqualified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Non-Equity</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Deferred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Fiscal</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Incentive</w:t>
            </w:r>
          </w:p>
        </w:tc>
        <w:tc>
          <w:tcPr>
            <w:tcW w:w="14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Compensation</w:t>
            </w:r>
          </w:p>
        </w:tc>
        <w:tc>
          <w:tcPr>
            <w:tcW w:w="2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29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Salary</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1"/>
              <w:spacing w:after="0" w:line="202" w:lineRule="exact"/>
              <w:rPr>
                <w:sz w:val="20"/>
                <w:szCs w:val="20"/>
                <w:color w:val="auto"/>
              </w:rPr>
            </w:pPr>
            <w:r>
              <w:rPr>
                <w:rFonts w:ascii="Arial" w:cs="Arial" w:eastAsia="Arial" w:hAnsi="Arial"/>
                <w:sz w:val="14"/>
                <w:szCs w:val="14"/>
                <w:b w:val="1"/>
                <w:bCs w:val="1"/>
                <w:color w:val="auto"/>
                <w:w w:val="99"/>
              </w:rPr>
              <w:t>Earnings</w:t>
            </w:r>
            <w:r>
              <w:rPr>
                <w:rFonts w:ascii="Arial" w:cs="Arial" w:eastAsia="Arial" w:hAnsi="Arial"/>
                <w:sz w:val="18"/>
                <w:szCs w:val="18"/>
                <w:b w:val="1"/>
                <w:bCs w:val="1"/>
                <w:color w:val="auto"/>
                <w:w w:val="99"/>
                <w:vertAlign w:val="superscript"/>
              </w:rPr>
              <w:t>(2)</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8"/>
                <w:szCs w:val="18"/>
                <w:b w:val="1"/>
                <w:bCs w:val="1"/>
                <w:color w:val="auto"/>
                <w:w w:val="98"/>
                <w:vertAlign w:val="superscript"/>
              </w:rPr>
              <w:t>(3)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4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Lynn, CEO</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1,137,185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3,767,700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4,982,509</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John Baylouny, COO</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470,346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1,109,000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43,876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1,623,222</w:t>
            </w:r>
          </w:p>
        </w:tc>
      </w:tr>
      <w:tr>
        <w:trPr>
          <w:trHeight w:val="27"/>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Dippold, CFO</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420,885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901,900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1,366,661</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Mark Dorfman, EVP, Gen Counsel</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418,717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752,000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44,326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1,215,043</w:t>
            </w:r>
          </w:p>
        </w:tc>
      </w:tr>
      <w:tr>
        <w:trPr>
          <w:trHeight w:val="27"/>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Sally Wallace, EVP, Bus Ops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428,914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742,900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28,991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1,244,681</w:t>
            </w:r>
          </w:p>
        </w:tc>
      </w:tr>
      <w:tr>
        <w:trPr>
          <w:trHeight w:val="191"/>
        </w:trPr>
        <w:tc>
          <w:tcPr>
            <w:tcW w:w="2920" w:type="dxa"/>
            <w:vAlign w:val="bottom"/>
          </w:tcPr>
          <w:p>
            <w:pP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ind w:left="340" w:right="20" w:hanging="332"/>
        <w:spacing w:after="0" w:line="246" w:lineRule="auto"/>
        <w:tabs>
          <w:tab w:leader="none" w:pos="3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amounts in this column reflect the annual incentive cash awards earned under the Company’s Incentive Compensation Plan and long-term cash awards earned under the Company’s Long-Term Incentive Plan. See “Compensation Discussion and Analysis—Components of Compensation Program —Annual Incentive Compensation” and “—Long-Term Incentives” for a description of these programs and the amounts earned by each NEO under each program for 2020.</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This column represents the increase during 2020 in the present value of the NEO’s accumulated benefit under the Pension Plan for Employees of DRS Naval Power Systems, Inc. For more information regarding the NEO’s pension benefits, please see the Pension Benefits table below.</w:t>
      </w:r>
    </w:p>
    <w:p>
      <w:pPr>
        <w:ind w:left="340" w:right="20" w:hanging="332"/>
        <w:spacing w:after="0" w:line="251" w:lineRule="auto"/>
        <w:tabs>
          <w:tab w:leader="none" w:pos="3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amounts shown in the “All Other Compensation” column for 2020 include the amounts detailed in the table below as well as certain gym benefits with a value for each NEO that does not exceed the greater of $25,000 or 10% of the total amount of perquisites and personal benefits for the NEO. See “Compensation Discussion and Analysis—Components of Compensation Program—Benefits and Perquisites” for a description of the benefits discussed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ALL OTHER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Fiscal</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401(k) Plan</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Executive Allowance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r>
      <w:tr>
        <w:trPr>
          <w:trHeight w:val="20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9"/>
              </w:rPr>
              <w:t xml:space="preserve">Contributions </w:t>
            </w:r>
            <w:r>
              <w:rPr>
                <w:rFonts w:ascii="Arial" w:cs="Arial" w:eastAsia="Arial" w:hAnsi="Arial"/>
                <w:sz w:val="18"/>
                <w:szCs w:val="18"/>
                <w:b w:val="1"/>
                <w:bCs w:val="1"/>
                <w:color w:val="auto"/>
                <w:w w:val="99"/>
                <w:vertAlign w:val="superscript"/>
              </w:rPr>
              <w:t>(a)</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8"/>
              </w:rPr>
              <w:t xml:space="preserve">Life Insurance </w:t>
            </w:r>
            <w:r>
              <w:rPr>
                <w:rFonts w:ascii="Arial" w:cs="Arial" w:eastAsia="Arial" w:hAnsi="Arial"/>
                <w:sz w:val="18"/>
                <w:szCs w:val="18"/>
                <w:b w:val="1"/>
                <w:bCs w:val="1"/>
                <w:color w:val="auto"/>
                <w:w w:val="98"/>
                <w:vertAlign w:val="superscript"/>
              </w:rPr>
              <w:t>(b)</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7"/>
              </w:rPr>
              <w:t xml:space="preserve">Program </w:t>
            </w:r>
            <w:r>
              <w:rPr>
                <w:rFonts w:ascii="Arial" w:cs="Arial" w:eastAsia="Arial" w:hAnsi="Arial"/>
                <w:sz w:val="18"/>
                <w:szCs w:val="18"/>
                <w:b w:val="1"/>
                <w:bCs w:val="1"/>
                <w:color w:val="auto"/>
                <w:w w:val="97"/>
                <w:vertAlign w:val="superscript"/>
              </w:rPr>
              <w:t>(c)</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9"/>
              </w:rPr>
              <w:t xml:space="preserve">Benefits </w:t>
            </w:r>
            <w:r>
              <w:rPr>
                <w:rFonts w:ascii="Arial" w:cs="Arial" w:eastAsia="Arial" w:hAnsi="Arial"/>
                <w:sz w:val="18"/>
                <w:szCs w:val="18"/>
                <w:b w:val="1"/>
                <w:bCs w:val="1"/>
                <w:color w:val="auto"/>
                <w:w w:val="99"/>
                <w:vertAlign w:val="superscript"/>
              </w:rPr>
              <w:t>(d)</w:t>
            </w:r>
          </w:p>
        </w:tc>
      </w:tr>
      <w:tr>
        <w:trPr>
          <w:trHeight w:val="243"/>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Lynn, William CEO</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$13,992</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$23,680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$39,501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43"/>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Baylouny, John COO</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n/a</w:t>
            </w:r>
          </w:p>
        </w:tc>
        <w:tc>
          <w:tcPr>
            <w:tcW w:w="1860" w:type="dxa"/>
            <w:vAlign w:val="bottom"/>
          </w:tcPr>
          <w:p>
            <w:pPr>
              <w:jc w:val="center"/>
              <w:spacing w:after="0"/>
              <w:rPr>
                <w:sz w:val="20"/>
                <w:szCs w:val="20"/>
                <w:color w:val="auto"/>
              </w:rPr>
            </w:pPr>
            <w:r>
              <w:rPr>
                <w:rFonts w:ascii="Arial" w:cs="Arial" w:eastAsia="Arial" w:hAnsi="Arial"/>
                <w:sz w:val="18"/>
                <w:szCs w:val="18"/>
                <w:color w:val="auto"/>
              </w:rPr>
              <w:t>$29,626</w:t>
            </w:r>
          </w:p>
        </w:tc>
        <w:tc>
          <w:tcPr>
            <w:tcW w:w="10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Dippold, Michael CFO</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$14,250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n/a</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$29,626</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42"/>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Dorfman, Mark, EVP,</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17"/>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General Counsel</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n/a</w:t>
            </w:r>
          </w:p>
        </w:tc>
        <w:tc>
          <w:tcPr>
            <w:tcW w:w="1860" w:type="dxa"/>
            <w:vAlign w:val="bottom"/>
          </w:tcPr>
          <w:p>
            <w:pPr>
              <w:jc w:val="center"/>
              <w:spacing w:after="0"/>
              <w:rPr>
                <w:sz w:val="20"/>
                <w:szCs w:val="20"/>
                <w:color w:val="auto"/>
              </w:rPr>
            </w:pPr>
            <w:r>
              <w:rPr>
                <w:rFonts w:ascii="Arial" w:cs="Arial" w:eastAsia="Arial" w:hAnsi="Arial"/>
                <w:sz w:val="18"/>
                <w:szCs w:val="18"/>
                <w:color w:val="auto"/>
              </w:rPr>
              <w:t>$29,626</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2"/>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Wallace, Sally EVP, Bus</w:t>
            </w: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7"/>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$14,250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$29,626</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20" w:hanging="312"/>
        <w:spacing w:after="0"/>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column reflects Company contributions under the Company’s 401(k) Plan.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column reflects Company paid insurance premiums with respect to an individual term life insurance policy.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column reflects the annual fixed perquisite allowance under the Company’s Executive Allowance Program.</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column reflects the payout of accrued and unused vacation benefits in accordance with the Company’s vacation policy.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GRANTS OF PLAN-BASED AWARDS</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provides additional information about plan-based compensation disclosed in the Summary Compensation Table. This table includes non-equity awards granted during 2020. No equity awards in respect of Company stock were granted in 2020.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GRANTS OF PLAN-BASED AWARDS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Estimated Future Payouts Under Non-Equity Incentive Plan Awards</w:t>
            </w:r>
          </w:p>
        </w:tc>
        <w:tc>
          <w:tcPr>
            <w:tcW w:w="1740" w:type="dxa"/>
            <w:vAlign w:val="bottom"/>
            <w:tcBorders>
              <w:bottom w:val="single" w:sz="8" w:color="auto"/>
            </w:tcBorders>
          </w:tcPr>
          <w:p>
            <w:pPr>
              <w:spacing w:after="0"/>
              <w:rPr>
                <w:sz w:val="17"/>
                <w:szCs w:val="17"/>
                <w:color w:val="auto"/>
              </w:rPr>
            </w:pPr>
          </w:p>
        </w:tc>
      </w:tr>
      <w:tr>
        <w:trPr>
          <w:trHeight w:val="175"/>
        </w:trPr>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5"/>
                <w:szCs w:val="15"/>
                <w:color w:val="auto"/>
              </w:rPr>
            </w:pPr>
          </w:p>
        </w:tc>
        <w:tc>
          <w:tcPr>
            <w:tcW w:w="1840" w:type="dxa"/>
            <w:vAlign w:val="bottom"/>
            <w:gridSpan w:val="2"/>
          </w:tcPr>
          <w:p>
            <w:pPr>
              <w:ind w:left="300"/>
              <w:spacing w:after="0"/>
              <w:rPr>
                <w:sz w:val="20"/>
                <w:szCs w:val="20"/>
                <w:color w:val="auto"/>
              </w:rPr>
            </w:pPr>
            <w:r>
              <w:rPr>
                <w:rFonts w:ascii="Arial" w:cs="Arial" w:eastAsia="Arial" w:hAnsi="Arial"/>
                <w:sz w:val="14"/>
                <w:szCs w:val="14"/>
                <w:b w:val="1"/>
                <w:bCs w:val="1"/>
                <w:color w:val="auto"/>
              </w:rPr>
              <w:t>Threshold</w:t>
            </w:r>
          </w:p>
        </w:tc>
        <w:tc>
          <w:tcPr>
            <w:tcW w:w="500" w:type="dxa"/>
            <w:vAlign w:val="bottom"/>
          </w:tcPr>
          <w:p>
            <w:pPr>
              <w:spacing w:after="0"/>
              <w:rPr>
                <w:sz w:val="15"/>
                <w:szCs w:val="15"/>
                <w:color w:val="auto"/>
              </w:rPr>
            </w:pPr>
          </w:p>
        </w:tc>
        <w:tc>
          <w:tcPr>
            <w:tcW w:w="1760" w:type="dxa"/>
            <w:vAlign w:val="bottom"/>
            <w:gridSpan w:val="2"/>
          </w:tcPr>
          <w:p>
            <w:pPr>
              <w:ind w:left="380"/>
              <w:spacing w:after="0"/>
              <w:rPr>
                <w:sz w:val="20"/>
                <w:szCs w:val="20"/>
                <w:color w:val="auto"/>
              </w:rPr>
            </w:pPr>
            <w:r>
              <w:rPr>
                <w:rFonts w:ascii="Arial" w:cs="Arial" w:eastAsia="Arial" w:hAnsi="Arial"/>
                <w:sz w:val="14"/>
                <w:szCs w:val="14"/>
                <w:b w:val="1"/>
                <w:bCs w:val="1"/>
                <w:color w:val="auto"/>
              </w:rPr>
              <w:t>Target</w:t>
            </w:r>
          </w:p>
        </w:tc>
        <w:tc>
          <w:tcPr>
            <w:tcW w:w="440" w:type="dxa"/>
            <w:vAlign w:val="bottom"/>
          </w:tcPr>
          <w:p>
            <w:pPr>
              <w:spacing w:after="0"/>
              <w:rPr>
                <w:sz w:val="15"/>
                <w:szCs w:val="15"/>
                <w:color w:val="auto"/>
              </w:rPr>
            </w:pPr>
          </w:p>
        </w:tc>
        <w:tc>
          <w:tcPr>
            <w:tcW w:w="1740" w:type="dxa"/>
            <w:vAlign w:val="bottom"/>
          </w:tcPr>
          <w:p>
            <w:pPr>
              <w:jc w:val="right"/>
              <w:ind w:right="673"/>
              <w:spacing w:after="0"/>
              <w:rPr>
                <w:sz w:val="20"/>
                <w:szCs w:val="20"/>
                <w:color w:val="auto"/>
              </w:rPr>
            </w:pPr>
            <w:r>
              <w:rPr>
                <w:rFonts w:ascii="Arial" w:cs="Arial" w:eastAsia="Arial" w:hAnsi="Arial"/>
                <w:sz w:val="14"/>
                <w:szCs w:val="14"/>
                <w:b w:val="1"/>
                <w:bCs w:val="1"/>
                <w:color w:val="auto"/>
              </w:rPr>
              <w:t>Maximum</w:t>
            </w:r>
          </w:p>
        </w:tc>
      </w:tr>
      <w:tr>
        <w:trPr>
          <w:trHeight w:val="196"/>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w:t>
            </w:r>
          </w:p>
        </w:tc>
      </w:tr>
      <w:tr>
        <w:trPr>
          <w:trHeight w:val="27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William J. Lynn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499,206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1,248,014</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2,496,028</w:t>
            </w:r>
          </w:p>
        </w:tc>
      </w:tr>
      <w:tr>
        <w:trPr>
          <w:trHeight w:val="27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William J. Lynn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5,750,000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9,775,000</w:t>
            </w:r>
          </w:p>
        </w:tc>
      </w:tr>
      <w:tr>
        <w:trPr>
          <w:trHeight w:val="27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Baylouny</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356,250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712,500</w:t>
            </w:r>
          </w:p>
        </w:tc>
      </w:tr>
      <w:tr>
        <w:trPr>
          <w:trHeight w:val="27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John Baylouny</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862,500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1,725,000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2,932,500</w:t>
            </w:r>
          </w:p>
        </w:tc>
      </w:tr>
      <w:tr>
        <w:trPr>
          <w:trHeight w:val="27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Mike Dippold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w:t>
            </w:r>
          </w:p>
        </w:tc>
      </w:tr>
      <w:tr>
        <w:trPr>
          <w:trHeight w:val="27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Mike Dippold</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690,000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1,380,000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2,346,000</w:t>
            </w:r>
          </w:p>
        </w:tc>
      </w:tr>
      <w:tr>
        <w:trPr>
          <w:trHeight w:val="27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Dorfman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271,700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543,400</w:t>
            </w:r>
          </w:p>
        </w:tc>
      </w:tr>
      <w:tr>
        <w:trPr>
          <w:trHeight w:val="27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Mark Dorfman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540,500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1,081,000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1,837,700</w:t>
            </w:r>
          </w:p>
        </w:tc>
      </w:tr>
      <w:tr>
        <w:trPr>
          <w:trHeight w:val="27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556,400</w:t>
            </w:r>
          </w:p>
        </w:tc>
      </w:tr>
      <w:tr>
        <w:trPr>
          <w:trHeight w:val="272"/>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Sally Wallace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540,500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1,081,000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1,837,700</w:t>
            </w: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ind w:left="340" w:right="200" w:hanging="332"/>
        <w:spacing w:after="0" w:line="246" w:lineRule="auto"/>
        <w:tabs>
          <w:tab w:leader="none" w:pos="33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These amounts represent cash awards that are possible under the Company’s Incentive Compensation Plan. The value earned can be found in the Summary Compensation Table in the Non-Equity Incentive Compensation column. Refer to “Compensation Discussion and Analysis—Components of Compensation Program—Annual Incentive Compensation” for a description of these programs and the amounts earned by each NEO under each program for 2020.</w:t>
      </w:r>
    </w:p>
    <w:p>
      <w:pPr>
        <w:spacing w:after="0" w:line="1" w:lineRule="exact"/>
        <w:rPr>
          <w:rFonts w:ascii="Arial" w:cs="Arial" w:eastAsia="Arial" w:hAnsi="Arial"/>
          <w:sz w:val="16"/>
          <w:szCs w:val="16"/>
          <w:color w:val="auto"/>
        </w:rPr>
      </w:pPr>
    </w:p>
    <w:p>
      <w:pPr>
        <w:ind w:left="340" w:right="340" w:hanging="332"/>
        <w:spacing w:after="0" w:line="251" w:lineRule="auto"/>
        <w:tabs>
          <w:tab w:leader="none" w:pos="33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These amounts represent cash awards that are possible under the Company’s Long Term Incentive Plan (“LTIP”). 2020 LTIP Awards are for the Performance Cycle consisting of partial vested 2018, 2019 and 2020 award grants. See “Compensation Discussion and Analysis—Components of Compensation Program—Long-Term Incentives” for a description of these programs and the amounts earned by each NEO under each program for 2020. Contingent upon vesting, the 2019 and 2020 remaining performance year award payments under the LTIP will be paid at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AS OF DECEMBER 31, 2020</w:t>
      </w:r>
    </w:p>
    <w:p>
      <w:pPr>
        <w:spacing w:after="0" w:line="193"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The following table lists the pension program participation and actuarial present value of the NEO with a defined benefit pension at December 31, 2020. No other NEOs have a defined benefit pension.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Present Value of</w:t>
            </w:r>
          </w:p>
        </w:tc>
        <w:tc>
          <w:tcPr>
            <w:tcW w:w="360" w:type="dxa"/>
            <w:vAlign w:val="bottom"/>
          </w:tcPr>
          <w:p>
            <w:pPr>
              <w:spacing w:after="0"/>
              <w:rPr>
                <w:sz w:val="14"/>
                <w:szCs w:val="14"/>
                <w:color w:val="auto"/>
              </w:rPr>
            </w:pPr>
          </w:p>
        </w:tc>
        <w:tc>
          <w:tcPr>
            <w:tcW w:w="1820" w:type="dxa"/>
            <w:vAlign w:val="bottom"/>
          </w:tcPr>
          <w:p>
            <w:pPr>
              <w:jc w:val="center"/>
              <w:ind w:right="264"/>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1820" w:type="dxa"/>
            <w:vAlign w:val="bottom"/>
          </w:tcPr>
          <w:p>
            <w:pPr>
              <w:jc w:val="center"/>
              <w:ind w:right="284"/>
              <w:spacing w:after="0"/>
              <w:rPr>
                <w:sz w:val="20"/>
                <w:szCs w:val="20"/>
                <w:color w:val="auto"/>
              </w:rPr>
            </w:pPr>
            <w:r>
              <w:rPr>
                <w:rFonts w:ascii="Arial" w:cs="Arial" w:eastAsia="Arial" w:hAnsi="Arial"/>
                <w:sz w:val="14"/>
                <w:szCs w:val="14"/>
                <w:b w:val="1"/>
                <w:bCs w:val="1"/>
                <w:color w:val="auto"/>
              </w:rPr>
              <w:t>during the last</w:t>
            </w: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Arial" w:cs="Arial" w:eastAsia="Arial" w:hAnsi="Arial"/>
                <w:sz w:val="14"/>
                <w:szCs w:val="14"/>
                <w:b w:val="1"/>
                <w:bCs w:val="1"/>
                <w:color w:val="auto"/>
              </w:rPr>
              <w:t>Number of 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Benefit</w:t>
            </w:r>
          </w:p>
        </w:tc>
        <w:tc>
          <w:tcPr>
            <w:tcW w:w="360" w:type="dxa"/>
            <w:vAlign w:val="bottom"/>
          </w:tcPr>
          <w:p>
            <w:pPr>
              <w:spacing w:after="0"/>
              <w:rPr>
                <w:sz w:val="14"/>
                <w:szCs w:val="14"/>
                <w:color w:val="auto"/>
              </w:rPr>
            </w:pPr>
          </w:p>
        </w:tc>
        <w:tc>
          <w:tcPr>
            <w:tcW w:w="1820" w:type="dxa"/>
            <w:vAlign w:val="bottom"/>
          </w:tcPr>
          <w:p>
            <w:pPr>
              <w:jc w:val="center"/>
              <w:ind w:right="284"/>
              <w:spacing w:after="0"/>
              <w:rPr>
                <w:sz w:val="20"/>
                <w:szCs w:val="20"/>
                <w:color w:val="auto"/>
              </w:rPr>
            </w:pPr>
            <w:r>
              <w:rPr>
                <w:rFonts w:ascii="Arial" w:cs="Arial" w:eastAsia="Arial" w:hAnsi="Arial"/>
                <w:sz w:val="14"/>
                <w:szCs w:val="14"/>
                <w:b w:val="1"/>
                <w:bCs w:val="1"/>
                <w:color w:val="auto"/>
              </w:rPr>
              <w:t>fiscal year</w:t>
            </w:r>
          </w:p>
        </w:tc>
      </w:tr>
      <w:tr>
        <w:trPr>
          <w:trHeight w:val="20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ind w:left="680"/>
              <w:spacing w:after="0" w:line="202" w:lineRule="exact"/>
              <w:rPr>
                <w:sz w:val="20"/>
                <w:szCs w:val="20"/>
                <w:color w:val="auto"/>
              </w:rPr>
            </w:pPr>
            <w:r>
              <w:rPr>
                <w:rFonts w:ascii="Arial" w:cs="Arial" w:eastAsia="Arial" w:hAnsi="Arial"/>
                <w:sz w:val="14"/>
                <w:szCs w:val="14"/>
                <w:b w:val="1"/>
                <w:bCs w:val="1"/>
                <w:color w:val="auto"/>
              </w:rPr>
              <w:t>Plan Name</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Credited Service</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244"/>
              <w:spacing w:after="0" w:line="20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rPr>
              <w:t>($)</w:t>
            </w:r>
          </w:p>
        </w:tc>
      </w:tr>
      <w:tr>
        <w:trPr>
          <w:trHeight w:val="23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Naval Power Systems</w:t>
            </w:r>
          </w:p>
        </w:tc>
        <w:tc>
          <w:tcPr>
            <w:tcW w:w="1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17"/>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Plan</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662,058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Benefits under the Pension Plan for Employees of DRS Naval Power Systems, Inc. were frozen effective as of December 31, 2011.</w:t>
      </w:r>
    </w:p>
    <w:p>
      <w:pPr>
        <w:spacing w:after="0" w:line="5" w:lineRule="exact"/>
        <w:rPr>
          <w:rFonts w:ascii="Arial" w:cs="Arial" w:eastAsia="Arial" w:hAnsi="Arial"/>
          <w:sz w:val="16"/>
          <w:szCs w:val="16"/>
          <w:color w:val="auto"/>
        </w:rPr>
      </w:pPr>
    </w:p>
    <w:p>
      <w:pPr>
        <w:ind w:left="340" w:right="100" w:hanging="332"/>
        <w:spacing w:after="0" w:line="249" w:lineRule="auto"/>
        <w:tabs>
          <w:tab w:leader="none" w:pos="33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Present Value of Accumulated Benefit (PVAB) for Sally Wallace as of December 31, 2020 is $662,058, which is based on a discount rate of 2.23% and the PRI-2012 mortality table projected using MP-2020 with white collar adjustment. The PVAB for her as of December 31, 2019 is $633,067, which is based on a discount rate of 2.75% and the RP-2014 Adjusted Employees Healthy Annuitant Table projected using Scale MP-2016 with white collar adjustment. The above amounts are determined based on the same assumptions used for financial reporting purposes, except that the assumed retirement age is the normal retirement age of age 65, which is also the earliest age at which she may receive retirement benefits without any reduction in benefits.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Pension Plan for Employees of DRS Naval Power Systems, Inc.</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Certain employees participate in the Pension Plan for Employees of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93" w:lineRule="exact"/>
        <w:rPr>
          <w:sz w:val="20"/>
          <w:szCs w:val="20"/>
          <w:color w:val="auto"/>
        </w:rPr>
      </w:pPr>
    </w:p>
    <w:p>
      <w:pPr>
        <w:ind w:right="240" w:firstLine="324"/>
        <w:spacing w:after="0" w:line="271" w:lineRule="auto"/>
        <w:rPr>
          <w:sz w:val="20"/>
          <w:szCs w:val="20"/>
          <w:color w:val="auto"/>
        </w:rPr>
      </w:pPr>
      <w:r>
        <w:rPr>
          <w:rFonts w:ascii="Arial" w:cs="Arial" w:eastAsia="Arial" w:hAnsi="Arial"/>
          <w:sz w:val="17"/>
          <w:szCs w:val="17"/>
          <w:color w:val="auto"/>
        </w:rPr>
        <w:t>As discussed under “Components of Compensation Program—Benefits and Perquisites—Severance and Change in Control Benefits,” NEOs may be entitled to certain amounts under the ICP and LTIP on a termination of employment in certain limited circumstances. Additionally, pursuant to the Leonardo DRS, Inc. Amended and Restated Executive Change in Control Plan as in effect as of September 2016, NEOs are eligible for certain “double trigger” severance benefits in the event of a qualifying termination of employment in connection with a change in control. No payments or benefits would be payable to our NEOs solely as a result of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5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This section estimates the payments that would be received by our NEOs upon a termination of employment effective as of December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Pr>
          <w:p>
            <w:pPr>
              <w:jc w:val="center"/>
              <w:ind w:right="97"/>
              <w:spacing w:after="0"/>
              <w:rPr>
                <w:sz w:val="20"/>
                <w:szCs w:val="20"/>
                <w:color w:val="auto"/>
              </w:rPr>
            </w:pPr>
            <w:r>
              <w:rPr>
                <w:rFonts w:ascii="Arial" w:cs="Arial" w:eastAsia="Arial" w:hAnsi="Arial"/>
                <w:sz w:val="14"/>
                <w:szCs w:val="14"/>
                <w:b w:val="1"/>
                <w:bCs w:val="1"/>
                <w:color w:val="auto"/>
              </w:rPr>
              <w:t>Termination without Cause or for Good</w:t>
            </w:r>
          </w:p>
        </w:tc>
      </w:tr>
      <w:tr>
        <w:trPr>
          <w:trHeight w:val="162"/>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Involuntary Termination without Cause or</w:t>
            </w:r>
          </w:p>
        </w:tc>
        <w:tc>
          <w:tcPr>
            <w:tcW w:w="180" w:type="dxa"/>
            <w:vAlign w:val="bottom"/>
          </w:tcPr>
          <w:p>
            <w:pPr>
              <w:spacing w:after="0"/>
              <w:rPr>
                <w:sz w:val="14"/>
                <w:szCs w:val="14"/>
                <w:color w:val="auto"/>
              </w:rPr>
            </w:pPr>
          </w:p>
        </w:tc>
        <w:tc>
          <w:tcPr>
            <w:tcW w:w="2940" w:type="dxa"/>
            <w:vAlign w:val="bottom"/>
          </w:tcPr>
          <w:p>
            <w:pPr>
              <w:jc w:val="center"/>
              <w:ind w:right="97"/>
              <w:spacing w:after="0"/>
              <w:rPr>
                <w:sz w:val="20"/>
                <w:szCs w:val="20"/>
                <w:color w:val="auto"/>
              </w:rPr>
            </w:pPr>
            <w:r>
              <w:rPr>
                <w:rFonts w:ascii="Arial" w:cs="Arial" w:eastAsia="Arial" w:hAnsi="Arial"/>
                <w:sz w:val="14"/>
                <w:szCs w:val="14"/>
                <w:b w:val="1"/>
                <w:bCs w:val="1"/>
                <w:color w:val="auto"/>
              </w:rPr>
              <w:t>Reason in connection with a Change in</w:t>
            </w:r>
          </w:p>
        </w:tc>
      </w:tr>
      <w:tr>
        <w:trPr>
          <w:trHeight w:val="19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due to Death or Disability</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Control</w:t>
            </w: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Lynn, William CEO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8,513,146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13,006,160</w:t>
            </w: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Baylouny, John COO</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1,843,847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4,179,472</w:t>
            </w: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Dippold, Michael CFO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3,512,040</w:t>
            </w: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Dorfman, Mark EVP, General Counsel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1,401,990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3,105,240</w:t>
            </w: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Wallace, Sally EVP, Bus Ops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3,152,990</w:t>
            </w:r>
          </w:p>
        </w:tc>
      </w:tr>
    </w:tbl>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3"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As stated earlier in this section, the NEOs are eligible to receive severance benefits under the Change in Control Plan in the event their employment is terminated up to 24-months after a change in control occurs.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2020 under William Lynn’s existing employment agreement, he was eligible for certain severance benefits in the event of other types of termination, including death, disability or involuntary termination without cause. In the event of a termination without cause on December 31, 2020, he would be eligible for 2.5 times the sum of his annual base salary and incentive compensation bonus and he would also receive payment for the 2020 incentive bonus and long-term incentive with all future awards forfeited, and 12 months of company-paid COBRA benefits.</w:t>
      </w:r>
    </w:p>
    <w:p>
      <w:pPr>
        <w:spacing w:after="0" w:line="151" w:lineRule="exact"/>
        <w:rPr>
          <w:sz w:val="20"/>
          <w:szCs w:val="20"/>
          <w:color w:val="auto"/>
        </w:rPr>
      </w:pPr>
    </w:p>
    <w:p>
      <w:pPr>
        <w:ind w:right="980" w:firstLine="324"/>
        <w:spacing w:after="0" w:line="261" w:lineRule="auto"/>
        <w:rPr>
          <w:sz w:val="20"/>
          <w:szCs w:val="20"/>
          <w:color w:val="auto"/>
        </w:rPr>
      </w:pPr>
      <w:r>
        <w:rPr>
          <w:rFonts w:ascii="Arial" w:cs="Arial" w:eastAsia="Arial" w:hAnsi="Arial"/>
          <w:sz w:val="18"/>
          <w:szCs w:val="18"/>
          <w:color w:val="auto"/>
        </w:rPr>
        <w:t>The Company’s other NEOs, John Baylouny, Michael Dippold, Mark Dorfman, and Sally Wallace have no formal employment agreements.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Involuntary Termination without Cause</w:t>
      </w:r>
    </w:p>
    <w:p>
      <w:pPr>
        <w:spacing w:after="0" w:line="19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In 2020, John Baylouny, Michael Dippold, Mark Dorfman, and Sally Wallace were not under employment agreements with the Company or any severance plan. If an involuntary termination without cause would have occurred, at the company’s discretion in exchange for providing severance benefits, the employee must agree to and be in compliance with ongoing confidentiality and cooperation obligations, non-competition, and non-solicitation covenants for a period of 12-months following termination. Generally, our separation pay benefits are 12-months of base salary, 12-months of company-paid COBRA, and outplacement services. Under the terms of the annual incentive compensation plan, if the employee is terminated after September 1, 2020, the administrator of the plan may authorize an earned award, reflecting the employee’s participation for a portion of the plan year (“pro-rated award”). The pro-rated award would be based on performance, and payable in March 2021. Under the terms of the LTIP, if the employee is terminated on or after December 31, 2020 but before payment, the administrator of the plan may authorize an earned award based on performance. All future awards under the long-term incentive plan would be forfeited.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Death or Disability</w:t>
      </w:r>
    </w:p>
    <w:p>
      <w:pPr>
        <w:spacing w:after="0" w:line="193"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In the event of any NEOs’ death or disability, he or she would be eligible for benefits under the company’s group term life insurance and accidental death and dismemberment, and disability plan. Under the terms of our ICP and LTIP, the administrator may authorize a pro-rated award payment at target paid to the NEO or, in the case of death, to his or her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Written Release</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all cases, except for death, where separation benefits are being provided by the Company, the NEO is required to execute a written release agreement in order to be eligible for the severance benefits. In 2021, each NEO will be a participant in the Executive Severance Plan which will cover change in control with a double-trigger, and non-change in control terminations.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DIRECTOR COMPENSATION</w:t>
      </w:r>
    </w:p>
    <w:p>
      <w:pPr>
        <w:spacing w:after="0" w:line="193"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We compensate each non-employee director for service on the board of directors. The CEO and compensation committee review director compensation periodically. In consideration of the duties performed each director receives a fixed annual cash retainer, payable quarterly in arrears.</w:t>
      </w:r>
    </w:p>
    <w:p>
      <w:pPr>
        <w:spacing w:after="0" w:line="14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Directors are reimbursed for reasonable expenses incurred in attending or returning from meetings of the board or any committee thereof, or otherwise in or about the business of the Company. These expenses are reimbursed in accordance in with the Company’s policies regarding reimbursement of business expenses and are approved by the CEO.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Fees Earned or Paid</w:t>
            </w:r>
          </w:p>
        </w:tc>
        <w:tc>
          <w:tcPr>
            <w:tcW w:w="540" w:type="dxa"/>
            <w:vAlign w:val="bottom"/>
          </w:tcPr>
          <w:p>
            <w:pPr>
              <w:spacing w:after="0"/>
              <w:rPr>
                <w:sz w:val="14"/>
                <w:szCs w:val="14"/>
                <w:color w:val="auto"/>
              </w:rPr>
            </w:pPr>
          </w:p>
        </w:tc>
        <w:tc>
          <w:tcPr>
            <w:tcW w:w="1700" w:type="dxa"/>
            <w:vAlign w:val="bottom"/>
          </w:tcPr>
          <w:p>
            <w:pPr>
              <w:jc w:val="right"/>
              <w:ind w:right="875"/>
              <w:spacing w:after="0"/>
              <w:rPr>
                <w:sz w:val="20"/>
                <w:szCs w:val="20"/>
                <w:color w:val="auto"/>
              </w:rPr>
            </w:pPr>
            <w:r>
              <w:rPr>
                <w:rFonts w:ascii="Arial" w:cs="Arial" w:eastAsia="Arial" w:hAnsi="Arial"/>
                <w:sz w:val="14"/>
                <w:szCs w:val="14"/>
                <w:b w:val="1"/>
                <w:bCs w:val="1"/>
                <w:color w:val="auto"/>
              </w:rPr>
              <w:t>Total</w:t>
            </w:r>
          </w:p>
        </w:tc>
      </w:tr>
      <w:tr>
        <w:trPr>
          <w:trHeight w:val="19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in Cash ($)</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w:t>
            </w:r>
          </w:p>
        </w:tc>
      </w:tr>
      <w:tr>
        <w:trPr>
          <w:trHeight w:val="249"/>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Frances Townsend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200,907</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Philip Odeen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151,484</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George Casey, Jr.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150,420</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Kenneth Krieg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202,062</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W. Carey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7"/>
        </w:trPr>
        <w:tc>
          <w:tcPr>
            <w:tcW w:w="6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Following the consummation of this offering, each of our non-employee directors will receive annual cash compensation of $ 100,000 and will be granted restricted stock units of our common stock in an amount equal to $100,000 at the date of grant that will vest on a one period from the grant date. The chairs of our audit committee, compensation committee, nominating and corporate governance committee and government security committee will receive an additional annual cash retainer of $40,000, with the lead independent director receiving an additional annual cash retainer of $50,000. Directors who are our employees will not receive any compensation from us for their service on our board of directors.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POST-OFFERING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Equity Compensation Plan</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board of directors has adopted, and our stockholder has approved, the Leonardo DRS 2021 Omnibus Equity Compensation Plan (the “Omnibus Plan”) in connection with this offering. The Omnibus Plan will be effective as of February 24, 2021. Under the Omnibus Plan we will make grants of long-term equity incentive compensation to our key employees, prospective employees, consultants and non-employee directors. The purpose of the Omnibus Plan is to help us attract, retain and motivate key employees, align the interest of those individuals with the interests of our shareholders and promote ownership of the Company’s equity. The following is a summary of the material terms of the Omnibus Plan, a copy of which is filed as an exhibit to the registration statement of which this prospectus forms a part.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93" w:lineRule="exact"/>
        <w:rPr>
          <w:sz w:val="20"/>
          <w:szCs w:val="20"/>
          <w:color w:val="auto"/>
        </w:rPr>
      </w:pPr>
    </w:p>
    <w:p>
      <w:pPr>
        <w:jc w:val="both"/>
        <w:ind w:right="260" w:firstLine="324"/>
        <w:spacing w:after="0" w:line="278" w:lineRule="auto"/>
        <w:rPr>
          <w:sz w:val="20"/>
          <w:szCs w:val="20"/>
          <w:color w:val="auto"/>
        </w:rPr>
      </w:pPr>
      <w:r>
        <w:rPr>
          <w:rFonts w:ascii="Arial" w:cs="Arial" w:eastAsia="Arial" w:hAnsi="Arial"/>
          <w:sz w:val="17"/>
          <w:szCs w:val="17"/>
          <w:color w:val="auto"/>
        </w:rPr>
        <w:t>The compensation committee of the board of directors (and its delegates) has the authority to interpret the terms and conditions of the Omnibus Plan, to determine eligibility for and terms of awards for participants and to make all other determinations necessary or advisable for the administration of the Omnibus Plan. The compensation committee may delegate any of its powers, responsibilities or duties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57"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any of its members, to any person who is not a member of the compensation committee or to any administrative group within the Company. The board of directors may also grant award or administer the Omnibus Plan. For purposes of this summary, we refer to the committee that administers the Omnibus Plan and to any person or group to whom this committee delegates authority, as the compensation committee.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Eligible Award Participants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employees, consultants and non-employee directors are eligible to receive awards under the Omnibus Plan.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Awards</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Awards under the Omnibus Plan may be made in the form of stock options, stock appreciation rights (“SARs”), restricted shares, restricted stock units (“RSUs”), dividend equivalent rights and other equity-based or equity-related awards that the Administrator determines to be consistent with the purposes of the Omnibus Plan and the interests of the Company.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Subject to the Omnibus Plan</w:t>
      </w:r>
    </w:p>
    <w:p>
      <w:pPr>
        <w:spacing w:after="0" w:line="193"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The aggregate number of shares of common stock available for issuance under the Omnibus Plan will be equal to 3,511,400 shares. Shares issued under the Omnibus Plan that are assumed, converted or substituted under the Omnibus Plan as a result of the Company’s acquisition of another company, including by way of merger, combination or similar transaction will not count against the number of shares that may be issued under the Omnibus Plan. Available shares under a stockholder approved plan of an acquired company may be used for awards under the Omnibus Plan and do not reduce the maximum number of shares available for grant under the Omnibus Plan, subject to applicable stock exchange requirements. Shares subject to an award that is forfeited, expired or settled for cash, to the extent of such forfeiture, expiration or cash settlement will be available for future grants of awards under the Omnibus Plan and will be added back in the same number of shares as were deducted in respect of the grant of such award. The payment of dividend equivalent rights in cash in conjunction with any outstanding awards will not be counted against the shares available for issuance under the Omnibus Plan. In the case of SARs, the difference between the number of shares covered by the exercised portion of the SAR and the number of shares actually delivered upon exercise shall not be restored or available for future issuance under the Omnibus Plan. Shares tendered by a participant or withheld by us in payment of the exercise price of a stock option or to satisfy any tax withholding obligation with respect to an award will not again be available for awards.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Limits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With respect to any period from one annual meeting of shareholders to the next following annual meeting of shareholders, the fair market value of shares subject to awards granted to any non-employee director, and the cash paid to any non-employee director, may not exceed $500,000, with the value of any equity-based awards based on the accounting grant date value of such award.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Terms and Conditions of Options and Incentive Stock Options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An incentive stock option means a stock option to purchase shares that is intended to be an “incentive stock option” within the meaning of Sections 421 and 422 of the Internal Revenue Code (the “Code”), as now constituted or subsequently amended, or pursuant to a successor provisions of the Code and which is designated as an incentive stock option in the applicable award agreement. Stock options may be granted to eligible recipients in such number and at such times during the term of the Omnibus Plan as the compensation committee may determine, provided that the maximum number of shares as to which stock option may be granted to any one individual in any fiscal year may not exceed the aggregate number of shares of common stock available for issuance under the Omnibus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157"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Each stock option will vest and become exercisable according to the terms and conditions determined by the compensation committee. Unless otherwise determined by the compensation committee, no option or SAR may be exercisable more than ten years from the grant date, or in the case of an incentive stock option granted to a ten percent stockholder, five years. The exercise price per share under each non-qualified option and SAR granted under the Omnibus Plan may not be less than 100% of the fair market value of our common stock on the option grant date.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Terms and Conditions of SARs</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SARs may be granted to eligible recipients in such number and at such times during the term of the Omnibus Plan as the compensation committee may determine. Each SAR will vest and become exercisable according to the terms and conditions determined by the compensation committee . The exercise price per share with respect to each SAR will be determined by the compensation committee, but it may never be less than the fair market value of our common stock on the grant date. Unless otherwise determined by the compensation committee, no SAR may be exercisable more than ten years from the grant date.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Terms and Conditions of Restricted Stock and RSUs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Restricted stock is an award of common stock on which certain restrictions are imposed over specified periods that subject the shares to a substantial risk of forfeiture. An RSU is a unit, equivalent in value to a share of common stock, credited by means of a bookkeeping entry in our books to a participant’s account, which is settled after vesting in stock or cash, as determined by the compensation committee. Subject to the provisions of the Omnibus Plan, our compensation committee will determine the terms and conditions of each award of restricted stock or RSUs, including the restricted period for all or a portion of the award, and the restrictions applicable to the award. Restricted stock and RSUs will vest based on a period of service specified by our Administrator, the occurrence of events specified by our compensation committee or both. Unless otherwise determined by the compensation committee, RSUs that were granted under the Omnibus Plan not previously forfeited or terminated will receive one share of common stock, cash or other securities or property equal in value to a share of common stock or a combination thereof.</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Terms and Conditions of Dividend Equivalents</w:t>
      </w:r>
    </w:p>
    <w:p>
      <w:pPr>
        <w:spacing w:after="0" w:line="193"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The compensation committee may include in the award agreement with respect to any award a dividend equivalent right entitling the recipient to receive amounts equal to all or any portion of the regular cash dividends that would be paid on the shares covered by such award. The compensation committee will determine whether the payment will be made in cash, in shares, or in another form.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Stock-Based or Cash-Based Awards</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compensation committee may grant other types of equity-based, equity-related or cash-based awards in such amounts and subject to terms and conditions as the compensation committee may determine. The terms and conditions may relate to the achievement of performance goals as well as service-based goals, as determined by the compensation committee at the time of the grant. A performance-based award will be determined based on the attainment of written performance goals approved by the compensation committee for a performance period. The compensation committee may prescribe a formula to determine the amount of the performance-based award that may be payable based upon the level of attainment of the performance goals during the performance period. Following the completion of each performance period, the compensation committee will have the sole discretion to determine whether the applicable performance goals have been met with respect to each participant.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Forfeiture Provisions; Clawback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under the Omnibus Plan will be subject to any clawback or recapture policy that we may adopt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 of a Change in Control</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Except as otherwise determined by the compensation committee, if the participant’s employment is terminated by us or any successor entity without “cause,” or the participant resigns for “good reason,” as each is defined in the Omnibus Plan, on or within two years after a change in control, each award granted to a participant prior to the change in control will become fully vested, including the lapsing of all restrictions and conditions, and as applicable, exercisable and any shares deliverable pursuant to RSUs will be delivered promptly following termination of employment.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Expiration Date</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Omnibus Plan has a ten-year term and will expire at the end of the term unless further approval of our shareholders of the Omnibus Plan or a successor plan is obtained. However, the expiration of the Omnibus Plan would have no effect on outstanding awards previously granted.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 Plan</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board of directors has approved our Executive Severance Plan (the “Severance Plan”) to help retain qualified employees, maintain a stable work environment and provide economic security by providing benefits to certain key employees in the event of certain qualifying terminations.</w:t>
      </w:r>
    </w:p>
    <w:p>
      <w:pPr>
        <w:spacing w:after="0" w:line="14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Severance Plan will provide benefits to certain eligible employees, including the NEOs, whose jobs are eliminated by the Company without “cause” or by the executive with “good reason” (as each is defined in the Severance Plan) within two years of a “change in control” (as defined in the Severance Plan), excluding any termination due to death or disability, including:</w:t>
      </w:r>
    </w:p>
    <w:p>
      <w:pPr>
        <w:spacing w:after="0" w:line="148" w:lineRule="exact"/>
        <w:rPr>
          <w:sz w:val="20"/>
          <w:szCs w:val="20"/>
          <w:color w:val="auto"/>
        </w:rPr>
      </w:pPr>
    </w:p>
    <w:p>
      <w:pPr>
        <w:jc w:val="both"/>
        <w:ind w:left="660" w:right="80" w:hanging="328"/>
        <w:spacing w:after="0" w:line="256"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Severance pay in an amount equal to the sum of (i) his or her annual base salary and target award under the ICP for the fiscal year in which termination occurs, multiplied by the applicable severance multiplier, (ii) his or her unpaid prior year bonus, and (iii) the pro-rata bonus, paid in a lump sum;</w:t>
      </w:r>
    </w:p>
    <w:p>
      <w:pPr>
        <w:spacing w:after="0" w:line="147" w:lineRule="exact"/>
        <w:rPr>
          <w:rFonts w:ascii="Arial" w:cs="Arial" w:eastAsia="Arial" w:hAnsi="Arial"/>
          <w:sz w:val="18"/>
          <w:szCs w:val="18"/>
          <w:color w:val="auto"/>
        </w:rPr>
      </w:pPr>
    </w:p>
    <w:p>
      <w:pPr>
        <w:jc w:val="both"/>
        <w:ind w:left="660" w:right="60" w:hanging="328"/>
        <w:spacing w:after="0" w:line="291" w:lineRule="auto"/>
        <w:tabs>
          <w:tab w:leader="none" w:pos="655"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monthly reimbursement equal to the monthly COBRA premiums for NEOs, the shorter of either 30 months or the period ending on the last day of the second calendar year following the year in which the severance occurs and for other participants, 24 months; and</w:t>
      </w:r>
    </w:p>
    <w:p>
      <w:pPr>
        <w:spacing w:after="0" w:line="119" w:lineRule="exact"/>
        <w:rPr>
          <w:rFonts w:ascii="Arial" w:cs="Arial" w:eastAsia="Arial" w:hAnsi="Arial"/>
          <w:sz w:val="17"/>
          <w:szCs w:val="17"/>
          <w:color w:val="auto"/>
        </w:rPr>
      </w:pPr>
    </w:p>
    <w:p>
      <w:pPr>
        <w:ind w:left="660" w:right="460" w:hanging="328"/>
        <w:spacing w:after="0" w:line="261"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additional monthly amount equal to the Company’s cost as of immediately prior to the severance date under the Company’s disability, accident and life insurance.</w:t>
      </w:r>
    </w:p>
    <w:p>
      <w:pPr>
        <w:spacing w:after="0" w:line="14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The Executive Severance Plan will provide benefits to certain eligible employees whose jobs are eliminated by the Company without cause unrelated to a change in control, excluding any termination due to death or disability, including:</w:t>
      </w:r>
    </w:p>
    <w:p>
      <w:pPr>
        <w:spacing w:after="0" w:line="144" w:lineRule="exact"/>
        <w:rPr>
          <w:sz w:val="20"/>
          <w:szCs w:val="20"/>
          <w:color w:val="auto"/>
        </w:rPr>
      </w:pPr>
    </w:p>
    <w:p>
      <w:pPr>
        <w:ind w:left="660" w:right="10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Severance pay in an amount equal to the sum of (i) his or her annual base salary for 18 months for the NEOs and for 12 months for other executives, (ii) his or her unpaid prior year bonus, and (iii) the pro-rata bonus, paid in equal installments;</w:t>
      </w:r>
    </w:p>
    <w:p>
      <w:pPr>
        <w:spacing w:after="0" w:line="143" w:lineRule="exact"/>
        <w:rPr>
          <w:rFonts w:ascii="Arial" w:cs="Arial" w:eastAsia="Arial" w:hAnsi="Arial"/>
          <w:sz w:val="18"/>
          <w:szCs w:val="18"/>
          <w:color w:val="auto"/>
        </w:rPr>
      </w:pPr>
    </w:p>
    <w:p>
      <w:pPr>
        <w:jc w:val="both"/>
        <w:ind w:left="660" w:right="60" w:hanging="328"/>
        <w:spacing w:after="0" w:line="291" w:lineRule="auto"/>
        <w:tabs>
          <w:tab w:leader="none" w:pos="6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monthly reimbursement equal to the monthly COBRA premiums for NEOs, the shorter of either 30 months or the period ending on the last day of the second calendar year following the year in which the severance occurs and for other participants, 24 months; and</w:t>
      </w:r>
    </w:p>
    <w:p>
      <w:pPr>
        <w:spacing w:after="0" w:line="119" w:lineRule="exact"/>
        <w:rPr>
          <w:rFonts w:ascii="Arial" w:cs="Arial" w:eastAsia="Arial" w:hAnsi="Arial"/>
          <w:sz w:val="17"/>
          <w:szCs w:val="17"/>
          <w:color w:val="auto"/>
        </w:rPr>
      </w:pPr>
    </w:p>
    <w:p>
      <w:pPr>
        <w:ind w:left="660" w:right="46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additional monthly amount equal to the Company’s cost as of immediately prior to the severance date under the Company’s disability, accident and life insurance.</w:t>
      </w:r>
    </w:p>
    <w:p>
      <w:pPr>
        <w:spacing w:after="0" w:line="14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Any severed employee will not be eligible to receive the benefits listed above unless he or she first executes a written release, which becomes effective and is not revoked.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320" w:top="1440" w:right="379" w:bottom="1440" w:gutter="0" w:footer="0" w:header="0"/>
        </w:sectPr>
      </w:pPr>
    </w:p>
    <w:bookmarkStart w:id="166" w:name="page167"/>
    <w:bookmarkEnd w:id="166"/>
    <w:p>
      <w:pPr>
        <w:spacing w:after="0" w:line="1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the event a participant’s employment is terminated by the Company without cause or by the executive with good reason in connection with a change in control, any awards granted to a severed employee under the LTIP will be deemed to be immediately vested and payable. If a participant’s employment is terminated unrelated to a change in control, the terms of the LTIP will apply, which include that any awards granted under the LTIP and not yet paid will terminate and the participant will not be entitled to any further payments. However, if the termination is due to a reduction in force or due to a participant’s death or disability, the compensation committee may authorize certain payments to be made for such participant’s awards granted under the LTIP.</w:t>
      </w:r>
    </w:p>
    <w:p>
      <w:pPr>
        <w:spacing w:after="0" w:line="15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Under the Severance Plan, any outstanding awards under the Omnibus Plan will be treated in accordance with the terms of the Omnibus Plan and any award agreements, including the Founders Awards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Founders Awards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connection with the offering, the board of directors has approved the grant of special one-time founders awards to certain key executives and directors, including William Lynn. The founders awards will be granted in the form of restricted stock units, which will cliff vest on the second anniversary of the grant date, provided that the time-based RSUs will vest in full upon the executive’s termination of employment due to death or disability or the executive’s termination of employment by us without cause. The aggregate value of RSUs to be granted in the form of founders grant RSU awards is expected to be within a range of $7 million to $14 million. The share amounts will be determined upon final IPO pricing.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Employment Agreement for Chief Executive Officer, William J. Lynn III</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board of directors approved a new employment agreement for Mr. Lynn, effective as of the completion of our initial public offering, to continue to serve as the chief executive officer of the Company and chairman of the board of directors of the Company. Mr. Lynn will be entitled to a base salary of $1,157,249 and eligible to participate in our annual incentive program with a target award of 110% of his base salary and a maximum earned award of 200% of the target award. Further, Mr. Lynn will be eligible to participate in the LTIP with a target award of $3,580,000. Additionally, Mr. Lynn will be eligible to receive a Founders Award in connection with our initial public offering, in accordance with the terms of the Founders Award but with a target award equal to an amount that is two times Mr. Lynn’s 2020 target award under the LTIP.</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Mr. Lynn is entitled to receive group health, dental, hospitalization, life and disability insurance benefits that are in effect as of the effective date of his employment agreement. Mr. Lynn is also eligible to participate in other welfare and retirement benefit plans or programs offered to senior executives at the Company. Term life insurance will provide Mr. Lynn’s beneficiaries with a death benefit equal to $4,000,000 and a death benefit of $325,000 that is subject to age-related reductions after reaching the age of 65. Mr. Lynn will be entitled to four weeks of paid vacation, coverage under the directors’ and officers’ insurance policy, and an executive allowance program of $40,000. Mr. Lynn will be reimbursed for reasonable legal expenses, up to $10,000, in connection with the negotiation and documentation of his employment agreement.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Upon voluntarily termination of employment through retirement on one hundred eighty days’ prior written notice to the Company, Mr. Lynn will be entitled to (i) his base salary and unused vacation days accrued through the effective date of termination of employment; (ii) any unpaid earned awards under the ICP for any completed prior fiscal year; (iii) his target award under the ICP for the full fiscal year, payable at the same time as ICP awards are paid to other participants; (iv) continued vesting of any restricted stock unit granted to Mr. Lynn under the Omnibus Plan (excluding the Founders Awards); (v) any unvested performance-based restricted stock unit awards will vest pro rata, based on the date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employment terminates, in accordance with its vesting schedule, and subject to the satisfaction of the performance goals; (vi) any unvested award payments under the LTIP, paid out at the same time and manner as awards are made to other participants and subject to Committee approval; (vi) and COBRA coverage for eighteen months. Retirement generally means voluntary termination of employment by Mr. Lynn after he reaches the age of 65 and subject to his providing notice to the Company at least 180 days prior to his retirement.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Upon a termination of employment for “cause” as defined in his employment agreement, Mr. Lynn will be paid his base salary and unused vacation days accrued through the effective date of termination of employment and any unpaid earned awards under the ICP for any completed prior fiscal year, and any benefits owed to him under the Company’s benefit plans.</w:t>
      </w:r>
    </w:p>
    <w:p>
      <w:pPr>
        <w:spacing w:after="0" w:line="14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Upon a termination of employment for “death” or “disability" as defined in his employment agreement, Mr. Lynn or his beneficiaries will be entitled to receive, in addition to any regular life insurance benefits paid by the Company, his base salary and unused vacation days accrued through the effective date of termination of employment and any unpaid earned awards under the ICP and any benefits owed to him under the Company’s benefit plans. Any unvested target awards under the LTIP will fully vest on the date of termination of employment, payable in accordance with the terms of the LTIP. Further, the compensation committee may authorize a pro-rated award payment under the ICP to Mr. Lynn or his beneficiaries, reflecting the participation for the portion of year in which the employment is terminated. Any awards granted under the Omnibus Plan, including the Founders Awards, will fully vest on the date of death or disability, unless provided in the applicable award agreements.</w:t>
      </w:r>
    </w:p>
    <w:p>
      <w:pPr>
        <w:spacing w:after="0" w:line="151" w:lineRule="exact"/>
        <w:rPr>
          <w:sz w:val="20"/>
          <w:szCs w:val="20"/>
          <w:color w:val="auto"/>
        </w:rPr>
      </w:pPr>
    </w:p>
    <w:p>
      <w:pPr>
        <w:ind w:right="200" w:firstLine="324"/>
        <w:spacing w:after="0" w:line="251" w:lineRule="auto"/>
        <w:rPr>
          <w:sz w:val="20"/>
          <w:szCs w:val="20"/>
          <w:color w:val="auto"/>
        </w:rPr>
      </w:pPr>
      <w:r>
        <w:rPr>
          <w:rFonts w:ascii="Arial" w:cs="Arial" w:eastAsia="Arial" w:hAnsi="Arial"/>
          <w:sz w:val="18"/>
          <w:szCs w:val="18"/>
          <w:color w:val="auto"/>
        </w:rPr>
        <w:t>Upon a termination of Mr. Lynn’s employment by the Company or by Mr. Lynn due to a material breach of the Company, other than terminations of employment due to cause, death, or disability, Mr. Lynn will be entitled to a lump sum payment equal to two and one-half times the sum of his base salary and target award under the ICP. Mr. Lynn will also be eligible for unvested award payment under the LTIP, subject to approval by the compensation committee, regardless to the date of termination of employment. Additionally, any unvested restricted stock unit awards granted to Mr. Lynn under the Omnibus Plan, including the Founders Awards, will continue to vest on their vesting schedule and any unvested performance-based restricted stock unit awards will vest pro rata, subject to the satisfaction of the performance goals. Mr. Lynn will also be entitled to payment or reimbursement for COBRA premiums for health, dental and hospitalization insurance and continued participation in, and payment of premiums by the Company for, life insurance and other welfare benefits had he remained employed at the Company for one year after the date his employment is terminated.</w:t>
      </w:r>
    </w:p>
    <w:p>
      <w:pPr>
        <w:spacing w:after="0" w:line="158" w:lineRule="exact"/>
        <w:rPr>
          <w:sz w:val="20"/>
          <w:szCs w:val="20"/>
          <w:color w:val="auto"/>
        </w:rPr>
      </w:pPr>
    </w:p>
    <w:p>
      <w:pPr>
        <w:ind w:right="580" w:firstLine="324"/>
        <w:spacing w:after="0" w:line="254" w:lineRule="auto"/>
        <w:rPr>
          <w:sz w:val="20"/>
          <w:szCs w:val="20"/>
          <w:color w:val="auto"/>
        </w:rPr>
      </w:pPr>
      <w:r>
        <w:rPr>
          <w:rFonts w:ascii="Arial" w:cs="Arial" w:eastAsia="Arial" w:hAnsi="Arial"/>
          <w:sz w:val="18"/>
          <w:szCs w:val="18"/>
          <w:color w:val="auto"/>
        </w:rPr>
        <w:t>The employment agreement also contains a confidentiality provision that applies during the term of employment and following any termination of employment, a non-competition provision that applies during the term of employment and for one year following any termination of employment that results in severance benefits and an employee non-solicit provision that applies during the term of employment and for two years following any termination of employment.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the LTIP Plan</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board of directors has approved amendments to our LTIP, which provide that no awards will be granted under the LTIP on or after January 1, 2021. The Company performance component for any LTIP awards that were issued prior to January 1, 2021 will be deemed satisfied at 100% of the remaining target award. For awards issued in 2019, the remaining performance components will be paid in 2021 and 2022 and the retention component will be paid in 2022. For awards issued in 2020, the two remaining performance components will be paid in 2022 and 2023 and the retention component will be paid in 2023. The retention component is contingent upon the participant’s continued employment on the date of each payment. The LTIP will be discontinued once the final payments are made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AND SELLING STOCKHOLDERS</w:t>
      </w:r>
    </w:p>
    <w:p>
      <w:pPr>
        <w:spacing w:after="0" w:line="193" w:lineRule="exact"/>
        <w:rPr>
          <w:sz w:val="20"/>
          <w:szCs w:val="20"/>
          <w:color w:val="auto"/>
        </w:rPr>
      </w:pPr>
    </w:p>
    <w:p>
      <w:pPr>
        <w:jc w:val="both"/>
        <w:ind w:right="120" w:firstLine="324"/>
        <w:spacing w:after="0" w:line="254" w:lineRule="auto"/>
        <w:rPr>
          <w:sz w:val="20"/>
          <w:szCs w:val="20"/>
          <w:color w:val="auto"/>
        </w:rPr>
      </w:pPr>
      <w:r>
        <w:rPr>
          <w:rFonts w:ascii="Arial" w:cs="Arial" w:eastAsia="Arial" w:hAnsi="Arial"/>
          <w:sz w:val="18"/>
          <w:szCs w:val="18"/>
          <w:color w:val="auto"/>
        </w:rPr>
        <w:t>Prior to the completion of this offering, all the shares of our common stock have been owned by US Holding, a wholly owned subsidiary of Leonardo S.p.A. Immediately following the offering, US Holding will own 78.0% of our outstanding common stock, assuming no exercise by the underwriters of their option to purchase additional shares, and 74.7% of our common stock if the underwriters exercise their option to purchase additional shares in full.</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as of March 15, 2021 with respect to the ownership of our common stock by:</w:t>
      </w:r>
    </w:p>
    <w:p>
      <w:pPr>
        <w:spacing w:after="0" w:line="171"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person known to own beneficially more than five percent of our common stock, including the selling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directors and prospective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of our current executive officers, directors and prospective directors as a group.</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amounts and percentages of shares beneficially owned are reported on the basis of regulations of the SEC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5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Percentage computations are based on approximately 145,000,000 shares of our common stock outstanding as of March 15, 2021 (after giving effect to a 1,450,000-for-1 forward stock split on our common stock effected on February 25, 2021).</w:t>
      </w:r>
    </w:p>
    <w:p>
      <w:pPr>
        <w:spacing w:after="0" w:line="14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Except as otherwise indicated in these footnotes, each of the beneficial owners listed has, to our knowledge, sole voting and investment power with respect to the indicated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5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Unless otherwise set forth in the footnotes to the table, the address for each listed stockholder is c/o 2345 Crystal Drive, Suite 1000, Arlington, Virginia 22202.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Shares Beneficially Owned After the</w:t>
            </w: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0" w:type="dxa"/>
            <w:vAlign w:val="bottom"/>
            <w:gridSpan w:val="11"/>
          </w:tcPr>
          <w:p>
            <w:pPr>
              <w:jc w:val="center"/>
              <w:ind w:right="100"/>
              <w:spacing w:after="0"/>
              <w:rPr>
                <w:sz w:val="20"/>
                <w:szCs w:val="20"/>
                <w:color w:val="auto"/>
              </w:rPr>
            </w:pPr>
            <w:r>
              <w:rPr>
                <w:rFonts w:ascii="Arial" w:cs="Arial" w:eastAsia="Arial" w:hAnsi="Arial"/>
                <w:sz w:val="13"/>
                <w:szCs w:val="13"/>
                <w:b w:val="1"/>
                <w:bCs w:val="1"/>
                <w:color w:val="auto"/>
                <w:w w:val="97"/>
              </w:rPr>
              <w:t>Shares Beneficially Owned Before the Offering and After the Offering Assuming the Underwriters’</w:t>
            </w:r>
          </w:p>
        </w:tc>
        <w:tc>
          <w:tcPr>
            <w:tcW w:w="23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Offering Assuming the Underwriters’</w:t>
            </w:r>
          </w:p>
        </w:tc>
      </w:tr>
      <w:tr>
        <w:trPr>
          <w:trHeight w:val="197"/>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left="683"/>
              <w:spacing w:after="0"/>
              <w:rPr>
                <w:sz w:val="20"/>
                <w:szCs w:val="20"/>
                <w:color w:val="auto"/>
              </w:rPr>
            </w:pPr>
            <w:r>
              <w:rPr>
                <w:rFonts w:ascii="Arial" w:cs="Arial" w:eastAsia="Arial" w:hAnsi="Arial"/>
                <w:sz w:val="13"/>
                <w:szCs w:val="13"/>
                <w:b w:val="1"/>
                <w:bCs w:val="1"/>
                <w:color w:val="auto"/>
                <w:w w:val="93"/>
              </w:rPr>
              <w:t>Option Is Not Exercised</w:t>
            </w:r>
            <w:r>
              <w:rPr>
                <w:rFonts w:ascii="Arial" w:cs="Arial" w:eastAsia="Arial" w:hAnsi="Arial"/>
                <w:sz w:val="16"/>
                <w:szCs w:val="16"/>
                <w:b w:val="1"/>
                <w:bCs w:val="1"/>
                <w:color w:val="auto"/>
                <w:w w:val="93"/>
                <w:vertAlign w:val="superscript"/>
              </w:rPr>
              <w:t>(1)(3)</w:t>
            </w: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Option Is Exercised in Full</w:t>
            </w:r>
            <w:r>
              <w:rPr>
                <w:rFonts w:ascii="Arial" w:cs="Arial" w:eastAsia="Arial" w:hAnsi="Arial"/>
                <w:sz w:val="16"/>
                <w:szCs w:val="16"/>
                <w:b w:val="1"/>
                <w:bCs w:val="1"/>
                <w:color w:val="auto"/>
                <w:w w:val="93"/>
                <w:vertAlign w:val="superscript"/>
              </w:rPr>
              <w:t>(1)(3)</w:t>
            </w:r>
          </w:p>
        </w:tc>
      </w:tr>
      <w:tr>
        <w:trPr>
          <w:trHeight w:val="147"/>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7"/>
              </w:rPr>
              <w:t>Percent of</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Percent of</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Class After</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Percent of</w:t>
            </w: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Number of</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Class Before</w:t>
            </w:r>
          </w:p>
        </w:tc>
        <w:tc>
          <w:tcPr>
            <w:tcW w:w="14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6"/>
              </w:rPr>
              <w:t>Shares Offered</w:t>
            </w: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Number of Shares</w:t>
            </w: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the Offering</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Class</w:t>
            </w:r>
          </w:p>
        </w:tc>
      </w:tr>
      <w:tr>
        <w:trPr>
          <w:trHeight w:val="168"/>
        </w:trPr>
        <w:tc>
          <w:tcPr>
            <w:tcW w:w="2480" w:type="dxa"/>
            <w:vAlign w:val="bottom"/>
            <w:gridSpan w:val="2"/>
          </w:tcPr>
          <w:p>
            <w:pPr>
              <w:ind w:left="420"/>
              <w:spacing w:after="0"/>
              <w:rPr>
                <w:sz w:val="20"/>
                <w:szCs w:val="20"/>
                <w:color w:val="auto"/>
              </w:rPr>
            </w:pPr>
            <w:r>
              <w:rPr>
                <w:rFonts w:ascii="Arial" w:cs="Arial" w:eastAsia="Arial" w:hAnsi="Arial"/>
                <w:sz w:val="13"/>
                <w:szCs w:val="13"/>
                <w:b w:val="1"/>
                <w:bCs w:val="1"/>
                <w:color w:val="auto"/>
              </w:rPr>
              <w:t>Name of Beneficial Owner</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Shares Owned</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the Offering (%)</w:t>
            </w:r>
          </w:p>
        </w:tc>
        <w:tc>
          <w:tcPr>
            <w:tcW w:w="14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9"/>
              </w:rPr>
              <w:t>Hereby</w:t>
            </w:r>
          </w:p>
        </w:tc>
        <w:tc>
          <w:tcPr>
            <w:tcW w:w="14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Owned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8"/>
              </w:rPr>
              <w:t>(%)</w:t>
            </w:r>
          </w:p>
        </w:tc>
        <w:tc>
          <w:tcPr>
            <w:tcW w:w="10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Number of Shares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w:t>
            </w:r>
          </w:p>
        </w:tc>
      </w:tr>
      <w:tr>
        <w:trPr>
          <w:trHeight w:val="29"/>
        </w:trPr>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480" w:type="dxa"/>
            <w:vAlign w:val="bottom"/>
            <w:gridSpan w:val="2"/>
            <w:shd w:val="clear" w:color="auto" w:fill="CCEEFF"/>
          </w:tcPr>
          <w:p>
            <w:pPr>
              <w:ind w:left="20"/>
              <w:spacing w:after="0" w:line="237" w:lineRule="exact"/>
              <w:rPr>
                <w:sz w:val="20"/>
                <w:szCs w:val="20"/>
                <w:color w:val="auto"/>
              </w:rPr>
            </w:pPr>
            <w:r>
              <w:rPr>
                <w:rFonts w:ascii="Arial" w:cs="Arial" w:eastAsia="Arial" w:hAnsi="Arial"/>
                <w:sz w:val="16"/>
                <w:szCs w:val="16"/>
                <w:color w:val="auto"/>
              </w:rPr>
              <w:t>Leonardo S.p.A.</w:t>
            </w:r>
            <w:r>
              <w:rPr>
                <w:rFonts w:ascii="Arial" w:cs="Arial" w:eastAsia="Arial" w:hAnsi="Arial"/>
                <w:sz w:val="21"/>
                <w:szCs w:val="21"/>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145,000,000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31,900,000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113,100,000</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108,315,000</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74.7</w:t>
            </w: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Directors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J. Lynn III</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Gail Baker</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W. Carey</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Mary E. Gallagher</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George W. Casey, Jr.</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4"/>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Kenneth J. Krieg</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Peter A. Marino</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Philip A. Odeen</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Frances F. Townsend</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Officers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John A. Baylouny</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Michael D. Dippold</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A. Dorfman</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Sally A. Wallace</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directors and executive</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89"/>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officers as a group (13</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4"/>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persons)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380" w:type="dxa"/>
            <w:vAlign w:val="bottom"/>
          </w:tcPr>
          <w:p>
            <w:pPr>
              <w:spacing w:after="0"/>
              <w:rPr>
                <w:sz w:val="20"/>
                <w:szCs w:val="20"/>
                <w:color w:val="auto"/>
              </w:rPr>
            </w:pPr>
            <w:r>
              <w:rPr>
                <w:rFonts w:ascii="Arial" w:cs="Arial" w:eastAsia="Arial" w:hAnsi="Arial"/>
                <w:sz w:val="16"/>
                <w:szCs w:val="16"/>
                <w:color w:val="auto"/>
              </w:rPr>
              <w:t>______________</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2480" w:type="dxa"/>
            <w:vAlign w:val="bottom"/>
            <w:gridSpan w:val="2"/>
          </w:tcPr>
          <w:p>
            <w:pPr>
              <w:spacing w:after="0"/>
              <w:rPr>
                <w:sz w:val="20"/>
                <w:szCs w:val="20"/>
                <w:color w:val="auto"/>
              </w:rPr>
            </w:pPr>
            <w:r>
              <w:rPr>
                <w:rFonts w:ascii="Arial" w:cs="Arial" w:eastAsia="Arial" w:hAnsi="Arial"/>
                <w:sz w:val="16"/>
                <w:szCs w:val="16"/>
                <w:color w:val="auto"/>
              </w:rPr>
              <w:t>*   Less than one percent.</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ind w:left="320" w:hanging="312"/>
        <w:spacing w:after="0"/>
        <w:tabs>
          <w:tab w:leader="none" w:pos="3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selling stockholder has granted the Underwriters an option to purchase up to an additional 4,785,000 shares.</w:t>
      </w:r>
    </w:p>
    <w:p>
      <w:pPr>
        <w:spacing w:after="0" w:line="5" w:lineRule="exact"/>
        <w:rPr>
          <w:rFonts w:ascii="Arial" w:cs="Arial" w:eastAsia="Arial" w:hAnsi="Arial"/>
          <w:sz w:val="16"/>
          <w:szCs w:val="16"/>
          <w:color w:val="auto"/>
        </w:rPr>
      </w:pPr>
    </w:p>
    <w:p>
      <w:pPr>
        <w:jc w:val="both"/>
        <w:ind w:left="340" w:right="120" w:hanging="332"/>
        <w:spacing w:after="0" w:line="246" w:lineRule="auto"/>
        <w:tabs>
          <w:tab w:leader="none" w:pos="335" w:val="left"/>
        </w:tabs>
        <w:numPr>
          <w:ilvl w:val="0"/>
          <w:numId w:val="91"/>
        </w:numPr>
        <w:rPr>
          <w:rFonts w:ascii="Arial" w:cs="Arial" w:eastAsia="Arial" w:hAnsi="Arial"/>
          <w:sz w:val="16"/>
          <w:szCs w:val="16"/>
          <w:color w:val="auto"/>
        </w:rPr>
      </w:pPr>
      <w:r>
        <w:rPr>
          <w:rFonts w:ascii="Arial" w:cs="Arial" w:eastAsia="Arial" w:hAnsi="Arial"/>
          <w:sz w:val="16"/>
          <w:szCs w:val="16"/>
          <w:color w:val="auto"/>
        </w:rPr>
        <w:t>Leonardo S.p.A., as the parent of US Holding, beneficially owns all shares of our common stock owned of record by US Holding prior to the completion of this offering. Leonardo S.p.A. is a public company with shares listed on the Milan Stock Exchange. The address of Leonardo S.p.A. is Piazza Monte Grappa n. 4, 00195 Rome, Italy.</w:t>
      </w:r>
    </w:p>
    <w:p>
      <w:pPr>
        <w:spacing w:after="0" w:line="1" w:lineRule="exact"/>
        <w:rPr>
          <w:rFonts w:ascii="Arial" w:cs="Arial" w:eastAsia="Arial" w:hAnsi="Arial"/>
          <w:sz w:val="16"/>
          <w:szCs w:val="16"/>
          <w:color w:val="auto"/>
        </w:rPr>
      </w:pPr>
    </w:p>
    <w:p>
      <w:pPr>
        <w:ind w:left="340" w:right="440" w:hanging="332"/>
        <w:spacing w:after="0" w:line="260" w:lineRule="auto"/>
        <w:tabs>
          <w:tab w:leader="none" w:pos="335" w:val="left"/>
        </w:tabs>
        <w:numPr>
          <w:ilvl w:val="0"/>
          <w:numId w:val="91"/>
        </w:numPr>
        <w:rPr>
          <w:rFonts w:ascii="Arial" w:cs="Arial" w:eastAsia="Arial" w:hAnsi="Arial"/>
          <w:sz w:val="16"/>
          <w:szCs w:val="16"/>
          <w:color w:val="auto"/>
        </w:rPr>
      </w:pPr>
      <w:r>
        <w:rPr>
          <w:rFonts w:ascii="Arial" w:cs="Arial" w:eastAsia="Arial" w:hAnsi="Arial"/>
          <w:sz w:val="16"/>
          <w:szCs w:val="16"/>
          <w:color w:val="auto"/>
        </w:rPr>
        <w:t>Does not give effect to an anticipated grant of share-based awards upon the closing of this offering to certain individuals, including members of our senior management. See “Executive Compensation—Founders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5" w:lineRule="exact"/>
        <w:rPr>
          <w:sz w:val="20"/>
          <w:szCs w:val="20"/>
          <w:color w:val="auto"/>
        </w:rPr>
      </w:pPr>
    </w:p>
    <w:p>
      <w:pPr>
        <w:ind w:right="2740" w:firstLine="2749"/>
        <w:spacing w:after="0" w:line="451" w:lineRule="auto"/>
        <w:rPr>
          <w:sz w:val="20"/>
          <w:szCs w:val="20"/>
          <w:color w:val="auto"/>
        </w:rPr>
      </w:pPr>
      <w:r>
        <w:rPr>
          <w:rFonts w:ascii="Arial" w:cs="Arial" w:eastAsia="Arial" w:hAnsi="Arial"/>
          <w:sz w:val="18"/>
          <w:szCs w:val="18"/>
          <w:b w:val="1"/>
          <w:bCs w:val="1"/>
          <w:color w:val="auto"/>
        </w:rPr>
        <w:t>CERTAIN RELATIONSHIPS AND RELATED PARTY TRANSACTIONS Policies and Procedures for Related Person Transactions</w:t>
      </w:r>
    </w:p>
    <w:p>
      <w:pPr>
        <w:ind w:right="20" w:firstLine="324"/>
        <w:spacing w:after="0" w:line="252" w:lineRule="auto"/>
        <w:rPr>
          <w:sz w:val="20"/>
          <w:szCs w:val="20"/>
          <w:color w:val="auto"/>
        </w:rPr>
      </w:pPr>
      <w:r>
        <w:rPr>
          <w:rFonts w:ascii="Arial" w:cs="Arial" w:eastAsia="Arial" w:hAnsi="Arial"/>
          <w:sz w:val="18"/>
          <w:szCs w:val="18"/>
          <w:color w:val="auto"/>
        </w:rPr>
        <w:t>Following the completion of this offering, our audit committee will have the primary responsibility for reviewing and approving or disapproving “related-party transactions,” which are transactions between us and related persons in which the aggregate amount involved exceeds or may be expected to exceed $120,000 and in which a related person has or may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securities, in each case since the beginning of the most recently completed year, and any of their immediate family members. Our audit committee charter that will be in effect upon completion of this offering will provide that our audit committee will review and approve or disapprove any related-party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Leonardo S.p.A. Following this Offering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are, and until completion of this offering will remain, an indirect wholly owned subsidiary of Leonardo S.p.A. Following this offering, Leonardo S.p.A., through US Holding, will continue to own a majority of our outstanding common stock, and, as a result, Leonardo S.p.A. will continue to have significant control over our business and affairs and matters being presented for approval by our stockholders, in each case subject to the terms of our proxy agreement described below. See “Risk Factors—Risks Relating to Our Status as a Controlled Company and under the Proxy Agreement.” In addition, we expect that Leonardo S.p.A. will continue to consolidate our financial results in Leonardo S.p.A.’s consolidated financial statements.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Proxy Agreement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entered into a proxy agreement, dated as of October 26, 2017, with the proxy holders, Leonardo S.p.A., US Holding and the DoD. Following this offering we expect to enter into an amended and restated proxy agreement (as amended and restated, the “proxy agreement”) and the parties to the proxy agreement have entered into a commitment letter, dated as of February 26, 2021, as to the form and content of the amended and restated proxy agreement which allows us to operate as if the amended and restated proxy agreement were already in effect. The following description of the proxy agreement therefore reflects the terms of the proxy agreement as it will be amended and restated, in accordance with the commitment letter, following this offering. The material terms of the amended and restated proxy agreement and the commitment letter are discussed below and the form of the amended and restated proxy agreement and the commitment letter have been filed as exhibits to the registration statement of which this prospectus forms a part.</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Following this offering, Leonardo S.p.A. will continue to own the entire share capital of our immediate parent, US Holding, which, in turn, will beneficially own approximately 78.0% of the voting power of our outstanding common stock (or 74.7% if the underwriters exercise their option to purchase additional shares in full). As a result, we are deemed to be under FOCI under the NISPOM, which establishes procedures and requirements for government contractors, such as our company, with regard to classified information. Furthermore, the Italian state beneficially owns approximately 30.2% of Leonardo S.p.A.’s voting power (through its ownership of approximately 30.2% of the outstanding ordinary shares of Leonardo S.p.A.). A company is considered to be operating under FOCI whenever a foreign interest has the power, direct or indirect, whether or not exercised, and whether or not exercisable, to direct or decide matters affecting the management or operations of that company in a manner that may result in unauthorized access to classified information, may adversely affect the performance of classified contracts, or may undermine U.S. security or export controls. In order to be permitted to maintain our security clearances and our access to classified data and to perform or bid on classified programs,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required to mitigate FOCI, which we have done by entering into the proxy agreement. Among other things, the proxy agreement:</w:t>
      </w:r>
    </w:p>
    <w:p>
      <w:pPr>
        <w:spacing w:after="0" w:line="171" w:lineRule="exact"/>
        <w:rPr>
          <w:sz w:val="20"/>
          <w:szCs w:val="20"/>
          <w:color w:val="auto"/>
        </w:rPr>
      </w:pPr>
    </w:p>
    <w:p>
      <w:pPr>
        <w:ind w:left="660" w:right="160" w:hanging="328"/>
        <w:spacing w:after="0" w:line="256"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provides that the shares of our common stock owned directly or indirectly by Leonardo S.p.A. are voted through proxy holders, who must be independent from current and prior affiliation with Leonardo S.p.A. and its subsidiaries (including US Holding and us) (subject to limited exceptions discussed below) and must maintain adequate security clearance;</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provides that the proxy holders are appointed by our immediate parent US Holding (in consultation with Leonardo S.p.A.), but the appointment is subject to approval of the DCSA, an agency of the DoD, and that the proxy holders must be members of our board of directors;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restricts our ability to share facilities and personnel with and receive certain services from Leonardo S.p.A. or its other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requires us to maintain a government security committee of our board of directors; and</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regulates meetings, visits and communications that are not deemed to be routine business visits between us and Leonardo S.p.A. or its other subsidiaries.</w:t>
      </w:r>
    </w:p>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proxy agreement restricts the ability of Leonardo S.p.A. and US Holding to control our operations, as described further below. The proxy agreement will automatically terminate, among other reasons, if US Holding holds less than 50% of our outstanding shares of common stock and the DCSA determines that FOCI mitigation is no longer necessary. The proxy agreement has been filed as an exhibit to the registration statement of which this prospectus forms a part.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Proxy Holders</w:t>
      </w:r>
    </w:p>
    <w:p>
      <w:pPr>
        <w:spacing w:after="0" w:line="18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proxy agreement requires the appointment of five proxy holders, who must be independent from current and prior affiliation with Leonardo S.p.A. and its subsidiaries (including US Holding and us), other than prior service as a proxy holder or as an outside director of us or a proxy agreement affiliate (as defined below), and maintain adequate security clearance, to vote the shares of our common stock owned directly or indirectly by Leonardo S.p.A. Proxy holders are appointed by US Holding after reasonable consultation with Leonardo S.p.A. and approval by the DCSA and serve for staggered three-year terms. During their terms, proxy holders may only be removed (i) for acts in violation of the proxy agreement, including the inability to protect the legitimate economic interest of US Holding, upon petition by US Holding to DCSA which may be granted or denied by DCSA in its sole discretion or (ii) for gross negligence or willful misconduct. Upon expiration of a proxy holder’s term, or the death, resignation, removal or inability to act of any proxy holder, the proxy holder may be reappointed or replaced by US Holding after consultation with Leonardo S.p.A. and approval by DCSA. Until a successor proxy holder accepts appointment, the remaining proxy holders may exercise all of the rights, powers and privileges of the proxy holders and if no proxy holders remain, the chairman of our board shall be automatically vested with all rights, powers, authorities and immunities of the proxy holders for an interim period until a new proxy holder is appointed by US Holding and approved by DCSA. The current proxy holders and the commencement and expiration of their terms are as set forth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Proxy Holder</w:t>
            </w:r>
          </w:p>
        </w:tc>
        <w:tc>
          <w:tcPr>
            <w:tcW w:w="100" w:type="dxa"/>
            <w:vAlign w:val="bottom"/>
            <w:tcBorders>
              <w:bottom w:val="single" w:sz="8" w:color="CCEEFF"/>
            </w:tcBorders>
          </w:tcPr>
          <w:p>
            <w:pPr>
              <w:spacing w:after="0"/>
              <w:rPr>
                <w:sz w:val="17"/>
                <w:szCs w:val="17"/>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Commencement</w:t>
            </w:r>
          </w:p>
        </w:tc>
        <w:tc>
          <w:tcPr>
            <w:tcW w:w="100" w:type="dxa"/>
            <w:vAlign w:val="bottom"/>
            <w:tcBorders>
              <w:bottom w:val="single" w:sz="8" w:color="CCEEFF"/>
            </w:tcBorders>
          </w:tcPr>
          <w:p>
            <w:pPr>
              <w:spacing w:after="0"/>
              <w:rPr>
                <w:sz w:val="17"/>
                <w:szCs w:val="17"/>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Expiration</w:t>
            </w:r>
          </w:p>
        </w:tc>
      </w:tr>
      <w:tr>
        <w:trPr>
          <w:trHeight w:val="25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W. Carey</w:t>
            </w:r>
          </w:p>
        </w:tc>
        <w:tc>
          <w:tcPr>
            <w:tcW w:w="4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31, 2022</w:t>
            </w: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Kenneth J. Krieg</w:t>
            </w: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December 31, 2021</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Peter A. Marino</w:t>
            </w:r>
          </w:p>
        </w:tc>
        <w:tc>
          <w:tcPr>
            <w:tcW w:w="4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31, 2022</w:t>
            </w: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Philip A. Odeen</w:t>
            </w: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June 30, 2021</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Frances F. Townsend</w:t>
            </w:r>
          </w:p>
        </w:tc>
        <w:tc>
          <w:tcPr>
            <w:tcW w:w="4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31, 2021</w:t>
            </w: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proxy agreement confers on the proxy holders the right to vote US Holding’s shares of our common stock in the same manner and to the same extent as if they were the absolute owners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shares in their own right. All actions of the proxy holders with respect to US Holding’s shares of our common stock require a majority vote of the proxy holders. Each proxy holder is entitled to one vote. In exercising their power as proxy holders and fulfilling their duties as members of our board, the proxy holders are directed to seek to protect the legitimate economic interests of our shareholders and to act in a manner consistent with their fiduciary duties.</w:t>
      </w:r>
    </w:p>
    <w:p>
      <w:pPr>
        <w:spacing w:after="0" w:line="150"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proxy holders are permitted to vote for or consent to the following matters in their sole and absolute discretion, without consultation with US Holding or Leonardo S.p.A.:</w:t>
      </w:r>
    </w:p>
    <w:p>
      <w:pPr>
        <w:spacing w:after="0" w:line="144" w:lineRule="exact"/>
        <w:rPr>
          <w:sz w:val="20"/>
          <w:szCs w:val="20"/>
          <w:color w:val="auto"/>
        </w:rPr>
      </w:pPr>
    </w:p>
    <w:p>
      <w:pPr>
        <w:ind w:left="660" w:right="260" w:hanging="328"/>
        <w:spacing w:after="0" w:line="261"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election of additional directors who are not proxy holders, and who are proposed by US Holding after reasonable consultation with the nominating and corporate governance committee of our board;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changes or amendments to our certificate of incorporation or bylaws involving matters other than those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sale or disposal of our property, assets or business other than as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incurrence of debt or any pledge, mortgage or encumbrance of any of our assets other than as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action necessary to effect the offering other than as described below; and</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action with respect to the foregoing, or any other matter affecting us and not specifically described below that US Holding might lawfully exercise.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holders may only vote for or consent to the following matters with the express written approval of US Holding:</w:t>
      </w:r>
    </w:p>
    <w:p>
      <w:pPr>
        <w:spacing w:after="0" w:line="171" w:lineRule="exact"/>
        <w:rPr>
          <w:sz w:val="20"/>
          <w:szCs w:val="20"/>
          <w:color w:val="auto"/>
        </w:rPr>
      </w:pPr>
    </w:p>
    <w:p>
      <w:pPr>
        <w:ind w:left="660" w:right="40" w:hanging="328"/>
        <w:spacing w:after="0" w:line="253"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sale or disposition of any of our subsidiaries, property, assets or business or those of our subsidiaries or the purchase by us or our subsidiaries of any business, properties, assets or entities, other than in the ordinary course of business, in any individual transaction where our investment (based on our share of the enterprise value) exceeds two percent (2%) of our revenues for the immediately preceding year or where our investment, in the aggregate, for all such sales or dispositions in a calendar year, exceeds an amount equal to five percent (5%) of our revenues for the immediately preceding year;</w:t>
      </w:r>
    </w:p>
    <w:p>
      <w:pPr>
        <w:spacing w:after="0" w:line="151"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incurrence of debt or pledge, mortgage, lease or other encumbrance of our assets of those of our subsidiaries in connection with the incurrence of debt, if such incurrence would cause the aggregate outstanding principal amount of all debt of us and our subsidiaries to exceed a target leverage ratio set forth in our then-current operating plan, excluding current debt incurred for purposes of funding day-to-day working capital requirements in the ordinary course of business;</w:t>
      </w:r>
    </w:p>
    <w:p>
      <w:pPr>
        <w:spacing w:after="0" w:line="149"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merger, consolidation, reorganization or dissolution of us of any of our subsidiaries except as permitted above and excluding transactions solely among our wholly owned subsidiaries; and</w:t>
      </w:r>
    </w:p>
    <w:p>
      <w:pPr>
        <w:spacing w:after="0" w:line="14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filing or making of any petition by us or our subsidiaries under the federal bankruptcy laws or any similar law or statute of any state or any foreign country.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proxy holders may only vote to declare or suspend dividends after prior consultation with US Holding.</w:t>
      </w:r>
    </w:p>
    <w:p>
      <w:pPr>
        <w:spacing w:after="0" w:line="17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and US Holding are required to jointly and severally indemnify and hold each proxy holder harmless from any and all claims arising from or in any way connected to his or her performance as a proxy holder except for his or her own individual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60"/>
          </w:cols>
          <w:pgMar w:left="320" w:top="1440" w:right="419" w:bottom="1440" w:gutter="0" w:footer="0" w:header="0"/>
        </w:sectPr>
      </w:pPr>
    </w:p>
    <w:bookmarkStart w:id="173" w:name="page174"/>
    <w:bookmarkEnd w:id="173"/>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of Directors</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proxy agreement requires that all five proxy holders serve as members of our board. Additionally, our board must elect a chair and, if the chair is not one of the proxy holders, our board must elect a lead outside director from among the proxy holders. Under the terms of the proxy agreement, the proxy holders shall, in their sole discretion and in their capacity as members of the nominating and corporate governance committee of our board, nominate four additional individuals who are not proxy holders, selected from candidates proposed by US Holding, in consultation with the nominating and corporate governance committee, as candidates for election to our board (the “non-proxy holder director nominees”). The non-proxy holder director nominees shall include (i) our chief executive officer and (ii) three additional individuals. If any non-proxy holder director nominee has a prior or existing contractual, financial or employment relationship with Leonardo S.p.A., such that they would not be an “independent director”, DCSA must approve their selection.</w:t>
      </w:r>
    </w:p>
    <w:p>
      <w:pPr>
        <w:spacing w:after="0" w:line="15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nominating and corporate governance committee of our board, which will be comprised solely of proxy holders, will nominate the proxy holders for election as directors at any meeting of our stockholders at which directors are to be elected. At any such meeting, the proxy holders will vote on behalf of US Holding to elect the then-current proxy holders and the non-proxy holder director nominees to serve on our board for the succeeding year. The proxy holders may remove any non-proxy holder director nominee from our board by majority vote and after consultation with US Holding.</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proxy agreement requires our board to establish the GSC, consisting of all proxy holders, our chief executive officer, our general counsel, our CFSO and our TCO, to the extent that such officers have adequate security clearances. The role of the GSC is to ensure that we maintain policies and procedures, including a technology control plan, to safeguard classified information in our possession and to ensure that we comply with the proxy agreement, the ITAR, the EAR, and the NISPOM. The proxy agreement also requires that the audit committee of our board appoint an independent auditor to conduct an annual audit of our books and records which may be the same independent auditor used by Leonardo S.p.A. or US Holding unless the GSC concludes that measures are not reasonably available to ensure that performance of the audit by such auditor complies with the proxy agreement.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Facilities, Personnel and Services</w:t>
      </w:r>
    </w:p>
    <w:p>
      <w:pPr>
        <w:spacing w:after="0" w:line="189"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The proxy agreement restricts our ability to share facilities and personnel with and receive certain services from (i) Leonardo S.p.A., (ii) each entity that, to our knowledge, Leonardo S.p.A. directly or indirectly controls, is directly or indirectly controlled by (other than DRS itself and our subsidiaries), or is directly under common control with, except for any entity operating under an effective DCSA FOCI mitigation agreement (each of (i) and (ii), a “proxy agreement affiliate”) or (iii) any director, officer, employee, beneficial owner of greater than 5% of a class of equity securities (as determined by voting or investment control over the securities), agent or other representative of a proxy agreement affiliate (together with the proxy agreement affiliates, the “proxy agreement affiliated group”).</w:t>
      </w:r>
    </w:p>
    <w:p>
      <w:pPr>
        <w:spacing w:after="0" w:line="15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officers may only serve as officers of any of the proxy agreement affiliated group and vice versa with the approval of the DCSA and the GSC. DRS may only collocate facilities and personnel with the proxy agreement affiliated group with the prior written approval of the DCSA pursuant to the submission by DRS of a facility location plan describing the location of the relevant facilities and which may include, at the DCSA’s request, information such as maps and floor plans of such facilities. Furthermore, DRS and the proxy agreement affiliated group may only engage in specified “affiliated operations” (as described below) pursuant to an AOP, setting out policies and procedures regarding services provided to, provided by, or exchanged between DRS and the proxy agreement affiliated group, and approved by the DCSA.</w:t>
      </w:r>
    </w:p>
    <w:p>
      <w:pPr>
        <w:spacing w:after="0" w:line="154" w:lineRule="exact"/>
        <w:rPr>
          <w:sz w:val="20"/>
          <w:szCs w:val="20"/>
          <w:color w:val="auto"/>
        </w:rPr>
      </w:pPr>
    </w:p>
    <w:p>
      <w:pPr>
        <w:jc w:val="both"/>
        <w:ind w:right="260" w:firstLine="324"/>
        <w:spacing w:after="0" w:line="278" w:lineRule="auto"/>
        <w:rPr>
          <w:sz w:val="20"/>
          <w:szCs w:val="20"/>
          <w:color w:val="auto"/>
        </w:rPr>
      </w:pPr>
      <w:r>
        <w:rPr>
          <w:rFonts w:ascii="Arial" w:cs="Arial" w:eastAsia="Arial" w:hAnsi="Arial"/>
          <w:sz w:val="17"/>
          <w:szCs w:val="17"/>
          <w:color w:val="auto"/>
        </w:rPr>
        <w:t>Any AOP must, at a minimum, require the GSC to notify the DCSA of any proposed category of affiliated operations and obtain DCSA approval prior to accepting or providing any associated affiliated operations, contain procedures for ensuring that any such services do not circumvent the requirements of the proxy agreement and require the GSC to provide the DCSA with an annual written certification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5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is effectively monitoring any affiliated operations and that such affiliated operations do not allow the proxy agreement affiliated group to exercise prohibited control or influence with respect to the management or business of DRS.</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Affiliated operations include (i) sharing of employees between DRS and the proxy agreement affiliated group, (ii) receipt by both DRS and the proxy agreement affiliated group of third party professional services such as accounting, legal, tax, information technology or business consulting from the same service provider and (iii) the provision of products or services between DRS and the proxy agreement affiliated group, where the provision of such products or services could result in the potential for operational leverage by the proxy agreement affiliated group over DRS. See “—Affiliated Operations Plan (AOP) Services Agreements” below. Sharing of third-party services between DRS and the proxy agreement affiliated group may be approved by the majority of the GSC but such approval is subject to DCSA review and the DCSA may require the GSC to rescind any such approval. Sharing of services and products between DRS and the proxy agreement affiliated group pursuant to contracts and subcontracts, joint research, development, marketing or other type of teaming arrangement entered in connection with a commercial pursuit or joint business venture may be approved by the majority of the proxy holders and must be disclosed to the DCSA.</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DRS expects to use technology products or services of the proxy agreement affiliated group in connection with classified contracts,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DRS must notify each applicable government contracting activity and provide the GSC with an annual report regarding such the notifications.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Meetings, Visits and Communications</w:t>
      </w:r>
    </w:p>
    <w:p>
      <w:pPr>
        <w:spacing w:after="0" w:line="18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proxy agreement regulates meetings, visits and other communications between us and the proxy agreement affiliated group. Representatives of Leonardo S.p.A. and US Holding are required to be invited to meetings of the proxy holders but the agenda and minutes for such meetings must be provided to the DCSA for its review. Classified and controlled unclassified information may only be disclosed to Leonardo S.p.A. and its subsidiaries (including US Holding) as specifically authorized by applicable law or regulation.</w:t>
      </w:r>
    </w:p>
    <w:p>
      <w:pPr>
        <w:spacing w:after="0" w:line="15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All proposed visits (which may include teleconferences and videoconferences), other than routine business visits, between us and the proxy agreement affiliated group must be approved in advance by a proxy holder. Routine business visits are those that (i) are made by persons other than key management personnel, (ii) do not involve the transfer or receipt of classified information, (iii) either do not involve export-controlled information, or involve the approved transfer of export-controlled information under a proper license or authorization, (iv) do not relate to activities bearing upon our performance of classified contracts, and (v) pertain only to the commercial aspects of our business. Routine business visits may include visits for the purpose of discussion of financial performance and securities law compliance, arm’s-length business, U.S. government export control compliance and approved affiliated operations. As long as our DCSA security rating is “satisfactory” or above, routine business visits may be approved by the CFSO, rather than a proxy holder, and all such visits may be approved in advance for a period of up to 180 days. Strictly social visits between our personnel and the proxy agreement affiliate group are not prohibited but written reports of such visits must be submitted to the CFSO for review by the proxy holders. The GSC must maintain documentation related to all meetings, visitations and communications, together with appropriate approvals or disapprovals and reports, for review by the DCSA.</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Compliance and Termination</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proxy holders are required to meet as necessary to satisfy their responsibilities under the proxy agreement and our board must meet at least four times per year in addition to any separate meetings of the proxy holders. Additionally, representatives of the DCSA, the proxy holders, other members of the GSC and certain other officers of DRS, Leonardo S.p.A. and US Holding are required to meet annually to review the purpose and effectiveness of the proxy agreement. The president of DRS and the chairman of the GSC are required to submit an annual report to the DCSA on the implementation of and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5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with the proxy agreement, accompanied by a certificate from our corporate secretary certifying that each of the representations and warranties in the proxy agreement remain true and correct on the date of such report or providing updates as applicable. Under the proxy agreement, the DoD may impose any additional security safeguards that it believes necessary to adequately safeguard classified and controlled unclassified information.</w:t>
      </w:r>
    </w:p>
    <w:p>
      <w:pPr>
        <w:spacing w:after="0" w:line="150"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In the event of a material breach of the proxy agreement, the DoD may (i) novate our classified contracts to a company not under FOCI at our expense, (ii) terminate our classified contracts and deny us new classified contracts, (iii) revoke our facility security clearance and/or (iv) suspend or debar us from participation in all U.S. government contracts.</w:t>
      </w:r>
    </w:p>
    <w:p>
      <w:pPr>
        <w:spacing w:after="0" w:line="14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proxy agreement will expire by its terms five years from its effective date. Prior to that date, DCSA may terminate the proxy agreement if it deems the proxy agreement no longer necessary in order to maintain our facility security clearance or if our facility security clearance is no longer necessary, if there has been a breach of the proxy agreement that requires its termination or if the DCSA determines that terminating is necessary for national security or, in the DCSA’s sole discretion, upon petition by us or US Holding. Additionally, the proxy agreement will be automatically terminated upon the sale of our business or all of US Holding’s interest in us to a person or entity not controlled by Leonardo S.p.A. or if US Holding holds less than 50% of our outstanding shares of common stock and the DCSA determines that FOCI mitigation is no longer necessary.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Cooperation Agreement</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intend to enter into a cooperation agreement with Leonardo S.p.A. and US Holding upon the completion of this offering (the “cooperation agreement”). The cooperation agreement will address rights that Leonardo S.p.A. and US Holding will have with respect to our business and financial information and financial accounting matters. The form of the cooperation agreement has been filed as an exhibit to the registration statement of which this prospectus forms a part and the discussion of the cooperation agreement in this prospectus is subject to and qualified in its entirety by reference to the form of cooperation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Rights, Disclosure and Financial Accounting</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cooperation agreement will require us, as long as Leonardo S.p.A. is required under IFRS to consolidate our financial results in the consolidated financial statements of Leonardo S.p.A., to continue to provide Leonardo S.p.A. with (A) information and data relating to our and our subsidiaries’ business and financial results and (B) reasonable access to our personnel, data and systems, in each case in the same manner as we do immediately prior to this offering, in each case subject to the terms of the proxy agreement. In addition, during this period, we will be required to maintain accounting principles, systems and reporting formats that are consistent with Leonardo S.p.A.’s financial accounting practices in effect at the time of completion of this offering and that support Leonardo S.p.A.’s environmental, social and governance (ESG) requirements consistent with the basis supported at the time of completion of the offering, and in good faith to consider any changes to such principles, systems or reporting formats requested by Leonardo S.p.A. to enable Leonardo S.p.A. to prepare its consolidated financial and ESG statements and related public disclosures. Furthermore, the cooperation agreement will require us during this time to maintain appropriate disclosure controls and internal controls.</w:t>
      </w:r>
    </w:p>
    <w:p>
      <w:pPr>
        <w:spacing w:after="0" w:line="15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Following the time at which the provisions of the immediately preceding paragraph cease to apply, and ending when Leonardo S.p.A. is no longer required under IFRS to account in its financial statements for its holdings in us under the equity method of accounting, unless Leonardo S.p.A. shall earlier provide written notice to us that it is opting out of these provisions, we will, subject to reasonable protections for our confidential or proprietary information, be obligated to provide Leonardo S.p.A. with (i) information and data relating to our and our subsidiaries’ business and financial results and (ii) access to our personnel, data and systems, in each case to the extent that such information, data or access is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5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necessary for Leonardo S.p.A. to meet its legal, financial or regulatory obligations or requirements and subject to the terms of the proxy agreement.</w:t>
      </w:r>
    </w:p>
    <w:p>
      <w:pPr>
        <w:spacing w:after="0" w:line="144"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The cooperation agreement will provide that, until such time as Leonardo S.p.A. is no longer required under IFRS to account in its financial statements for its holdings in us under the equity method of accounting (the “threshold date”), Leonardo S.p.A. will have certain consent, access and cooperation rights with respect to the independent public registered accounting firm responsible for the audit of our financial statements and access and cooperation rights with respect to our internal audit function.</w:t>
      </w:r>
    </w:p>
    <w:p>
      <w:pPr>
        <w:spacing w:after="0" w:line="150"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cooperation agreement will also provide that, until the threshold date, we shall consult and coordinate with Leonardo S.p.A. with respect to public disclosures and filings, including in connection with our quarterly and annual financial results. Among other requirements, we will, to the extent practicable and subject to appropriate confidentiality obligations, and unless, in our reasonable judgment immediate release is required, provide Leonardo S.p.A. with a copy of any public release at least one business day prior to publication and consider in good faith any comments provided by Leonardo S.p.A. We will have similar rights with respect to any public release by Leonardo S.p.A. that includes information with respect to us. In addition, we and Leonardo S.p.A. will have mutual rights with respect to any information and access each may require in connection with regulatory or supervisory reporting obligations or inquiries.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Holding Consent Rights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Until the threshold date, US Holding’s consent will be required for us and our subsidiaries to take certain actions, including the following:</w:t>
      </w:r>
    </w:p>
    <w:p>
      <w:pPr>
        <w:spacing w:after="0" w:line="171" w:lineRule="exact"/>
        <w:rPr>
          <w:sz w:val="20"/>
          <w:szCs w:val="20"/>
          <w:color w:val="auto"/>
        </w:rPr>
      </w:pPr>
    </w:p>
    <w:p>
      <w:pPr>
        <w:ind w:left="660" w:hanging="328"/>
        <w:spacing w:after="0" w:line="252"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creation or issuance of any class or series of our capital stock (including designation of any preferred stock) or acquisition of any capital stock (including stock buy-backs, redemptions or other reductions of capital), or securities convertible into or exchangeable or exercisable for capital stock or equity-linked securities by us or any of our subsidiaries, except (i) issuances of equity awards to directors or employees pursuant to an equity compensation plan approved by our board of directors; (ii) issuances or acquisitions of capital stock by any wholly-owned subsidiaries (which remains wholly-owned after the issuance or acquisition); and (iii) issuances or acquisitions of capital stock that our board of directors determines are necessary to maintain compliance with covenants contained in any debt instrument;</w:t>
      </w:r>
    </w:p>
    <w:p>
      <w:pPr>
        <w:spacing w:after="0" w:line="152"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amendment (or approval or recommendation of any amendment) to our certificate of incorporation or bylaws that adversely affects the rights of US Holding or Leonardo S.p.A.;</w:t>
      </w:r>
    </w:p>
    <w:p>
      <w:pPr>
        <w:spacing w:after="0" w:line="143" w:lineRule="exact"/>
        <w:rPr>
          <w:rFonts w:ascii="Arial" w:cs="Arial" w:eastAsia="Arial" w:hAnsi="Arial"/>
          <w:sz w:val="18"/>
          <w:szCs w:val="18"/>
          <w:color w:val="auto"/>
        </w:rPr>
      </w:pPr>
    </w:p>
    <w:p>
      <w:pPr>
        <w:ind w:left="660" w:right="260" w:hanging="328"/>
        <w:spacing w:after="0" w:line="291"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listing or delisting of (i) any of our or any of our subsidiaries’ voting equity securities or convertible securities on a securities exchange and (ii) securities of our subsidiaries if, as a result, that subsidiary would become subject to public reporting obligations;</w:t>
      </w:r>
    </w:p>
    <w:p>
      <w:pPr>
        <w:spacing w:after="0" w:line="119" w:lineRule="exact"/>
        <w:rPr>
          <w:rFonts w:ascii="Arial" w:cs="Arial" w:eastAsia="Arial" w:hAnsi="Arial"/>
          <w:sz w:val="17"/>
          <w:szCs w:val="17"/>
          <w:color w:val="auto"/>
        </w:rPr>
      </w:pPr>
    </w:p>
    <w:p>
      <w:pPr>
        <w:ind w:left="660" w:right="340" w:hanging="328"/>
        <w:spacing w:after="0" w:line="261"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material change in our accounting policy, including any change our fiscal year, and any termination or change of our external auditor; and</w:t>
      </w:r>
    </w:p>
    <w:p>
      <w:pPr>
        <w:spacing w:after="0" w:line="143" w:lineRule="exact"/>
        <w:rPr>
          <w:rFonts w:ascii="Arial" w:cs="Arial" w:eastAsia="Arial" w:hAnsi="Arial"/>
          <w:sz w:val="18"/>
          <w:szCs w:val="18"/>
          <w:color w:val="auto"/>
        </w:rPr>
      </w:pPr>
    </w:p>
    <w:p>
      <w:pPr>
        <w:ind w:left="660" w:right="340" w:hanging="328"/>
        <w:spacing w:after="0" w:line="256"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pledge, mortgage, lease or otherwise encumber our assets or assets of our subsidiaries in connection with any debt if, after such pledge, mortgage, lease or other encumbrance, the aggregate outstanding principal amount of secured debt would exceed the aggregate outstanding principal amount of secured debt as of the date of the cooperation agreement.</w:t>
      </w:r>
    </w:p>
    <w:p>
      <w:pPr>
        <w:spacing w:after="0" w:line="130"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color w:val="auto"/>
        </w:rPr>
        <w:t>Certain of US Holding’s rights under the proxy agreement, as described under “—Proxy Agreement—Proxy Holder</w:t>
      </w:r>
      <w:r>
        <w:rPr>
          <w:rFonts w:ascii="Arial" w:cs="Arial" w:eastAsia="Arial" w:hAnsi="Arial"/>
          <w:sz w:val="18"/>
          <w:szCs w:val="18"/>
          <w:i w:val="1"/>
          <w:iCs w:val="1"/>
          <w:color w:val="auto"/>
        </w:rPr>
        <w:t>s,</w:t>
      </w:r>
      <w:r>
        <w:rPr>
          <w:rFonts w:ascii="Arial" w:cs="Arial" w:eastAsia="Arial" w:hAnsi="Arial"/>
          <w:sz w:val="18"/>
          <w:szCs w:val="18"/>
          <w:color w:val="auto"/>
        </w:rPr>
        <w:t>” will also apply under the cooperation agreement so long as it is in effect. In addition, we are required to consult with US Holding prior to (i) making certain investments and restricted payments that we expect to be permitted under our new credit agreements, and (ii) creating, amending or rescinding, or establishing annual or other periodic compensation scales and incentive and similar targets under, equity-based and other material executive compensation plans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w:t>
      </w:r>
    </w:p>
    <w:p>
      <w:pPr>
        <w:spacing w:after="0" w:line="189"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The cooperation agreement will terminate on the date that is two years following the threshold date, except for certain provisions including those relating to confidentiality and dispute resolution.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will enter into a registration rights agreement (the “registration rights agreement”) with Leonardo S.p.A. and US Holding upon the completion of this offering, pursuant to which Leonardo S.p.A. and its affiliated entities (“Leonardo holders”) will be able to require us, beginning after this offering, to file one or more registration statements with the SEC covering the public resale of shares of our common stock beneficially owned by Leonardo holders. Leonardo holders may transfer all or any portion of their rights under the registration rights agreement to a transferee of shares of our common stock constituting not less than 5% of our outstanding common stock. The rights of the Leonardo holders. and their permitted transferees under the registration rights agreement (“rights holders”) will remain in effect with respect to all shares of our common stock covered by such agreement until such securities (a) are sold in a private transaction in which the transferor’s rights under the registration rights agreement are not assigned to the transferee, (b) are sold pursuant to an effective registration statement, (c) may be sold pursuant to Rule 144 without volume or manner of sale restrictions or (d) shall have ceased to be outstanding. The sale of shares pursuant to the registration rights agreement, or the perception that sales will be made, could adversely affect the price of our common stock after this offering because a great supply of shares would be, or would be perceived to be, available for sale in the public market. The form of the registration rights agreement has been filed as an exhibit to the registration statement of which this prospectus forms a part and the discussion of the registration rights agreement in this prospectus is subject to and qualified in its entirety by reference to the form of registration rights agreement.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Demand Registration</w:t>
      </w:r>
    </w:p>
    <w:p>
      <w:pPr>
        <w:spacing w:after="0" w:line="189" w:lineRule="exact"/>
        <w:rPr>
          <w:sz w:val="20"/>
          <w:szCs w:val="20"/>
          <w:color w:val="auto"/>
        </w:rPr>
      </w:pPr>
    </w:p>
    <w:p>
      <w:pPr>
        <w:jc w:val="both"/>
        <w:ind w:right="160" w:firstLine="324"/>
        <w:spacing w:after="0" w:line="250" w:lineRule="auto"/>
        <w:rPr>
          <w:sz w:val="20"/>
          <w:szCs w:val="20"/>
          <w:color w:val="auto"/>
        </w:rPr>
      </w:pPr>
      <w:r>
        <w:rPr>
          <w:rFonts w:ascii="Arial" w:cs="Arial" w:eastAsia="Arial" w:hAnsi="Arial"/>
          <w:sz w:val="18"/>
          <w:szCs w:val="18"/>
          <w:color w:val="auto"/>
        </w:rPr>
        <w:t>Rights holders will be able to request registration under the Securities Act of all or any portion of our shares covered by the agreement, and we will be obligated, subject to limited exceptions, to register such shares as requested. Rights holders will be able to request that we complete one demand registrations in any given three-month period subject to limitations on, among other things, minimum offering size.</w:t>
      </w:r>
    </w:p>
    <w:p>
      <w:pPr>
        <w:spacing w:after="0" w:line="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Subject to certain exceptions, we may defer the filing of a registration statement after a demand request has been made if, at the time of such request, our board determines that any pending or imminent event would require disclosure of material, non-public information in the registration statement for such registration statement not to be materially misleading and would not otherwise be required to be publicly disclosed by us.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Shelf Registration</w:t>
      </w:r>
    </w:p>
    <w:p>
      <w:pPr>
        <w:spacing w:after="0" w:line="189" w:lineRule="exact"/>
        <w:rPr>
          <w:sz w:val="20"/>
          <w:szCs w:val="20"/>
          <w:color w:val="auto"/>
        </w:rPr>
      </w:pPr>
    </w:p>
    <w:p>
      <w:pPr>
        <w:ind w:right="40" w:firstLine="324"/>
        <w:spacing w:after="0" w:line="216" w:lineRule="exact"/>
        <w:rPr>
          <w:sz w:val="20"/>
          <w:szCs w:val="20"/>
          <w:color w:val="auto"/>
        </w:rPr>
      </w:pPr>
      <w:r>
        <w:rPr>
          <w:rFonts w:ascii="Arial" w:cs="Arial" w:eastAsia="Arial" w:hAnsi="Arial"/>
          <w:sz w:val="18"/>
          <w:szCs w:val="18"/>
          <w:color w:val="auto"/>
        </w:rPr>
        <w:t>At any time after the date that is one year following the date of the registration rights agreement or, if sooner, once we become eligible to use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we will be obligated, upon request by a rights holder, to file a shelf registration statement to register all or any portion of our shares covered by the registration rights agreement, and we will be obligated, subject to limited exceptions, to register such shares as requested by rights holders. Rights holders may, at any time and from time to time, request that we complete an unlimited number of shelf take-downs; provided, that no request for an underwritten offering shall be made within 60 days of a previous underwritten offering.</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Piggy-Back Registration</w:t>
      </w:r>
    </w:p>
    <w:p>
      <w:pPr>
        <w:spacing w:after="0" w:line="18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If at any time we intend to file on our behalf or on behalf of any of our other security holders a registration statement in connection with a public offering of any of our securities on a form and in a manner that would permit the registration for offer and sale of our common stock held by rights holders, the rights holders will have the right to include their shares of our common stock in that offering.The rights holders’ ability to participate in any such offering will be subject to market “cut-back”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320" w:top="1440" w:right="379" w:bottom="1440" w:gutter="0" w:footer="0" w:header="0"/>
        </w:sectPr>
      </w:pPr>
    </w:p>
    <w:bookmarkStart w:id="178" w:name="page179"/>
    <w:bookmarkEnd w:id="17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Registration Procedures; Expenses</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selling rights holders will be responsible for all registration expenses, including expenses incurred by us, in connection with the registration, offer and sale of securities under the registration rights agreement by them, except that we will pay all registration expenses incident to the first registration statement filed during any one-year period and registration expenses for piggyback registrations will be shared proportionally by us and the selling rights holders. We and the selling rights holders will, in any event, pay our and their respective internal expenses (including, without limitation, all salaries and expenses of its officers and employees performing legal or accounting duties), the expenses of any annual audit or quarterly review and the expenses of any liability insurance.</w:t>
      </w:r>
    </w:p>
    <w:p>
      <w:pPr>
        <w:spacing w:after="0" w:line="15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registration rights agreement will set forth customary registration procedures, including an agreement by us to make our management available for road show presentations in connection with any underwritten offerings. We will also agree to indemnify Leonardo S.p.A., US Holding and their permitted transferees with respect to liabilities resulting from any material untrue statements or omissions in any registration statement used in any registration or contribute to liabilities in respect thereof, other than untrue statements or omissions resulting from information furnished to us expressly for use in such registration statement by Leonardo S.p.A., US Holding or any permitted transferee. The registration rights agreement will not include any maximum cash penalties or any additional penalties resulting from delays in registering our common stock.</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Allocation Agreement</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and US Holding have entered into a tax allocation agreement (the “tax allocation agreement”), dated as of November 16, 2020, with members of an affiliated group (the “affiliated group”), as defined in Section 1504(a) of the Tax Code, members of one or more consolidated, combined, unitary or similar state tax groups (the “state members”) and additional parties who are part of an “expanded affiliated group” for certain tax purposes, prior to this offering. The agreement provides for the method of computing and allocating the consolidated U.S. federal tax liability of the affiliated group among its members and of allocating any state group tax liabilities among the state members for the taxable year ending December 31, 2020 and each subsequent year in which the parties are members of a group (whether federal or state). The tax allocation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tax allocation agreement, the parties have agreed to calculate and allocate their respective tax liabilities and other tax attributes for taxable years beginning with the first consolidated taxable year that included DRS (i.e., the taxable year ended March 31, 2009) as if the tax allocation agreement was then in effect.</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tax allocation agreement also allocates governance and decision-making rights, obligations and responsibilities in respect of the tax matters governed by the agreement including preparation and filing of covered returns, audits of covered returns and ensuring that payments and reimbursements in respect of covered returns are timely made. The tax allocation agreement provides for administration of the agreement and any related tax matters by us, in our reasonable discretion, with respect to any group to which we belong in any taxable year in which we are an affiliated group member or state member. For any taxable year in which we are not an affiliated group member or a state member, as applicable, US Holding will appoint an administrator. The tax allocation agreement will require the parties, including those who do not file consolidated, combined, unitary or similar tax returns with the other parties but whose operations may impact such returns filed by the other parties, to reasonably cooperate with US Holding and the administrator in carrying out the provisions of the agreement, including providing the administrator access to their books and records and other relevant information. The tax allocation agreement also requires the parties to cooperate in good faith, taking into account each relevant member’s tax consequences, in respect of certain specified matters as well as any other tax-related decision or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determines, in its reasonable discretion, with the consent of US Holding where appropriate.</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tax allocation agreement is effective as of the first day of the consolidated return year beginning October 14, 2008 and will terminate upon the written agreement of the parties. The tax allocation agreement has been filed as an exhibit to the registration statement of which this prospectus forms a part and the discussion of the tax allocation agreement in this prospectus is subject to and qualified in its entirety by reference to the tax allocation agreement.</w:t>
      </w:r>
    </w:p>
    <w:p>
      <w:pPr>
        <w:spacing w:after="0" w:line="150"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To the extent that the issuance of shares of our common stock in this offering results in DRS no longer being included as a consolidated member of the U.S. federal and state returns of US Holding, we will be required to file standalone tax returns as of the date of the deconsolidation. Pursuant to the tax allocation agreement, we will generally retain our historic tax assets and will be able to offset future taxable income against these attributes. Accordingly, we do not anticipate any significant tax consequences as a result of exiting the US Holding consolidated tax group.</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will enter into a trademark license agreement (the “trademark license agreement”) with Leonardo S.p.A. prior to this offering pursuant to which Leonardo S.p.A. will grant us, subject to certain limitations, a non-exclusive license to use certain trademarks (the “licensed marks”), including the name “Leonardo.” The Trademark License Agreement will remain in effect until it is terminated by Leonardo S.p.A.’s and our mutual agreement, or upon the occurrence of certain conditions, including Leonardo S.p.A.’s right to terminate should it no longer consolidate our financial results under IFRS in its consolidated financial statements.</w:t>
      </w:r>
    </w:p>
    <w:p>
      <w:pPr>
        <w:spacing w:after="0" w:line="15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After the term of the trademark license agreement, unless the trademark license agreement is terminated for uncured breach, we will be able to continue to use the licensed marks for a transition period (the “transition period”) of six months (which period is subject to an extension, capped at a total of six months (we can request an extension of such period), for any licensed mark the removal of which we cannot obtain government approvals for), but we will be required to use reasonable best efforts to transition to other trademarks.</w:t>
      </w:r>
    </w:p>
    <w:p>
      <w:pPr>
        <w:spacing w:after="0" w:line="15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form of the trademark license agreement has been filed as an exhibit to the registration statement of which this prospectus forms a part and the discussion of the trademark license agreement in this prospectus is subject to and qualified in its entirety by reference to the form of trademark license agreement.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Affiliated Operations Plan (AOP) Services Agreements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Although we operate largely independently from Leonardo S.p.A., and the proxy agreement contains limitations on services that we may provide to and receive from Leonardo S.p.A. and its affiliates, we, Leonardo S.p.A. and Leonardo S.p.A.’s subsidiaries each provide certain services to the one another, share certain services and rely on certain third-party service providers to provide services pursuant to shared services contracts, subject to the terms of the proxy agreement and in accordance with our AOP, approved by the DCSA. Leonardo S.p.A. and its subsidiaries rely on certain contracts to which we are party for the provision of services that are important to Leonardo S.p.A.’s business. Likewise, we rely on certain contracts for the provision of certain services to which Leonardo S.p.A. or its subsidiaries are a party. For so long as we are required to comply with the AOP approval requirement for certain services within our proxy agreement affiliated group (see “—Proxy Agreement—Facilities, Personnel and Services” above), the proxy agreement will govern our continued provision or procurement of certain services among us, Leonardo S.p.A. and its subsidiaries and third-party service providers. The proxy agreement, including the AOP approval requirement, is expected to remain in place until such time as FOCI mitigation is no longer legally required.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AOP currently governs the following types of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57" w:lineRule="exact"/>
        <w:rPr>
          <w:sz w:val="20"/>
          <w:szCs w:val="20"/>
          <w:color w:val="auto"/>
        </w:rPr>
      </w:pPr>
    </w:p>
    <w:p>
      <w:pPr>
        <w:ind w:left="660" w:right="280" w:hanging="328"/>
        <w:spacing w:after="0" w:line="261"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services Leonardo S.p.A. or its subsidiaries (excluding us) receive pursuant to a contract with a third-party service provider, which Leonardo S.p.A. or its subsidiaries then provide to us on a pass-through basis;</w:t>
      </w:r>
    </w:p>
    <w:p>
      <w:pPr>
        <w:spacing w:after="0" w:line="143"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services we receive pursuant to a contract with a third-party service provider, which we then provide to Leonardo S.p.A. or its subsidiaries (excluding us) on a pass-through basis;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services we receive directly from Leonardo S.p.A. or its subsidiaries (excluding 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services we provide directly to Leonardo S.p.A. or its subsidiaries (excluding 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Specifically, we are currently authorized to provide support services to Leonardo S.p.A. in the following functional areas:</w:t>
      </w:r>
    </w:p>
    <w:p>
      <w:pPr>
        <w:spacing w:after="0" w:line="171"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Compliance and Training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Finance, Tax and Accounting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Legal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Marketing and Communications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Procurement and Supply Chain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Trade</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fees for each of the services to be provided under the AOP are mutually agreed upon as part of the negotiation of the services agreement and may vary on the basis of usage and other factors. Although we seek to implement commercially reasonable terms (including fees for the services provided) that could have been negotiated with an independent third party, the terms of such agreement may later prove to be more or less favorable than arrangements we could make to provide these services internally or to obtain them from unaffiliated service providers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Leonardo S.p.A. Affiliates</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 an indirect wholly owned subsidiary of Leonardo S.p.A., historically, we have entered into various transactions with Leonardo S.p.A. and its subsidiaries in the normal course of business. The transactions described below are between us and affiliates of Leonardo S.p.A. that are not also subsidiaries of DRS.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have related-party sales with Leonardo S.p.A. and its other affiliates that occur in the regular course of business. Related-party sales for these transactions are included in revenues and were $26 million, $16 million and $20 million for the years ended December 31, 2020, 2019 and 2018, respectively. The receivables related to these transactions with Leonardo S.p.A. and its other affiliates of $5 million and $2 million, respectively, and payables of $8 million and $10 million, respectively, are included in accounts receivable and accounts payable in our consolidated balance sheet as of December 31, 2020 and 2019.</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Loans</w:t>
      </w:r>
    </w:p>
    <w:p>
      <w:pPr>
        <w:spacing w:after="0" w:line="18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January 2009, the Company entered into a credit agreement with Finmeccanica S.p.A. (now known as Leonardo S.p.A.) in the amount of $2 billion (the “2009 Credit Agreement”). The 2009 Credit Agreement was subsequently assigned to US Holding and has a maturity of November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5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2009 Credit Agreement provides for a term loan bearing interest at a rate of 7.5%, with interest payments due semi-annually on June 20 and December 20 in each year (the “7.5% Term loan”). The outstanding balance of the 7.5% Term loan at December 31, 2020 and 2019 was $139 million and $439 million, respectively. The reduction in the outstanding balance was due to the contribution by US Holding of $300 million to us by converting an equal amount of borrowings outstanding under the 7.5% Term Loan into additional paid in capital in December 2020.</w:t>
      </w:r>
    </w:p>
    <w:p>
      <w:pPr>
        <w:spacing w:after="0" w:line="15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June 2017, we entered into an unsecured term loan with US Holding in the principal amount of $137.5 million, the proceeds of which were used to finance the acquisition of Daylight Solutions, Inc. (the “Daylight Term Loan”). The Daylight Term Loan had an outstanding balance of $98 million and $113 million at December 31, 2020 and 2019, respectively, which approximates its fair value. The Daylight Term Loan matures on October 15, 2024. The Daylight Term Loan has an interest rate of 5.0%, with interest payments due semi-annually on April 15 and October 15.</w:t>
      </w:r>
    </w:p>
    <w:p>
      <w:pPr>
        <w:spacing w:after="0" w:line="151"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During April 2018, we were advanced an additional $50 million by US Holding under a term loan. This term loan bears interest at 4.0% and had an initial maturity date of December 31, 2018, which was extended until December 31, 2021. This term loan was repaid in full, with no prepayment penalty, on December 19,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Facilities</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2009 Credit Agreement provides for a revolving credit facility available for our working capital needs (the “Revolving Credit Facility”). As of December 31, 2020 and 2019, the Revolving Credit Facility had a credit limit of $450 million and $ 350 million, respectively, and an interest rate of LIBOR plus 3.5%. There is a commitment fee of 0.25% applied to the unused balance of the Revolving Credit Facility and there are no compensating balance requirements. There was no balance on the Revolving Credit Facility as of December 31, 2020 and 2019.</w:t>
      </w:r>
    </w:p>
    <w:p>
      <w:pPr>
        <w:spacing w:after="0" w:line="151"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also maintain uncommitted working capital credit facilities with certain financial institutions in the aggregate of $ 60 million and $65 million at December 31, 2020 and 2019, respectively (the “Financial Institution Credit Facilities”), which are guaranteed by Leonardo S.p.A. The primary purpose of the Financial Institution Credit Facilities is to support standby letter of credit issuances on contracts with customers and also includes a revolving facility with a maximum borrowing limit of $ 15 million, which bears interest at LIBOR plus 0.5%. At December 31, 2020 and December 31, 2019, there was no balance outstanding on the revolving facility. We had letters of credit outstanding of approximately $31 million and $30 million as of December 31, 2020 and 2019, respectively, which reduces the available capacity of the Financial Institution Credit Facilities by an equal amount.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Surplus Treasury Agreement</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entered into a Surplus Treasury Agreement with US Holding (the “Surplus Agreement”) in December 2019. The Surplus Agreement allows us to advance excess funds to US Holding when funds are available. The advances bear interest at LIBOR plus between 5 and 20 basis points depending on the tenor of the advance. As of December 31, 2020 and 2019, the Company had advanced $115 million and $100 million to US Holding, which is presented on the balance sheet as a related party note receivable.</w:t>
      </w:r>
    </w:p>
    <w:p>
      <w:pPr>
        <w:spacing w:after="0" w:line="150"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For a discussion of certain recapitalization transactions that Leonardo S.p.A. and its affiliates and we have entered into or will enter into in connection with this offering, see “Recapitalization.”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9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expect to enter into an employment agreement with our Chief Executive Officer, William J. Lynn III, effective as of the completion of this offering. For more information regarding the employment agreement with Mr. Lynn, see “Executive Compensation—New Employment Agreement for Chief Executive Officer, William J. Lynn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320" w:top="1440" w:right="379" w:bottom="1440" w:gutter="0" w:footer="0" w:header="0"/>
        </w:sectPr>
      </w:pPr>
    </w:p>
    <w:bookmarkStart w:id="182" w:name="page183"/>
    <w:bookmarkEnd w:id="18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Indemnification Agreements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Prior to the completion of this offering, we will enter into indemnification agreements with our directors. The indemnification agreements will provide the directors with contractual rights to indemnification and expense rights. See “Description of Capital Stock—Limitations on Liability and Indemnification” and the form of Director Indemnification Agreement filed as an exhibit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following description of our capital stock is a summary of the material terms of our amended and restated certificate of incorporation, amended and restated bylaws and the amended and restated proxy agreement. Reference is made to the more detailed provisions of, and the descriptions are qualified in their entirety by reference to, these documents, forms of which are filed with the SEC as exhibits to the registration statement of which this prospectus is a part, and applicable law. This description gives effect to our amended and restated certificate of incorporation and amended and restated bylaws, which took effect on March 9,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Our authorized capital stock consists of 300,000,000 shares of common stock, par value $0.01 per share, and 10,000,000 shares of undesignated preferred stock, par value $0.01 per share. As of March 15, 2021, there are 145,000,000 shares of our common stock issued and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common stock will be entitled:</w:t>
      </w:r>
    </w:p>
    <w:p>
      <w:pPr>
        <w:spacing w:after="0" w:line="171"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cast one vote for each share held of record on all matters submitted to a vote of the stockholders;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receive, on a pro rata basis, dividends and distributions, if any, that our board may declare out of legally available funds, subject to preferences that may be applicable to preferred stock, if any, then outstanding;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our liquidation, dissolution or winding up, to share equally and ratably in any assets remaining after the payment of all debt and other liabilities, subject to the prior rights, if any, of holders of any outstanding shares of preferred stock.</w:t>
      </w:r>
    </w:p>
    <w:p>
      <w:pPr>
        <w:spacing w:after="0" w:line="144"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The holders of our common stock will not have any preemptive, cumulative voting, subscription, conversion, redemption or sinking fund rights. The common stock will not be subject to future calls or assessments by us. The rights and privileges of holders of our common stock are subject to any series of preferred stock that we may issue in the future, as described below.</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date of this prospectus, there has been no public market for our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15, 2021, we had 145,000,000 shares of common stock outstanding all of which were held of record by US Holding.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Under our amended and restated certificate of incorporation, our board has the authority to issue up to 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Following this offering, no shares of our authorized preferred stock will be outstanding. Because the board has the power to establish the preferences and rights of the shares of any additional series of preferred stock, it may afford holders of any preferred stock preferences, powers and rights, including voting and dividend rights, senior to the rights of holders of our common stock, which could adversely affect the holders of the common stock and could delay, discourage or prevent a takeover of us even if a change of control of our company would be beneficial to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00"/>
          </w:cols>
          <w:pgMar w:left="320" w:top="1440" w:right="379" w:bottom="1440" w:gutter="0" w:footer="0" w:header="0"/>
        </w:sectPr>
      </w:pPr>
    </w:p>
    <w:bookmarkStart w:id="184" w:name="page185"/>
    <w:bookmarkEnd w:id="18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DGCL does not generally require stockholder approval for the issuance of authorized shares. These additional shares may be used for a variety of corporate purposes, including future public offerings, to raise additional capital or to facilitate acquisitions. However, the listing requirements of the NYSE, which would apply so long as the common stock remains listed on the NYSE, require stockholder approval of certain issuances equal to or exceeding 20% of the then-outstanding voting power or then-outstanding number of shares of common stock. In addition, under the cooperation agreement, the creation or issuance of any class or series of our capital stock (including designation of any preferred stock) or acquisition of any capital stock (including stock buy-backs, redemptions or other reductions of capital), or securities convertible into or exchangeable or exercisable for capital stock or equity-linked securities by us or any of our subsidiaries requires US Holding’s consent, subject to certain exceptions. See “Certain Relationships and Related Party Transactions—Relationship with Leonardo S.p.A. Following this Offering—Cooperation 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Certain holders of our common stock will have certain rights to cause the registration of our common stock for resale pursuant to a registration rights agreement. See “Certain Relationships and Related Party Transactions—Relationship with Leonardo S.p.A. Following this Offering—Registration Rights Agreement.</w:t>
      </w:r>
      <w:r>
        <w:rPr>
          <w:rFonts w:ascii="Arial" w:cs="Arial" w:eastAsia="Arial" w:hAnsi="Arial"/>
          <w:sz w:val="18"/>
          <w:szCs w:val="18"/>
          <w:i w:val="1"/>
          <w:i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Stockholders Meeting</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amended and restated bylaws provide that annual stockholders meetings will be held at a date, time and place, if any, as exclusively selected by our board. To the extent permitted under applicable law, we may conduct meetings by remote communications, including by webcast.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affirmative vote of a plurality of the shares of our common stock present, in person or by proxy, at the meeting and entitled to vote on the election of directors will decide the election of any directors, and the affirmative vote of a majority of the shares of our common stock present, in person or by proxy, at the meeting and entitled to vote at any annual or special meeting of stockholders will decide all other matters voted on by stockholders, unless the question is one upon which, by express provision of law, under our amended and restated certificate of incorporation, or under our amended and restated bylaws, a different vote is required, in which case such provision will control. Stockholders do not have the right to cumulate their votes for the election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Agreement</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entered into a proxy agreement, dated as of October 26, 2017, with the proxy holders, Leonardo S.p.A., US Holding and the DoD. Following this offering we expect to enter into an amended and restated proxy agreement (as amended and restated, the “proxy agreement”) and the parties to the proxy agreement have entered into a commitment letter, dated as of February 26, 2021, as to the form and content of the amended and restated proxy agreement which allows us to operate as if the amended and restated proxy agreement were already in effect. The proxy agreement requires the appointment of five proxy holders, who must be independent from prior affiliation with Leonardo S.p.A. and its subsidiaries (including US Holding and us) and maintain adequate security clearance, to vote the shares of our common stock owned directly or indirectly by Leonardo S.p.A. Proxy holders are appointed by US Holding after consultation with Leonardo S.p.A. and approval by the DCSA and serve for staggered three-year terms. The proxy holders may vote for or consent to certain specified matters only with the express written approval of US Holding, as set forth under “Certain Relationships and Related-Party Transactions— Relationship with Leonardo S.p.A Following this Offering—Proxy Agreement” and may vote for or consent to all other matters in their sole and absolute discretion, without consultation with US Holding or Leonardo S.p.A. The proxy agreement contains a number of other provisions which are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5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restrict the ability of Leonardo S.p.A. to control our operations. See “Certain Relationships and Related-Party Transactions—Relationship with Leonardo S.p.A Following this Offering—Proxy Agreement.”</w:t>
      </w:r>
    </w:p>
    <w:p>
      <w:pPr>
        <w:spacing w:after="0" w:line="12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i w:val="1"/>
          <w:iCs w:val="1"/>
          <w:color w:val="auto"/>
        </w:rPr>
        <w:t>Board Designation Rights</w:t>
      </w:r>
      <w:r>
        <w:rPr>
          <w:rFonts w:ascii="Arial" w:cs="Arial" w:eastAsia="Arial" w:hAnsi="Arial"/>
          <w:sz w:val="18"/>
          <w:szCs w:val="18"/>
          <w:color w:val="auto"/>
        </w:rPr>
        <w:t>. Pursuant to the proxy agreement, Leonardo S.p.A., US Holding, the DCSA and the proxy holders will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board designation and/or approval and other rights following this offering. The proxy agreement requires that our board include the five proxy holders appointed by US Holding after consultation with Leonardo S.p.A. and approval by the DCSA. The proxy agreement also requires our board to include four additional directors consisting of our chief executive officer and three additional candidates proposed by US Holding in reasonable consultation with the nominating and corporate governance committee, subject to approval of the DCSA in certain circumstances. See “Certain Relationships and Related-Party Transactions—Relationship with Leonardo S.p.A Following this Offering— Proxy Agreement.”</w:t>
      </w:r>
    </w:p>
    <w:p>
      <w:pPr>
        <w:spacing w:after="0" w:line="1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Our amended and restated bylaws will provide that, for so long as the proxy agreement is in effect, directors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removed pursuant to the terms set forth in the proxy agreement. During their terms, proxy holders may only be removed (i) for acts in violation of the proxy agreement upon petition by US Holding to DCSA which may be granted or denied by DCSA in its sole discretion or (ii) for gross negligence or willful misconduct. The proxy holders may remove any non-proxy holder director from our board by majority vote and after consultation with US Holding. See “Certain Relationships and Related-Party Transactions—Relationship with Leonardo S.p.A Following this Offering—Proxy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summarized below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which could result in an improvement of their terms.</w:t>
      </w:r>
    </w:p>
    <w:p>
      <w:pPr>
        <w:spacing w:after="0" w:line="1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Authorized but Unissued Shares of Common Stock</w:t>
      </w:r>
      <w:r>
        <w:rPr>
          <w:rFonts w:ascii="Arial" w:cs="Arial" w:eastAsia="Arial" w:hAnsi="Arial"/>
          <w:sz w:val="18"/>
          <w:szCs w:val="18"/>
          <w:color w:val="auto"/>
        </w:rPr>
        <w:t>. Following this offering, our shares of authorized and unissued common stock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available for future issuance without additional stockholder approval. While our authorized and unissued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spacing w:after="0" w:line="1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Authorized but Unissued Shares of Preferred Stock</w:t>
      </w:r>
      <w:r>
        <w:rPr>
          <w:rFonts w:ascii="Arial" w:cs="Arial" w:eastAsia="Arial" w:hAnsi="Arial"/>
          <w:sz w:val="18"/>
          <w:szCs w:val="18"/>
          <w:color w:val="auto"/>
        </w:rPr>
        <w:t>. Under our amended and restated certificate of incorporation, our board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to issue up to 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of control, may discourage bids for the common stock at a premium over the market price of the common stock, and may adversely affect the market price of, and the voting and other rights of the holders of, our common stock.</w:t>
      </w:r>
    </w:p>
    <w:p>
      <w:pPr>
        <w:spacing w:after="0" w:line="127"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Special Meetings of Stockholders</w:t>
      </w:r>
      <w:r>
        <w:rPr>
          <w:rFonts w:ascii="Arial" w:cs="Arial" w:eastAsia="Arial" w:hAnsi="Arial"/>
          <w:sz w:val="18"/>
          <w:szCs w:val="18"/>
          <w:color w:val="auto"/>
        </w:rPr>
        <w:t>. Our amended and restated certificate of incorporation provides that a special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may be called only by the chairman of our board or chief executive officer or by a resolution adopted by a majority of our board. Special meetings may also be called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320" w:top="1440" w:right="379" w:bottom="1440" w:gutter="0" w:footer="0" w:header="0"/>
        </w:sectPr>
      </w:pPr>
    </w:p>
    <w:bookmarkStart w:id="186" w:name="page187"/>
    <w:bookmarkEnd w:id="186"/>
    <w:p>
      <w:pPr>
        <w:spacing w:after="0" w:line="157"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corporate secretary at the request of the holders of at least a majority of the outstanding shares of our common stock until the later of the termination of the proxy agreement and such date as Leonardo S.p.A. is no longer required under IFRS to consolidate the financial statements of the Company with its financial results. Thereafter, stockholders will not be permitted to call a special meeting of stockholders.</w:t>
      </w:r>
    </w:p>
    <w:p>
      <w:pPr>
        <w:spacing w:after="0" w:line="1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b w:val="1"/>
          <w:bCs w:val="1"/>
          <w:i w:val="1"/>
          <w:iCs w:val="1"/>
          <w:color w:val="auto"/>
        </w:rPr>
        <w:t>Stockholders Advance Notice Procedure</w:t>
      </w:r>
      <w:r>
        <w:rPr>
          <w:rFonts w:ascii="Arial" w:cs="Arial" w:eastAsia="Arial" w:hAnsi="Arial"/>
          <w:sz w:val="18"/>
          <w:szCs w:val="18"/>
          <w:color w:val="auto"/>
        </w:rPr>
        <w:t>. Our amended and restated bylaws establish an advance notice procedure for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make nominations of candidates for election as directors or to bring other business before an annual meeting of our stockholders. The amended and restated bylaws provide that any stockholders wishing to nominate persons for election as directors at, or bring other business before, an annual meeting must deliver to our corporate secretary a written notice of the stockholder’s intention to do so. 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 To be timely, the stockholder’s notice must be delivered to our corporate secretary at our principal executive offices not less than 90 days nor more than 120 days before the first anniversary date of the annual meeting for the preceding year; provided, however, that in the event that the annual meeting is set for a date that is more than 30 days before or delayed by more than 60 days after the first anniversary date of the preceding year’s annual meeting, a stockholder’s notice must be delivered to our corporate secretary not later than the later of (x) the close of business on the 90th day prior to the meeting or (y) the close of business on the 10th day following the day on which a public announcement of the date of the meeting is first made by us.</w:t>
      </w:r>
    </w:p>
    <w:p>
      <w:pPr>
        <w:spacing w:after="0" w:line="136"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b w:val="1"/>
          <w:bCs w:val="1"/>
          <w:i w:val="1"/>
          <w:iCs w:val="1"/>
          <w:color w:val="auto"/>
        </w:rPr>
        <w:t>No Stockholders Action by Written Consent</w:t>
      </w:r>
      <w:r>
        <w:rPr>
          <w:rFonts w:ascii="Arial" w:cs="Arial" w:eastAsia="Arial" w:hAnsi="Arial"/>
          <w:sz w:val="18"/>
          <w:szCs w:val="18"/>
          <w:color w:val="auto"/>
        </w:rPr>
        <w:t>. Our amended and restated certificate of incorporation provides that stockholders 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taken only at an annual meeting or special meeting of stockholders, provided that, until the later of the termination of the proxy agreement and such date as Leonardo S.p.A. is no longer required under IFRS to consolidate the financial statements of the Company with its financial results, stockholders action may be taken by written consent in lieu of a meeting.</w:t>
      </w:r>
    </w:p>
    <w:p>
      <w:pPr>
        <w:spacing w:after="0" w:line="12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b w:val="1"/>
          <w:bCs w:val="1"/>
          <w:i w:val="1"/>
          <w:iCs w:val="1"/>
          <w:color w:val="auto"/>
        </w:rPr>
        <w:t>Amendments to Certificate of Incorporation and Bylaws</w:t>
      </w:r>
      <w:r>
        <w:rPr>
          <w:rFonts w:ascii="Arial" w:cs="Arial" w:eastAsia="Arial" w:hAnsi="Arial"/>
          <w:sz w:val="18"/>
          <w:szCs w:val="18"/>
          <w:color w:val="auto"/>
        </w:rPr>
        <w:t>. Our amended and restated certificate of incorporation provides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certificate of incorporation may be amended by both the affirmative vote of a majority of our board and the affirmative vote of the holders of a majority of the outstanding shares of our common stock then entitled to vote at any annual or special meeting of stockholders; provided that, following the earlier of the termination of the proxy agreement and such date as Leonardo S.p.A. is no longer required under IFRS to consolidate the financial statements of the Company with its financial results, specified provisions of our amended and restated certificate of incorporation may not be amended, altered or repealed unless the amendment is approved by the affirmative vote of the holders of at least 66 2⁄3% of the outstanding shares of our common stock then entitled to vote at any annual or special meeting of stockholders, including, but not limited to, the provisions governing:</w:t>
      </w:r>
    </w:p>
    <w:p>
      <w:pPr>
        <w:spacing w:after="0" w:line="153"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liability and indemnification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elimination of stockholders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prohibition on the rights of stockholders to call a special meeting; and</w:t>
      </w:r>
    </w:p>
    <w:p>
      <w:pPr>
        <w:spacing w:after="0" w:line="171"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required approval of the holders of at least 66 2⁄3% of the outstanding shares of our common stock to amend our amended and restated bylaws and certain provisions of our amended and restated certificate of incorporation.</w:t>
      </w:r>
    </w:p>
    <w:p>
      <w:pPr>
        <w:spacing w:after="0" w:line="144"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In addition, our amended and restated bylaws may be amended, altered or repealed, or new bylaws may be adopted, by the affirmative vote of a majority of the board, or by the affirmative vote of the holders of (x) until the earlier of the termination of the proxy agreement and such date as Leonardo S.p.A. is no longer required under IFRS to consolidate the financial statements of the Company with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5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results, at least a majority and (y) thereafter, at least 66 2⁄3%, of the outstanding shares of our common stock then entitled to vote at any annual or special meeting of stockholders.</w:t>
      </w:r>
    </w:p>
    <w:p>
      <w:pPr>
        <w:spacing w:after="0" w:line="144"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These provisions make it more difficult for any person to remove or amend any provisions in our amended and restated certificate of incorporation and amended and restated bylaws that may have an anti-takeover effect.</w:t>
      </w:r>
    </w:p>
    <w:p>
      <w:pPr>
        <w:spacing w:after="0" w:line="12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b w:val="1"/>
          <w:bCs w:val="1"/>
          <w:i w:val="1"/>
          <w:iCs w:val="1"/>
          <w:color w:val="auto"/>
        </w:rPr>
        <w:t>Delaware Anti-Takeover Law</w:t>
      </w:r>
      <w:r>
        <w:rPr>
          <w:rFonts w:ascii="Arial" w:cs="Arial" w:eastAsia="Arial" w:hAnsi="Arial"/>
          <w:sz w:val="18"/>
          <w:szCs w:val="18"/>
          <w:color w:val="auto"/>
        </w:rPr>
        <w:t>. In general, Section 203 of the DGCL prohibits a publicly held Delaware corporation from engaging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such as mergers, sales and leases of assets, issuances of securities and similar transactions by the corporation or a subsidiary with an interested stockholder including a person or group who beneficially owns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Section 203 permits corporations, in their certificate of incorporation, to opt out of the protections of Section 203. Our certificate of incorporation generally excepts Leonardo S.p.A. and its affiliates, including US Holding, and their direct and indirect transferees of our stock and any affiliate of any such transferee, from the definition of interested stockholder for purposes of Section 203 of the DGCL until the occurrence of a transaction in which Leonardo S.p.A. or its affiliates, including US Holding, cease to collectively, as applicable, beneficially own at least 15% of the voting power of our outstanding voting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amended and restated certificate of incorporation contains provisions relating to the liability of directors. These provisions eliminate a director’s personal liability for monetary damages resulting from a breach of fiduciary duty, except in circumstances involving:</w:t>
      </w:r>
    </w:p>
    <w:p>
      <w:pPr>
        <w:spacing w:after="0" w:line="144"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redemptions or other distributions;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director’s fiduciary duty. These provisions will not alter a director’s liability under federal securities laws. The inclusion of this provision in our amended and restated certificate of incorporation may discourage or deter stockholders or management from bringing a lawsuit against directors for a breach of their fiduciary duties, even though such an action, if successful, might otherwise have benefited us and our stockholders. In addition, your investment may be adversely affected to the extent we pay costs of settlement and damage awards against directors and officers pursuant to these indemnification provisions.</w:t>
      </w:r>
    </w:p>
    <w:p>
      <w:pPr>
        <w:spacing w:after="0" w:line="15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amended and restated certificate of incorporation and our amended and restated bylaws require us to indemnify and advance expenses to our directors and officers to the fullest extent not prohibited by the DGCL and other applicable law, except in the case of a proceeding instituted by the director without the approval of the company. Our amended and restated certificate of incorporation and our amended and restated bylaws provide that we are required to indemnify our directors and executive officers, to the fullest extent permitted by law, for all judgments, fines, settlements, legal fees and other expenses incurred in connection with pending or threatened legal proceedings because of the director’s 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have had no reasonable cause to believe his or her conduct was unlawful.</w:t>
      </w:r>
    </w:p>
    <w:p>
      <w:pPr>
        <w:spacing w:after="0" w:line="150"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Prior to this offering, we will enter into an indemnification agreement with each of our directors. The indemnification agreement will provide our directors with contractual rights to the indemnification and expense advancement rights provided under our amended and restated bylaws, as well as contractual rights to additional indemnification as provided in the indemnification agreement. See the Form of Director Indemnification Agreement filed as an exhibit to the registration statement of which this prospectus forms a part.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we, on our behalf and on behalf of our subsidiaries, renounce any interest or expectancy in, or in being offered an opportunity to participate in, potential transactions, matters or business opportunities (each, a “corporate opportunity”) that are from time to time presented to Leonardo S.p.A. or any of its officers, directors, employees, agents, stockholders, members, partners, affiliates or subsidiaries (other than us and our subsidiaries), with the exception of the proxy holders, even if the opportunity is one that we or our subsidiaries might reasonably be deemed to have pursued or had the ability or desire to pursue if granted the opportunity to do so. Neither Leonardo S.p.A. nor any of its officers, directors, employees, agents, stockholders, members, partners, affiliates or subsidiaries, with the exception of the proxy holders, will be liable to us or any of our subsidiaries for breach of any fiduciary or other duty by reason of the fact that such person pursues or acquires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amended and restated certificate of incorporation.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alternate forum, the Court of Chancery of the State of Delaware will, to the fullest extent provided by law, be the sole and exclusive forum for (i) any derivative action or proceeding brought on our behalf, (ii) any action asserting a claim of breach of a fiduciary duty owed to us or our stockholders by any of our directors, officers, other employees, agents or stockholders, (iii) any action asserting a claim against us arising under the DGCL or as to which the DGCL confers jurisdiction on the Court of Chancery of the State of Delaware (including, without limitation, any action asserting a claim arising out of or pursuant to our amended and restated bylaws) or (iv) any action asserting a claim against us that is governed by the internal affairs doctrine. The foregoing provision does not apply to claims arising under the Securities Act, the Securities Exchange Act, or other federal securities laws for which there is exclusive federal or concurrent federal and state jurisdiction. Our stockholders cannot waive compliance with the federal securities laws and the rules and regulations thereunder. Furthermore, unless we select or consent to the selection of an alternative forum, our amended and restated certificate of incorporation provides that the federal district courts of the United States of America will be the exclusive forum for the resolution of any complaint asserting a cause of action arising under the Securities Act. To the fullest extent permitted by law, by becoming a stockholder in our company, you will be deemed to have notice of and have consented to the provisions of our amended and restated certificate of incorporation related to choice of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common stock on the NYSE under the symbol “DRS”.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stock will be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139"/>
          </w:cols>
          <w:pgMar w:left="320" w:top="1440" w:right="1440" w:bottom="1440" w:gutter="0" w:footer="0" w:header="0"/>
        </w:sectPr>
      </w:pPr>
    </w:p>
    <w:bookmarkStart w:id="190" w:name="page191"/>
    <w:bookmarkEnd w:id="190"/>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Immediately prior to this offering, there was no public market for our common stock. Sales of substantial amounts of our common stock in the public market could adversely affect prevailing market prices of our common stock. Some shares of our common stock will not be available for sale for a certain period of time after this offering because they are subject to contractual and legal restrictions on resale some of which are described below. Sales of substantial amounts of common stock in the public market after these restrictions lapse, or the perception that these sales could occur, could adversely affect the prevailing market price and our ability to raise equity capital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Currently, 145,000,000 shares of our common stock are outstanding. Of these shares, 31,900,000 shares sold in this offering</w:t>
      </w:r>
    </w:p>
    <w:p>
      <w:pPr>
        <w:spacing w:after="0" w:line="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(or 36,685,000 shares if the underwriters exercise their option to purchase additional shares of common stock from the selling stockholder in full) will be freely tradable without restriction under the Securities Act, unless purchased by our “affiliates,” as that term is defined in Rule 144 under the Securities Act. The remaining 113,100,000 shares of our common stock (or 108,315,000 shares if the underwriters exercise their option to purchase additional shares of common stock from the selling stockholder in full) that will be outstanding after this offering are “restricted securities” within the meaning of Rule 144 under the Securities Act. Restricted securities may be sold in the public market only if they are registered under the Securities Act or are sold pursuant to an exemption from registration under Rule 144 under the Securities Act, which is summarized below. Subject to the lock-up agreements described below, shares held by our affiliates that are not restricted securities or that have been owned for more than one year may be sold subject to compliance with Rule 144 of the Securities Act without regard to the prescribed one-year holding period under Rule 144.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93" w:lineRule="exact"/>
        <w:rPr>
          <w:sz w:val="20"/>
          <w:szCs w:val="20"/>
          <w:color w:val="auto"/>
        </w:rPr>
      </w:pPr>
    </w:p>
    <w:p>
      <w:pPr>
        <w:ind w:right="160" w:firstLine="324"/>
        <w:spacing w:after="0" w:line="216" w:lineRule="exact"/>
        <w:rPr>
          <w:sz w:val="20"/>
          <w:szCs w:val="20"/>
          <w:color w:val="auto"/>
        </w:rPr>
      </w:pPr>
      <w:r>
        <w:rPr>
          <w:rFonts w:ascii="Arial" w:cs="Arial" w:eastAsia="Arial" w:hAnsi="Arial"/>
          <w:sz w:val="17"/>
          <w:szCs w:val="17"/>
          <w:color w:val="auto"/>
        </w:rPr>
        <w:t>We intend to file with the SEC, as soon as practicable following this offering, a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8 registering an aggregate of shares of common stock underlying equity awards we will make to our employees and certain other qualifying individuals. The Form S</w:t>
      </w:r>
      <w:r>
        <w:rPr>
          <w:rFonts w:ascii="MS PGothic" w:cs="MS PGothic" w:eastAsia="MS PGothic" w:hAnsi="MS PGothic"/>
          <w:sz w:val="17"/>
          <w:szCs w:val="17"/>
          <w:color w:val="auto"/>
        </w:rPr>
        <w:t>‑</w:t>
      </w:r>
      <w:r>
        <w:rPr>
          <w:rFonts w:ascii="Arial" w:cs="Arial" w:eastAsia="Arial" w:hAnsi="Arial"/>
          <w:sz w:val="17"/>
          <w:szCs w:val="17"/>
          <w:color w:val="auto"/>
        </w:rPr>
        <w:t>8 will become effective upon filing and shares of common stock so registered will become freely tradable upon such effectiveness, subject to any restrictions imposed on such resale pursuant to the lock-up agreements entered into with the underwriters for the offering.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connection with this offering, the selling stockholder and our directors and executive officers will enter into lock-up agreements, under which they will agree not to dispose of or hedge any of our common stock or securities convertible into or exchangeable for shares of our common stock without the prior written consent of Goldman Sachs &amp; Co. LLC, BofA Securities, Inc. and J.P. Morgan Securities LLC for a period of 180 days after the date of this prospectus. See also the section “Underwriting.”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general, under Rule 144, as currently in effect, a person (or persons whose shares are aggregated) who is not deemed to be or have been at any time during the 90 days preceding a sale one of our affiliates for purposes of the Securities Act and who has beneficially owned the shares proposed to be sold for at least six months, including the holding period of any prior owner other than an affiliate, is entitled to sell such shares without registration,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5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who have met the six-month holding period for beneficial ownership of “restricted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are entitled to sell within any three-month period, a number of shares that does not exceed the greater of:</w:t>
      </w:r>
    </w:p>
    <w:p>
      <w:pPr>
        <w:spacing w:after="0" w:line="171" w:lineRule="exact"/>
        <w:rPr>
          <w:sz w:val="20"/>
          <w:szCs w:val="20"/>
          <w:color w:val="auto"/>
        </w:rPr>
      </w:pPr>
    </w:p>
    <w:p>
      <w:pPr>
        <w:ind w:left="660" w:hanging="328"/>
        <w:spacing w:after="0" w:line="261"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145,000,000 shares immediately after this offering; and</w:t>
      </w:r>
    </w:p>
    <w:p>
      <w:pPr>
        <w:spacing w:after="0" w:line="143"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NYSE during the four calendar weeks preceding the date of filing a Notice of Proposed Sale of Securities Pursuant to Rule 144 with respect to the sale.</w:t>
      </w:r>
    </w:p>
    <w:p>
      <w:pPr>
        <w:spacing w:after="0" w:line="14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1440" w:right="439" w:bottom="1440" w:gutter="0" w:footer="0" w:header="0"/>
        </w:sectPr>
      </w:pPr>
    </w:p>
    <w:bookmarkStart w:id="192" w:name="page193"/>
    <w:bookmarkEnd w:id="192"/>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following is a discussion of material U.S. federal income tax considerations relating to the purchase, ownership and disposition of our common stock by Non-U.S. Holders (as defined below) that purchase such common stock pursuant to this offering and hold such common stock as a capital asset. This discussion is based on the U.S. Internal Revenue Code of 1986, as amended (the “Code”), U.S. Treasury regulations promulgated or proposed thereunder, and administrative and judicial interpretations thereof, all as in effect on the date hereof and all of which are subject to change, possibly with retroactive effect, or to different interpretation. This discussion does not address all of the U.S. federal income tax considerations that may be relevant to specific Non-U.S. Holders in light of their particular circumstances or to Non-U.S. Holders subject to special treatment under U.S. federal income tax law (such as banks, insurance companies, dealers in securities or other Non-U.S. Holders that generally mark their securities to market for U.S. federal income tax purposes, Non-U.S. Holders that are “controlled foreign corporations” or “passive foreign investment companies” for U.S. federal income tax purposes, foreign governments, international organizations, tax-exempt entities, certain former citizens or residents of the United States, Non-U.S. Holders that hold our common stock as part of a straddle, hedge, conversion or other integrated transaction, or Non-U.S. Holders that purchase or sell our common stock as part of a wash sale for tax purposes). This discussion does not address any U.S. state or local or non-U.S. tax considerations or any U.S. federal estate and gift, Medicare contribution or alternative minimum tax considerations.</w:t>
      </w:r>
    </w:p>
    <w:p>
      <w:pPr>
        <w:spacing w:after="0" w:line="15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As used in this discussion, the term “Non-U.S. Holder” means a beneficial owner of our common stock that, for U.S. federal income tax purposes, is:</w:t>
      </w:r>
    </w:p>
    <w:p>
      <w:pPr>
        <w:spacing w:after="0" w:line="144"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neither a citizen nor a resident of the United States;</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that is not created or organized in or under the laws of the United States, any state thereof, or the District of Columbia or otherwise treated as a domestic corporation;</w:t>
      </w:r>
    </w:p>
    <w:p>
      <w:pPr>
        <w:spacing w:after="0" w:line="14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that is not subject to U.S. federal income tax on income from non-U.S. sources which is not effectively connected with the conduct of a trade or business in the United States; or</w:t>
      </w:r>
    </w:p>
    <w:p>
      <w:pPr>
        <w:spacing w:after="0" w:line="143"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unless (i) a court within the United States is able to exercise primary supervision over its administration and one or more U.S. persons have the authority to control all of its substantial decisions or (ii) it has in effect a valid election under applicable U.S. Treasury regulations to be treated as a U.S. person.</w:t>
      </w:r>
    </w:p>
    <w:p>
      <w:pPr>
        <w:spacing w:after="0" w:line="1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an entity or arrangement that is treated as a partnership for U.S. federal income tax purposes invests in our common stock, the U.S. federal income tax considerations relating to such investment will depend in part upon the status and activities of such entity and the particular partner. Any such entity should consult its own tax advisor regarding the U.S. federal income tax considerations applicable to it and its partners relating to the purchase, ownership and disposition of our common stock.</w:t>
      </w:r>
    </w:p>
    <w:p>
      <w:pPr>
        <w:spacing w:after="0" w:line="1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PERSONS CONSIDERING AN INVESTMENT IN OUR COMMON STOCK SHOULD CONSULT THEIR OWN TAX ADVISORS REGARDING THE U.S. FEDERAL, STATE AND LOCAL AND NON-U.S. INCOME, ESTATE AND OTHER TAX CONSIDERATIONS RELATING TO THE PURCHASE, OWNERSHIP AND DISPOSITION OF OUR COMMON STOCK IN LIGHT OF THEIR PARTICULAR CIRCUMSTANCES.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If we make a distribution of cash or other property (other than certain pro rata distributions of our common stock or rights to acquire our common stock) with respect to a share of our common stock, the distribution generally will be treated as a dividend to the extent it is paid from our current or accumulated earnings and profits (as determined under U.S. federal income tax principles). If the amount of such distribution exceeds our current and accumulated earnings and profits, such excess generally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treated first as a tax-free return of capital to the extent of the Non-U.S. Holder’s adjusted tax basis in such share of our common stock, and then as capital gain (which will be treated in the manner described below under “—Sale, Exchange or Other Disposition of Common Stock”). Subject to the following paragraph, distributions treated as dividends on our common stock that are paid to or for the account of a Non-U.S. Holder generally will be subject to U.S. federal withholding tax at a rate of 30%, or at a lower rate if provided by an applicable tax treaty and the Non-U.S. Holder provides the documentation (generally, Internal Revenue Service (“IRS”) Form W-8BEN or W-8BEN-E) required to claim benefits under such tax treaty to the applicable withholding agent. Even if our current or accumulated earnings and profits are less than the amount of the distribution, the applicable withholding agent may elect to treat the entire distribution as a dividend for U.S. federal withholding tax purposes. Each Non-U.S. Holder should consult its own tax advisor regarding U.S. federal withholding tax on distributions, including such Non-U.S. Holder’s eligibility for a lower rate and the availability of a refund of any excess U.S. federal tax withheld.</w:t>
      </w:r>
    </w:p>
    <w:p>
      <w:pPr>
        <w:spacing w:after="0" w:line="1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If, however, a dividend is effectively connected with the conduct of a trade or business in the United States by a Non-U.S. Holder, such dividend generally will not be subject to the 30% U.S. federal withholding tax if such Non-U.S. Holder provides the appropriate documentation (generally, IRS Form W-8ECI) to the applicable withholding agent. Instead, such Non-U.S. Holder generally will be subject to U.S. federal income tax on such dividend in substantially the same manner as a U.S. person (except as provided by an applicable tax treaty). In addition, a Non-U.S. Holder that is treated as a corporation for U.S. federal income tax purposes may be subject to a branch profits tax at a rate of 30% (or a lower rate if provided by an applicable tax treaty) on its effectively connected income for the taxable year, subject to certain adjustments.</w:t>
      </w:r>
    </w:p>
    <w:p>
      <w:pPr>
        <w:spacing w:after="0" w:line="153"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The foregoing discussion is subject to the discussion below under “—FATCA Withholding” and “—Information Reporting and Backup Withholding.”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Disposition of Common Stock</w:t>
      </w:r>
    </w:p>
    <w:p>
      <w:pPr>
        <w:spacing w:after="0" w:line="193"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A Non-U.S. Holder generally will not be subject to U.S. federal income tax on any gain recognized on the sale, exchange or other disposition of our common stock unless:</w:t>
      </w:r>
    </w:p>
    <w:p>
      <w:pPr>
        <w:spacing w:after="0" w:line="144" w:lineRule="exact"/>
        <w:rPr>
          <w:sz w:val="20"/>
          <w:szCs w:val="20"/>
          <w:color w:val="auto"/>
        </w:rPr>
      </w:pPr>
    </w:p>
    <w:p>
      <w:pPr>
        <w:ind w:left="660" w:right="140" w:hanging="328"/>
        <w:spacing w:after="0" w:line="254" w:lineRule="auto"/>
        <w:tabs>
          <w:tab w:leader="none" w:pos="65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gain is effectively connected with the conduct of a trade or business in the United States by such Non-U.S. Holder, in which event such Non-U.S. Holder generally will be subject to U.S. federal income tax on such gain in substantially the same manner as a U.S. person (except as provided by an applicable tax treaty) and, if it is treated as a corporation for U.S. federal income tax purposes, may also be subject to a branch profits tax at a rate of 30% (or a lower rate if provided by an applicable tax treaty);</w:t>
      </w:r>
    </w:p>
    <w:p>
      <w:pPr>
        <w:spacing w:after="0" w:line="149" w:lineRule="exact"/>
        <w:rPr>
          <w:rFonts w:ascii="Arial" w:cs="Arial" w:eastAsia="Arial" w:hAnsi="Arial"/>
          <w:sz w:val="18"/>
          <w:szCs w:val="18"/>
          <w:color w:val="auto"/>
        </w:rPr>
      </w:pPr>
    </w:p>
    <w:p>
      <w:pPr>
        <w:ind w:left="660" w:right="120" w:hanging="328"/>
        <w:spacing w:after="0" w:line="256" w:lineRule="auto"/>
        <w:tabs>
          <w:tab w:leader="none" w:pos="65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during the taxable year of such sale, exchange or other disposition and certain other conditions are met, in which event such gain (net of certain U.S. source losses) generally will be subject to U.S. federal income tax at a rate of 30% (except as provided by an applicable tax treaty); or</w:t>
      </w:r>
    </w:p>
    <w:p>
      <w:pPr>
        <w:spacing w:after="0" w:line="147" w:lineRule="exact"/>
        <w:rPr>
          <w:rFonts w:ascii="Arial" w:cs="Arial" w:eastAsia="Arial" w:hAnsi="Arial"/>
          <w:sz w:val="18"/>
          <w:szCs w:val="18"/>
          <w:color w:val="auto"/>
        </w:rPr>
      </w:pPr>
    </w:p>
    <w:p>
      <w:pPr>
        <w:ind w:left="660" w:right="160" w:hanging="328"/>
        <w:spacing w:after="0" w:line="256" w:lineRule="auto"/>
        <w:tabs>
          <w:tab w:leader="none" w:pos="65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(x) the five-year period ending on the date of such sale, exchange or other disposition and (y) such Non-U.S. Holder’s holding period with respect to such common stock, and certain other conditions are met.</w:t>
      </w:r>
    </w:p>
    <w:p>
      <w:pPr>
        <w:spacing w:after="0" w:line="14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U.S. federal income tax purposes). We believe that we presently are not, and we do not presently anticipate that we will become, a United States real property holding corporation.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discussion is subject to the discussion below under “Information Reporting and Backup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9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Pursuant to sections 1471 through 1474 of the Code, commonly known as the Foreign Account Tax Compliance Act (“FATCA”), a 30% withholding tax (“FATCA withholding”) will generally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common stock could be affected by this withholding if you are subject to the FATCA information reporting requirements and fail to comply with them or if you hold common stock through a non-US person (e.g., a foreign bank or broker) that fails to comply with these requirements (even if payments to you would not otherwise have been subject to FATCA withholding).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You should consult your own tax advisors regarding the relevant U.S. law and other official guidance on FATCA withholding.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Amounts treated as payments of dividends on our common stock paid to a Non-U.S. Holder and the amount of any U.S. federal tax withheld from such payments generally will be reported annually to the IRS and to such Non-U.S. Holder by the applicable withholding agent.</w:t>
      </w:r>
    </w:p>
    <w:p>
      <w:pPr>
        <w:spacing w:after="0" w:line="14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information reporting and backup withholding rules that apply to payments of dividends to certain U.S. persons generally will not apply to payments of dividends on our common stock to a Non-U.S. Holder if such Non-U.S. Holder certifies under penalties of perjury that it is not a U.S. person (generally by providing an IRS Form W-8BEN or W-8BEN-E to the applicable withholding agent) or otherwise establishes an exemption.</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Proceeds from the sale, exchange or other disposition of our common stock by a Non-U.S. Holder effected outside the United States through a non-U.S. office of a non-U.S. broker generally will not be subject to the information reporting and backup withholding rules that apply to payments to certain U.S. persons, provided that the proceeds are paid to the Non-U.S. Holder outside the United States. However, proceeds from the sale, exchange or other disposition of our common stock by a Non-U.S. Holder effected through a non-U.S. office of a non-U.S. broker with certain specified U.S. connections or of a U.S. broker generally will be subject to these information reporting rules (but generally not to these backup withholding rules), even if the proceeds are paid to such Non-U.S. Holder outside the United States, unless such Non-U.S. Holder certifies under penalties of perjury that it is not a U.S. person (generally by providing an IRS Form W-8BEN or W-8BEN-E to the applicable withholding agent) or otherwise establishes an exemption. Proceeds from the sale, exchange or other disposition of our common stock by a Non-U.S. Holder effected through a U.S. office of a broker generally will be subject to these information reporting and backup withholding rules unless such Non-U.S. Holder certifies under penalties of perjury that it is not a U.S. person (generally by providing an IRS Form W-8BEN or W-8BEN-E to the applicable withholding agent) or otherwise establishes an exemption.</w:t>
      </w:r>
    </w:p>
    <w:p>
      <w:pPr>
        <w:spacing w:after="0" w:line="157"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furnished by such Non-U.S. Holder on a timely basis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Company, US Holding (the selling stockholder) and the underwriters named below have entered into an underwriting agreement dated the date of this prospectus with respect to the shares being offered. Subject to certain conditions, each underwriter has severally agreed to purchase the number of shares indicated in the following table. Goldman Sachs &amp; Co. LLC, BofA Securities, Inc. and J.P. Morgan Securities LLC are the representatives of the underwriters.</w:t>
      </w:r>
    </w:p>
    <w:p>
      <w:pPr>
        <w:spacing w:after="0" w:line="191" w:lineRule="exact"/>
        <w:rPr>
          <w:sz w:val="20"/>
          <w:szCs w:val="20"/>
          <w:color w:val="auto"/>
        </w:rPr>
      </w:pPr>
    </w:p>
    <w:p>
      <w:pPr>
        <w:ind w:left="4400"/>
        <w:spacing w:after="0"/>
        <w:tabs>
          <w:tab w:leader="none" w:pos="982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Morgan Stanley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Agricole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Intesa Sanpaolo S.p.A.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MUFG Securities Americas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UniCredit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23495</wp:posOffset>
            </wp:positionV>
            <wp:extent cx="9944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966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31,900,000</w:t>
            </w:r>
          </w:p>
        </w:tc>
      </w:tr>
      <w:tr>
        <w:trPr>
          <w:trHeight w:val="21"/>
        </w:trPr>
        <w:tc>
          <w:tcPr>
            <w:tcW w:w="9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underwriters will have an option to buy up to an additional 4,785,000 shares from US Holding to cover sales by the underwriters of a greater number of shares than the total number set forth in the table above at the public offering price listed on the cover page of this prospectus, less underwriting discounts and commissions.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will not receive any proceeds from this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Holding.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4,785,000 additional shares.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6340" w:type="dxa"/>
            <w:vAlign w:val="bottom"/>
            <w:gridSpan w:val="4"/>
          </w:tcPr>
          <w:p>
            <w:pPr>
              <w:spacing w:after="0"/>
              <w:rPr>
                <w:sz w:val="20"/>
                <w:szCs w:val="20"/>
                <w:color w:val="auto"/>
              </w:rPr>
            </w:pPr>
            <w:r>
              <w:rPr>
                <w:rFonts w:ascii="Arial" w:cs="Arial" w:eastAsia="Arial" w:hAnsi="Arial"/>
                <w:sz w:val="14"/>
                <w:szCs w:val="14"/>
                <w:b w:val="1"/>
                <w:bCs w:val="1"/>
                <w:color w:val="auto"/>
              </w:rPr>
              <w:t>Paid by US Holding</w:t>
            </w:r>
          </w:p>
        </w:tc>
        <w:tc>
          <w:tcPr>
            <w:tcW w:w="1560" w:type="dxa"/>
            <w:vAlign w:val="bottom"/>
          </w:tcPr>
          <w:p>
            <w:pPr>
              <w:spacing w:after="0"/>
              <w:rPr>
                <w:sz w:val="14"/>
                <w:szCs w:val="14"/>
                <w:color w:val="auto"/>
              </w:rPr>
            </w:pPr>
          </w:p>
        </w:tc>
      </w:tr>
      <w:tr>
        <w:trPr>
          <w:trHeight w:val="230"/>
        </w:trPr>
        <w:tc>
          <w:tcPr>
            <w:tcW w:w="3340" w:type="dxa"/>
            <w:vAlign w:val="bottom"/>
            <w:tcBorders>
              <w:bottom w:val="single" w:sz="8" w:color="CCEEFF"/>
            </w:tcBorders>
          </w:tcPr>
          <w:p>
            <w:pPr>
              <w:spacing w:after="0"/>
              <w:rPr>
                <w:sz w:val="20"/>
                <w:szCs w:val="20"/>
                <w:color w:val="auto"/>
              </w:rPr>
            </w:pPr>
          </w:p>
        </w:tc>
        <w:tc>
          <w:tcPr>
            <w:tcW w:w="1340" w:type="dxa"/>
            <w:vAlign w:val="bottom"/>
            <w:tcBorders>
              <w:top w:val="single" w:sz="8" w:color="auto"/>
              <w:bottom w:val="single" w:sz="8" w:color="CCEEFF"/>
            </w:tcBorders>
          </w:tcPr>
          <w:p>
            <w:pPr>
              <w:spacing w:after="0"/>
              <w:rPr>
                <w:sz w:val="20"/>
                <w:szCs w:val="20"/>
                <w:color w:val="auto"/>
              </w:rPr>
            </w:pPr>
          </w:p>
        </w:tc>
        <w:tc>
          <w:tcPr>
            <w:tcW w:w="334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6240" w:type="dxa"/>
            <w:vAlign w:val="bottom"/>
            <w:tcBorders>
              <w:bottom w:val="single" w:sz="8" w:color="CCEEFF"/>
            </w:tcBorders>
            <w:gridSpan w:val="3"/>
            <w:shd w:val="clear" w:color="auto" w:fill="CCEEFF"/>
          </w:tcPr>
          <w:p>
            <w:pPr>
              <w:jc w:val="right"/>
              <w:ind w:right="13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6240" w:type="dxa"/>
            <w:vAlign w:val="bottom"/>
            <w:gridSpan w:val="3"/>
          </w:tcPr>
          <w:p>
            <w:pPr>
              <w:jc w:val="right"/>
              <w:ind w:right="13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page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1"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We, US Holding and our executive officers and directors have agreed with the underwriters, subject to certain exceptions, not to dispose of or hedge any common stock or securities convertible into or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240"/>
          </w:cols>
          <w:pgMar w:left="320" w:top="1440" w:right="339" w:bottom="1440" w:gutter="0" w:footer="0" w:header="0"/>
          <w:type w:val="continuous"/>
        </w:sectPr>
      </w:pPr>
    </w:p>
    <w:bookmarkStart w:id="196" w:name="page197"/>
    <w:bookmarkEnd w:id="196"/>
    <w:p>
      <w:pPr>
        <w:spacing w:after="0" w:line="15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exchangeable for shares of common stock during the period from the date of this prospectus continuing through the date 180 days after the date of this prospectus, except with the prior written consent of the representatives. See “Shares Eligible for Future Sale” for a discussion of certain transfer restrictions.</w:t>
      </w:r>
    </w:p>
    <w:p>
      <w:pPr>
        <w:spacing w:after="0" w:line="14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US Holding, Leonardo S.p.A. and the representatives. Among the factors considered in determining the initial public offering price of the shares,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application has been made to list the common stock on the NYSE under the symbol “DRS.”</w:t>
      </w:r>
    </w:p>
    <w:p>
      <w:pPr>
        <w:spacing w:after="0" w:line="171"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Intesa Sanpaolo S.p.A. is not a broker-dealer registered with the SEC and, therefore, may not make sales of any shares in the United States or to U.S. persons except in compliance with the applicable U.S. securities laws and regulations. To the extent that Intesa Sanpaolo S.p.A. intends to effect sales of the shares in the United States, it will do so only through one or more U.S. registered broker-dealers or otherwise, as permitted by applicable U.S. law.</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6"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8" w:lineRule="exact"/>
        <w:rPr>
          <w:sz w:val="20"/>
          <w:szCs w:val="20"/>
          <w:color w:val="auto"/>
        </w:rPr>
      </w:pPr>
    </w:p>
    <w:p>
      <w:pPr>
        <w:ind w:right="20" w:firstLine="324"/>
        <w:spacing w:after="0" w:line="216" w:lineRule="exact"/>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relevant exchange,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64"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$9.3 million. We have also agreed to reimburse the underwriters for certain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157"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 and US Holding and the underwriters have agreed to indemnify each other against certain liabilities, including liabilities under the Securities Act, or to contribute to payments that each party may be required to make in respect of those liabilities.</w:t>
      </w:r>
    </w:p>
    <w:p>
      <w:pPr>
        <w:spacing w:after="0" w:line="144" w:lineRule="exact"/>
        <w:rPr>
          <w:sz w:val="20"/>
          <w:szCs w:val="20"/>
          <w:color w:val="auto"/>
        </w:rPr>
      </w:pPr>
    </w:p>
    <w:p>
      <w:pPr>
        <w:ind w:right="40" w:firstLine="324"/>
        <w:spacing w:after="0" w:line="216" w:lineRule="exact"/>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w:t>
      </w:r>
      <w:r>
        <w:rPr>
          <w:rFonts w:ascii="MS PGothic" w:cs="MS PGothic" w:eastAsia="MS PGothic" w:hAnsi="MS PGothic"/>
          <w:sz w:val="18"/>
          <w:szCs w:val="18"/>
          <w:color w:val="auto"/>
        </w:rPr>
        <w:t>‑</w:t>
      </w:r>
      <w:r>
        <w:rPr>
          <w:rFonts w:ascii="Arial" w:cs="Arial" w:eastAsia="Arial" w:hAnsi="Arial"/>
          <w:sz w:val="18"/>
          <w:szCs w:val="18"/>
          <w:color w:val="auto"/>
        </w:rPr>
        <w:t>financial activities and services. Certain of the underwriters and their respective affiliates have provided, and may in the future provide, a variety of these services to the Company, US Holding and Leonardo S.p.A. and to persons and entities with relationships with the Company, US Holding and Leonardo S.p.A., for which they received or will receive customary fees and expenses. Certain of the underwriters or their affiliates are anticipated to be lenders under the proposed senior facilities and bridge facilities with the Company as described under “Recapitalization”.</w:t>
      </w:r>
    </w:p>
    <w:p>
      <w:pPr>
        <w:spacing w:after="0" w:line="16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93"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w:t>
      </w:r>
      <w:r>
        <w:rPr>
          <w:rFonts w:ascii="MS PGothic" w:cs="MS PGothic" w:eastAsia="MS PGothic" w:hAnsi="MS PGothic"/>
          <w:sz w:val="18"/>
          <w:szCs w:val="18"/>
          <w:color w:val="auto"/>
        </w:rPr>
        <w:t>‑</w:t>
      </w:r>
      <w:r>
        <w:rPr>
          <w:rFonts w:ascii="Arial" w:cs="Arial" w:eastAsia="Arial" w:hAnsi="Arial"/>
          <w:sz w:val="18"/>
          <w:szCs w:val="18"/>
          <w:color w:val="auto"/>
        </w:rPr>
        <w:t>106 Prospectus Exemptions or subsection 73.3(1) of the Securities Act (Ontario), and are permitted clients, as defined in National Instrument 31</w:t>
      </w:r>
      <w:r>
        <w:rPr>
          <w:rFonts w:ascii="MS PGothic" w:cs="MS PGothic" w:eastAsia="MS PGothic" w:hAnsi="MS PGothic"/>
          <w:sz w:val="18"/>
          <w:szCs w:val="18"/>
          <w:color w:val="auto"/>
        </w:rPr>
        <w:t>‑</w:t>
      </w:r>
      <w:r>
        <w:rPr>
          <w:rFonts w:ascii="Arial" w:cs="Arial" w:eastAsia="Arial" w:hAnsi="Arial"/>
          <w:sz w:val="18"/>
          <w:szCs w:val="18"/>
          <w:color w:val="auto"/>
        </w:rPr>
        <w:t>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1" w:lineRule="exact"/>
        <w:rPr>
          <w:sz w:val="20"/>
          <w:szCs w:val="20"/>
          <w:color w:val="auto"/>
        </w:rPr>
      </w:pPr>
    </w:p>
    <w:p>
      <w:pPr>
        <w:ind w:right="120" w:firstLine="324"/>
        <w:spacing w:after="0" w:line="216" w:lineRule="exact"/>
        <w:rPr>
          <w:sz w:val="20"/>
          <w:szCs w:val="20"/>
          <w:color w:val="auto"/>
        </w:rPr>
      </w:pPr>
      <w:r>
        <w:rPr>
          <w:rFonts w:ascii="Arial" w:cs="Arial" w:eastAsia="Arial" w:hAnsi="Arial"/>
          <w:sz w:val="18"/>
          <w:szCs w:val="18"/>
          <w:color w:val="auto"/>
        </w:rPr>
        <w:t>Pursuant to section 3A.3 of National Instrument 33</w:t>
      </w:r>
      <w:r>
        <w:rPr>
          <w:rFonts w:ascii="MS PGothic" w:cs="MS PGothic" w:eastAsia="MS PGothic" w:hAnsi="MS PGothic"/>
          <w:sz w:val="18"/>
          <w:szCs w:val="18"/>
          <w:color w:val="auto"/>
        </w:rPr>
        <w:t>‑</w:t>
      </w:r>
      <w:r>
        <w:rPr>
          <w:rFonts w:ascii="Arial" w:cs="Arial" w:eastAsia="Arial" w:hAnsi="Arial"/>
          <w:sz w:val="18"/>
          <w:szCs w:val="18"/>
          <w:color w:val="auto"/>
        </w:rPr>
        <w:t>105 Underwriting Conflicts (“NI 33</w:t>
      </w:r>
      <w:r>
        <w:rPr>
          <w:rFonts w:ascii="MS PGothic" w:cs="MS PGothic" w:eastAsia="MS PGothic" w:hAnsi="MS PGothic"/>
          <w:sz w:val="18"/>
          <w:szCs w:val="18"/>
          <w:color w:val="auto"/>
        </w:rPr>
        <w:t>‑</w:t>
      </w:r>
      <w:r>
        <w:rPr>
          <w:rFonts w:ascii="Arial" w:cs="Arial" w:eastAsia="Arial" w:hAnsi="Arial"/>
          <w:sz w:val="18"/>
          <w:szCs w:val="18"/>
          <w:color w:val="auto"/>
        </w:rPr>
        <w:t>105”), the underwriters are not required to comply with the disclosure requirements of NI 33</w:t>
      </w:r>
      <w:r>
        <w:rPr>
          <w:rFonts w:ascii="MS PGothic" w:cs="MS PGothic" w:eastAsia="MS PGothic" w:hAnsi="MS PGothic"/>
          <w:sz w:val="18"/>
          <w:szCs w:val="18"/>
          <w:color w:val="auto"/>
        </w:rPr>
        <w:t>‑</w:t>
      </w:r>
      <w:r>
        <w:rPr>
          <w:rFonts w:ascii="Arial" w:cs="Arial" w:eastAsia="Arial" w:hAnsi="Arial"/>
          <w:sz w:val="18"/>
          <w:szCs w:val="18"/>
          <w:color w:val="auto"/>
        </w:rPr>
        <w:t>105 regarding underwriter conflicts of interest in connection with this offering.</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This prospectus is not a prospectus for the purposes of the Prospectus Regulation (as defined below). This prospectus has been prepared on the basis that any offer of shares in any Member States of the European Economic Area (the “EEA”) (each, a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which no obligation arises for the Company or any of the underwriters to publish a prospectus pursuant to Article 3 of the Prospectus Regulation or supplement a prospectus pursuant to Article 23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been offered or will be offered pursuant to the offering to the public in that Relevant State, other than:</w:t>
      </w:r>
    </w:p>
    <w:p>
      <w:pPr>
        <w:spacing w:after="0" w:line="171" w:lineRule="exact"/>
        <w:rPr>
          <w:sz w:val="20"/>
          <w:szCs w:val="20"/>
          <w:color w:val="auto"/>
        </w:rPr>
      </w:pPr>
    </w:p>
    <w:p>
      <w:pPr>
        <w:ind w:left="640" w:hanging="308"/>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71" w:lineRule="exact"/>
        <w:rPr>
          <w:rFonts w:ascii="Arial" w:cs="Arial" w:eastAsia="Arial" w:hAnsi="Arial"/>
          <w:sz w:val="18"/>
          <w:szCs w:val="18"/>
          <w:color w:val="auto"/>
        </w:rPr>
      </w:pPr>
    </w:p>
    <w:p>
      <w:pPr>
        <w:ind w:left="660" w:right="300" w:hanging="328"/>
        <w:spacing w:after="0" w:line="261" w:lineRule="auto"/>
        <w:tabs>
          <w:tab w:leader="none" w:pos="65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provided that no such offer of Securities shall require the Company or any underwriter to publish a prospectus pursuant to Article 3 of the Prospectus Regulation or supplement a prospectus pursuant to Article 23 of the Prospectus Regulation.</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Italy</w:t>
      </w:r>
    </w:p>
    <w:p>
      <w:pPr>
        <w:spacing w:after="0" w:line="175"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 xml:space="preserve">The offering of the shares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shares may be offered, sold or delivered, directly or indirectly, nor may copies of this prospectus or of any other document or offering material relating to the shares be distributed in the Republic of Italy, except, in accordance with all Italian securities, tax and exchange control and other applicable laws and regulations:</w:t>
      </w:r>
    </w:p>
    <w:p>
      <w:pPr>
        <w:spacing w:after="0" w:line="126" w:lineRule="exact"/>
        <w:rPr>
          <w:sz w:val="20"/>
          <w:szCs w:val="20"/>
          <w:color w:val="auto"/>
        </w:rPr>
      </w:pPr>
    </w:p>
    <w:p>
      <w:pPr>
        <w:ind w:right="820" w:firstLine="332"/>
        <w:spacing w:after="0" w:line="282" w:lineRule="auto"/>
        <w:tabs>
          <w:tab w:leader="none" w:pos="5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investitori qualificati</w:t>
      </w:r>
      <w:r>
        <w:rPr>
          <w:rFonts w:ascii="Arial" w:cs="Arial" w:eastAsia="Arial" w:hAnsi="Arial"/>
          <w:sz w:val="18"/>
          <w:szCs w:val="18"/>
          <w:color w:val="auto"/>
        </w:rPr>
        <w:t>) as defined in Article 2, letter (e), of Regulation (EU) 2017/1129 (the “Prospectus Regulation”), pursuant to Article 1, fourth paragraph, letter (a) of the Prospectus Regulation; or</w:t>
      </w:r>
    </w:p>
    <w:p>
      <w:pPr>
        <w:spacing w:after="0" w:line="125" w:lineRule="exact"/>
        <w:rPr>
          <w:rFonts w:ascii="Arial" w:cs="Arial" w:eastAsia="Arial" w:hAnsi="Arial"/>
          <w:sz w:val="18"/>
          <w:szCs w:val="18"/>
          <w:color w:val="auto"/>
        </w:rPr>
      </w:pPr>
    </w:p>
    <w:p>
      <w:pPr>
        <w:ind w:right="480" w:firstLine="332"/>
        <w:spacing w:after="0" w:line="261" w:lineRule="auto"/>
        <w:tabs>
          <w:tab w:leader="none" w:pos="5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other circumstances which are exempted from the rules on public offerings pursuant to Article 1 of the Prospectus Regulation, Article 34-</w:t>
      </w:r>
      <w:r>
        <w:rPr>
          <w:rFonts w:ascii="Arial" w:cs="Arial" w:eastAsia="Arial" w:hAnsi="Arial"/>
          <w:sz w:val="18"/>
          <w:szCs w:val="18"/>
          <w:i w:val="1"/>
          <w:iCs w:val="1"/>
          <w:color w:val="auto"/>
        </w:rPr>
        <w:t>ter</w:t>
      </w:r>
      <w:r>
        <w:rPr>
          <w:rFonts w:ascii="Arial" w:cs="Arial" w:eastAsia="Arial" w:hAnsi="Arial"/>
          <w:sz w:val="18"/>
          <w:szCs w:val="18"/>
          <w:color w:val="auto"/>
        </w:rPr>
        <w:t xml:space="preserve"> of CONSOB Regulation No. 11971 of May 14, 1999, as amended from time to time, and the applicable Italian laws.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offer, sale or delivery of the shares or distribution of copies of this prospectus or any other document relating to the shares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Republic of Italy must be in compliance with the selling restrictions under paragraphs (i) or (ii) above and must be:</w:t>
      </w:r>
    </w:p>
    <w:p>
      <w:pPr>
        <w:spacing w:after="0" w:line="171" w:lineRule="exact"/>
        <w:rPr>
          <w:sz w:val="20"/>
          <w:szCs w:val="20"/>
          <w:color w:val="auto"/>
        </w:rPr>
      </w:pPr>
    </w:p>
    <w:p>
      <w:pPr>
        <w:ind w:right="140" w:firstLine="332"/>
        <w:spacing w:after="0" w:line="256" w:lineRule="auto"/>
        <w:tabs>
          <w:tab w:leader="none" w:pos="59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made by an investment firm, bank or financial intermediary permitted to conduct such activities in the Republic of Italy in accordance with Legislative Decree No. 58 of February 24, 1998, Regulation No. 20307 of February 15, 2018 and Legislative Decree No. 385 of September 1, 1993 (in each case, as amended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57" w:lineRule="exact"/>
        <w:rPr>
          <w:sz w:val="20"/>
          <w:szCs w:val="20"/>
          <w:color w:val="auto"/>
        </w:rPr>
      </w:pPr>
    </w:p>
    <w:p>
      <w:pPr>
        <w:ind w:firstLine="332"/>
        <w:spacing w:after="0" w:line="261" w:lineRule="auto"/>
        <w:tabs>
          <w:tab w:leader="none" w:pos="59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compliance with any other applicable laws and regulations, including any limitation or requirement which may be imposed from time to time by CONSOB and/or the Bank of Italy and/or any other Italian competent authority.</w:t>
      </w:r>
    </w:p>
    <w:p>
      <w:pPr>
        <w:spacing w:after="0" w:line="144"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Any investor purchasing the shares is solely responsible for ensuring that any offer or resale of the shares by such investor occurs in compliance with applicable laws and regulations.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This prospectus is not a prospectus for the purposes of the UK Prospectus Regulation (as defined below). This prospectus has been prepared on the basis that any offer of shares in the United Kingdom will be made pursuant to an exemption under the UK Prospectus Regulation from the requirement to publish a prospectus for offers of shares. Accordingly any person making or intending to make an offer in the United Kingdom of shares which are the subject of the offering contemplated in this prospectus may only do so in circumstances in which no obligation arises for the Company or any of the underwriters to publish a prospectus pursuant to Article 3 of the UK Prospectus Regulation or supplement a prospectus pursuant to Article 23 of the UK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Securities have been offered or will be offered pursuant to the offering to the public in the United Kingdom other than:</w:t>
      </w:r>
    </w:p>
    <w:p>
      <w:pPr>
        <w:spacing w:after="0" w:line="171" w:lineRule="exact"/>
        <w:rPr>
          <w:sz w:val="20"/>
          <w:szCs w:val="20"/>
          <w:color w:val="auto"/>
        </w:rPr>
      </w:pPr>
    </w:p>
    <w:p>
      <w:pPr>
        <w:ind w:left="640" w:hanging="308"/>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right="1020" w:hanging="328"/>
        <w:spacing w:after="0" w:line="261" w:lineRule="auto"/>
        <w:tabs>
          <w:tab w:leader="none" w:pos="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the “FSMA’),</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provided that no such offer of the Securities shall require the Company or any underwriter to publish a prospectus pursuant to Section 85 of the FSMA or supplement a prospectus pursuant to Article 23 of the UK Prospectus Regulation.</w:t>
      </w:r>
    </w:p>
    <w:p>
      <w:pPr>
        <w:spacing w:after="0" w:line="14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in the United Kingdom by virtue of the European Union (Withdrawal) Act 2018.</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(ii) high net worth entities falling within Article 49(2)(a) to (d) of the Order; and (iii) other persons to whom it may lawfully be communicated (all such persons together being referred to as “relevant persons”). This prospectus is directed only at relevant persons. Other persons should not act or rely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represents and agrees that:</w:t>
      </w:r>
    </w:p>
    <w:p>
      <w:pPr>
        <w:spacing w:after="0" w:line="171" w:lineRule="exact"/>
        <w:rPr>
          <w:sz w:val="20"/>
          <w:szCs w:val="20"/>
          <w:color w:val="auto"/>
        </w:rPr>
      </w:pPr>
    </w:p>
    <w:p>
      <w:pPr>
        <w:jc w:val="both"/>
        <w:ind w:left="660" w:right="200" w:hanging="328"/>
        <w:spacing w:after="0" w:line="256"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in connection with the issue or sale of the Securities in circumstances in which Section 21(1) of the FSMA does not apply to the Company; and</w:t>
      </w:r>
    </w:p>
    <w:p>
      <w:pPr>
        <w:spacing w:after="0" w:line="147" w:lineRule="exact"/>
        <w:rPr>
          <w:rFonts w:ascii="Arial" w:cs="Arial" w:eastAsia="Arial" w:hAnsi="Arial"/>
          <w:sz w:val="18"/>
          <w:szCs w:val="18"/>
          <w:color w:val="auto"/>
        </w:rPr>
      </w:pPr>
    </w:p>
    <w:p>
      <w:pPr>
        <w:ind w:left="660" w:right="620" w:hanging="328"/>
        <w:spacing w:after="0" w:line="261"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shares have not been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320" w:top="1440" w:right="379" w:bottom="1440" w:gutter="0" w:footer="0" w:header="0"/>
        </w:sectPr>
      </w:pPr>
    </w:p>
    <w:bookmarkStart w:id="201" w:name="page202"/>
    <w:bookmarkEnd w:id="201"/>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33"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i w:val="1"/>
          <w:iCs w:val="1"/>
          <w:color w:val="auto"/>
        </w:rPr>
        <w:t>Singapore Securities and Futures Act Product Classification</w:t>
      </w:r>
      <w:r>
        <w:rPr>
          <w:rFonts w:ascii="Arial" w:cs="Arial" w:eastAsia="Arial" w:hAnsi="Arial"/>
          <w:sz w:val="18"/>
          <w:szCs w:val="18"/>
          <w:color w:val="auto"/>
        </w:rPr>
        <w:t>—Solely for the purposes of its obligations pursuant to Sections 309B(1)(a)</w:t>
      </w:r>
      <w:r>
        <w:rPr>
          <w:rFonts w:ascii="Arial" w:cs="Arial" w:eastAsia="Arial" w:hAnsi="Arial"/>
          <w:sz w:val="18"/>
          <w:szCs w:val="18"/>
          <w:i w:val="1"/>
          <w:iCs w:val="1"/>
          <w:color w:val="auto"/>
        </w:rPr>
        <w:t xml:space="preserve"> </w:t>
      </w:r>
      <w:r>
        <w:rPr>
          <w:rFonts w:ascii="Arial" w:cs="Arial" w:eastAsia="Arial" w:hAnsi="Arial"/>
          <w:sz w:val="18"/>
          <w:szCs w:val="18"/>
          <w:color w:val="auto"/>
        </w:rPr>
        <w:t>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COMMON STOCK</w:t>
      </w:r>
    </w:p>
    <w:p>
      <w:pPr>
        <w:spacing w:after="0" w:line="193"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validity of the shares of our common stock offered hereby will be passed upon for us by Sullivan &amp; Cromwell LLP, New York, New York.</w:t>
      </w:r>
    </w:p>
    <w:p>
      <w:pPr>
        <w:spacing w:after="0" w:line="144"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Certain legal matters will be passed upon for the underwriters by Cleary Gottlieb Steen &amp; Hamilton LLP, New York, New York. Cleary Gottlieb Steen &amp; Hamilton LLP provides legal services from time to time to Leonardo S.p.A. and its affiliates.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consolidated financial statements of Leonardo DRS, Inc. as of December 31, 2020 and 2019, and for each of the years in the three-year period December 31, 2020 have been included herein in reliance upon the report of KPMG LLP, independent registered public accounting firm, appearing elsewhere herein, and upon the authority of said firm as experts in accounting and auditing. The audit report covering these consolidated financial statements refers to a change to the method of accounting for leases.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We have filed with the SEC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of which this prospectus forms a part, with respect to the shares of our common stock being sold in this offering. This prospectus does not contain all of the information set forth in the registration statement and the exhibits thereto because some parts have been omitted in accordance with the rules and regulations of the SEC. For further information with respect to us and the common stock being sold in this offering, reference is made to the registration statement and the exhibits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an internet website that contains reports and other information about issuers, like us, that file electronically with the SEC. The address of that website is www.sec.gov.</w:t>
      </w:r>
    </w:p>
    <w:p>
      <w:pPr>
        <w:spacing w:after="0" w:line="166" w:lineRule="exact"/>
        <w:rPr>
          <w:sz w:val="20"/>
          <w:szCs w:val="20"/>
          <w:color w:val="auto"/>
        </w:rPr>
      </w:pPr>
    </w:p>
    <w:p>
      <w:pPr>
        <w:ind w:right="40" w:firstLine="324"/>
        <w:spacing w:after="0" w:line="216" w:lineRule="exact"/>
        <w:rPr>
          <w:sz w:val="20"/>
          <w:szCs w:val="20"/>
          <w:color w:val="auto"/>
        </w:rPr>
      </w:pPr>
      <w:r>
        <w:rPr>
          <w:rFonts w:ascii="Arial" w:cs="Arial" w:eastAsia="Arial" w:hAnsi="Arial"/>
          <w:sz w:val="18"/>
          <w:szCs w:val="18"/>
          <w:color w:val="auto"/>
        </w:rPr>
        <w:t>Upon completion of this offering, we will be subject to the informational requirements of the Exchange Act and, accordingly, will file annual reports containing financial statements audited by an independent registered public accounting firm, quarterly reports containing unaudited financial statements, current reports, proxy statements and other information with the SEC. These reports, proxy statements and other information will be available on the website of the SEC referred to above. You will also be able to access, free of charge, our reports filed with the SEC (for example,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our Quarterly Reports on Form 10 </w:t>
      </w:r>
      <w:r>
        <w:rPr>
          <w:rFonts w:ascii="MS PGothic" w:cs="MS PGothic" w:eastAsia="MS PGothic" w:hAnsi="MS PGothic"/>
          <w:sz w:val="18"/>
          <w:szCs w:val="18"/>
          <w:color w:val="auto"/>
        </w:rPr>
        <w:t>‑</w:t>
      </w:r>
      <w:r>
        <w:rPr>
          <w:rFonts w:ascii="Arial" w:cs="Arial" w:eastAsia="Arial" w:hAnsi="Arial"/>
          <w:sz w:val="18"/>
          <w:szCs w:val="18"/>
          <w:color w:val="auto"/>
        </w:rPr>
        <w:t>Q and our Current Reports on Form 8-K and any amendments to those forms) through our website (https://www.leonardodrs.com/). Reports filed with or furnished to the SEC will be available as soon as reasonably practicable after they are filed with or furnished to the SEC. None of the information contained on, or that may be accessed through our website or any other website identified herein is part of, or incorporated into, this prospectus. All website addresses in this prospectus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3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7" w:lineRule="exact"/>
        <w:rPr>
          <w:sz w:val="20"/>
          <w:szCs w:val="20"/>
          <w:color w:val="auto"/>
        </w:rPr>
      </w:pPr>
    </w:p>
    <w:p>
      <w:pPr>
        <w:spacing w:after="0"/>
        <w:rPr>
          <w:rFonts w:ascii="Arial" w:cs="Arial" w:eastAsia="Arial" w:hAnsi="Arial"/>
          <w:sz w:val="18"/>
          <w:szCs w:val="18"/>
          <w:u w:val="single" w:color="auto"/>
          <w:color w:val="0000FF"/>
        </w:rPr>
      </w:pPr>
      <w:hyperlink w:anchor="page204">
        <w:r>
          <w:rPr>
            <w:rFonts w:ascii="Arial" w:cs="Arial" w:eastAsia="Arial" w:hAnsi="Arial"/>
            <w:sz w:val="18"/>
            <w:szCs w:val="18"/>
            <w:u w:val="single" w:color="auto"/>
            <w:color w:val="0000FF"/>
          </w:rPr>
          <w:t>Report of Independent Registered Public Accounting Firm</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06">
        <w:r>
          <w:rPr>
            <w:rFonts w:ascii="Arial" w:cs="Arial" w:eastAsia="Arial" w:hAnsi="Arial"/>
            <w:sz w:val="18"/>
            <w:szCs w:val="18"/>
            <w:u w:val="single" w:color="auto"/>
            <w:color w:val="0000FF"/>
          </w:rPr>
          <w:t>Consolidated Statements of Earnings (Loss) for the Years Ended December 31, 2020, 2019, and 2018</w:t>
        </w:r>
      </w:hyperlink>
    </w:p>
    <w:p>
      <w:pPr>
        <w:spacing w:after="0" w:line="63" w:lineRule="exact"/>
        <w:rPr>
          <w:sz w:val="20"/>
          <w:szCs w:val="20"/>
          <w:color w:val="auto"/>
        </w:rPr>
      </w:pPr>
    </w:p>
    <w:p>
      <w:pPr>
        <w:ind w:right="880"/>
        <w:spacing w:after="0" w:line="313" w:lineRule="auto"/>
        <w:rPr>
          <w:rFonts w:ascii="Arial" w:cs="Arial" w:eastAsia="Arial" w:hAnsi="Arial"/>
          <w:sz w:val="18"/>
          <w:szCs w:val="18"/>
          <w:u w:val="single" w:color="auto"/>
          <w:color w:val="0000FF"/>
        </w:rPr>
      </w:pPr>
      <w:hyperlink w:anchor="page207">
        <w:r>
          <w:rPr>
            <w:rFonts w:ascii="Arial" w:cs="Arial" w:eastAsia="Arial" w:hAnsi="Arial"/>
            <w:sz w:val="18"/>
            <w:szCs w:val="18"/>
            <w:u w:val="single" w:color="auto"/>
            <w:color w:val="0000FF"/>
          </w:rPr>
          <w:t>Consolidated Statements of Comprehensive Income (Loss) for the Years Ended December 31, 2020, 2019, and 2018</w:t>
        </w:r>
      </w:hyperlink>
      <w:r>
        <w:rPr>
          <w:rFonts w:ascii="Arial" w:cs="Arial" w:eastAsia="Arial" w:hAnsi="Arial"/>
          <w:sz w:val="18"/>
          <w:szCs w:val="18"/>
          <w:u w:val="single" w:color="auto"/>
          <w:color w:val="0000FF"/>
        </w:rPr>
        <w:t xml:space="preserve"> </w:t>
      </w:r>
      <w:hyperlink w:anchor="page208">
        <w:r>
          <w:rPr>
            <w:rFonts w:ascii="Arial" w:cs="Arial" w:eastAsia="Arial" w:hAnsi="Arial"/>
            <w:sz w:val="18"/>
            <w:szCs w:val="18"/>
            <w:u w:val="single" w:color="auto"/>
            <w:color w:val="0000FF"/>
          </w:rPr>
          <w:t>Consolidated Balance Sheets as of December 31, 2020 and 2019</w:t>
        </w:r>
      </w:hyperlink>
    </w:p>
    <w:p>
      <w:pPr>
        <w:ind w:right="1740"/>
        <w:spacing w:after="0" w:line="318" w:lineRule="auto"/>
        <w:rPr>
          <w:rFonts w:ascii="Arial" w:cs="Arial" w:eastAsia="Arial" w:hAnsi="Arial"/>
          <w:sz w:val="18"/>
          <w:szCs w:val="18"/>
          <w:u w:val="single" w:color="auto"/>
          <w:color w:val="0000FF"/>
        </w:rPr>
      </w:pPr>
      <w:hyperlink w:anchor="page209">
        <w:r>
          <w:rPr>
            <w:rFonts w:ascii="Arial" w:cs="Arial" w:eastAsia="Arial" w:hAnsi="Arial"/>
            <w:sz w:val="18"/>
            <w:szCs w:val="18"/>
            <w:u w:val="single" w:color="auto"/>
            <w:color w:val="0000FF"/>
          </w:rPr>
          <w:t>Consolidated Statements of Cash Flows for the Years Ended December 31, 2020, 2019, and 2018</w:t>
        </w:r>
      </w:hyperlink>
      <w:r>
        <w:rPr>
          <w:rFonts w:ascii="Arial" w:cs="Arial" w:eastAsia="Arial" w:hAnsi="Arial"/>
          <w:sz w:val="18"/>
          <w:szCs w:val="18"/>
          <w:u w:val="single" w:color="auto"/>
          <w:color w:val="0000FF"/>
        </w:rPr>
        <w:t xml:space="preserve"> </w:t>
      </w:r>
      <w:hyperlink w:anchor="page210">
        <w:r>
          <w:rPr>
            <w:rFonts w:ascii="Arial" w:cs="Arial" w:eastAsia="Arial" w:hAnsi="Arial"/>
            <w:sz w:val="18"/>
            <w:szCs w:val="18"/>
            <w:u w:val="single" w:color="auto"/>
            <w:color w:val="0000FF"/>
          </w:rPr>
          <w:t>Consolidated Statements of Shareholder's Equity for the Years Ended December 31, 2020, 2019 and 2018</w:t>
        </w:r>
      </w:hyperlink>
      <w:r>
        <w:rPr>
          <w:rFonts w:ascii="Arial" w:cs="Arial" w:eastAsia="Arial" w:hAnsi="Arial"/>
          <w:sz w:val="18"/>
          <w:szCs w:val="18"/>
          <w:u w:val="single" w:color="auto"/>
          <w:color w:val="0000FF"/>
        </w:rPr>
        <w:t xml:space="preserve"> </w:t>
      </w:r>
      <w:hyperlink w:anchor="page211">
        <w:r>
          <w:rPr>
            <w:rFonts w:ascii="Arial" w:cs="Arial" w:eastAsia="Arial" w:hAnsi="Arial"/>
            <w:sz w:val="18"/>
            <w:szCs w:val="18"/>
            <w:u w:val="single" w:color="auto"/>
            <w:color w:val="0000FF"/>
          </w:rPr>
          <w:t>Notes to Consolidated Financial Statements</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8" w:lineRule="exact"/>
        <w:rPr>
          <w:rFonts w:ascii="Arial" w:cs="Arial" w:eastAsia="Arial" w:hAnsi="Arial"/>
          <w:sz w:val="18"/>
          <w:szCs w:val="18"/>
          <w:u w:val="single" w:color="auto"/>
          <w:color w:val="0000FF"/>
        </w:rPr>
      </w:pPr>
    </w:p>
    <w:p>
      <w:pPr>
        <w:jc w:val="center"/>
        <w:ind w:left="1000"/>
        <w:spacing w:after="0"/>
        <w:rPr>
          <w:sz w:val="20"/>
          <w:szCs w:val="20"/>
          <w:color w:val="auto"/>
        </w:rPr>
      </w:pPr>
      <w:r>
        <w:rPr>
          <w:rFonts w:ascii="Arial" w:cs="Arial" w:eastAsia="Arial" w:hAnsi="Arial"/>
          <w:sz w:val="18"/>
          <w:szCs w:val="18"/>
          <w:color w:val="auto"/>
        </w:rPr>
        <w:t>F-1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96"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04">
        <w:r>
          <w:rPr>
            <w:rFonts w:ascii="Arial" w:cs="Arial" w:eastAsia="Arial" w:hAnsi="Arial"/>
            <w:sz w:val="17"/>
            <w:szCs w:val="17"/>
            <w:u w:val="single" w:color="auto"/>
            <w:color w:val="0000FF"/>
          </w:rPr>
          <w:t>F-2</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06">
        <w:r>
          <w:rPr>
            <w:rFonts w:ascii="Arial" w:cs="Arial" w:eastAsia="Arial" w:hAnsi="Arial"/>
            <w:sz w:val="17"/>
            <w:szCs w:val="17"/>
            <w:u w:val="single" w:color="auto"/>
            <w:color w:val="0000FF"/>
          </w:rPr>
          <w:t>F-4</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07">
        <w:r>
          <w:rPr>
            <w:rFonts w:ascii="Arial" w:cs="Arial" w:eastAsia="Arial" w:hAnsi="Arial"/>
            <w:sz w:val="17"/>
            <w:szCs w:val="17"/>
            <w:u w:val="single" w:color="auto"/>
            <w:color w:val="0000FF"/>
          </w:rPr>
          <w:t>F-5</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08">
        <w:r>
          <w:rPr>
            <w:rFonts w:ascii="Arial" w:cs="Arial" w:eastAsia="Arial" w:hAnsi="Arial"/>
            <w:sz w:val="17"/>
            <w:szCs w:val="17"/>
            <w:u w:val="single" w:color="auto"/>
            <w:color w:val="0000FF"/>
          </w:rPr>
          <w:t>F-6</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09">
        <w:r>
          <w:rPr>
            <w:rFonts w:ascii="Arial" w:cs="Arial" w:eastAsia="Arial" w:hAnsi="Arial"/>
            <w:sz w:val="17"/>
            <w:szCs w:val="17"/>
            <w:u w:val="single" w:color="auto"/>
            <w:color w:val="0000FF"/>
          </w:rPr>
          <w:t>F-7</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10">
        <w:r>
          <w:rPr>
            <w:rFonts w:ascii="Arial" w:cs="Arial" w:eastAsia="Arial" w:hAnsi="Arial"/>
            <w:sz w:val="17"/>
            <w:szCs w:val="17"/>
            <w:u w:val="single" w:color="auto"/>
            <w:color w:val="0000FF"/>
          </w:rPr>
          <w:t>F-8</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11">
        <w:r>
          <w:rPr>
            <w:rFonts w:ascii="Arial" w:cs="Arial" w:eastAsia="Arial" w:hAnsi="Arial"/>
            <w:sz w:val="17"/>
            <w:szCs w:val="17"/>
            <w:u w:val="single" w:color="auto"/>
            <w:color w:val="0000FF"/>
          </w:rPr>
          <w:t>F-9</w:t>
        </w:r>
      </w:hyperlink>
    </w:p>
    <w:p>
      <w:pPr>
        <w:sectPr>
          <w:pgSz w:w="11900" w:h="16838" w:orient="portrait"/>
          <w:cols w:equalWidth="0" w:num="2">
            <w:col w:w="10220" w:space="720"/>
            <w:col w:w="260"/>
          </w:cols>
          <w:pgMar w:left="340" w:top="1440" w:right="359" w:bottom="1440" w:gutter="0" w:footer="0" w:header="0"/>
        </w:sectPr>
      </w:pPr>
    </w:p>
    <w:bookmarkStart w:id="204" w:name="page205"/>
    <w:bookmarkEnd w:id="204"/>
    <w:p>
      <w:pPr>
        <w:spacing w:after="0" w:line="13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Leonardo DRS,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9"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We have audited the accompanying consolidated balance sheets of Leonardo DRS, Inc. and subsidiaries (the Company) as of December 31, 2020 and 2019, the related consolidated statements of earnings (loss), comprehensive income (loss),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in conformity with U.S. generally accepted accounting principles.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leases as of January 1, 2019, in accordance with the adoption of Accounting Standards Codification (ASC) Topic 842, 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Estimation of costs to complete for select long-term contracts</w:t>
      </w:r>
    </w:p>
    <w:p>
      <w:pPr>
        <w:spacing w:after="0" w:line="189" w:lineRule="exact"/>
        <w:rPr>
          <w:sz w:val="20"/>
          <w:szCs w:val="20"/>
          <w:color w:val="auto"/>
        </w:rPr>
      </w:pPr>
    </w:p>
    <w:p>
      <w:pPr>
        <w:ind w:left="660" w:right="320"/>
        <w:spacing w:after="0" w:line="256" w:lineRule="auto"/>
        <w:rPr>
          <w:sz w:val="20"/>
          <w:szCs w:val="20"/>
          <w:color w:val="auto"/>
        </w:rPr>
      </w:pPr>
      <w:r>
        <w:rPr>
          <w:rFonts w:ascii="Arial" w:cs="Arial" w:eastAsia="Arial" w:hAnsi="Arial"/>
          <w:sz w:val="18"/>
          <w:szCs w:val="18"/>
          <w:color w:val="auto"/>
        </w:rPr>
        <w:t>As discussed in Note 2 to the consolidated financial statements, the Company recognizes revenues for the majority of contracts determined using the ratio of cumulative costs incurred to date to estimated total contract costs at completion. The accounting for long-term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1440" w:right="359" w:bottom="1440" w:gutter="0" w:footer="0" w:header="0"/>
        </w:sectPr>
      </w:pPr>
    </w:p>
    <w:bookmarkStart w:id="205" w:name="page206"/>
    <w:bookmarkEnd w:id="205"/>
    <w:p>
      <w:pPr>
        <w:spacing w:after="0" w:line="157" w:lineRule="exact"/>
        <w:rPr>
          <w:sz w:val="20"/>
          <w:szCs w:val="20"/>
          <w:color w:val="auto"/>
        </w:rPr>
      </w:pPr>
    </w:p>
    <w:p>
      <w:pPr>
        <w:ind w:left="660" w:right="480"/>
        <w:spacing w:after="0" w:line="256" w:lineRule="auto"/>
        <w:rPr>
          <w:sz w:val="20"/>
          <w:szCs w:val="20"/>
          <w:color w:val="auto"/>
        </w:rPr>
      </w:pPr>
      <w:r>
        <w:rPr>
          <w:rFonts w:ascii="Arial" w:cs="Arial" w:eastAsia="Arial" w:hAnsi="Arial"/>
          <w:sz w:val="18"/>
          <w:szCs w:val="18"/>
          <w:color w:val="auto"/>
        </w:rPr>
        <w:t>involves estimation of the costs to complete a contract in order to accurately recognize the associated revenue. Developing the estimated total cost at completion often requires judgment related to the nature and complexity of the work to be performed, subcontractor performance and the risk and impact of delayed performance.</w:t>
      </w:r>
    </w:p>
    <w:p>
      <w:pPr>
        <w:spacing w:after="0" w:line="148"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We identified the assessment of the estimation of costs to complete for a select group of long-term contracts in the Integrated Mission Systems segment as a critical audit matter. The evaluation of the costs to complete for this select group of contracts required a high level of subjective auditor judgment, due to the nature and complexity of the individual contracts. Changes to the estimated costs to complete each contract may have a significant impact on the estimated revenue recorded during the period.</w:t>
      </w:r>
    </w:p>
    <w:p>
      <w:pPr>
        <w:spacing w:after="0" w:line="150"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of certain internal controls related to the estimation of costs to complete the selected long-term contracts. This included contract level controls over certain elements of estimated costs. For certain contracts, we compared the Company’s historical estimates of costs to actual costs incurred to assess the Company’s ability to estimate accurately. Based on the nature of the individual contract, we evaluated the Company’s estimation of costs to complete by:</w:t>
      </w:r>
    </w:p>
    <w:p>
      <w:pPr>
        <w:spacing w:after="0" w:line="151" w:lineRule="exact"/>
        <w:rPr>
          <w:sz w:val="20"/>
          <w:szCs w:val="20"/>
          <w:color w:val="auto"/>
        </w:rPr>
      </w:pPr>
    </w:p>
    <w:p>
      <w:pPr>
        <w:ind w:left="980" w:right="80" w:hanging="324"/>
        <w:spacing w:after="0" w:line="261" w:lineRule="auto"/>
        <w:tabs>
          <w:tab w:leader="none" w:pos="9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reading the underlying contract and related amendments to obtain an understanding of the contractual requirements and related performance obligations</w:t>
      </w:r>
    </w:p>
    <w:p>
      <w:pPr>
        <w:spacing w:after="0" w:line="143" w:lineRule="exact"/>
        <w:rPr>
          <w:rFonts w:ascii="Arial" w:cs="Arial" w:eastAsia="Arial" w:hAnsi="Arial"/>
          <w:sz w:val="18"/>
          <w:szCs w:val="18"/>
          <w:color w:val="auto"/>
        </w:rPr>
      </w:pPr>
    </w:p>
    <w:p>
      <w:pPr>
        <w:ind w:left="980" w:right="500" w:hanging="324"/>
        <w:spacing w:after="0" w:line="261" w:lineRule="auto"/>
        <w:tabs>
          <w:tab w:leader="none" w:pos="9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assessing costs incurred to-date compared to estimated total contract costs at completion and the relative progress toward satisfying the performance obligation(s) of the contract</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comparing, if relevant, the estimated costs to complete to similar or predecessor contracts and programs</w:t>
      </w:r>
    </w:p>
    <w:p>
      <w:pPr>
        <w:spacing w:after="0" w:line="171" w:lineRule="exact"/>
        <w:rPr>
          <w:rFonts w:ascii="Arial" w:cs="Arial" w:eastAsia="Arial" w:hAnsi="Arial"/>
          <w:sz w:val="18"/>
          <w:szCs w:val="18"/>
          <w:color w:val="auto"/>
        </w:rPr>
      </w:pPr>
    </w:p>
    <w:p>
      <w:pPr>
        <w:ind w:left="980" w:right="300" w:hanging="324"/>
        <w:spacing w:after="0" w:line="261" w:lineRule="auto"/>
        <w:tabs>
          <w:tab w:leader="none" w:pos="9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inquiring of financial and operational personnel of the Company to identify factors that should be considered within the cost to complete estimates or indications of potential management bias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inspecting correspondence, if any, between the Company and the customer regarding actual to-date and expected performance</w:t>
      </w:r>
    </w:p>
    <w:p>
      <w:pPr>
        <w:spacing w:after="0" w:line="171" w:lineRule="exact"/>
        <w:rPr>
          <w:rFonts w:ascii="Arial" w:cs="Arial" w:eastAsia="Arial" w:hAnsi="Arial"/>
          <w:sz w:val="18"/>
          <w:szCs w:val="18"/>
          <w:color w:val="auto"/>
        </w:rPr>
      </w:pPr>
    </w:p>
    <w:p>
      <w:pPr>
        <w:ind w:left="980" w:right="440" w:hanging="324"/>
        <w:spacing w:after="0" w:line="261" w:lineRule="auto"/>
        <w:tabs>
          <w:tab w:leader="none" w:pos="9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analyzing the sufficiency of the Company’s assessment of contract performance risks included within the estimated costs to complete.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320" w:top="1440" w:right="359" w:bottom="1440" w:gutter="0" w:footer="0" w:header="0"/>
        </w:sectPr>
      </w:pPr>
    </w:p>
    <w:bookmarkStart w:id="206" w:name="page207"/>
    <w:bookmarkEnd w:id="206"/>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Earnings (Loss)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 except per share amounts)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Products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Earnings (loss) before taxes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Net earnings (loss) per share from common stock: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(loss)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6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522" w:right="339" w:bottom="1440" w:gutter="0" w:footer="0" w:header="0"/>
        </w:sectPr>
      </w:pPr>
    </w:p>
    <w:bookmarkStart w:id="207" w:name="page208"/>
    <w:bookmarkEnd w:id="207"/>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 net of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Net unrealized gain on hedging derivatives, net of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unrecognized gain (loss) on postretirement obligations, net of income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net of income tax</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522" w:right="339" w:bottom="1440" w:gutter="0" w:footer="0" w:header="0"/>
        </w:sectPr>
      </w:pPr>
    </w:p>
    <w:bookmarkStart w:id="208" w:name="page209"/>
    <w:bookmarkEnd w:id="208"/>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 except per share amounts)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note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Noncurrent 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Noncurrent liabilities: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 plan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$0.01 par value: 300,000,000 shares authorized; 145,000,000 shares issued and</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522" w:right="339" w:bottom="1440" w:gutter="0" w:footer="0" w:header="0"/>
          <w:type w:val="continuous"/>
        </w:sectPr>
      </w:pPr>
    </w:p>
    <w:bookmarkStart w:id="209" w:name="page210"/>
    <w:bookmarkEnd w:id="209"/>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(loss) to net cash from operating</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Contract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Defined benefit obligations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Business acquisitions, net of cash acquired</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Proceeds from sales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Advances (net of repayments received) on related party note receivable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method investment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2"/>
        </w:trPr>
        <w:tc>
          <w:tcPr>
            <w:tcW w:w="6320" w:type="dxa"/>
            <w:vAlign w:val="bottom"/>
          </w:tcPr>
          <w:p>
            <w:pPr>
              <w:ind w:left="240"/>
              <w:spacing w:after="0"/>
              <w:rPr>
                <w:sz w:val="20"/>
                <w:szCs w:val="20"/>
                <w:color w:val="auto"/>
              </w:rPr>
            </w:pPr>
            <w:r>
              <w:rPr>
                <w:rFonts w:ascii="Arial" w:cs="Arial" w:eastAsia="Arial" w:hAnsi="Arial"/>
                <w:sz w:val="18"/>
                <w:szCs w:val="18"/>
                <w:color w:val="auto"/>
              </w:rPr>
              <w:t>Net (decrease) increase in third party borrowings (maturities of 90 days or</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7"/>
        </w:trPr>
        <w:tc>
          <w:tcPr>
            <w:tcW w:w="6320" w:type="dxa"/>
            <w:vAlign w:val="bottom"/>
          </w:tcPr>
          <w:p>
            <w:pPr>
              <w:ind w:left="24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Repayment of related party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Borrowings from related parties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Earn-out payment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6"/>
        </w:trPr>
        <w:tc>
          <w:tcPr>
            <w:tcW w:w="63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Forgiveness of related party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6320" w:type="dxa"/>
            <w:vAlign w:val="bottom"/>
          </w:tcPr>
          <w:p>
            <w:pPr>
              <w:ind w:left="20"/>
              <w:spacing w:after="0"/>
              <w:rPr>
                <w:sz w:val="20"/>
                <w:szCs w:val="20"/>
                <w:color w:val="auto"/>
              </w:rPr>
            </w:pPr>
            <w:r>
              <w:rPr>
                <w:rFonts w:ascii="Arial" w:cs="Arial" w:eastAsia="Arial" w:hAnsi="Arial"/>
                <w:sz w:val="18"/>
                <w:szCs w:val="18"/>
                <w:color w:val="auto"/>
                <w:w w:val="99"/>
              </w:rPr>
              <w:t>Additions of property plant and equipment and long-term debt for a build-to-suit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4"/>
        </w:trPr>
        <w:tc>
          <w:tcPr>
            <w:tcW w:w="6320" w:type="dxa"/>
            <w:vAlign w:val="bottom"/>
          </w:tcPr>
          <w:p>
            <w:pPr>
              <w:ind w:left="20"/>
              <w:spacing w:after="0"/>
              <w:rPr>
                <w:sz w:val="20"/>
                <w:szCs w:val="20"/>
                <w:color w:val="auto"/>
              </w:rPr>
            </w:pPr>
            <w:r>
              <w:rPr>
                <w:rFonts w:ascii="Arial" w:cs="Arial" w:eastAsia="Arial" w:hAnsi="Arial"/>
                <w:sz w:val="18"/>
                <w:szCs w:val="18"/>
                <w:color w:val="auto"/>
              </w:rPr>
              <w:t>lease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522" w:right="339" w:bottom="10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522" w:right="339" w:bottom="1051" w:gutter="0" w:footer="0" w:header="0"/>
          <w:type w:val="continuous"/>
        </w:sectPr>
      </w:pPr>
    </w:p>
    <w:bookmarkStart w:id="210" w:name="page211"/>
    <w:bookmarkEnd w:id="210"/>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Common stock</w:t>
            </w:r>
          </w:p>
        </w:tc>
        <w:tc>
          <w:tcPr>
            <w:tcW w:w="14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Additional paid- in</w:t>
            </w:r>
          </w:p>
        </w:tc>
        <w:tc>
          <w:tcPr>
            <w:tcW w:w="1420" w:type="dxa"/>
            <w:vAlign w:val="bottom"/>
            <w:gridSpan w:val="3"/>
          </w:tcPr>
          <w:p>
            <w:pPr>
              <w:ind w:left="120"/>
              <w:spacing w:after="0"/>
              <w:rPr>
                <w:sz w:val="20"/>
                <w:szCs w:val="20"/>
                <w:color w:val="auto"/>
              </w:rPr>
            </w:pPr>
            <w:r>
              <w:rPr>
                <w:rFonts w:ascii="Arial" w:cs="Arial" w:eastAsia="Arial" w:hAnsi="Arial"/>
                <w:sz w:val="13"/>
                <w:szCs w:val="13"/>
                <w:b w:val="1"/>
                <w:bCs w:val="1"/>
                <w:color w:val="auto"/>
              </w:rPr>
              <w:t>Accumulated other</w:t>
            </w:r>
          </w:p>
        </w:tc>
        <w:tc>
          <w:tcPr>
            <w:tcW w:w="14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 deficit</w:t>
            </w:r>
          </w:p>
        </w:tc>
        <w:tc>
          <w:tcPr>
            <w:tcW w:w="300" w:type="dxa"/>
            <w:vAlign w:val="bottom"/>
          </w:tcPr>
          <w:p>
            <w:pPr>
              <w:spacing w:after="0"/>
              <w:rPr>
                <w:sz w:val="15"/>
                <w:szCs w:val="15"/>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4"/>
        </w:trPr>
        <w:tc>
          <w:tcPr>
            <w:tcW w:w="4240" w:type="dxa"/>
            <w:vAlign w:val="bottom"/>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capital</w:t>
            </w:r>
          </w:p>
        </w:tc>
        <w:tc>
          <w:tcPr>
            <w:tcW w:w="1420" w:type="dxa"/>
            <w:vAlign w:val="bottom"/>
            <w:gridSpan w:val="3"/>
          </w:tcPr>
          <w:p>
            <w:pPr>
              <w:ind w:left="120"/>
              <w:spacing w:after="0"/>
              <w:rPr>
                <w:sz w:val="20"/>
                <w:szCs w:val="20"/>
                <w:color w:val="auto"/>
              </w:rPr>
            </w:pPr>
            <w:r>
              <w:rPr>
                <w:rFonts w:ascii="Arial" w:cs="Arial" w:eastAsia="Arial" w:hAnsi="Arial"/>
                <w:sz w:val="13"/>
                <w:szCs w:val="13"/>
                <w:b w:val="1"/>
                <w:bCs w:val="1"/>
                <w:color w:val="auto"/>
              </w:rPr>
              <w:t>comprehensive loss</w:t>
            </w:r>
          </w:p>
        </w:tc>
        <w:tc>
          <w:tcPr>
            <w:tcW w:w="14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4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Cumulative effect of adopting ASC 606</w:t>
            </w: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Forgiveness of related party debt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Total other comprehensive income</w:t>
            </w: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522" w:right="339" w:bottom="1440" w:gutter="0" w:footer="0" w:header="0"/>
        </w:sectPr>
      </w:pPr>
    </w:p>
    <w:bookmarkStart w:id="211" w:name="page212"/>
    <w:bookmarkEnd w:id="211"/>
    <w:p>
      <w:pPr>
        <w:spacing w:after="0" w:line="13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1"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Leonardo DRS, Inc., together with its wholly owned subsidiaries (hereinafter, “DRS,” “the Company,” “us,” “our,” or “we”) is a supplier of defense electronics products, systems and military support services. The Company is controlled by Leonardo S.p.A (hereinafter, “Leonardo S.p.A.,” “the Parent”), an Italian multi-national aerospace, defense and security company headquartered in Rome, Italy, through its direct sole ownership of Leonardo US Holding, Inc. (“US Holding”). US Holding is the direct and sole shareholder of the Company.</w:t>
      </w:r>
    </w:p>
    <w:p>
      <w:pPr>
        <w:spacing w:after="0" w:line="15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soldier sensing, electronic warfare (“EW”), cyber security, network computing, communications, force protection and electrical power conversion and propulsion.</w:t>
      </w:r>
    </w:p>
    <w:p>
      <w:pPr>
        <w:spacing w:after="0" w:line="151"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These capabilities directly align with our three reportable segments: Advanced Sensor Technologies, Network Computing &amp; Communications and Integrated Mission Systems. The U.S. Department of Defense (“DoD”) is our largest customer and accounts for approximately 84% and 89% of our total revenues as an end-user for the years ended December 31, 2020 and 2019, respectively. Specific international and commercial market opportunities exist within these segments and make up approximately 16% and 11% of our total revenues for the years ended December 31, 2020 and 2019. Our three reportable segments reflect the way performance is assessed and resources are allocated by our Chief Executive Officer, who is our chief operating decision maker (“CODM”).</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Advanced Sensor Technologies (“AST”)</w:t>
      </w:r>
    </w:p>
    <w:p>
      <w:pPr>
        <w:spacing w:after="0" w:line="18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AST segment provides electro-optical sensor technologies, laser systems, EW systems and intelligence and surveillance solutions to U.S. military and intelligence community customers. Major solutions include ground vehicle targeting and surveillance sensors, including electro-optical and advanced detection systems. Our soldier sensing applications include infrared imaging solutions and precision targeting systems. Our infrared focal plane array foundry produces small sized cryogenically cooled and uncooled infrared sensors. Beyond the capabilities noted above, AST also provides aircraft training instrumentation equipment and high-performance radio frequency receivers and transceivers for U.S. and international customers. Our quantum cascade laser technology has military and commercial medical applications.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Network Computing &amp; Communication (“NC&amp;C”)</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NC&amp;C segment provides defense electronics solutions across all domains of warfare. Our technologies and products can be integrated into legacy and new military platforms, end-to-end network communication systems, satellite services and cyber solutions. We are a provider of ruggedized computing platforms. For the U.S. Navy and its allies, we provide naval computing infrastructure, network and data distribution, radar and rugged naval control systems, which are present on all naval surface and subsurface combatant vessels. Our global communications network is a worldwide network of terrestrial and satellite bandwidth that ensures our customers’ data is secure and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1440" w:right="359" w:bottom="1440" w:gutter="0" w:footer="0" w:header="0"/>
        </w:sectPr>
      </w:pPr>
    </w:p>
    <w:bookmarkStart w:id="212" w:name="page213"/>
    <w:bookmarkEnd w:id="212"/>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Integrated Mission Systems (“IMS”)</w:t>
      </w:r>
    </w:p>
    <w:p>
      <w:pPr>
        <w:spacing w:after="0" w:line="18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IMS segment provides critical force protection, vehicle integration, 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We have military transportation and logistics offerings and ground vehicle integration capabilities to support U.S. forces in a wide range of operational environments. For the U.S. Navy, we continue to provide and support multi-generational power conversion and propulsion systems for our nation’s shipbuilding programs.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189"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The Company separately presents the unallocable costs associated with corporate functions and certain non-operating subsidiaries of the Company as Corporate &amp; Eliminations.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17</w:t>
      </w:r>
      <w:r>
        <w:rPr>
          <w:rFonts w:ascii="Arial" w:cs="Arial" w:eastAsia="Arial" w:hAnsi="Arial"/>
          <w:sz w:val="18"/>
          <w:szCs w:val="18"/>
          <w:color w:val="auto"/>
        </w:rPr>
        <w:t xml:space="preserve">: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further information regarding our business segments.</w:t>
      </w:r>
    </w:p>
    <w:p>
      <w:pPr>
        <w:spacing w:after="0" w:line="167"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include the accounts of DRS, its wholly owned subsidiaries and its controlling interests.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 Certain prior year amounts have been reclassified to conform to current year presentation.</w:t>
      </w:r>
    </w:p>
    <w:p>
      <w:pPr>
        <w:spacing w:after="0" w:line="132"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 most significant of these estimates and assumptions relate to the recognition of contract revenues and estimated costs to complete contracts in process, recoverability of reported amounts of goodwill, long-lived assets and intangible assets, valuation of pensions and other postretirement benefits, the valuation of deferred tax assets and liabilities and the valuation of unrecognized tax benefits.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 xml:space="preserve">On January 1, 2018, we adopted Accounting Standards Update (“ASU”) 2014-09, Revenue from Contracts with Customers, and the related amendments of Financial Accounting Standards Board (“FASB”) Accounting Standards Codification (“ASC”) Topic 606, which supersedes most previous U.S. GAAP revenue recognition guidance. As of the date of adoption, we elected the practical expedient for contract modifications, which allows us to assume that the terms of the contract that existed at the beginning of the earliest period presented have been in place since the inception of the contract on the basis that it is not practical to separately evaluate the effects of all prior contract modifications). Our revenues consist of sales of products (tangible goods) and sales of services to customers. We recognize the majority of our revenue from contracts with customers using an over time, cost-to-cost method of accounting. On certain other contracts, primarily time and material (“T&amp;M”) and cost-plus contracts, revenue is recognized using the right-to-invoice practical expedient as we are contractually able to bill our customer based on control transferred to the customer.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for additional information regarding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522" w:right="359" w:bottom="1440" w:gutter="0" w:footer="0" w:header="0"/>
        </w:sectPr>
      </w:pPr>
    </w:p>
    <w:bookmarkStart w:id="213" w:name="page214"/>
    <w:bookmarkEnd w:id="213"/>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outside processing and inbound freight costs. Labor and overhead costs consist of direct and indirect manufacturing costs, including wages and fringe benefits, operating supplies, depreciation and amortization, occupancy costs, and purchasing, receiving and inspection costs.</w:t>
      </w:r>
    </w:p>
    <w:p>
      <w:pPr>
        <w:spacing w:after="0" w:line="128"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 Company-funded R&amp;D costs charged to cost of revenues totaled $41 million, $31 million and $29 million in 2020, 2019 and 2018, respectively.</w:t>
      </w:r>
    </w:p>
    <w:p>
      <w:pPr>
        <w:spacing w:after="0" w:line="129"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Significant transactions in foreign currencies are translated into U.S. dollars at the approximate prevailing rate at the time of the transaction. Foreign exchange transaction gains and losses in 2020, 2019 and 2018 were immaterial to the Company's results of operations. The operations of the Company's foreign subsidiaries are translated from the local (functional) currencies into U.S. dollars using weighted average rates of exchange during each monthly period. The rates of exchange at each balance sheet date are used for translating certain balance sheet accounts and gains or losses resulting from these translation adjustments are included in the accompanying Consolidated Balance Sheet as a component of other comprehensive earnings.</w:t>
      </w:r>
    </w:p>
    <w:p>
      <w:pPr>
        <w:spacing w:after="0" w:line="132" w:lineRule="exact"/>
        <w:rPr>
          <w:sz w:val="20"/>
          <w:szCs w:val="20"/>
          <w:color w:val="auto"/>
        </w:rPr>
      </w:pPr>
    </w:p>
    <w:p>
      <w:pPr>
        <w:ind w:left="640" w:hanging="632"/>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p>
      <w:pPr>
        <w:ind w:right="720" w:firstLine="324"/>
        <w:spacing w:after="0" w:line="261" w:lineRule="auto"/>
        <w:rPr>
          <w:sz w:val="20"/>
          <w:szCs w:val="20"/>
          <w:color w:val="auto"/>
        </w:rPr>
      </w:pPr>
      <w:r>
        <w:rPr>
          <w:rFonts w:ascii="Arial" w:cs="Arial" w:eastAsia="Arial" w:hAnsi="Arial"/>
          <w:sz w:val="18"/>
          <w:szCs w:val="18"/>
          <w:color w:val="auto"/>
        </w:rPr>
        <w:t>Cash and cash equivalents include cash on hand, deposits with banks or other short-term, highly liquid investments with original maturities of three months or less.</w:t>
      </w:r>
    </w:p>
    <w:p>
      <w:pPr>
        <w:spacing w:after="0" w:line="122" w:lineRule="exact"/>
        <w:rPr>
          <w:sz w:val="20"/>
          <w:szCs w:val="20"/>
          <w:color w:val="auto"/>
        </w:rPr>
      </w:pPr>
    </w:p>
    <w:p>
      <w:pPr>
        <w:ind w:left="640" w:hanging="632"/>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93" w:lineRule="exact"/>
        <w:rPr>
          <w:sz w:val="20"/>
          <w:szCs w:val="20"/>
          <w:color w:val="auto"/>
        </w:rPr>
      </w:pPr>
    </w:p>
    <w:p>
      <w:pPr>
        <w:jc w:val="both"/>
        <w:ind w:right="540" w:firstLine="324"/>
        <w:spacing w:after="0" w:line="256" w:lineRule="auto"/>
        <w:rPr>
          <w:sz w:val="20"/>
          <w:szCs w:val="20"/>
          <w:color w:val="auto"/>
        </w:rPr>
      </w:pPr>
      <w:r>
        <w:rPr>
          <w:rFonts w:ascii="Arial" w:cs="Arial" w:eastAsia="Arial" w:hAnsi="Arial"/>
          <w:sz w:val="18"/>
          <w:szCs w:val="18"/>
          <w:color w:val="auto"/>
        </w:rPr>
        <w:t xml:space="preserve">Accounts receivable consist of amounts billed and currently due from customers. When events or conditions indicate that amounts outstanding from customers may become uncollectible, an allowance is estimated and recorded. See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for additional information regarding accounts receivable.</w:t>
      </w:r>
    </w:p>
    <w:p>
      <w:pPr>
        <w:spacing w:after="0" w:line="126"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Inventories are recorded at the lower of cost (determined by either actual, weighted average or first-in, first-out methods) or net realizable value, and include direct production costs as well as indirect costs, such as factory overhead. The net realizable value is calculated as the expected sales price in the course of normal operations net of estimated costs to finish and sell the goods. See </w:t>
      </w:r>
      <w:r>
        <w:rPr>
          <w:rFonts w:ascii="Arial" w:cs="Arial" w:eastAsia="Arial" w:hAnsi="Arial"/>
          <w:sz w:val="18"/>
          <w:szCs w:val="18"/>
          <w:i w:val="1"/>
          <w:iCs w:val="1"/>
          <w:color w:val="auto"/>
        </w:rPr>
        <w:t>Note 4</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for additional information regarding inventories.</w:t>
      </w:r>
    </w:p>
    <w:p>
      <w:pPr>
        <w:spacing w:after="0" w:line="128"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93"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Property, plant and equipment is carried at cost less accumulated depreciation. Depreciation is calculated on the straight-line method. The estimated useful lives of plant, machinery and equipment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522" w:right="359" w:bottom="1440" w:gutter="0" w:footer="0" w:header="0"/>
        </w:sectPr>
      </w:pPr>
    </w:p>
    <w:bookmarkStart w:id="214" w:name="page215"/>
    <w:bookmarkEnd w:id="214"/>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building and building improvements generally range from 3 to 10 years and 15 to 40 years, respectively. Leasehold improvements are amortized over the shorter of the estimated useful life of the improvements or the remaining life of the lease.</w:t>
      </w:r>
    </w:p>
    <w:p>
      <w:pPr>
        <w:spacing w:after="0" w:line="14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 xml:space="preserve">When assets are retired or otherwise disposed of, the cost and related accumulated depreciation or amortization are removed from the Consolidated Balance Sheet, and the net gain or loss is included in the determination of net earnings. Maintenance and repairs are charged to operations as incurred and renewals and improvements are capitalized.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for additional information regarding property, plant and equipment.</w:t>
      </w:r>
    </w:p>
    <w:p>
      <w:pPr>
        <w:spacing w:after="0" w:line="128"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 xml:space="preserve">On January 1, 2018, we early adopted ASU 2017-04,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MS PGothic" w:cs="MS PGothic" w:eastAsia="MS PGothic" w:hAnsi="MS PGothic"/>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The standard simplifies the measurement of goodwill impairment by eliminating the requirement that an entity compute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implied fair value of goodwill based on the fair values of its assets and liabilities to measure impairment. Instead, goodwill impairment will be measured as the difference between the fair value and the carrying value of the reporting unit. Goodwill represents the excess purchase price paid to acquire a business over the fair value of net assets acquired. Goodwill is assigned to reporting units and is reviewed for impairment at the reporting unit level on an annual basis, or whenever changes in circumstances indicate that the carrying amount may not be recoverable. A reporting unit is an operating segment, or one level below that operating segment (the component level) if discrete financial information is prepared and regularly reviewed by the segment manager. Two or more components of an operating segment may be aggregated and deemed a single reporting unit if the components have similar economic characteristics. Based upon the aggregation criteria the Company concluded it had seven reporting units at both December 31, 2020 and 2019.</w:t>
      </w:r>
    </w:p>
    <w:p>
      <w:pPr>
        <w:spacing w:after="0" w:line="16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The annual impairment test is typically performed after completion of the Company's annual financial operating plan, which occurs as of December 31. The Company uses quantitative assessments and qualitative factors to determine whether it is more likely than not that the fair value of a reporting unit is less than its carrying value. If the optional qualitative assessment is performed (Step 0) and the Company concludes that it is more likely than not that the fair value of a reporting unit is less than its carrying amount, an additional quantitative fair value test (Step 1) is performed. When performing the Step 1 goodwill impairment test, we compare the fair values of each of our reporting units to their respective carrying values. In order to compute the fair value of our reporting units, we primarily use the income approach based on the discounted cash flows that each reporting unit expects to generate in the future, consistent with our operating plans. Determining the fair value of our reporting units requires significant judgments, including the timing and amount of future cash flows, long-term growth rates, determination of the weighted-average cost of capital and terminal value assumptions. If, based on the quantitative fair value test, the Company concludes that the carrying value of the reporting unit exceeds its fair value, the Company will recognize a goodwill impairment loss in an amount equal to that excess. The Company completed impairment tests as of December 31, 2020 and 2019 and no adjustment to the carrying value of goodwill was deemed to be necessary. See </w:t>
      </w:r>
      <w:r>
        <w:rPr>
          <w:rFonts w:ascii="Arial" w:cs="Arial" w:eastAsia="Arial" w:hAnsi="Arial"/>
          <w:sz w:val="18"/>
          <w:szCs w:val="18"/>
          <w:i w:val="1"/>
          <w:iCs w:val="1"/>
          <w:color w:val="auto"/>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for additional information regarding goodwill.</w:t>
      </w:r>
    </w:p>
    <w:p>
      <w:pPr>
        <w:spacing w:after="0" w:line="134"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Long-Lived Assets and Acquired Identifiable Intangible Assets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Identifiable intangible assets represent assets acquired as part of the Company's business acquisitions and include customer and program/contract-related assets. The values assigned to acquired identifiable intangible assets are determined as of the date of acquisition based on estimates and judgments regarding expectations for the estimated future after-tax cash flows from those assets over their lives, including the probability of expected future contract renewals and revenues, all of which are discounted to present value.</w:t>
      </w:r>
    </w:p>
    <w:p>
      <w:pPr>
        <w:spacing w:after="0" w:line="150"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The Company assesses the recoverability of the carrying value of its long-lived assets and intangible assets with finite useful lives whenever events or changes in circumstances indicate that the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522" w:right="339" w:bottom="1440" w:gutter="0" w:footer="0" w:header="0"/>
        </w:sectPr>
      </w:pPr>
    </w:p>
    <w:bookmarkStart w:id="215" w:name="page216"/>
    <w:bookmarkEnd w:id="215"/>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amount of the assets or asset group may not be recoverable. If there are any indicators of impairment present, the Company then evaluates the recoverability of the potentially impaired long-lived assets and acquired identifiable intangible assets based upon expectations of undiscounted net cash flows from such assets. If the sum of the expected future undiscounted net cash flows is less than the carrying amount of the asset or asset group, a loss is recognized for the difference between the estimated fair value and the carrying amount of the assets. Assets to be disposed of, including those of discontinued operations, are reported at the lower of the carrying amount or fair value, less the costs to sell.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8</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additional information regarding long-lived assets and intangible assets.</w:t>
      </w:r>
    </w:p>
    <w:p>
      <w:pPr>
        <w:spacing w:after="0" w:line="131" w:lineRule="exact"/>
        <w:rPr>
          <w:sz w:val="20"/>
          <w:szCs w:val="20"/>
          <w:color w:val="auto"/>
        </w:rPr>
      </w:pPr>
    </w:p>
    <w:p>
      <w:pPr>
        <w:ind w:left="640" w:hanging="632"/>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does not use derivative financial instruments for trading purposes. All derivative instruments are carried on the Consolidated Balance Sheet as either assets or liabilities at fair value. The classification of gains and losses resulting from changes in the fair values of derivatives depends on the intended use of the derivative and its resultant designation. The Company had no significant derivative or hedging instruments during the years ended December 31, 2020, 2019 or 2018.</w:t>
      </w:r>
    </w:p>
    <w:p>
      <w:pPr>
        <w:spacing w:after="0" w:line="128"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 xml:space="preserve">The obligations for the Company's pension plans and postretirement benefit plans and the related annual costs of employee benefits are calculated based on several long-term assumptions, including discount rates for employee benefit liabilities, rates of return on plan assets, expected annual rates of salary increases for employee participants in the case of pension plans and expected annual increases in the costs of medical and other health care benefits in the case of postretirement benefit plans. These long-term assumptions are subject to revision based on changes in interest rates, financial market conditions, expected versus actual returns on plan assets, participant mortality rates and other actuarial assumptions, including future rates of salary increases, benefit formulas and levels, and rates of increase in the costs of benefits. Changes in these assumptions, if significant, can materially affect the amount of annual net periodic benefit costs recognized in the Company's results of operations from one year to the next, the liabilities for the pension plans and postretirement benefit plans and the Company's annual cash requirements to fund these plans. See </w:t>
      </w:r>
      <w:r>
        <w:rPr>
          <w:rFonts w:ascii="Arial" w:cs="Arial" w:eastAsia="Arial" w:hAnsi="Arial"/>
          <w:sz w:val="18"/>
          <w:szCs w:val="18"/>
          <w:i w:val="1"/>
          <w:iCs w:val="1"/>
          <w:color w:val="auto"/>
        </w:rPr>
        <w:t>Note 12: Pension and Other Postretirement Benefits</w:t>
      </w:r>
      <w:r>
        <w:rPr>
          <w:rFonts w:ascii="Arial" w:cs="Arial" w:eastAsia="Arial" w:hAnsi="Arial"/>
          <w:sz w:val="18"/>
          <w:szCs w:val="18"/>
          <w:color w:val="auto"/>
        </w:rPr>
        <w:t xml:space="preserve"> for further information regarding our pension and postretirement plans.</w:t>
      </w:r>
    </w:p>
    <w:p>
      <w:pPr>
        <w:spacing w:after="0" w:line="135" w:lineRule="exact"/>
        <w:rPr>
          <w:sz w:val="20"/>
          <w:szCs w:val="20"/>
          <w:color w:val="auto"/>
        </w:rPr>
      </w:pPr>
    </w:p>
    <w:p>
      <w:pPr>
        <w:ind w:left="620" w:hanging="612"/>
        <w:spacing w:after="0"/>
        <w:tabs>
          <w:tab w:leader="none" w:pos="6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and US Holding have entered into a Tax Allocation Agreement (“Tax Allocation Agreement”), dated as of November 16, 2020, with members of an affiliated group, as defined in Section 1504(a) of the U.S. Internal Revenue Code of 1986, as amended (the “Tax Code”), members of one or more consolidated, combined, unitary or similar state tax groups and additional parties who are part of an “expanded affiliated group” for certain tax purposes, prior to this offering. The agreement provides for the method of computing and allocating the consolidated U.S. federal tax liability of the affiliated group among its members and of allocating any state group tax liabilities among the state members for the taxable year ending December 31, 2020 and each subsequent year in which the parties are members of a group (whether federal or state). The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agreement, the parties have agreed to calculate and allocate their respective tax liabilities and other tax attributes for taxable years beginning with the first consolidated taxable year that included DRS (i.e., the taxable year ended December 31, 2008) as if the agreement was then in effect.</w:t>
      </w:r>
    </w:p>
    <w:p>
      <w:pPr>
        <w:spacing w:after="0" w:line="15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Income taxes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522" w:right="339" w:bottom="1440" w:gutter="0" w:footer="0" w:header="0"/>
        </w:sectPr>
      </w:pPr>
    </w:p>
    <w:bookmarkStart w:id="216" w:name="page217"/>
    <w:bookmarkEnd w:id="216"/>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presented attribute deferred income taxes of US Holding to DRS in a manner that is systematic, rational and consistent with the asset and liability method and the governing Tax Allocation Agreement which allocates the tax liability amongst the entities, including DRS.</w:t>
      </w:r>
    </w:p>
    <w:p>
      <w:pPr>
        <w:spacing w:after="0" w:line="14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provision for income taxes represents income taxes paid or payable for the current year plus the change in deferred taxes during the year. Deferred taxes result from differences between the financial and tax basis of DRS’ assets and liabilities and are adjusted for changes in tax rates and tax laws when such changes are enacted.</w:t>
      </w:r>
    </w:p>
    <w:p>
      <w:pPr>
        <w:spacing w:after="0" w:line="14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general, the taxable income of DRS is included in the consolidated U.S. federal and state tax returns of US Holding. Where applicable, US Holding’s current portion of U.S. federal income taxes payable were offset against DRS’ net operating loss carryforwards in the period the related tax expense was recorded. Consequently, our net operating loss carryforwards are deemed to have been settled with US Holding in each year in an amount commensurate with the carrying value of the tax effected net operating loss utilized.</w:t>
      </w:r>
    </w:p>
    <w:p>
      <w:pPr>
        <w:spacing w:after="0" w:line="15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If management determines that some portion or all of a deferred tax asset is not “more likely than not” to be realized, a valuation allowance is recorded as a component of the income tax provision to reduce the deferred tax asset to the amounts expected to be realized. In determining whether the Company’s deferred tax assets are realizable, management considers all evidence, both positive and negative, including the history of financial reporting earnings, existing taxable temporary differences and their projected reversals, as well as projected future income and tax planning strategies. We believe it is more likely than not that we will generate sufficient taxable income in future periods to realize our deferred tax assets, subject to the valuation allowances recognized.</w:t>
      </w:r>
    </w:p>
    <w:p>
      <w:pPr>
        <w:spacing w:after="0" w:line="15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assesses its tax positions for all periods open to examination by tax authorities based on the latest available information. Those positions are evaluated to determine whether they will more likely than not be sustained upon examination by the relevant taxing authorities. Liabilities for unrecognized tax benefits are measured based on the largest amount of benefit that is greater than 50% likely of being realized upon ultimate settlement. These unrecognized tax benefits are recorded as a component of income tax expense. Interest and penalties related to unrecognized tax benefits are not material.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additional information regarding income taxes.</w:t>
      </w:r>
    </w:p>
    <w:p>
      <w:pPr>
        <w:spacing w:after="0" w:line="167" w:lineRule="exact"/>
        <w:rPr>
          <w:sz w:val="20"/>
          <w:szCs w:val="20"/>
          <w:color w:val="auto"/>
        </w:rPr>
      </w:pPr>
    </w:p>
    <w:p>
      <w:pPr>
        <w:ind w:left="640" w:hanging="632"/>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Basic earnings per share (“EPS”) is computed by dividing net earnings by the weighted average number of shares of common stock outstanding during each period. The computation of diluted EPS includes the dilutive effect of outstanding stock-based compensation awards, only in periods in which such effect would have been dilutive for the period. In February 2021, the Company completed a forward stock split of 1-for-1,450,000 shares of common stock. The consolidated financials statements have been retroactively adjusted to reflect the forward stock split for all periods presented. There were 100 shares and 145.00 million basic and diluted common shares outstanding before and after the forward stock split, respectively, for all periods presented.</w:t>
      </w:r>
    </w:p>
    <w:p>
      <w:pPr>
        <w:spacing w:after="0" w:line="132" w:lineRule="exact"/>
        <w:rPr>
          <w:sz w:val="20"/>
          <w:szCs w:val="20"/>
          <w:color w:val="auto"/>
        </w:rPr>
      </w:pPr>
    </w:p>
    <w:p>
      <w:pPr>
        <w:ind w:left="640" w:hanging="632"/>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Fair value is the price the Company would receive to sell an asset or pay to transfer a liability in an orderly transaction with a market participant on the measurement date. We are required to maximize the use of observable inputs and minimize the use of unobservable inputs in measuring fair value, and to utilize a three-level fair value hierarchy that prioritizes the inputs used to measure fair value. The three hierarchical levels used to measure fair value are as follows: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522" w:right="359" w:bottom="1440" w:gutter="0" w:footer="0" w:header="0"/>
        </w:sectPr>
      </w:pPr>
    </w:p>
    <w:bookmarkStart w:id="217" w:name="page218"/>
    <w:bookmarkEnd w:id="217"/>
    <w:p>
      <w:pPr>
        <w:jc w:val="center"/>
        <w:ind w:right="14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Level 2 — Quoted prices for similar assets or liabilities in active markets; quoted prices for identical or similar assets or liabilities in markets that are not active; and inputs other than quoted prices that are directly or indirectly observable.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71" w:lineRule="exact"/>
        <w:rPr>
          <w:sz w:val="20"/>
          <w:szCs w:val="20"/>
          <w:color w:val="auto"/>
        </w:rPr>
      </w:pPr>
    </w:p>
    <w:p>
      <w:pPr>
        <w:ind w:right="8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certain instances, fair value is determined through information obtained from third parties using the latest available market data. In obtaining such data from third parties, we have evaluated the methodologies used to develop the estimate of fair value in order to assess whether such valuations are representative of fair value. The Company categorizes plan assets for disclosure purposes in accordance with this fair value hierarchy. Certain plan investments are measured at fair value using the net asset value (“NAV”) per share (or its equivalent) practical expedient and are therefore not categorized as Level 1, 2, or 3. NAV is defined as the total value of the fund divided by the number of the fund’s shares outstanding. See </w:t>
      </w:r>
      <w:hyperlink w:anchor="page235">
        <w:r>
          <w:rPr>
            <w:rFonts w:ascii="Arial" w:cs="Arial" w:eastAsia="Arial" w:hAnsi="Arial"/>
            <w:sz w:val="18"/>
            <w:szCs w:val="18"/>
            <w:i w:val="1"/>
            <w:iCs w:val="1"/>
            <w:color w:val="auto"/>
          </w:rPr>
          <w:t>Note 12: Pension and Other Postretirement Benefits</w:t>
        </w:r>
        <w:r>
          <w:rPr>
            <w:rFonts w:ascii="Arial" w:cs="Arial" w:eastAsia="Arial" w:hAnsi="Arial"/>
            <w:sz w:val="18"/>
            <w:szCs w:val="18"/>
            <w:color w:val="auto"/>
          </w:rPr>
          <w:t xml:space="preserve"> </w:t>
        </w:r>
      </w:hyperlink>
      <w:r>
        <w:rPr>
          <w:rFonts w:ascii="Arial" w:cs="Arial" w:eastAsia="Arial" w:hAnsi="Arial"/>
          <w:sz w:val="18"/>
          <w:szCs w:val="18"/>
          <w:color w:val="auto"/>
        </w:rPr>
        <w:t>for further information regarding our pension and postretirement plans.</w:t>
      </w:r>
    </w:p>
    <w:p>
      <w:pPr>
        <w:spacing w:after="0" w:line="131"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93" w:lineRule="exact"/>
        <w:rPr>
          <w:sz w:val="20"/>
          <w:szCs w:val="20"/>
          <w:color w:val="auto"/>
        </w:rPr>
      </w:pPr>
    </w:p>
    <w:p>
      <w:pPr>
        <w:ind w:right="10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financial instruments consist primarily of cash and cash equivalents, accounts receivable, accounts payable and accrued expenses and other current liabilities. Financial instruments are reported in the Consolidated Balance Sheet at carrying value, which other than the 7.5% Term loan due November 30, 2022, approximate fair value. See </w:t>
      </w:r>
      <w:hyperlink w:anchor="page233">
        <w:r>
          <w:rPr>
            <w:rFonts w:ascii="Arial" w:cs="Arial" w:eastAsia="Arial" w:hAnsi="Arial"/>
            <w:sz w:val="18"/>
            <w:szCs w:val="18"/>
            <w:i w:val="1"/>
            <w:iCs w:val="1"/>
            <w:color w:val="auto"/>
          </w:rPr>
          <w:t>Note 11: Debt</w:t>
        </w:r>
        <w:r>
          <w:rPr>
            <w:rFonts w:ascii="Arial" w:cs="Arial" w:eastAsia="Arial" w:hAnsi="Arial"/>
            <w:sz w:val="18"/>
            <w:szCs w:val="18"/>
            <w:color w:val="auto"/>
          </w:rPr>
          <w:t xml:space="preserve"> </w:t>
        </w:r>
      </w:hyperlink>
      <w:r>
        <w:rPr>
          <w:rFonts w:ascii="Arial" w:cs="Arial" w:eastAsia="Arial" w:hAnsi="Arial"/>
          <w:sz w:val="18"/>
          <w:szCs w:val="18"/>
          <w:color w:val="auto"/>
        </w:rPr>
        <w:t>for further information regarding our debt.</w:t>
      </w:r>
    </w:p>
    <w:p>
      <w:pPr>
        <w:spacing w:after="0" w:line="126" w:lineRule="exact"/>
        <w:rPr>
          <w:sz w:val="20"/>
          <w:szCs w:val="20"/>
          <w:color w:val="auto"/>
        </w:rPr>
      </w:pPr>
    </w:p>
    <w:p>
      <w:pPr>
        <w:ind w:left="640" w:hanging="632"/>
        <w:spacing w:after="0"/>
        <w:tabs>
          <w:tab w:leader="none" w:pos="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Investments and Variable Interest Entities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Acquisitions</w:t>
      </w:r>
    </w:p>
    <w:p>
      <w:pPr>
        <w:spacing w:after="0" w:line="189"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Our consolidated financial statements include the operations of acquired businesses from the date of acquisition. We account for acquired businesses using the acquisition method of accounting, which requires that any assets acquired and liabilities assumed be measured at their respective fair values on the acquisition date. The accounting for business combinations requires the Company to make significant judgments and estimates. Any excess of the fair value of consideration transferred over the assigned values of the net assets acquired is recognized as goodwill.</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acquisitions that were completed for the years ended December 31, 2020 and 2019.</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Investments</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Investments where we have the ability to exercise significant influence, but do not control, are accounted for under the equity method of accounting and are included in other noncurrent assets on our Consolidated Balance Sheet.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(Loss)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therefore recorded during the current period. See </w:t>
      </w:r>
      <w:r>
        <w:rPr>
          <w:rFonts w:ascii="Arial" w:cs="Arial" w:eastAsia="Arial" w:hAnsi="Arial"/>
          <w:sz w:val="18"/>
          <w:szCs w:val="18"/>
          <w:i w:val="1"/>
          <w:iCs w:val="1"/>
          <w:color w:val="auto"/>
        </w:rPr>
        <w:t>Note 13: Equity Method Investments</w:t>
      </w:r>
      <w:r>
        <w:rPr>
          <w:rFonts w:ascii="Arial" w:cs="Arial" w:eastAsia="Arial" w:hAnsi="Arial"/>
          <w:sz w:val="18"/>
          <w:szCs w:val="18"/>
          <w:color w:val="auto"/>
        </w:rPr>
        <w:t xml:space="preserve"> for further information regarding our equity method investments.</w:t>
      </w:r>
    </w:p>
    <w:p>
      <w:pPr>
        <w:spacing w:after="0" w:line="15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Company’s cost method investment consists of an investment in a private company in which we do not have the ability to exercise significant influence over its operating and financial activities. Management evaluates this investment for possible impairment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80"/>
          </w:cols>
          <w:pgMar w:left="320" w:top="522" w:right="399" w:bottom="1440" w:gutter="0" w:footer="0" w:header="0"/>
        </w:sectPr>
      </w:pPr>
    </w:p>
    <w:bookmarkStart w:id="218" w:name="page219"/>
    <w:bookmarkEnd w:id="218"/>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Interest Entities</w:t>
      </w:r>
    </w:p>
    <w:p>
      <w:pPr>
        <w:spacing w:after="0" w:line="18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if it is, consequently required to consolidate the VIE. The Company did not have any investment in VIEs as of December 31, 2020 or 2019.</w:t>
      </w:r>
    </w:p>
    <w:p>
      <w:pPr>
        <w:spacing w:after="0" w:line="129" w:lineRule="exact"/>
        <w:rPr>
          <w:sz w:val="20"/>
          <w:szCs w:val="20"/>
          <w:color w:val="auto"/>
        </w:rPr>
      </w:pPr>
    </w:p>
    <w:p>
      <w:pPr>
        <w:ind w:left="640" w:hanging="632"/>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Effective January 1, 2019, the Company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amended (“ASC 842”), which requires lessees to recognize most leases on their balance sheets as right-of-use (“ROU”) assets along with corresponding lease liabilities. The new standard requires lessees to apply a dual approach, classifying leases as either finance or operating leases. This classification determines whether lease expense is recognized based on an effective interest method or on a straight-line basis over the term of the lease. The new standard also requires increased disclosures to help financial statement users better understand the amount, timing and uncertainty of cash flows arising from leases. ASC 842 provides companies with the option to elect an optional transition method whereby companies apply the standard to new and existing leases within the scope of the guidance as of the beginning of the period of adoption. We elected this transition method and have recognized ROU assets, lease liabilities and any cumulative-effect adjustments to the opening balance of accumulated deficit as of January 1, 2019. Prior period amounts were not adjusted and will continue to be reported under the accounting standards in effect for those periods. As part of our adoption, we elected to utilize the practical expedients provided which permitted us to not reassess our previous conclusions on lease identification, lease classification and the accounting for initial direct costs for any existing leases. We did not elect the hindsight practical expedient.</w:t>
      </w:r>
    </w:p>
    <w:p>
      <w:pPr>
        <w:spacing w:after="0" w:line="154"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adoption of the new standard resulted in the recognition of lease assets and lease liabilities of $158 million and $172 million, respectively, on the Consolidated Balance Sheet with no adjustment to our January 1, 2019 beginning accumulated deficit balance. The difference between the right of use asset and lease liability primarily relates to deferred rent recorded prior to adoption. The adoption of the new standard did not have a material impact on our results of operations or cash flows.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71" w:lineRule="exact"/>
        <w:rPr>
          <w:sz w:val="20"/>
          <w:szCs w:val="20"/>
          <w:color w:val="auto"/>
        </w:rPr>
      </w:pPr>
    </w:p>
    <w:p>
      <w:pPr>
        <w:ind w:right="140" w:firstLine="324"/>
        <w:spacing w:after="0" w:line="219" w:lineRule="exact"/>
        <w:rPr>
          <w:sz w:val="20"/>
          <w:szCs w:val="20"/>
          <w:color w:val="auto"/>
        </w:rPr>
      </w:pPr>
      <w:r>
        <w:rPr>
          <w:rFonts w:ascii="Arial" w:cs="Arial" w:eastAsia="Arial" w:hAnsi="Arial"/>
          <w:sz w:val="18"/>
          <w:szCs w:val="18"/>
          <w:color w:val="auto"/>
        </w:rPr>
        <w:t>Effective January 1, 2020, the Company adopted ASU 2016</w:t>
      </w:r>
      <w:r>
        <w:rPr>
          <w:rFonts w:ascii="MS PGothic" w:cs="MS PGothic" w:eastAsia="MS PGothic" w:hAnsi="MS PGothic"/>
          <w:sz w:val="18"/>
          <w:szCs w:val="18"/>
          <w:color w:val="auto"/>
        </w:rPr>
        <w:t>‐</w:t>
      </w:r>
      <w:r>
        <w:rPr>
          <w:rFonts w:ascii="Arial" w:cs="Arial" w:eastAsia="Arial" w:hAnsi="Arial"/>
          <w:sz w:val="18"/>
          <w:szCs w:val="18"/>
          <w:color w:val="auto"/>
        </w:rPr>
        <w:t xml:space="preserve">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w:t>
      </w:r>
      <w:r>
        <w:rPr>
          <w:rFonts w:ascii="MS PGothic" w:cs="MS PGothic" w:eastAsia="MS PGothic" w:hAnsi="MS PGothic"/>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 as amended. The standard requires a change in the measurement approach for credit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measured on an 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The adoption of the standard did not have a material impact on our operating results,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522" w:right="339" w:bottom="1440" w:gutter="0" w:footer="0" w:header="0"/>
        </w:sectPr>
      </w:pPr>
    </w:p>
    <w:bookmarkStart w:id="219" w:name="page220"/>
    <w:bookmarkEnd w:id="219"/>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Guidance Issued but Not Yet Adopted as of December 31,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to Disclosure Requirements for Defined Benefit Plans</w:t>
      </w:r>
    </w:p>
    <w:p>
      <w:pPr>
        <w:spacing w:after="0" w:line="17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 - Retirement Benefits - Defined Benefit Plans - General (Subtopic 715-20): Disclosure Framework - Changes to the Disclosure Requirements for Defined Benefit Plans</w:t>
      </w:r>
      <w:r>
        <w:rPr>
          <w:rFonts w:ascii="Arial" w:cs="Arial" w:eastAsia="Arial" w:hAnsi="Arial"/>
          <w:sz w:val="18"/>
          <w:szCs w:val="18"/>
          <w:color w:val="auto"/>
        </w:rPr>
        <w:t>. Specifically, the amendment removes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for amounts classified in accumulated other comprehensive income expected to be recognized over the next year and the effects of a one-percentage-point change in the assumed health care cost trend rate on service cost, interest cost and the benefit obligation for postretirement benefits. The amendment also requires additional disclosure around weighted-average interest crediting rates for cash balance plans, a narrative description of the reasons for significant gains and losses, and an explanation of any other significant changes in the benefit obligation or plan assets. The standard is effective for fiscal years beginning after December 15, 2020, with early adoption permitted. The Company does not expect the adoption to have a material impact on our disclosures.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17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removes certain exceptions to the general principles in Topic 740 for: recognizing deferred taxes for investments, performing intra-period allocations and calculating taxes in interim periods. The amendments also improve consistent application of and simplify U.S. GAAP for other areas of Topic 740 by clarifying and amending existing guidance. The standard is effective for fiscal years beginning after December 15, 2020. The Company does not expect the adoption to have a material impact on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19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We classify revenues as products or services on our Consolidated Statements of Earnings (Loss) based on the predominant attributes of the performance obligations. While the Company provides warranties on certain contracts, we typically do not provide for services beyond standard assurances and therefore do not consider warranties to be separate performance obligations. Typically we enter into three types of contracts: fixed-price contracts, cost-plus contracts and T&amp;M contracts (cost-plus contracts and T&amp;M contracts are aggregated below as flexibly priced contracts). The majority of our total revenues are derived from fixed-price contracts; refer to the revenue disaggregation disclosures that follow.</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fixed-price contracts, customers agree to pay a fixed amount, negotiated in advanced for a specified scope of work.</w:t>
      </w:r>
    </w:p>
    <w:p>
      <w:pPr>
        <w:spacing w:after="0" w:line="17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320" w:top="522" w:right="359" w:bottom="1440" w:gutter="0" w:footer="0" w:header="0"/>
        </w:sectPr>
      </w:pPr>
    </w:p>
    <w:bookmarkStart w:id="220" w:name="page221"/>
    <w:bookmarkEnd w:id="220"/>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spacing w:after="0" w:line="148"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Estimating the transaction price for an arrangement requires judgment and is based on expected results which are determined using the Company’s historical data. We estimate that the revenue that we expect to be entitled to receive from a customer to the extent it is probable that a significant reversal of cumulative revenue recognized will not occur.</w:t>
      </w:r>
    </w:p>
    <w:p>
      <w:pPr>
        <w:spacing w:after="0" w:line="148"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Revenue from contracts with customers is recognized when the performance obligations are satisfied through the transfer of control over the good or service to the customer, which may occur either over time or at a point in time.</w:t>
      </w:r>
    </w:p>
    <w:p>
      <w:pPr>
        <w:spacing w:after="0" w:line="14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Revenues for the majority of our contracts are measured as determined by the ratio of cumulative costs incurred to date to estimated total contract costs at completion (the "cost-to-cost method").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total cost at completion and total transaction price often requires judgment. Factors that must be considered in estimating the cost of the work to be completed include the nature and complexity of the work to be performed, subcontractor performance and the risk and impact of delayed performance.</w:t>
      </w:r>
    </w:p>
    <w:p>
      <w:pPr>
        <w:spacing w:after="0" w:line="15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After establishing the estimated total cost at completion, we follow a standard Estimate at Completion (“EAC”) process in which we review the progress and performance on our ongoing contracts at least quarterly.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and are also required if contract modifications occur. When adjustments in estimated total costs at completion or in estimated total transaction price are determined, the related impact on revenue and operating income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 adjustments had the following impacts to revenue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126365</wp:posOffset>
            </wp:positionV>
            <wp:extent cx="825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Total % of Revenue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r>
    </w:tbl>
    <w:p>
      <w:pPr>
        <w:spacing w:after="0" w:line="188"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impacts noted above are attributed primarily to changes in our firm-fixed-price development type programs. As changes happen in the design required to achieve contractual specifications, those changes often result in the programs’ estimate and related profitability. The reductions to revenue for the years ended December 31, 2020, 2019 and 2018 were related to certain masted surveillance and submarine electronic propulsion programs within our IMS segment, solider sensing programs within our AST segment and adjustments to the measurement of variable consideration related to certain requests for equitable adjustment with the U.S. Navy.</w:t>
      </w:r>
    </w:p>
    <w:p>
      <w:pPr>
        <w:spacing w:after="0" w:line="15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Conversely, if the requirements for the recognition of contracts over time are not met, revenue is recognized at a point in time when control transfers to the customer, which is generally upon transfer of title. In such cases, the production that is in progress and costs that will be recognized at a future point in time are reported within "inventories".</w:t>
      </w:r>
    </w:p>
    <w:p>
      <w:pPr>
        <w:spacing w:after="0" w:line="148"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Costs to obtain a contract are incremental direct costs incurred to obtain a contract with a customer, including sales commissions and dealer fees, and are capitalized if material. Costs to fulfill a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60"/>
          </w:cols>
          <w:pgMar w:left="320" w:top="522" w:right="319" w:bottom="1440" w:gutter="0" w:footer="0" w:header="0"/>
        </w:sectPr>
      </w:pPr>
    </w:p>
    <w:bookmarkStart w:id="221" w:name="page222"/>
    <w:bookmarkEnd w:id="221"/>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include costs directly related to a contract or specific anticipated contract (e.g., certain design costs) that generate or enhance our ability to satisfy our performance obligations under these contracts. These costs are capitalized to the extent they are expected to be recovered from the associated contract.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Assets and Liabilities</w:t>
      </w:r>
    </w:p>
    <w:p>
      <w:pPr>
        <w:spacing w:after="0" w:line="18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 Amounts are billed as work progresses in accordance with agreed-upon contractual terms, either at periodic intervals (e.g., biweekly or monthly) or upon achievement of contractual milestones. Generally, billing occurs subsequent to revenue recognition, resulting in contract assets. However, we sometimes receive advances or deposits from our customers before revenue is recognized, resulting in contract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contract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Revenue recognized in 2020 and 2019 that was included in the contract liability balance at the beginning of each year was $104 million and $62 million, respectively.</w:t>
      </w:r>
    </w:p>
    <w:p>
      <w:pPr>
        <w:spacing w:after="0" w:line="144"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change in the balances of the Company’s contract assets and liabilities primarily results from timing differences between revenue recognition and customer billings and/or payments.</w:t>
      </w:r>
    </w:p>
    <w:p>
      <w:pPr>
        <w:spacing w:after="0" w:line="14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Contract assets related to amounts withheld by customers until contract completion are not considered a significant financing component of our contracts because the intent is to protect the customers from our failure to satisfactorily complete our performance obligations. Payments received from customers in advance of revenue recognition (contract liabilities) are not considered a significant financing component of our contracts because they are utilized to pay for contract costs within a one-year period or are requested by us to ensure the customers meet their payment obligations.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Value of Remaining Performance Obligations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remaining performance obligations, which we also refer to as total backlog, includes the following components:</w:t>
      </w:r>
    </w:p>
    <w:p>
      <w:pPr>
        <w:spacing w:after="0" w:line="171" w:lineRule="exact"/>
        <w:rPr>
          <w:sz w:val="20"/>
          <w:szCs w:val="20"/>
          <w:color w:val="auto"/>
        </w:rPr>
      </w:pPr>
    </w:p>
    <w:p>
      <w:pPr>
        <w:ind w:left="660" w:right="88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Funded - Funded backlog represents the revenue value of orders for services under existing contracts for which funding is appropriated or otherwise authorized less revenue previously recognized on these contracts.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value of our backlog at December 31, 2020 and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Backlog:</w:t>
            </w: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6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Unfunded</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Backlog</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expect to recognize approximately 69% of our December 31, 2020 backlog as revenue over the next 12 months, with the remainder to be recognized thereafter.</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240"/>
          </w:cols>
          <w:pgMar w:left="320" w:top="522" w:right="339" w:bottom="1440" w:gutter="0" w:footer="0" w:header="0"/>
          <w:type w:val="continuous"/>
        </w:sectPr>
      </w:pPr>
    </w:p>
    <w:bookmarkStart w:id="222" w:name="page223"/>
    <w:bookmarkEnd w:id="222"/>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i w:val="1"/>
          <w:iCs w:val="1"/>
          <w:color w:val="auto"/>
        </w:rPr>
        <w:t>AST</w:t>
      </w:r>
      <w:r>
        <w:rPr>
          <w:rFonts w:ascii="Arial" w:cs="Arial" w:eastAsia="Arial" w:hAnsi="Arial"/>
          <w:sz w:val="18"/>
          <w:szCs w:val="18"/>
          <w:color w:val="auto"/>
        </w:rPr>
        <w:t>: AST revenue is primarily derived from U.S. government development and production contracts and is generally recognized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time using the cost-to-cost method. We disaggregate AST revenue by geographical region, customer relationship and contract type. We believe these categories best depict how the nature, amount, timing and uncertainty of AST revenue and cash flows are affected by economic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108585</wp:posOffset>
            </wp:positionV>
            <wp:extent cx="825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Firm Fixed Price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3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rPr>
                <w:sz w:val="20"/>
                <w:szCs w:val="20"/>
                <w:color w:val="auto"/>
              </w:rPr>
            </w:pPr>
            <w:r>
              <w:rPr>
                <w:rFonts w:ascii="Arial" w:cs="Arial" w:eastAsia="Arial" w:hAnsi="Arial"/>
                <w:sz w:val="16"/>
                <w:szCs w:val="16"/>
                <w:color w:val="auto"/>
              </w:rPr>
              <w:t>(1)  Includes revenue derived from time-and-materials contracts.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220" w:firstLine="324"/>
        <w:spacing w:after="0" w:line="266" w:lineRule="auto"/>
        <w:rPr>
          <w:sz w:val="20"/>
          <w:szCs w:val="20"/>
          <w:color w:val="auto"/>
        </w:rPr>
      </w:pPr>
      <w:r>
        <w:rPr>
          <w:rFonts w:ascii="Arial" w:cs="Arial" w:eastAsia="Arial" w:hAnsi="Arial"/>
          <w:sz w:val="18"/>
          <w:szCs w:val="18"/>
          <w:i w:val="1"/>
          <w:iCs w:val="1"/>
          <w:color w:val="auto"/>
        </w:rPr>
        <w:t xml:space="preserve">NC&amp;C: NC&amp;C </w:t>
      </w:r>
      <w:r>
        <w:rPr>
          <w:rFonts w:ascii="Arial" w:cs="Arial" w:eastAsia="Arial" w:hAnsi="Arial"/>
          <w:sz w:val="18"/>
          <w:szCs w:val="18"/>
          <w:color w:val="auto"/>
        </w:rPr>
        <w:t>revenue is primarily derived from U.S. government development and production contracts and is generally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using the cost-to-cost method. We disaggregate NC&amp;C revenue by geographical region, customer relationship and contract type. We believe these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60"/>
          </w:cols>
          <w:pgMar w:left="320" w:top="522" w:right="319" w:bottom="1440" w:gutter="0" w:footer="0" w:header="0"/>
        </w:sectPr>
      </w:pPr>
    </w:p>
    <w:bookmarkStart w:id="223" w:name="page224"/>
    <w:bookmarkEnd w:id="223"/>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best depict how the nature, amount, timing and uncertainty of NC&amp;C revenue and cash flows are affected by economic factors: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Firm Fixed Price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6"/>
                <w:szCs w:val="16"/>
                <w:color w:val="auto"/>
              </w:rPr>
              <w:t>(1)  Includes revenue derived from time-and-materials contracts.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IMS</w:t>
      </w:r>
      <w:r>
        <w:rPr>
          <w:rFonts w:ascii="Arial" w:cs="Arial" w:eastAsia="Arial" w:hAnsi="Arial"/>
          <w:sz w:val="18"/>
          <w:szCs w:val="18"/>
          <w:color w:val="auto"/>
        </w:rPr>
        <w:t>: IMS revenue is primarily derived from U.S. government development and production contracts and is generally recognized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time using the cost-to-cost method. We disaggregate IMS revenue by geographical region, customer relationship and contract type. We believe these categories best depict how the nature, amount, timing and uncertainty of IMS revenue and cash flows are affected by economic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Firm Fixed Price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3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rPr>
                <w:sz w:val="20"/>
                <w:szCs w:val="20"/>
                <w:color w:val="auto"/>
              </w:rPr>
            </w:pPr>
            <w:r>
              <w:rPr>
                <w:rFonts w:ascii="Arial" w:cs="Arial" w:eastAsia="Arial" w:hAnsi="Arial"/>
                <w:sz w:val="16"/>
                <w:szCs w:val="16"/>
                <w:color w:val="auto"/>
              </w:rPr>
              <w:t>(1)  Includes revenue derived from time-and-materials contracts.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5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260"/>
          </w:cols>
          <w:pgMar w:left="320" w:top="522" w:right="319" w:bottom="1440" w:gutter="0" w:footer="0" w:header="0"/>
          <w:type w:val="continuous"/>
        </w:sectPr>
      </w:pPr>
    </w:p>
    <w:bookmarkStart w:id="224" w:name="page225"/>
    <w:bookmarkEnd w:id="224"/>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Accounts receivable represent amounts billed and currently due from customers. Payment is typically received from our customers either at periodic intervals (e.g., biweekly, or monthly) or upon achievement of contractual milestones.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Company maintains certain agreements with financial institutions to sell certain trade receivables. Receivables are derecognized in their entirety when sold, and the Company’s continuing involvement in the sold receivables is limited to their servicing, for which the Company receives a fee commensurate with the service provided. Pursuant to the servicing agreements, the Company collected approximately $27 million and $38 million at December 31, 2020 and 2019, respectively, of these sold receivables that had not yet been remitted to the financial institutions. These unremitted amounts collected on behalf of the financial institutions are included within short-term borrowings and current portion of long-term debt in the Consolidated Balance Sheet.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Note 5. Property, Plant and Equipment</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color w:val="auto"/>
              </w:rPr>
              <w:t>Property, plant and equipment by major asset class consists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buildings and improvements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Plant and machinery</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property, plant and equipment, at cost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property, plant and equipment, net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40" w:firstLine="324"/>
        <w:spacing w:after="0" w:line="261" w:lineRule="auto"/>
        <w:rPr>
          <w:sz w:val="20"/>
          <w:szCs w:val="20"/>
          <w:color w:val="auto"/>
        </w:rPr>
      </w:pPr>
      <w:r>
        <w:rPr>
          <w:rFonts w:ascii="Arial" w:cs="Arial" w:eastAsia="Arial" w:hAnsi="Arial"/>
          <w:sz w:val="18"/>
          <w:szCs w:val="18"/>
          <w:color w:val="auto"/>
        </w:rPr>
        <w:t>Depreciation expense related to property, plant and equipment was $44 million, $42 million and $35 million for the years ended December 31, 2020, 2019 and 2018, respectively.</w:t>
      </w:r>
    </w:p>
    <w:p>
      <w:pPr>
        <w:spacing w:after="0" w:line="144" w:lineRule="exact"/>
        <w:rPr>
          <w:sz w:val="20"/>
          <w:szCs w:val="20"/>
          <w:color w:val="auto"/>
        </w:rPr>
      </w:pPr>
    </w:p>
    <w:p>
      <w:pPr>
        <w:ind w:right="40" w:firstLine="324"/>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Land, buildings and improvements include assets under finance leases in the amount of $108 million and $67 million as of December 31, 2020 and 2019, respectively. See </w:t>
      </w:r>
      <w:hyperlink w:anchor="page227">
        <w:r>
          <w:rPr>
            <w:rFonts w:ascii="Arial" w:cs="Arial" w:eastAsia="Arial" w:hAnsi="Arial"/>
            <w:sz w:val="18"/>
            <w:szCs w:val="18"/>
            <w:i w:val="1"/>
            <w:iCs w:val="1"/>
            <w:color w:val="auto"/>
          </w:rPr>
          <w:t xml:space="preserve">Note </w:t>
        </w:r>
      </w:hyperlink>
      <w:r>
        <w:rPr>
          <w:rFonts w:ascii="Arial" w:cs="Arial" w:eastAsia="Arial" w:hAnsi="Arial"/>
          <w:sz w:val="18"/>
          <w:szCs w:val="18"/>
          <w:color w:val="auto"/>
        </w:rPr>
        <w:t xml:space="preserve">9: </w:t>
      </w:r>
      <w:hyperlink w:anchor="page227">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hyperlink>
      <w:r>
        <w:rPr>
          <w:rFonts w:ascii="Arial" w:cs="Arial" w:eastAsia="Arial" w:hAnsi="Arial"/>
          <w:sz w:val="18"/>
          <w:szCs w:val="18"/>
          <w:color w:val="auto"/>
        </w:rPr>
        <w:t>for additional information.</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240"/>
          </w:cols>
          <w:pgMar w:left="320" w:top="522" w:right="339" w:bottom="1440" w:gutter="0" w:footer="0" w:header="0"/>
          <w:type w:val="continuous"/>
        </w:sectPr>
      </w:pPr>
    </w:p>
    <w:bookmarkStart w:id="225" w:name="page226"/>
    <w:bookmarkEnd w:id="225"/>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 xml:space="preserve">As of December 31, 2020, the Company accounted for our manufacturing facility in Menomonee Falls as a build-to-suit lease with a failed sale-leaseback and is included in the Land, building, and improvements in the above table. See </w:t>
      </w:r>
      <w:r>
        <w:rPr>
          <w:rFonts w:ascii="Arial" w:cs="Arial" w:eastAsia="Arial" w:hAnsi="Arial"/>
          <w:sz w:val="18"/>
          <w:szCs w:val="18"/>
          <w:i w:val="1"/>
          <w:iCs w:val="1"/>
          <w:color w:val="auto"/>
        </w:rPr>
        <w:t>Note 11: Debt</w:t>
      </w:r>
      <w:r>
        <w:rPr>
          <w:rFonts w:ascii="Arial" w:cs="Arial" w:eastAsia="Arial" w:hAnsi="Arial"/>
          <w:sz w:val="18"/>
          <w:szCs w:val="18"/>
          <w:color w:val="auto"/>
        </w:rPr>
        <w:t xml:space="preserve">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Liabilities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significant other liabilities by balance sheet caption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wages and accrued bonuses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Fringe benefits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contract losses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other current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other noncurrent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400" w:hanging="332"/>
        <w:spacing w:after="0" w:line="246" w:lineRule="auto"/>
        <w:tabs>
          <w:tab w:leader="none" w:pos="33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Consists primarily of taxes payable, environmental remediation reserves and warranty reserves. </w:t>
      </w:r>
      <w:r>
        <w:rPr>
          <w:rFonts w:ascii="Arial" w:cs="Arial" w:eastAsia="Arial" w:hAnsi="Arial"/>
          <w:sz w:val="16"/>
          <w:szCs w:val="16"/>
          <w:i w:val="1"/>
          <w:iCs w:val="1"/>
          <w:color w:val="auto"/>
        </w:rPr>
        <w:t>See Note 15: Commitments and Contingencies for</w:t>
      </w:r>
      <w:r>
        <w:rPr>
          <w:rFonts w:ascii="Arial" w:cs="Arial" w:eastAsia="Arial" w:hAnsi="Arial"/>
          <w:sz w:val="16"/>
          <w:szCs w:val="16"/>
          <w:color w:val="auto"/>
        </w:rPr>
        <w:t xml:space="preserve"> </w:t>
      </w:r>
      <w:r>
        <w:rPr>
          <w:rFonts w:ascii="Arial" w:cs="Arial" w:eastAsia="Arial" w:hAnsi="Arial"/>
          <w:sz w:val="16"/>
          <w:szCs w:val="16"/>
          <w:i w:val="1"/>
          <w:iCs w:val="1"/>
          <w:color w:val="auto"/>
        </w:rPr>
        <w:t>more information regarding the warranty provision.</w:t>
      </w:r>
    </w:p>
    <w:p>
      <w:pPr>
        <w:ind w:left="320" w:hanging="312"/>
        <w:spacing w:after="0"/>
        <w:tabs>
          <w:tab w:leader="none" w:pos="3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Consists primarily of workers’ compensation liabilities and certain payroll taxes deferred under the CARES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by reportable segment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AST</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NC&amp;C</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IMS</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6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Balance at January 1, 2019 </w:t>
            </w:r>
            <w:r>
              <w:rPr>
                <w:rFonts w:ascii="Arial" w:cs="Arial" w:eastAsia="Arial" w:hAnsi="Arial"/>
                <w:sz w:val="23"/>
                <w:szCs w:val="23"/>
                <w:b w:val="1"/>
                <w:bCs w:val="1"/>
                <w:color w:val="auto"/>
                <w:vertAlign w:val="superscript"/>
              </w:rPr>
              <w:t>(1)</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06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140" w:hanging="332"/>
        <w:spacing w:after="0" w:line="260" w:lineRule="auto"/>
        <w:tabs>
          <w:tab w:leader="none" w:pos="33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Goodwill is reported net of $1,313 million, $1,049 million and $606 million of accumulated impairments as of January 2019 for the AST, NC&amp;C and IMS segments respectively.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Other intangible assets mainly refer to the fair value of existing customer contractual relationships attributable to the acquired business and patents which are being amortized over their respective lives. The fair value of intangible assets typically is determined, as of the date of acquisition, based on estimates and judgments regarding expectations for the estimated future after-tax earnings and cash flows (including cash flows for working capital) arising from backlog and follow-on sales to the customer over their estimated lives, including the probability of expected future contract renewals and sales, less a contributory assets charge, all of which is discounted to present value.</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240"/>
          </w:cols>
          <w:pgMar w:left="320" w:top="522" w:right="339" w:bottom="1440" w:gutter="0" w:footer="0" w:header="0"/>
          <w:type w:val="continuous"/>
        </w:sectPr>
      </w:pPr>
    </w:p>
    <w:bookmarkStart w:id="226" w:name="page227"/>
    <w:bookmarkEnd w:id="226"/>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disclosure presents certain information regarding the Company's intangible assets as of December 31, 2020 and 2019. All intangible assets are being amortized over their estimated useful lives, as indicated below, with no estimated residual values.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Net Carrying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1220" w:type="dxa"/>
            <w:vAlign w:val="bottom"/>
          </w:tcPr>
          <w:p>
            <w:pPr>
              <w:jc w:val="right"/>
              <w:ind w:right="197"/>
              <w:spacing w:after="0"/>
              <w:rPr>
                <w:sz w:val="20"/>
                <w:szCs w:val="20"/>
                <w:color w:val="auto"/>
              </w:rPr>
            </w:pPr>
            <w:r>
              <w:rPr>
                <w:rFonts w:ascii="Arial" w:cs="Arial" w:eastAsia="Arial" w:hAnsi="Arial"/>
                <w:sz w:val="14"/>
                <w:szCs w:val="14"/>
                <w:b w:val="1"/>
                <w:bCs w:val="1"/>
                <w:color w:val="auto"/>
              </w:rPr>
              <w:t>Net Carrying</w:t>
            </w:r>
          </w:p>
        </w:tc>
      </w:tr>
      <w:tr>
        <w:trPr>
          <w:trHeight w:val="196"/>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Amortization</w:t>
            </w:r>
          </w:p>
        </w:tc>
        <w:tc>
          <w:tcPr>
            <w:tcW w:w="1140" w:type="dxa"/>
            <w:vAlign w:val="bottom"/>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Amount</w:t>
            </w:r>
          </w:p>
        </w:tc>
      </w:tr>
      <w:tr>
        <w:trPr>
          <w:trHeight w:val="249"/>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Patents and licenses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100" w:firstLine="324"/>
        <w:spacing w:after="0" w:line="261" w:lineRule="auto"/>
        <w:rPr>
          <w:sz w:val="20"/>
          <w:szCs w:val="20"/>
          <w:color w:val="auto"/>
        </w:rPr>
      </w:pPr>
      <w:r>
        <w:rPr>
          <w:rFonts w:ascii="Arial" w:cs="Arial" w:eastAsia="Arial" w:hAnsi="Arial"/>
          <w:sz w:val="18"/>
          <w:szCs w:val="18"/>
          <w:color w:val="auto"/>
        </w:rPr>
        <w:t>Amortization expense related to intangible assets was $9 million, $9 million and 93 million, respectively, for the years ended December 31, 2020, 2019 and 2018.</w:t>
      </w:r>
    </w:p>
    <w:p>
      <w:pPr>
        <w:spacing w:after="0" w:line="14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Customer relationships are amortized on a straight-line basis over their estimated useful lives of 10 to 15 years. Patents and licenses are amortized on a straight-line basis over their estimated useful lives of 5 to 10 years. The estimated annual amortization expense related to intangible assets for the subsequent five years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420" w:type="dxa"/>
            <w:vAlign w:val="bottom"/>
          </w:tcPr>
          <w:p>
            <w:pPr>
              <w:jc w:val="right"/>
              <w:ind w:right="95"/>
              <w:spacing w:after="0"/>
              <w:rPr>
                <w:sz w:val="20"/>
                <w:szCs w:val="20"/>
                <w:color w:val="auto"/>
              </w:rPr>
            </w:pPr>
            <w:r>
              <w:rPr>
                <w:rFonts w:ascii="Arial" w:cs="Arial" w:eastAsia="Arial" w:hAnsi="Arial"/>
                <w:sz w:val="14"/>
                <w:szCs w:val="14"/>
                <w:b w:val="1"/>
                <w:bCs w:val="1"/>
                <w:color w:val="auto"/>
              </w:rPr>
              <w:t>Estimated Annual</w:t>
            </w:r>
          </w:p>
        </w:tc>
      </w:t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Year Ending December 31,</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r>
      <w:tr>
        <w:trPr>
          <w:trHeight w:val="24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leases various real estate for manufacturing facilities, administrative offices and warehouses under both finance leases and operating leases. In addition, the Company leases vehicles, machinery and office equipment under operating leases. We determine whether our contracts are or contain a lease at the inception of such arrangements. A contract is or contains a lease if it conveys the right to control the use of an identified asset for a period of time in exchange for consideration.</w:t>
      </w:r>
    </w:p>
    <w:p>
      <w:pPr>
        <w:spacing w:after="0" w:line="150"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ROU assets and lease liabilities are recorded on the Consolidated Balance Sheet as of the lease commencement based on the present value of the future lease payments over the lease term. As our leases do not generally explicitly state the discount rate implicit in the lease, we use our incremental borrowing rate, which is determined based on the rate of interest that the Company would have to pay to borrow an amount equal to the lease payments on a collateralized basis over a similar term as of the lease commencement date. In addition to the present value of the future lease payments, the calculation of the ROU asset also includes lease payments made at or before the commencement date of the lease, less any lease incentives received. The remaining lease cost is amortized over the remaining life of the lease on a straight-line basis. We evaluate ROU assets for impairment consistent with the treatment of other long-lived assets.</w:t>
      </w:r>
    </w:p>
    <w:p>
      <w:pPr>
        <w:spacing w:after="0" w:line="153"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Some of our leases include options to extend the lease terms or to terminate the lease early. We include the impact of the option in the determination of the ROU assets and liabilities when it is reasonably certain that we will exercise the option. Our lease payments are largely fixed, but may include variable payments that do not depend on an index or rate, such as usage-based amounts,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522" w:right="339" w:bottom="1440" w:gutter="0" w:footer="0" w:header="0"/>
        </w:sectPr>
      </w:pPr>
    </w:p>
    <w:bookmarkStart w:id="227" w:name="page228"/>
    <w:bookmarkEnd w:id="227"/>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recorded as a lease expense in the period incurred. The Company’s lease agreements do not contain any material residual value guarantees or restrictive covenants.</w:t>
      </w:r>
    </w:p>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2019, we have entered into a sale-leaseback transaction related to a facility in Milwaukee, WI. We have analyzed the transaction and determined the criteria to recognize a sale has been met and we have derecognized the related assets. The arrangement does not contain a repurchase option or other substantive obligations related to the property. Further, we have determined that the underlying lease meets the criteria to be classified as an operating lease. As a result, we have recognized an immaterial loss related to the transaction.</w:t>
      </w:r>
    </w:p>
    <w:p>
      <w:pPr>
        <w:spacing w:after="0" w:line="150"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As of December 31, 2020, the Company has not entered into any significant leases that have not yet commenced. We elected not to recognize a ROU asset and lease liability for leases with an initial term of 12 months or less. These leases are expensed on a straight-line basis over the lease term. The Company elected the practical expedient to not separate lease and non-lease components and to instead account for them as a single component. We have elected this practical expedient for all classes of assets.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Cost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total lease cost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6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Finance lease cost</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60" w:hanging="332"/>
        <w:spacing w:after="0" w:line="246" w:lineRule="auto"/>
        <w:tabs>
          <w:tab w:leader="none" w:pos="33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Operating lease expense is included within cost of products, cost of services or general and administrative expenses, dependent upon the nature and use of the ROU asset, in the Company’s Consolidated Statements of Earnings (Loss). Operating lease cost includes short-term leases of approximately $5 million and an insignificant amount of variable lease cost for both 2020 and 2019.</w:t>
      </w:r>
    </w:p>
    <w:p>
      <w:pPr>
        <w:spacing w:after="0" w:line="1" w:lineRule="exact"/>
        <w:rPr>
          <w:rFonts w:ascii="Arial" w:cs="Arial" w:eastAsia="Arial" w:hAnsi="Arial"/>
          <w:sz w:val="16"/>
          <w:szCs w:val="16"/>
          <w:color w:val="auto"/>
        </w:rPr>
      </w:pPr>
    </w:p>
    <w:p>
      <w:pPr>
        <w:jc w:val="both"/>
        <w:ind w:left="340" w:right="360" w:hanging="332"/>
        <w:spacing w:after="0" w:line="253" w:lineRule="auto"/>
        <w:tabs>
          <w:tab w:leader="none" w:pos="33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Finance lease expense is recorded as depreciation and amortization expense within cost of products, cost of services or general and administrative expenses, dependent upon the nature and use of the ROU asset and interest expense, net in the Company’s Consolidated Statements of Earnings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522" w:right="339" w:bottom="1440" w:gutter="0" w:footer="0" w:header="0"/>
        </w:sectPr>
      </w:pPr>
    </w:p>
    <w:bookmarkStart w:id="228" w:name="page229"/>
    <w:bookmarkEnd w:id="228"/>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Supplemental Balance Sheet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ROU 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leased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Finance</w:t>
            </w:r>
            <w:r>
              <w:rPr>
                <w:rFonts w:ascii="Arial" w:cs="Arial" w:eastAsia="Arial" w:hAnsi="Arial"/>
                <w:sz w:val="23"/>
                <w:szCs w:val="23"/>
                <w:color w:val="auto"/>
                <w:vertAlign w:val="superscript"/>
              </w:rPr>
              <w:t>(2)</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17145</wp:posOffset>
            </wp:positionV>
            <wp:extent cx="206565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65655" cy="3429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380" w:hanging="332"/>
        <w:spacing w:after="0" w:line="246" w:lineRule="auto"/>
        <w:tabs>
          <w:tab w:leader="none" w:pos="3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Operating lease assets are included within other noncurrent assets and operating lease liabilities are included within other current liabilities (current portion) and other noncurrent liabilities (noncurrent portion) in the Company’s Consolidated Balance Sheet.</w:t>
      </w:r>
    </w:p>
    <w:p>
      <w:pPr>
        <w:ind w:left="340" w:right="200" w:hanging="332"/>
        <w:spacing w:after="0" w:line="260" w:lineRule="auto"/>
        <w:tabs>
          <w:tab w:leader="none" w:pos="3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Finance lease assets are included within property, plant and equipment, net and finance lease liabilities are included within short-term borrowings and current portion of long-term debt (current portion) and long-term debt (noncurrent portion) in the Company’s Consolidated Balance Sheet.</w:t>
      </w:r>
    </w:p>
    <w:p>
      <w:pPr>
        <w:spacing w:after="0" w:line="1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Supplemental Cash Flow Information</w:t>
      </w:r>
    </w:p>
    <w:p>
      <w:pPr>
        <w:spacing w:after="0" w:line="19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Supplemental cash flow information related to leases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522" w:right="339" w:bottom="1440" w:gutter="0" w:footer="0" w:header="0"/>
        </w:sectPr>
      </w:pPr>
    </w:p>
    <w:bookmarkStart w:id="229" w:name="page230"/>
    <w:bookmarkEnd w:id="229"/>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Weighted Average Lease Term and Discount Rate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terms and discount rates related to leases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21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189"/>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180" w:type="dxa"/>
            <w:vAlign w:val="bottom"/>
            <w:gridSpan w:val="3"/>
          </w:tcPr>
          <w:p>
            <w:pPr>
              <w:jc w:val="right"/>
              <w:ind w:right="640"/>
              <w:spacing w:after="0"/>
              <w:rPr>
                <w:sz w:val="20"/>
                <w:szCs w:val="20"/>
                <w:color w:val="auto"/>
              </w:rPr>
            </w:pPr>
            <w:r>
              <w:rPr>
                <w:rFonts w:ascii="Arial" w:cs="Arial" w:eastAsia="Arial" w:hAnsi="Arial"/>
                <w:sz w:val="18"/>
                <w:szCs w:val="18"/>
                <w:color w:val="auto"/>
              </w:rPr>
              <w:t>5 years</w:t>
            </w:r>
          </w:p>
        </w:tc>
        <w:tc>
          <w:tcPr>
            <w:tcW w:w="104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 years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years</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As of December 31, 2020, future minimum rental payments on leases with initial non-cancellable lease terms in excess of one year were due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7"/>
                <w:szCs w:val="17"/>
                <w:color w:val="auto"/>
              </w:rPr>
            </w:pPr>
          </w:p>
        </w:tc>
        <w:tc>
          <w:tcPr>
            <w:tcW w:w="1400" w:type="dxa"/>
            <w:vAlign w:val="bottom"/>
          </w:tcPr>
          <w:p>
            <w:pPr>
              <w:jc w:val="right"/>
              <w:ind w:right="172"/>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36"/>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lease payments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Present value of lease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Long-term lease obligations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b w:val="1"/>
                <w:bCs w:val="1"/>
                <w:color w:val="auto"/>
              </w:rPr>
              <w:t>Note 10. Income Taxes</w:t>
            </w: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6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40" w:type="dxa"/>
            <w:vAlign w:val="bottom"/>
          </w:tcPr>
          <w:p>
            <w:pPr>
              <w:ind w:left="340"/>
              <w:spacing w:after="0"/>
              <w:rPr>
                <w:sz w:val="20"/>
                <w:szCs w:val="20"/>
                <w:color w:val="auto"/>
              </w:rPr>
            </w:pPr>
            <w:r>
              <w:rPr>
                <w:rFonts w:ascii="Arial" w:cs="Arial" w:eastAsia="Arial" w:hAnsi="Arial"/>
                <w:sz w:val="18"/>
                <w:szCs w:val="18"/>
                <w:color w:val="auto"/>
              </w:rPr>
              <w:t>Earnings (loss) before taxes consists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taxes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4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-3179445</wp:posOffset>
            </wp:positionV>
            <wp:extent cx="10033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522" w:right="339" w:bottom="1440" w:gutter="0" w:footer="0" w:header="0"/>
        </w:sectPr>
      </w:pPr>
    </w:p>
    <w:bookmarkStart w:id="230" w:name="page231"/>
    <w:bookmarkEnd w:id="230"/>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provision (benefit)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Pr>
          <w:p>
            <w:pPr>
              <w:ind w:left="2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340" w:type="dxa"/>
            <w:vAlign w:val="bottom"/>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340" w:type="dxa"/>
            <w:vAlign w:val="bottom"/>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from the statutory federal income tax rate to our effective income tax rate follows:</w:t>
      </w:r>
    </w:p>
    <w:p>
      <w:pPr>
        <w:spacing w:after="0" w:line="213"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r>
      <w:tr>
        <w:trPr>
          <w:trHeight w:val="249"/>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Statutory federal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State rate, net of federal benefit</w:t>
            </w:r>
          </w:p>
        </w:tc>
        <w:tc>
          <w:tcPr>
            <w:tcW w:w="6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Research &amp; development credit, net of reserves</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26.0 %</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Global intangible low taxed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Change in tax reserves</w:t>
            </w:r>
          </w:p>
        </w:tc>
        <w:tc>
          <w:tcPr>
            <w:tcW w:w="6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63"/>
        </w:trPr>
        <w:tc>
          <w:tcPr>
            <w:tcW w:w="60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21.1 %</w:t>
            </w:r>
          </w:p>
        </w:tc>
        <w:tc>
          <w:tcPr>
            <w:tcW w:w="8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41.2 %</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522" w:right="339" w:bottom="1440" w:gutter="0" w:footer="0" w:header="0"/>
        </w:sectPr>
      </w:pPr>
    </w:p>
    <w:bookmarkStart w:id="231" w:name="page232"/>
    <w:bookmarkEnd w:id="231"/>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Federal net operating losses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 net operating losses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Pension and post-retirement plans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Inventory capitalization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Disallowed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gross deferred tax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Our deferred tax balance associated with our retirement benefit plans includes a deferred tax asset of $14 million and $21 million as of December 31, 2020 and 2019, respectively, that are recorded in accumulated other comprehensive earnings to recognize the funded status of our retirement plans. See </w:t>
      </w:r>
      <w:r>
        <w:rPr>
          <w:rFonts w:ascii="Arial" w:cs="Arial" w:eastAsia="Arial" w:hAnsi="Arial"/>
          <w:sz w:val="18"/>
          <w:szCs w:val="18"/>
          <w:i w:val="1"/>
          <w:iCs w:val="1"/>
          <w:color w:val="auto"/>
        </w:rPr>
        <w:t>Note 12: Pension and Other Postretirement Benefits</w:t>
      </w:r>
      <w:r>
        <w:rPr>
          <w:rFonts w:ascii="Arial" w:cs="Arial" w:eastAsia="Arial" w:hAnsi="Arial"/>
          <w:sz w:val="18"/>
          <w:szCs w:val="18"/>
          <w:color w:val="auto"/>
        </w:rPr>
        <w:t xml:space="preserve"> for additional details. As of December 31, 2020 and 2019 the Company had U.S. federal net operating loss carryforwards of $131 million and $246 million, respectively, which we anticipate we will be able to apply prior to their expiration which commences in 2025. The annual utilization of approximately $34 million of certain our Federal net operating losses is subject to limitations under section 382 of the Internal Revenue Code. As of December 30, 2020 and 2019 we had apportioned state net operating loss carryforwards of $327 million and $ 325 million, respectively, substantially all of which are associated with jurisdictions in which we currently file and the Company expect to utilize prior to expiration. We have federal tax credit carryforwards that commence expiring in 2032, which we anticipate being able to utilize prior to their expiration.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Uncertainties</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231F20"/>
        </w:rPr>
        <w:t xml:space="preserve">The Company maintains reserves for uncertain tax positions related to unrecognized income tax benefits. These reserves involve considerable judgment and estimation and are evaluated by management at least quarterly based on the best information available. </w:t>
      </w:r>
      <w:r>
        <w:rPr>
          <w:rFonts w:ascii="Arial" w:cs="Arial" w:eastAsia="Arial" w:hAnsi="Arial"/>
          <w:sz w:val="18"/>
          <w:szCs w:val="18"/>
          <w:color w:val="000000"/>
        </w:rPr>
        <w:t>The</w:t>
      </w:r>
      <w:r>
        <w:rPr>
          <w:rFonts w:ascii="Arial" w:cs="Arial" w:eastAsia="Arial" w:hAnsi="Arial"/>
          <w:sz w:val="18"/>
          <w:szCs w:val="18"/>
          <w:color w:val="231F20"/>
        </w:rPr>
        <w:t xml:space="preserve"> </w:t>
      </w:r>
      <w:r>
        <w:rPr>
          <w:rFonts w:ascii="Arial" w:cs="Arial" w:eastAsia="Arial" w:hAnsi="Arial"/>
          <w:sz w:val="18"/>
          <w:szCs w:val="18"/>
          <w:color w:val="000000"/>
        </w:rPr>
        <w:t>Company’s total liability for unrecognized tax benefits as of December 31, 2020, 2019 and 2018 was approximately $25 million, $18 million and $14 million, respectively; all of which will impact the effective tax rate when recognized. Approximately $22 million, $16 million and $12 million as of December 31, 2020, 2019 and 2018, respectively, have been recorded within (and as an offset to) deferred tax assets. In addition, the Company does not believe there are any tax positions for which it is reasonably possible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522" w:right="339" w:bottom="1440" w:gutter="0" w:footer="0" w:header="0"/>
        </w:sectPr>
      </w:pPr>
    </w:p>
    <w:bookmarkStart w:id="232" w:name="page233"/>
    <w:bookmarkEnd w:id="232"/>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unrecognized tax benefits will vary significantly over the next 12 months. The table below summarizes the activity associated with our unrecognized tax benefits: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Increase related to prior year tax positions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related to current year tax positions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231F20"/>
        </w:rPr>
        <w:t>The Company is subject to U.S. federal income tax as well as income tax of multiple state and foreign jurisdictions. The Company has substantially concluded all U.S. federal income tax matters for years through the tax year ended December 31, 2016 except as it relates to the net operating loss carryforward and tax credit carryforwards. Substantially all material state and local matters have been concluded for years through the tax year ended December 31, 2015. The Company has substantially concluded all material tax matters in foreign jurisdictions for years through the tax years ending during 2016.</w:t>
      </w:r>
    </w:p>
    <w:p>
      <w:pPr>
        <w:spacing w:after="0" w:line="151" w:lineRule="exact"/>
        <w:rPr>
          <w:sz w:val="20"/>
          <w:szCs w:val="20"/>
          <w:color w:val="auto"/>
        </w:rPr>
      </w:pPr>
    </w:p>
    <w:p>
      <w:pPr>
        <w:ind w:right="80" w:firstLine="324"/>
        <w:spacing w:after="0" w:line="216" w:lineRule="exact"/>
        <w:rPr>
          <w:sz w:val="20"/>
          <w:szCs w:val="20"/>
          <w:color w:val="auto"/>
        </w:rPr>
      </w:pPr>
      <w:r>
        <w:rPr>
          <w:rFonts w:ascii="Arial" w:cs="Arial" w:eastAsia="Arial" w:hAnsi="Arial"/>
          <w:sz w:val="18"/>
          <w:szCs w:val="18"/>
          <w:color w:val="auto"/>
        </w:rPr>
        <w:t>As of December 31, 2020, the Company has accumulated undistributed earnings generated by our foreign subsidiaries and most have been taxed in the U.S. as a result of the Tax Cuts and Jobs Act of 2017 (the “TCJA”). The 2017 TCJA allows for a dividend received deduction for repatriation of foreign earnings. We intend to indefinitely reinvest these earnings. Should the Company’s undistributed earnings from its investment in non</w:t>
      </w:r>
      <w:r>
        <w:rPr>
          <w:rFonts w:ascii="MS PGothic" w:cs="MS PGothic" w:eastAsia="MS PGothic" w:hAnsi="MS PGothic"/>
          <w:sz w:val="18"/>
          <w:szCs w:val="18"/>
          <w:color w:val="auto"/>
        </w:rPr>
        <w:t>‐</w:t>
      </w:r>
      <w:r>
        <w:rPr>
          <w:rFonts w:ascii="Arial" w:cs="Arial" w:eastAsia="Arial" w:hAnsi="Arial"/>
          <w:sz w:val="18"/>
          <w:szCs w:val="18"/>
          <w:color w:val="auto"/>
        </w:rPr>
        <w:t>U.S. subsidiaries be distributed in the future in the form of dividends or otherwise, the Company may be subject to foreign and domestic income taxes and withholding taxes.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4.0% Term loan due December 31, 2021</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980" w:type="dxa"/>
            <w:vAlign w:val="bottom"/>
          </w:tcPr>
          <w:p>
            <w:pPr>
              <w:ind w:left="40"/>
              <w:spacing w:after="0"/>
              <w:rPr>
                <w:sz w:val="20"/>
                <w:szCs w:val="20"/>
                <w:color w:val="auto"/>
              </w:rPr>
            </w:pPr>
            <w:r>
              <w:rPr>
                <w:rFonts w:ascii="Arial" w:cs="Arial" w:eastAsia="Arial" w:hAnsi="Arial"/>
                <w:sz w:val="18"/>
                <w:szCs w:val="18"/>
                <w:color w:val="auto"/>
              </w:rPr>
              <w:t>7.5% Term loan due November 30, 2022</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5.0% Daylight term loan due October 15, 2024</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Finance lease and other</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Total debt principal</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 and discounts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Total debt,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Total long-term debt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-1938020</wp:posOffset>
            </wp:positionV>
            <wp:extent cx="7140575" cy="1628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1628775"/>
                    </a:xfrm>
                    <a:prstGeom prst="rect">
                      <a:avLst/>
                    </a:prstGeom>
                    <a:noFill/>
                  </pic:spPr>
                </pic:pic>
              </a:graphicData>
            </a:graphic>
          </wp:anchor>
        </w:drawing>
      </w:r>
    </w:p>
    <w:p>
      <w:pPr>
        <w:ind w:left="320" w:hanging="312"/>
        <w:spacing w:after="0"/>
        <w:tabs>
          <w:tab w:leader="none" w:pos="3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Company’s debt with related parties consists of two term loans and a working capital credit facility with US Holding, as described below.</w:t>
      </w:r>
    </w:p>
    <w:p>
      <w:pPr>
        <w:spacing w:after="0" w:line="14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Term Loans</w:t>
      </w:r>
    </w:p>
    <w:p>
      <w:pPr>
        <w:spacing w:after="0" w:line="193"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In January 2009, the Company entered into a credit agreement with its ultimate parent company, Finmeccanica S.p.A. (presently Leonardo S.p.A.) in the amount of $2 billion (the “2009 Credit Agreement”). The 2009 Credit Agreement was subsequently assigned to US Holding and has a maturity of November 30, 2022. The 2009 Credit Agreement provides for a term loan bearing interest at a rate of</w:t>
      </w:r>
    </w:p>
    <w:p>
      <w:pPr>
        <w:sectPr>
          <w:pgSz w:w="11900" w:h="16838" w:orient="portrait"/>
          <w:cols w:equalWidth="0" w:num="1">
            <w:col w:w="11260"/>
          </w:cols>
          <w:pgMar w:left="320" w:top="5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260"/>
          </w:cols>
          <w:pgMar w:left="320" w:top="522" w:right="319" w:bottom="1440" w:gutter="0" w:footer="0" w:header="0"/>
          <w:type w:val="continuous"/>
        </w:sectPr>
      </w:pPr>
    </w:p>
    <w:bookmarkStart w:id="233" w:name="page234"/>
    <w:bookmarkEnd w:id="233"/>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7.5%, with interest payments due semi-annually on June 20 and December 20 in each year (the “7.5% Term loan”). The outstanding balance of the 7.5% Term loan at December 31, 2020 and 2019 was $139 million and $ 439 million, respectively. The fair value of this term loan at December 31, 2020 and 2019 was $182 million and $537 million, respectively; however the Company has the ability to prepay the outstanding principal balance at the carrying amount without penalty. During 2020, US Holding forgave $300 million of related party debt. This was treated as a capital transaction and the amount was recorded in additional paid-in capital, as US Holding is a related party.</w:t>
      </w:r>
    </w:p>
    <w:p>
      <w:pPr>
        <w:spacing w:after="0" w:line="15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June 2017, the Company entered into an unsecured term loan with US Holding in the principal amount of $137.5 million, the proceeds of which were used to finance the acquisition of Daylight Solutions, Inc. (the “Daylight Term Loan”). The Daylight Term Loan had an outstanding balance of $98 million and $ 113 million at December 31, 2020 and 2019, respectively, which approximates its fair value. The Daylight Term Loan matures on October 15, 2024. The Daylight Term Loan has an interest rate of 5.0%, with interest payments due semi-annually on April 15 and October 15.</w:t>
      </w:r>
    </w:p>
    <w:p>
      <w:pPr>
        <w:spacing w:after="0" w:line="151"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During April 2018, the Company was advanced an additional $50 million by US Holding under a term loan. This term loan bears interest at 4.0% and had an initial maturity date of December 31, 2018, which was extended until December 31, 2021. This term loan was repaid in full, with no prepayment penalty, on December 19,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2009 Credit Agreement provides for a revolving credit facility available for working capital needs of the Company (the “Revolving Credit Facility”). As of December 31, 2020 and 2019, the Revolving Credit Facility had a credit limit of $450 million and $350 million, respectively, and an interest rate of LIBOR plus 3.5%. There is a commitment fee of 0.25% applied to the unused balance of the Revolving Credit Facility and there are no compensating balance requirements. There was no balance on the Revolving Credit Facility as of December 31, 2020 and 2019.</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also maintains uncommitted working capital credit facilities with certain financial institutions in the aggregate of $60 million and $65 million at December 31, 2020 and 2019, respectively (the “Financial Institution Credit Facilities”). The Financial Institution Credit Facilities are guaranteed by Leonardo S.p.A. The primary purpose of the Financial Institution Credit Facilities is to support standby letter of credit issuances on contracts with customers and also includes a revolving facility with a maximum borrowing limit of $15 million, which bears interest at LIBOR plus 0.5%. At December 31, 2020 and December 31, 2019, there was no balance outstanding on the revolving facility. The Company had letters of credit outstanding of approximately $31 million and $30 million as of December 31, 2020 and 2019, respectively, which reduces the available capacity of the Financial Institution Credit Facilities by an equal amount.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Finance Lease and Other</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of December 31, 2020, finance lease and other includes approximately $114 million related to finance lease liabilities and $49 million related to our Menomonee Falls manufacturing facility, which has been accounted for as a build-to-suit lease with a failed sale leaseback. Approximately $5 million has been recognized as the current portion of long-term debt for the finance lease liabilities and financing liability related to the build-to-suit arrangement.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As of December 31, 2020 and 2019, the Company recognized $27 million and $38 million, respectively, collected on behalf of the buyers of our trade receivables pursuant to our factoring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522" w:right="359" w:bottom="1440" w:gutter="0" w:footer="0" w:header="0"/>
        </w:sectPr>
      </w:pPr>
    </w:p>
    <w:bookmarkStart w:id="234" w:name="page235"/>
    <w:bookmarkEnd w:id="234"/>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arrangements as short-term borrowings and current portion of long-term debt in the Consolidated Balance Sheet, which approximates its fair value. Refer to </w:t>
      </w:r>
      <w:r>
        <w:rPr>
          <w:rFonts w:ascii="Arial" w:cs="Arial" w:eastAsia="Arial" w:hAnsi="Arial"/>
          <w:sz w:val="18"/>
          <w:szCs w:val="18"/>
          <w:i w:val="1"/>
          <w:iCs w:val="1"/>
          <w:color w:val="auto"/>
        </w:rPr>
        <w:t>Note 3: Accounts Receivable</w:t>
      </w:r>
      <w:r>
        <w:rPr>
          <w:rFonts w:ascii="Arial" w:cs="Arial" w:eastAsia="Arial" w:hAnsi="Arial"/>
          <w:sz w:val="18"/>
          <w:szCs w:val="18"/>
          <w:color w:val="auto"/>
        </w:rPr>
        <w:t xml:space="preserve"> for more information.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Paid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interest paid associated with our debt was $64 million, $65 million and $58 million in 2020, 2019 and 2018,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Maturities of long-term debt as of December 31, 2020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966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principal payments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 and Other Postretirement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Plan Summary Information</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The Company maintains multiple pension plans, both contributory and non-contributory, covering employees at certain locations. Eligibility requirements for participation in the plans vary, and benefits generally are based on the participant's compensation and years of service, as defined in the respective plan. The Company's funding policy generally is to contribute in accordance with cost accounting standards that affect government contractors, subject to the Tax Code and regulations thereunder. Plan assets are invested primarily in equities, bonds (both corporate and U.S. government), U.S. government-sponsored entity instruments, cash and cash equivalents and real estate.</w:t>
      </w:r>
    </w:p>
    <w:p>
      <w:pPr>
        <w:spacing w:after="0" w:line="15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Company also provides postretirement medical benefits for certain retired employees and dependents at certain locations. Participants are eligible for these benefits when they retire from active service and meet the eligibility requirements for the Company's postretirement benefit plans. The Company's contractual arrangements with the U.S. government provide for the recovery of contributions to a Voluntary Employees' Beneficiary Association (“VEBA”) trust and, for non-funded plans, recovery of claims on a pay-as-you-go basis, subject to the Tax Code and regulations thereunder, with the retiree generally paying a portion of the costs through contributions, deductibles and coinsurance provisions.</w:t>
      </w:r>
    </w:p>
    <w:p>
      <w:pPr>
        <w:spacing w:after="0" w:line="154"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The Company also maintains certain non-contributory and unfunded supplemental retirement plans. Eligibility for participation in the supplemental retirement plans is limited, and benefits generally are based on the participant's compensation and/or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522" w:right="339" w:bottom="1440" w:gutter="0" w:footer="0" w:header="0"/>
        </w:sectPr>
      </w:pPr>
    </w:p>
    <w:bookmarkStart w:id="235" w:name="page236"/>
    <w:bookmarkEnd w:id="235"/>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tables provide certain information regarding the Company's pension, postretirement and supplemental retirement plans as of December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Defined Benefit Pension Plans</w:t>
            </w:r>
          </w:p>
        </w:tc>
        <w:tc>
          <w:tcPr>
            <w:tcW w:w="200" w:type="dxa"/>
            <w:vAlign w:val="bottom"/>
          </w:tcPr>
          <w:p>
            <w:pPr>
              <w:spacing w:after="0"/>
              <w:rPr>
                <w:sz w:val="17"/>
                <w:szCs w:val="17"/>
                <w:color w:val="auto"/>
              </w:rPr>
            </w:pPr>
          </w:p>
        </w:tc>
        <w:tc>
          <w:tcPr>
            <w:tcW w:w="2440" w:type="dxa"/>
            <w:vAlign w:val="bottom"/>
            <w:gridSpan w:val="5"/>
          </w:tcPr>
          <w:p>
            <w:pPr>
              <w:ind w:left="60"/>
              <w:spacing w:after="0"/>
              <w:rPr>
                <w:sz w:val="20"/>
                <w:szCs w:val="20"/>
                <w:color w:val="auto"/>
              </w:rPr>
            </w:pPr>
            <w:r>
              <w:rPr>
                <w:rFonts w:ascii="Arial" w:cs="Arial" w:eastAsia="Arial" w:hAnsi="Arial"/>
                <w:sz w:val="14"/>
                <w:szCs w:val="14"/>
                <w:b w:val="1"/>
                <w:bCs w:val="1"/>
                <w:color w:val="auto"/>
              </w:rPr>
              <w:t>Postretirement Benefit Plans</w:t>
            </w:r>
          </w:p>
        </w:tc>
        <w:tc>
          <w:tcPr>
            <w:tcW w:w="140" w:type="dxa"/>
            <w:vAlign w:val="bottom"/>
          </w:tcPr>
          <w:p>
            <w:pPr>
              <w:spacing w:after="0"/>
              <w:rPr>
                <w:sz w:val="17"/>
                <w:szCs w:val="17"/>
                <w:color w:val="auto"/>
              </w:rPr>
            </w:pPr>
          </w:p>
        </w:tc>
        <w:tc>
          <w:tcPr>
            <w:tcW w:w="236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Supplemental Retirement Plans</w:t>
            </w:r>
          </w:p>
        </w:tc>
      </w:tr>
      <w:tr>
        <w:trPr>
          <w:trHeight w:val="209"/>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3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 participants'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Actuarial (gain) loss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(Gain) loss due to settlement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 amendments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Exchange rate differences and other</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 obligation at end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of plan assets at beginning</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4"/>
        </w:trPr>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 participants'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(Loss) gain due to settlement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Exchange rate differences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Fair value of plan assets at end of year</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Contributions between measurement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4"/>
        </w:trPr>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date and year end</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3460" w:type="dxa"/>
            <w:vAlign w:val="bottom"/>
          </w:tcPr>
          <w:p>
            <w:pPr>
              <w:ind w:left="260"/>
              <w:spacing w:after="0"/>
              <w:rPr>
                <w:sz w:val="20"/>
                <w:szCs w:val="20"/>
                <w:color w:val="auto"/>
              </w:rPr>
            </w:pPr>
            <w:r>
              <w:rPr>
                <w:rFonts w:ascii="Arial" w:cs="Arial" w:eastAsia="Arial" w:hAnsi="Arial"/>
                <w:sz w:val="18"/>
                <w:szCs w:val="18"/>
                <w:color w:val="auto"/>
              </w:rPr>
              <w:t>Funded status of the plans at year end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recognized in the Consolidated Balance Sheet, as of December 31, 2020 and 2019 consist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Defined Benefit Pension Plans</w:t>
            </w:r>
          </w:p>
        </w:tc>
        <w:tc>
          <w:tcPr>
            <w:tcW w:w="200" w:type="dxa"/>
            <w:vAlign w:val="bottom"/>
          </w:tcPr>
          <w:p>
            <w:pPr>
              <w:spacing w:after="0"/>
              <w:rPr>
                <w:sz w:val="17"/>
                <w:szCs w:val="17"/>
                <w:color w:val="auto"/>
              </w:rPr>
            </w:pPr>
          </w:p>
        </w:tc>
        <w:tc>
          <w:tcPr>
            <w:tcW w:w="2460" w:type="dxa"/>
            <w:vAlign w:val="bottom"/>
            <w:gridSpan w:val="5"/>
          </w:tcPr>
          <w:p>
            <w:pPr>
              <w:ind w:left="80"/>
              <w:spacing w:after="0"/>
              <w:rPr>
                <w:sz w:val="20"/>
                <w:szCs w:val="20"/>
                <w:color w:val="auto"/>
              </w:rPr>
            </w:pPr>
            <w:r>
              <w:rPr>
                <w:rFonts w:ascii="Arial" w:cs="Arial" w:eastAsia="Arial" w:hAnsi="Arial"/>
                <w:sz w:val="14"/>
                <w:szCs w:val="14"/>
                <w:b w:val="1"/>
                <w:bCs w:val="1"/>
                <w:color w:val="auto"/>
              </w:rPr>
              <w:t>Postretirement Benefit Plans</w:t>
            </w:r>
          </w:p>
        </w:tc>
        <w:tc>
          <w:tcPr>
            <w:tcW w:w="140" w:type="dxa"/>
            <w:vAlign w:val="bottom"/>
          </w:tcPr>
          <w:p>
            <w:pPr>
              <w:spacing w:after="0"/>
              <w:rPr>
                <w:sz w:val="17"/>
                <w:szCs w:val="17"/>
                <w:color w:val="auto"/>
              </w:rPr>
            </w:pPr>
          </w:p>
        </w:tc>
        <w:tc>
          <w:tcPr>
            <w:tcW w:w="238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Supplemental Retirement Plans</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49"/>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r>
      <w:tr>
        <w:trPr>
          <w:trHeight w:val="26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Net liability recognized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r>
      <w:tr>
        <w:trPr>
          <w:trHeight w:val="20"/>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522" w:right="339" w:bottom="1440" w:gutter="0" w:footer="0" w:header="0"/>
        </w:sectPr>
      </w:pPr>
    </w:p>
    <w:bookmarkStart w:id="236" w:name="page237"/>
    <w:bookmarkEnd w:id="236"/>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recognized in accumulated other comprehensive earnings (before taxes) at December 31, 2020 and 2019 consist of:</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b w:val="1"/>
                <w:bCs w:val="1"/>
                <w:color w:val="auto"/>
              </w:rPr>
              <w:t>Defined Benefit Pension Plans</w:t>
            </w:r>
          </w:p>
        </w:tc>
        <w:tc>
          <w:tcPr>
            <w:tcW w:w="27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Postretirement Benefit Plans</w:t>
            </w:r>
          </w:p>
        </w:tc>
        <w:tc>
          <w:tcPr>
            <w:tcW w:w="25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Supplemental Retirement Plans</w:t>
            </w:r>
          </w:p>
        </w:tc>
      </w:tr>
      <w:tr>
        <w:trPr>
          <w:trHeight w:val="203"/>
        </w:trPr>
        <w:tc>
          <w:tcPr>
            <w:tcW w:w="32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26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26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Prior service cost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actuarial loss (gain)</w:t>
      </w:r>
    </w:p>
    <w:p>
      <w:pPr>
        <w:spacing w:after="0" w:line="28" w:lineRule="exact"/>
        <w:rPr>
          <w:sz w:val="20"/>
          <w:szCs w:val="20"/>
          <w:color w:val="auto"/>
        </w:rPr>
      </w:pPr>
    </w:p>
    <w:p>
      <w:pPr>
        <w:ind w:left="360" w:hanging="161"/>
        <w:spacing w:after="0" w:line="242" w:lineRule="auto"/>
        <w:rPr>
          <w:sz w:val="20"/>
          <w:szCs w:val="20"/>
          <w:color w:val="auto"/>
        </w:rPr>
      </w:pPr>
      <w:r>
        <w:rPr>
          <w:rFonts w:ascii="Arial" w:cs="Arial" w:eastAsia="Arial" w:hAnsi="Arial"/>
          <w:sz w:val="17"/>
          <w:szCs w:val="17"/>
          <w:b w:val="1"/>
          <w:bCs w:val="1"/>
          <w:color w:val="auto"/>
        </w:rPr>
        <w:t>Total amount recognized in accumulated other comprehensive losses (earnings)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   $</w:t>
            </w:r>
          </w:p>
        </w:tc>
        <w:tc>
          <w:tcPr>
            <w:tcW w:w="1400" w:type="dxa"/>
            <w:vAlign w:val="bottom"/>
            <w:gridSpan w:val="3"/>
          </w:tcPr>
          <w:p>
            <w:pPr>
              <w:jc w:val="right"/>
              <w:ind w:right="310"/>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270"/>
              <w:spacing w:after="0"/>
              <w:rPr>
                <w:sz w:val="20"/>
                <w:szCs w:val="20"/>
                <w:color w:val="auto"/>
              </w:rPr>
            </w:pPr>
            <w:r>
              <w:rPr>
                <w:rFonts w:ascii="Arial" w:cs="Arial" w:eastAsia="Arial" w:hAnsi="Arial"/>
                <w:sz w:val="18"/>
                <w:szCs w:val="18"/>
                <w:color w:val="auto"/>
              </w:rPr>
              <w:t>—   $</w:t>
            </w:r>
          </w:p>
        </w:tc>
        <w:tc>
          <w:tcPr>
            <w:tcW w:w="1340" w:type="dxa"/>
            <w:vAlign w:val="bottom"/>
            <w:gridSpan w:val="3"/>
          </w:tcPr>
          <w:p>
            <w:pPr>
              <w:jc w:val="right"/>
              <w:ind w:right="290"/>
              <w:spacing w:after="0"/>
              <w:rPr>
                <w:sz w:val="20"/>
                <w:szCs w:val="20"/>
                <w:color w:val="auto"/>
              </w:rPr>
            </w:pPr>
            <w:r>
              <w:rPr>
                <w:rFonts w:ascii="Arial" w:cs="Arial" w:eastAsia="Arial" w:hAnsi="Arial"/>
                <w:sz w:val="18"/>
                <w:szCs w:val="18"/>
                <w:color w:val="auto"/>
              </w:rPr>
              <w:t>—   $</w:t>
            </w:r>
          </w:p>
        </w:tc>
        <w:tc>
          <w:tcPr>
            <w:tcW w:w="1320" w:type="dxa"/>
            <w:vAlign w:val="bottom"/>
            <w:gridSpan w:val="3"/>
          </w:tcPr>
          <w:p>
            <w:pPr>
              <w:jc w:val="right"/>
              <w:ind w:right="290"/>
              <w:spacing w:after="0"/>
              <w:rPr>
                <w:sz w:val="20"/>
                <w:szCs w:val="20"/>
                <w:color w:val="auto"/>
              </w:rPr>
            </w:pPr>
            <w:r>
              <w:rPr>
                <w:rFonts w:ascii="Arial" w:cs="Arial" w:eastAsia="Arial" w:hAnsi="Arial"/>
                <w:sz w:val="18"/>
                <w:szCs w:val="18"/>
                <w:color w:val="auto"/>
              </w:rPr>
              <w:t>—   $</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52</w:t>
            </w:r>
          </w:p>
        </w:tc>
        <w:tc>
          <w:tcPr>
            <w:tcW w:w="54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7"/>
        </w:trPr>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52</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
        </w:trPr>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-385445</wp:posOffset>
            </wp:positionV>
            <wp:extent cx="7132320"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3">
            <w:col w:w="3200" w:space="100"/>
            <w:col w:w="100" w:space="720"/>
            <w:col w:w="7120"/>
          </w:cols>
          <w:pgMar w:left="320" w:top="522" w:right="339" w:bottom="1440" w:gutter="0" w:footer="0" w:header="0"/>
          <w:type w:val="continuous"/>
        </w:sectPr>
      </w:pPr>
    </w:p>
    <w:p>
      <w:pPr>
        <w:ind w:right="80" w:firstLine="324"/>
        <w:spacing w:after="0" w:line="254" w:lineRule="auto"/>
        <w:rPr>
          <w:sz w:val="20"/>
          <w:szCs w:val="20"/>
          <w:color w:val="auto"/>
        </w:rPr>
      </w:pPr>
      <w:r>
        <w:rPr>
          <w:rFonts w:ascii="Arial" w:cs="Arial" w:eastAsia="Arial" w:hAnsi="Arial"/>
          <w:sz w:val="18"/>
          <w:szCs w:val="18"/>
          <w:color w:val="auto"/>
        </w:rPr>
        <w:t>The aggregate accumulated benefit obligation (“ABO”) for the Company's defined benefit pension plans combined was $249 million and $285 million at December 31, 2020 and 2019, respectively. The ABO represents benefits accrued without assuming future compensation increases to plan participants and is approximately equal to our projected benefit obligation (“PBO”).The table below presents information for the pension plans with an ABO and PBO in excess of the fair value of plan assets at December 31, 2020 and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7"/>
                <w:szCs w:val="17"/>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7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following table summarizes the weighted average actuarial assumptions used to determine our benefit obligations at December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20" w:type="dxa"/>
            <w:vAlign w:val="bottom"/>
          </w:tcPr>
          <w:p>
            <w:pPr>
              <w:spacing w:after="0"/>
              <w:rPr>
                <w:sz w:val="17"/>
                <w:szCs w:val="17"/>
                <w:color w:val="auto"/>
              </w:rPr>
            </w:pPr>
          </w:p>
        </w:tc>
        <w:tc>
          <w:tcPr>
            <w:tcW w:w="2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Defined Benefit Pension Plans</w:t>
            </w:r>
          </w:p>
        </w:tc>
        <w:tc>
          <w:tcPr>
            <w:tcW w:w="10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Postretirement Benefit Plans</w:t>
            </w:r>
          </w:p>
        </w:tc>
        <w:tc>
          <w:tcPr>
            <w:tcW w:w="80" w:type="dxa"/>
            <w:vAlign w:val="bottom"/>
          </w:tcPr>
          <w:p>
            <w:pPr>
              <w:spacing w:after="0"/>
              <w:rPr>
                <w:sz w:val="17"/>
                <w:szCs w:val="17"/>
                <w:color w:val="auto"/>
              </w:rPr>
            </w:pPr>
          </w:p>
        </w:tc>
        <w:tc>
          <w:tcPr>
            <w:tcW w:w="28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Supplemental Retirement Plans</w:t>
            </w:r>
          </w:p>
        </w:tc>
      </w:tr>
      <w:tr>
        <w:trPr>
          <w:trHeight w:val="209"/>
        </w:trPr>
        <w:tc>
          <w:tcPr>
            <w:tcW w:w="3540" w:type="dxa"/>
            <w:vAlign w:val="bottom"/>
            <w:gridSpan w:val="2"/>
          </w:tcPr>
          <w:p>
            <w:pPr>
              <w:ind w:left="3220"/>
              <w:spacing w:after="0"/>
              <w:rPr>
                <w:sz w:val="20"/>
                <w:szCs w:val="20"/>
                <w:color w:val="auto"/>
              </w:rPr>
            </w:pPr>
            <w:r>
              <w:rPr>
                <w:rFonts w:ascii="Arial" w:cs="Arial" w:eastAsia="Arial" w:hAnsi="Arial"/>
                <w:sz w:val="14"/>
                <w:szCs w:val="14"/>
                <w:b w:val="1"/>
                <w:bCs w:val="1"/>
                <w:color w:val="auto"/>
                <w:w w:val="96"/>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5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3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1360" w:type="dxa"/>
            <w:vAlign w:val="bottom"/>
          </w:tcPr>
          <w:p>
            <w:pPr>
              <w:ind w:left="5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360" w:type="dxa"/>
            <w:vAlign w:val="bottom"/>
          </w:tcPr>
          <w:p>
            <w:pPr>
              <w:ind w:left="520"/>
              <w:spacing w:after="0"/>
              <w:rPr>
                <w:sz w:val="20"/>
                <w:szCs w:val="20"/>
                <w:color w:val="auto"/>
              </w:rPr>
            </w:pPr>
            <w:r>
              <w:rPr>
                <w:rFonts w:ascii="Arial" w:cs="Arial" w:eastAsia="Arial" w:hAnsi="Arial"/>
                <w:sz w:val="14"/>
                <w:szCs w:val="14"/>
                <w:b w:val="1"/>
                <w:bCs w:val="1"/>
                <w:color w:val="auto"/>
              </w:rPr>
              <w:t>2019</w:t>
            </w:r>
          </w:p>
        </w:tc>
      </w:tr>
      <w:tr>
        <w:trPr>
          <w:trHeight w:val="236"/>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Rate assumptions</w:t>
            </w: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500" w:type="dxa"/>
            <w:vAlign w:val="bottom"/>
          </w:tcPr>
          <w:p>
            <w:pPr>
              <w:ind w:left="20"/>
              <w:spacing w:after="0"/>
              <w:rPr>
                <w:sz w:val="20"/>
                <w:szCs w:val="20"/>
                <w:color w:val="auto"/>
              </w:rPr>
            </w:pPr>
            <w:r>
              <w:rPr>
                <w:rFonts w:ascii="Arial" w:cs="Arial" w:eastAsia="Arial" w:hAnsi="Arial"/>
                <w:sz w:val="18"/>
                <w:szCs w:val="18"/>
                <w:color w:val="auto"/>
                <w:w w:val="99"/>
              </w:rPr>
              <w:t>2.4 %</w:t>
            </w:r>
          </w:p>
        </w:tc>
        <w:tc>
          <w:tcPr>
            <w:tcW w:w="100" w:type="dxa"/>
            <w:vAlign w:val="bottom"/>
          </w:tcPr>
          <w:p>
            <w:pPr>
              <w:spacing w:after="0"/>
              <w:rPr>
                <w:sz w:val="21"/>
                <w:szCs w:val="21"/>
                <w:color w:val="auto"/>
              </w:rPr>
            </w:pPr>
          </w:p>
        </w:tc>
        <w:tc>
          <w:tcPr>
            <w:tcW w:w="1320" w:type="dxa"/>
            <w:vAlign w:val="bottom"/>
          </w:tcPr>
          <w:p>
            <w:pPr>
              <w:ind w:left="840"/>
              <w:spacing w:after="0"/>
              <w:rPr>
                <w:sz w:val="20"/>
                <w:szCs w:val="20"/>
                <w:color w:val="auto"/>
              </w:rPr>
            </w:pPr>
            <w:r>
              <w:rPr>
                <w:rFonts w:ascii="Arial" w:cs="Arial" w:eastAsia="Arial" w:hAnsi="Arial"/>
                <w:sz w:val="18"/>
                <w:szCs w:val="18"/>
                <w:color w:val="auto"/>
                <w:w w:val="99"/>
              </w:rPr>
              <w:t>2.7 %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21"/>
                <w:szCs w:val="21"/>
                <w:color w:val="auto"/>
              </w:rPr>
            </w:pPr>
          </w:p>
        </w:tc>
        <w:tc>
          <w:tcPr>
            <w:tcW w:w="1360" w:type="dxa"/>
            <w:vAlign w:val="bottom"/>
          </w:tcPr>
          <w:p>
            <w:pPr>
              <w:ind w:left="860"/>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21"/>
                <w:szCs w:val="21"/>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w w:val="99"/>
              </w:rPr>
              <w:t>2.6 %</w:t>
            </w:r>
          </w:p>
        </w:tc>
      </w:tr>
      <w:tr>
        <w:trPr>
          <w:trHeight w:val="27"/>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in future compensation</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4"/>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levels</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4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9"/>
              </w:rPr>
              <w:t>N/A</w:t>
            </w:r>
          </w:p>
        </w:tc>
      </w:tr>
      <w:tr>
        <w:trPr>
          <w:trHeight w:val="242"/>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Expected long-term return on</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7"/>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plan assets</w:t>
            </w:r>
          </w:p>
        </w:tc>
        <w:tc>
          <w:tcPr>
            <w:tcW w:w="500" w:type="dxa"/>
            <w:vAlign w:val="bottom"/>
          </w:tcPr>
          <w:p>
            <w:pPr>
              <w:ind w:left="20"/>
              <w:spacing w:after="0"/>
              <w:rPr>
                <w:sz w:val="20"/>
                <w:szCs w:val="20"/>
                <w:color w:val="auto"/>
              </w:rPr>
            </w:pPr>
            <w:r>
              <w:rPr>
                <w:rFonts w:ascii="Arial" w:cs="Arial" w:eastAsia="Arial" w:hAnsi="Arial"/>
                <w:sz w:val="18"/>
                <w:szCs w:val="18"/>
                <w:color w:val="auto"/>
                <w:w w:val="99"/>
              </w:rPr>
              <w:t>6.4 %</w:t>
            </w:r>
          </w:p>
        </w:tc>
        <w:tc>
          <w:tcPr>
            <w:tcW w:w="10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8"/>
                <w:szCs w:val="18"/>
                <w:color w:val="auto"/>
                <w:w w:val="99"/>
              </w:rPr>
              <w:t>6.3 %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5.8 %</w:t>
            </w:r>
          </w:p>
        </w:tc>
        <w:tc>
          <w:tcPr>
            <w:tcW w:w="80" w:type="dxa"/>
            <w:vAlign w:val="bottom"/>
          </w:tcPr>
          <w:p>
            <w:pPr>
              <w:spacing w:after="0"/>
              <w:rPr>
                <w:sz w:val="18"/>
                <w:szCs w:val="18"/>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360" w:type="dxa"/>
            <w:vAlign w:val="bottom"/>
          </w:tcPr>
          <w:p>
            <w:pPr>
              <w:ind w:left="1040"/>
              <w:spacing w:after="0"/>
              <w:rPr>
                <w:sz w:val="20"/>
                <w:szCs w:val="20"/>
                <w:color w:val="auto"/>
              </w:rPr>
            </w:pPr>
            <w:r>
              <w:rPr>
                <w:rFonts w:ascii="Arial" w:cs="Arial" w:eastAsia="Arial" w:hAnsi="Arial"/>
                <w:sz w:val="18"/>
                <w:szCs w:val="18"/>
                <w:color w:val="auto"/>
                <w:w w:val="99"/>
              </w:rPr>
              <w:t>N/A</w:t>
            </w:r>
          </w:p>
        </w:tc>
      </w:tr>
      <w:tr>
        <w:trPr>
          <w:trHeight w:val="27"/>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 care trend rate assumed</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4"/>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next year</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4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9"/>
              </w:rPr>
              <w:t>N/A</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Ultimate health care trend rate</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34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360" w:type="dxa"/>
            <w:vAlign w:val="bottom"/>
          </w:tcPr>
          <w:p>
            <w:pPr>
              <w:ind w:left="1040"/>
              <w:spacing w:after="0"/>
              <w:rPr>
                <w:sz w:val="20"/>
                <w:szCs w:val="20"/>
                <w:color w:val="auto"/>
              </w:rPr>
            </w:pPr>
            <w:r>
              <w:rPr>
                <w:rFonts w:ascii="Arial" w:cs="Arial" w:eastAsia="Arial" w:hAnsi="Arial"/>
                <w:sz w:val="18"/>
                <w:szCs w:val="18"/>
                <w:color w:val="auto"/>
                <w:w w:val="99"/>
              </w:rPr>
              <w:t>N/A</w:t>
            </w:r>
          </w:p>
        </w:tc>
      </w:tr>
      <w:tr>
        <w:trPr>
          <w:trHeight w:val="27"/>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rate reaches ultimate trend</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4"/>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rate</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522" w:right="339" w:bottom="1440" w:gutter="0" w:footer="0" w:header="0"/>
          <w:type w:val="continuous"/>
        </w:sectPr>
      </w:pPr>
    </w:p>
    <w:bookmarkStart w:id="237" w:name="page238"/>
    <w:bookmarkEnd w:id="237"/>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summarizes the components of net periodic benefit cost for the Company's pension, postretirement and supplemental retirement plans for the years ended December 31, 2020,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2440" w:type="dxa"/>
            <w:vAlign w:val="bottom"/>
            <w:gridSpan w:val="7"/>
          </w:tcPr>
          <w:p>
            <w:pPr>
              <w:jc w:val="right"/>
              <w:spacing w:after="0"/>
              <w:rPr>
                <w:sz w:val="20"/>
                <w:szCs w:val="20"/>
                <w:color w:val="auto"/>
              </w:rPr>
            </w:pPr>
            <w:r>
              <w:rPr>
                <w:rFonts w:ascii="Arial" w:cs="Arial" w:eastAsia="Arial" w:hAnsi="Arial"/>
                <w:sz w:val="14"/>
                <w:szCs w:val="14"/>
                <w:b w:val="1"/>
                <w:bCs w:val="1"/>
                <w:color w:val="auto"/>
              </w:rPr>
              <w:t>Defined Benefit Pension Plans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8"/>
          </w:tcPr>
          <w:p>
            <w:pPr>
              <w:ind w:left="180"/>
              <w:spacing w:after="0"/>
              <w:rPr>
                <w:sz w:val="20"/>
                <w:szCs w:val="20"/>
                <w:color w:val="auto"/>
              </w:rPr>
            </w:pPr>
            <w:r>
              <w:rPr>
                <w:rFonts w:ascii="Arial" w:cs="Arial" w:eastAsia="Arial" w:hAnsi="Arial"/>
                <w:sz w:val="14"/>
                <w:szCs w:val="14"/>
                <w:b w:val="1"/>
                <w:bCs w:val="1"/>
                <w:color w:val="auto"/>
              </w:rPr>
              <w:t>Postretirement Benefit Plans</w:t>
            </w:r>
          </w:p>
        </w:tc>
        <w:tc>
          <w:tcPr>
            <w:tcW w:w="200" w:type="dxa"/>
            <w:vAlign w:val="bottom"/>
          </w:tcPr>
          <w:p>
            <w:pPr>
              <w:spacing w:after="0"/>
              <w:rPr>
                <w:sz w:val="17"/>
                <w:szCs w:val="17"/>
                <w:color w:val="auto"/>
              </w:rPr>
            </w:pPr>
          </w:p>
        </w:tc>
        <w:tc>
          <w:tcPr>
            <w:tcW w:w="2520" w:type="dxa"/>
            <w:vAlign w:val="bottom"/>
            <w:gridSpan w:val="7"/>
          </w:tcPr>
          <w:p>
            <w:pPr>
              <w:jc w:val="right"/>
              <w:ind w:right="192"/>
              <w:spacing w:after="0"/>
              <w:rPr>
                <w:sz w:val="20"/>
                <w:szCs w:val="20"/>
                <w:color w:val="auto"/>
              </w:rPr>
            </w:pPr>
            <w:r>
              <w:rPr>
                <w:rFonts w:ascii="Arial" w:cs="Arial" w:eastAsia="Arial" w:hAnsi="Arial"/>
                <w:sz w:val="14"/>
                <w:szCs w:val="14"/>
                <w:b w:val="1"/>
                <w:bCs w:val="1"/>
                <w:color w:val="auto"/>
              </w:rPr>
              <w:t>Supplemental Retirement Plans</w:t>
            </w:r>
          </w:p>
        </w:tc>
      </w:tr>
      <w:tr>
        <w:trPr>
          <w:trHeight w:val="20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940" w:type="dxa"/>
            <w:vAlign w:val="bottom"/>
          </w:tcPr>
          <w:p>
            <w:pPr>
              <w:ind w:left="20"/>
              <w:spacing w:after="0"/>
              <w:rPr>
                <w:sz w:val="20"/>
                <w:szCs w:val="20"/>
                <w:color w:val="auto"/>
              </w:rPr>
            </w:pPr>
            <w:r>
              <w:rPr>
                <w:rFonts w:ascii="Arial" w:cs="Arial" w:eastAsia="Arial" w:hAnsi="Arial"/>
                <w:sz w:val="18"/>
                <w:szCs w:val="18"/>
                <w:color w:val="auto"/>
              </w:rPr>
              <w:t>Amortization of net actuarial loss</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17"/>
        </w:trPr>
        <w:tc>
          <w:tcPr>
            <w:tcW w:w="2940" w:type="dxa"/>
            <w:vAlign w:val="bottom"/>
          </w:tcPr>
          <w:p>
            <w:pPr>
              <w:ind w:left="180"/>
              <w:spacing w:after="0"/>
              <w:rPr>
                <w:sz w:val="20"/>
                <w:szCs w:val="20"/>
                <w:color w:val="auto"/>
              </w:rPr>
            </w:pPr>
            <w:r>
              <w:rPr>
                <w:rFonts w:ascii="Arial" w:cs="Arial" w:eastAsia="Arial" w:hAnsi="Arial"/>
                <w:sz w:val="18"/>
                <w:szCs w:val="18"/>
                <w:color w:val="auto"/>
              </w:rPr>
              <w:t>(gain)</w:t>
            </w: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Settlement expense (income)</w:t>
            </w:r>
          </w:p>
        </w:tc>
        <w:tc>
          <w:tcPr>
            <w:tcW w:w="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following table summarizes the other changes in plan assets and benefit obligations recognized in other comprehensive earnings for the Company's pension, postretirement and supplemental retirement benefit plans for the years ended December 31, 2020,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8"/>
          </w:tcPr>
          <w:p>
            <w:pPr>
              <w:ind w:left="120"/>
              <w:spacing w:after="0"/>
              <w:rPr>
                <w:sz w:val="20"/>
                <w:szCs w:val="20"/>
                <w:color w:val="auto"/>
              </w:rPr>
            </w:pPr>
            <w:r>
              <w:rPr>
                <w:rFonts w:ascii="Arial" w:cs="Arial" w:eastAsia="Arial" w:hAnsi="Arial"/>
                <w:sz w:val="14"/>
                <w:szCs w:val="14"/>
                <w:b w:val="1"/>
                <w:bCs w:val="1"/>
                <w:color w:val="auto"/>
              </w:rPr>
              <w:t>Defined Benefit Pension Plans</w:t>
            </w:r>
          </w:p>
        </w:tc>
        <w:tc>
          <w:tcPr>
            <w:tcW w:w="180" w:type="dxa"/>
            <w:vAlign w:val="bottom"/>
          </w:tcPr>
          <w:p>
            <w:pPr>
              <w:spacing w:after="0"/>
              <w:rPr>
                <w:sz w:val="17"/>
                <w:szCs w:val="17"/>
                <w:color w:val="auto"/>
              </w:rPr>
            </w:pPr>
          </w:p>
        </w:tc>
        <w:tc>
          <w:tcPr>
            <w:tcW w:w="2600" w:type="dxa"/>
            <w:vAlign w:val="bottom"/>
            <w:gridSpan w:val="8"/>
          </w:tcPr>
          <w:p>
            <w:pPr>
              <w:ind w:left="180"/>
              <w:spacing w:after="0"/>
              <w:rPr>
                <w:sz w:val="20"/>
                <w:szCs w:val="20"/>
                <w:color w:val="auto"/>
              </w:rPr>
            </w:pPr>
            <w:r>
              <w:rPr>
                <w:rFonts w:ascii="Arial" w:cs="Arial" w:eastAsia="Arial" w:hAnsi="Arial"/>
                <w:sz w:val="14"/>
                <w:szCs w:val="14"/>
                <w:b w:val="1"/>
                <w:bCs w:val="1"/>
                <w:color w:val="auto"/>
              </w:rPr>
              <w:t>Postretirement Benefit Plans</w:t>
            </w:r>
          </w:p>
        </w:tc>
        <w:tc>
          <w:tcPr>
            <w:tcW w:w="200" w:type="dxa"/>
            <w:vAlign w:val="bottom"/>
          </w:tcPr>
          <w:p>
            <w:pPr>
              <w:spacing w:after="0"/>
              <w:rPr>
                <w:sz w:val="17"/>
                <w:szCs w:val="17"/>
                <w:color w:val="auto"/>
              </w:rPr>
            </w:pPr>
          </w:p>
        </w:tc>
        <w:tc>
          <w:tcPr>
            <w:tcW w:w="2260" w:type="dxa"/>
            <w:vAlign w:val="bottom"/>
            <w:gridSpan w:val="6"/>
          </w:tcPr>
          <w:p>
            <w:pPr>
              <w:ind w:left="80"/>
              <w:spacing w:after="0"/>
              <w:rPr>
                <w:sz w:val="20"/>
                <w:szCs w:val="20"/>
                <w:color w:val="auto"/>
              </w:rPr>
            </w:pPr>
            <w:r>
              <w:rPr>
                <w:rFonts w:ascii="Arial" w:cs="Arial" w:eastAsia="Arial" w:hAnsi="Arial"/>
                <w:sz w:val="14"/>
                <w:szCs w:val="14"/>
                <w:b w:val="1"/>
                <w:bCs w:val="1"/>
                <w:color w:val="auto"/>
              </w:rPr>
              <w:t>Supplemental Retirement Plans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(gain)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prior years</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940" w:type="dxa"/>
            <w:vAlign w:val="bottom"/>
          </w:tcPr>
          <w:p>
            <w:pPr>
              <w:ind w:left="240"/>
              <w:spacing w:after="0" w:line="201" w:lineRule="exact"/>
              <w:rPr>
                <w:sz w:val="20"/>
                <w:szCs w:val="20"/>
                <w:color w:val="auto"/>
              </w:rPr>
            </w:pPr>
            <w:r>
              <w:rPr>
                <w:rFonts w:ascii="Arial" w:cs="Arial" w:eastAsia="Arial" w:hAnsi="Arial"/>
                <w:sz w:val="18"/>
                <w:szCs w:val="18"/>
                <w:b w:val="1"/>
                <w:bCs w:val="1"/>
                <w:color w:val="auto"/>
              </w:rPr>
              <w:t>Total recognized in other</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7"/>
                <w:szCs w:val="17"/>
                <w:color w:val="auto"/>
              </w:rPr>
            </w:pPr>
          </w:p>
        </w:tc>
        <w:tc>
          <w:tcPr>
            <w:tcW w:w="580" w:type="dxa"/>
            <w:vAlign w:val="bottom"/>
            <w:vMerge w:val="restart"/>
          </w:tcPr>
          <w:p>
            <w:pPr>
              <w:jc w:val="right"/>
              <w:ind w:right="376"/>
              <w:spacing w:after="0"/>
              <w:rPr>
                <w:sz w:val="20"/>
                <w:szCs w:val="20"/>
                <w:color w:val="auto"/>
              </w:rPr>
            </w:pPr>
            <w:r>
              <w:rPr>
                <w:rFonts w:ascii="Arial" w:cs="Arial" w:eastAsia="Arial" w:hAnsi="Arial"/>
                <w:sz w:val="18"/>
                <w:szCs w:val="18"/>
                <w:color w:val="auto"/>
                <w:w w:val="99"/>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40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2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Includes foreign exchange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522" w:right="339" w:bottom="1440" w:gutter="0" w:footer="0" w:header="0"/>
        </w:sectPr>
      </w:pPr>
    </w:p>
    <w:bookmarkStart w:id="238" w:name="page239"/>
    <w:bookmarkEnd w:id="238"/>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The following table summarizes the amounts expected to be amortized from accumulated other comprehensive loss and recognized as components of net periodic benefit costs during the year ended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Defined Benefit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Postretirement Benefit</w:t>
            </w:r>
          </w:p>
        </w:tc>
        <w:tc>
          <w:tcPr>
            <w:tcW w:w="160" w:type="dxa"/>
            <w:vAlign w:val="bottom"/>
          </w:tcPr>
          <w:p>
            <w:pPr>
              <w:spacing w:after="0"/>
              <w:rPr>
                <w:sz w:val="14"/>
                <w:szCs w:val="14"/>
                <w:color w:val="auto"/>
              </w:rPr>
            </w:pPr>
          </w:p>
        </w:tc>
        <w:tc>
          <w:tcPr>
            <w:tcW w:w="1420" w:type="dxa"/>
            <w:vAlign w:val="bottom"/>
          </w:tcPr>
          <w:p>
            <w:pPr>
              <w:jc w:val="center"/>
              <w:ind w:right="77"/>
              <w:spacing w:after="0"/>
              <w:rPr>
                <w:sz w:val="20"/>
                <w:szCs w:val="20"/>
                <w:color w:val="auto"/>
              </w:rPr>
            </w:pPr>
            <w:r>
              <w:rPr>
                <w:rFonts w:ascii="Arial" w:cs="Arial" w:eastAsia="Arial" w:hAnsi="Arial"/>
                <w:sz w:val="14"/>
                <w:szCs w:val="14"/>
                <w:b w:val="1"/>
                <w:bCs w:val="1"/>
                <w:color w:val="auto"/>
              </w:rPr>
              <w:t>Supplemental</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 Plans</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Plans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Retirement Plans</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service cost</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Net actuarial loss (gain)</w:t>
            </w:r>
          </w:p>
        </w:tc>
        <w:tc>
          <w:tcPr>
            <w:tcW w:w="13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summarizes the weighted average actuarial assumptions used to determine our net periodic cost of the plans for the years ended December 31, 2020,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Pr>
          <w:p>
            <w:pPr>
              <w:spacing w:after="0"/>
              <w:rPr>
                <w:sz w:val="17"/>
                <w:szCs w:val="17"/>
                <w:color w:val="auto"/>
              </w:rPr>
            </w:pPr>
          </w:p>
        </w:tc>
        <w:tc>
          <w:tcPr>
            <w:tcW w:w="2900" w:type="dxa"/>
            <w:vAlign w:val="bottom"/>
            <w:gridSpan w:val="6"/>
          </w:tcPr>
          <w:p>
            <w:pPr>
              <w:ind w:left="360"/>
              <w:spacing w:after="0"/>
              <w:rPr>
                <w:sz w:val="20"/>
                <w:szCs w:val="20"/>
                <w:color w:val="auto"/>
              </w:rPr>
            </w:pPr>
            <w:r>
              <w:rPr>
                <w:rFonts w:ascii="Arial" w:cs="Arial" w:eastAsia="Arial" w:hAnsi="Arial"/>
                <w:sz w:val="14"/>
                <w:szCs w:val="14"/>
                <w:b w:val="1"/>
                <w:bCs w:val="1"/>
                <w:color w:val="auto"/>
              </w:rPr>
              <w:t>Defined Benefit Pension Plans</w:t>
            </w:r>
          </w:p>
        </w:tc>
        <w:tc>
          <w:tcPr>
            <w:tcW w:w="2940" w:type="dxa"/>
            <w:vAlign w:val="bottom"/>
            <w:gridSpan w:val="6"/>
          </w:tcPr>
          <w:p>
            <w:pPr>
              <w:ind w:left="440"/>
              <w:spacing w:after="0"/>
              <w:rPr>
                <w:sz w:val="20"/>
                <w:szCs w:val="20"/>
                <w:color w:val="auto"/>
              </w:rPr>
            </w:pPr>
            <w:r>
              <w:rPr>
                <w:rFonts w:ascii="Arial" w:cs="Arial" w:eastAsia="Arial" w:hAnsi="Arial"/>
                <w:sz w:val="14"/>
                <w:szCs w:val="14"/>
                <w:b w:val="1"/>
                <w:bCs w:val="1"/>
                <w:color w:val="auto"/>
              </w:rPr>
              <w:t>Postretirement Benefit Plans</w:t>
            </w:r>
          </w:p>
        </w:tc>
        <w:tc>
          <w:tcPr>
            <w:tcW w:w="2860" w:type="dxa"/>
            <w:vAlign w:val="bottom"/>
            <w:gridSpan w:val="5"/>
          </w:tcPr>
          <w:p>
            <w:pPr>
              <w:ind w:left="340"/>
              <w:spacing w:after="0"/>
              <w:rPr>
                <w:sz w:val="20"/>
                <w:szCs w:val="20"/>
                <w:color w:val="auto"/>
              </w:rPr>
            </w:pPr>
            <w:r>
              <w:rPr>
                <w:rFonts w:ascii="Arial" w:cs="Arial" w:eastAsia="Arial" w:hAnsi="Arial"/>
                <w:sz w:val="14"/>
                <w:szCs w:val="14"/>
                <w:b w:val="1"/>
                <w:bCs w:val="1"/>
                <w:color w:val="auto"/>
              </w:rPr>
              <w:t>Supplemental Retirement Plans</w:t>
            </w:r>
          </w:p>
        </w:tc>
      </w:tr>
      <w:tr>
        <w:trPr>
          <w:trHeight w:val="209"/>
        </w:trPr>
        <w:tc>
          <w:tcPr>
            <w:tcW w:w="25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 assumptions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25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8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3"/>
                <w:szCs w:val="23"/>
                <w:color w:val="auto"/>
              </w:rPr>
            </w:pPr>
          </w:p>
        </w:tc>
        <w:tc>
          <w:tcPr>
            <w:tcW w:w="880" w:type="dxa"/>
            <w:vAlign w:val="bottom"/>
          </w:tcPr>
          <w:p>
            <w:pPr>
              <w:ind w:left="400"/>
              <w:spacing w:after="0"/>
              <w:rPr>
                <w:sz w:val="20"/>
                <w:szCs w:val="20"/>
                <w:color w:val="auto"/>
              </w:rPr>
            </w:pPr>
            <w:r>
              <w:rPr>
                <w:rFonts w:ascii="Arial" w:cs="Arial" w:eastAsia="Arial" w:hAnsi="Arial"/>
                <w:sz w:val="18"/>
                <w:szCs w:val="18"/>
                <w:color w:val="auto"/>
                <w:w w:val="99"/>
              </w:rPr>
              <w:t>3.6 %</w:t>
            </w:r>
          </w:p>
        </w:tc>
        <w:tc>
          <w:tcPr>
            <w:tcW w:w="100" w:type="dxa"/>
            <w:vAlign w:val="bottom"/>
          </w:tcPr>
          <w:p>
            <w:pPr>
              <w:spacing w:after="0"/>
              <w:rPr>
                <w:sz w:val="23"/>
                <w:szCs w:val="23"/>
                <w:color w:val="auto"/>
              </w:rPr>
            </w:pPr>
          </w:p>
        </w:tc>
        <w:tc>
          <w:tcPr>
            <w:tcW w:w="880" w:type="dxa"/>
            <w:vAlign w:val="bottom"/>
          </w:tcPr>
          <w:p>
            <w:pPr>
              <w:ind w:left="380"/>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3"/>
                <w:szCs w:val="23"/>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23"/>
                <w:szCs w:val="23"/>
                <w:color w:val="auto"/>
              </w:rPr>
            </w:pPr>
          </w:p>
        </w:tc>
        <w:tc>
          <w:tcPr>
            <w:tcW w:w="900" w:type="dxa"/>
            <w:vAlign w:val="bottom"/>
          </w:tcPr>
          <w:p>
            <w:pPr>
              <w:ind w:left="420"/>
              <w:spacing w:after="0"/>
              <w:rPr>
                <w:sz w:val="20"/>
                <w:szCs w:val="20"/>
                <w:color w:val="auto"/>
              </w:rPr>
            </w:pPr>
            <w:r>
              <w:rPr>
                <w:rFonts w:ascii="Arial" w:cs="Arial" w:eastAsia="Arial" w:hAnsi="Arial"/>
                <w:sz w:val="18"/>
                <w:szCs w:val="18"/>
                <w:color w:val="auto"/>
                <w:w w:val="99"/>
              </w:rPr>
              <w:t>3.0 %</w:t>
            </w:r>
          </w:p>
        </w:tc>
      </w:tr>
      <w:tr>
        <w:trPr>
          <w:trHeight w:val="24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long - term return on</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6.9 %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N/A</w:t>
            </w:r>
          </w:p>
        </w:tc>
      </w:tr>
      <w:tr>
        <w:trPr>
          <w:trHeight w:val="242"/>
        </w:trPr>
        <w:tc>
          <w:tcPr>
            <w:tcW w:w="2540" w:type="dxa"/>
            <w:vAlign w:val="bottom"/>
          </w:tcPr>
          <w:p>
            <w:pPr>
              <w:ind w:left="20"/>
              <w:spacing w:after="0"/>
              <w:rPr>
                <w:sz w:val="20"/>
                <w:szCs w:val="20"/>
                <w:color w:val="auto"/>
              </w:rPr>
            </w:pPr>
            <w:r>
              <w:rPr>
                <w:rFonts w:ascii="Arial" w:cs="Arial" w:eastAsia="Arial" w:hAnsi="Arial"/>
                <w:sz w:val="18"/>
                <w:szCs w:val="18"/>
                <w:color w:val="auto"/>
              </w:rPr>
              <w:t>Increase in future</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2540" w:type="dxa"/>
            <w:vAlign w:val="bottom"/>
          </w:tcPr>
          <w:p>
            <w:pPr>
              <w:ind w:left="180"/>
              <w:spacing w:after="0"/>
              <w:rPr>
                <w:sz w:val="20"/>
                <w:szCs w:val="20"/>
                <w:color w:val="auto"/>
              </w:rPr>
            </w:pPr>
            <w:r>
              <w:rPr>
                <w:rFonts w:ascii="Arial" w:cs="Arial" w:eastAsia="Arial" w:hAnsi="Arial"/>
                <w:sz w:val="18"/>
                <w:szCs w:val="18"/>
                <w:color w:val="auto"/>
              </w:rPr>
              <w:t>compensation levels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900" w:type="dxa"/>
            <w:vAlign w:val="bottom"/>
          </w:tcPr>
          <w:p>
            <w:pPr>
              <w:ind w:left="580"/>
              <w:spacing w:after="0"/>
              <w:rPr>
                <w:sz w:val="20"/>
                <w:szCs w:val="20"/>
                <w:color w:val="auto"/>
              </w:rPr>
            </w:pPr>
            <w:r>
              <w:rPr>
                <w:rFonts w:ascii="Arial" w:cs="Arial" w:eastAsia="Arial" w:hAnsi="Arial"/>
                <w:sz w:val="18"/>
                <w:szCs w:val="18"/>
                <w:color w:val="auto"/>
                <w:w w:val="99"/>
              </w:rPr>
              <w:t>N/A</w:t>
            </w:r>
          </w:p>
        </w:tc>
      </w:tr>
      <w:tr>
        <w:trPr>
          <w:trHeight w:val="24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trend rate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for next year</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N/A</w:t>
            </w:r>
          </w:p>
        </w:tc>
      </w:tr>
      <w:tr>
        <w:trPr>
          <w:trHeight w:val="270"/>
        </w:trPr>
        <w:tc>
          <w:tcPr>
            <w:tcW w:w="2540" w:type="dxa"/>
            <w:vAlign w:val="bottom"/>
          </w:tcPr>
          <w:p>
            <w:pPr>
              <w:ind w:left="20"/>
              <w:spacing w:after="0"/>
              <w:rPr>
                <w:sz w:val="20"/>
                <w:szCs w:val="20"/>
                <w:color w:val="auto"/>
              </w:rPr>
            </w:pPr>
            <w:r>
              <w:rPr>
                <w:rFonts w:ascii="Arial" w:cs="Arial" w:eastAsia="Arial" w:hAnsi="Arial"/>
                <w:sz w:val="18"/>
                <w:szCs w:val="18"/>
                <w:color w:val="auto"/>
              </w:rPr>
              <w:t>Ultimate health care trend rate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900" w:type="dxa"/>
            <w:vAlign w:val="bottom"/>
          </w:tcPr>
          <w:p>
            <w:pPr>
              <w:ind w:left="580"/>
              <w:spacing w:after="0"/>
              <w:rPr>
                <w:sz w:val="20"/>
                <w:szCs w:val="20"/>
                <w:color w:val="auto"/>
              </w:rPr>
            </w:pPr>
            <w:r>
              <w:rPr>
                <w:rFonts w:ascii="Arial" w:cs="Arial" w:eastAsia="Arial" w:hAnsi="Arial"/>
                <w:sz w:val="18"/>
                <w:szCs w:val="18"/>
                <w:color w:val="auto"/>
                <w:w w:val="99"/>
              </w:rPr>
              <w:t>N/A</w:t>
            </w:r>
          </w:p>
        </w:tc>
      </w:tr>
      <w:tr>
        <w:trPr>
          <w:trHeight w:val="24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rate reaches ultimate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trend rate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N/A</w:t>
            </w:r>
          </w:p>
        </w:tc>
      </w:tr>
    </w:tbl>
    <w:p>
      <w:pPr>
        <w:spacing w:after="0" w:line="200" w:lineRule="exact"/>
        <w:rPr>
          <w:sz w:val="20"/>
          <w:szCs w:val="20"/>
          <w:color w:val="auto"/>
        </w:rPr>
      </w:pPr>
    </w:p>
    <w:p>
      <w:pPr>
        <w:spacing w:after="0" w:line="20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expected long-term return on plan assets assumption represents the average rate that the Company expects to earn over the long-term on the assets of the Company's benefit plans, including those from dividends, interest income and capital appreciation. The assumption has been determined based on expectations regarding future rates of return for the plans' investment portfolio, with consideration given to the allocation of investments by asset class and historical rates of return for each individual asset class.</w:t>
      </w:r>
    </w:p>
    <w:p>
      <w:pPr>
        <w:spacing w:after="0" w:line="150"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 one percentage increase or decrease in healthcare trend rates in the table above would have an insignificant impact to our service and interest cost and the postretirement medical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9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Company is responsible for formulating the investment policies and strategies for each plan's assets. Presently all of the plans are governed by a single investment policy and are uniformly invested. As part of the policy statement the Company has implemented a glide path which adjusts the percentage of assets invested in return seeking assets based upon the attainment of specific funding percentages. The non-return seeking assets are invested primarily in bonds with maturities closely matching the anticipated payment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522" w:right="339" w:bottom="1440" w:gutter="0" w:footer="0" w:header="0"/>
        </w:sectPr>
      </w:pPr>
    </w:p>
    <w:bookmarkStart w:id="239" w:name="page240"/>
    <w:bookmarkEnd w:id="239"/>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The table below represents all of the Company's funded pension plans' and postretirement benefit plans' weighted-average asset allocation at December 31, 2020 and 2019 by asset category:</w:t>
      </w:r>
    </w:p>
    <w:p>
      <w:pPr>
        <w:spacing w:after="0" w:line="185"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Asset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26035</wp:posOffset>
            </wp:positionV>
            <wp:extent cx="22028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gridSpan w:val="2"/>
          </w:tcPr>
          <w:p>
            <w:pPr>
              <w:ind w:left="846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236"/>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Equity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7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56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8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primarily cash and cash equivalents, and hedge funds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-179070</wp:posOffset>
            </wp:positionV>
            <wp:extent cx="1071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55"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table below presents the target allocation ranges for each major asset category for the Company's benefit plans for the years ended December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Target Asset Allocation Range</w:t>
            </w:r>
          </w:p>
        </w:tc>
        <w:tc>
          <w:tcPr>
            <w:tcW w:w="520" w:type="dxa"/>
            <w:vAlign w:val="bottom"/>
            <w:tcBorders>
              <w:bottom w:val="single" w:sz="8" w:color="auto"/>
            </w:tcBorders>
          </w:tcPr>
          <w:p>
            <w:pPr>
              <w:spacing w:after="0"/>
              <w:rPr>
                <w:sz w:val="17"/>
                <w:szCs w:val="17"/>
                <w:color w:val="auto"/>
              </w:rPr>
            </w:pPr>
          </w:p>
        </w:tc>
      </w:tr>
      <w:tr>
        <w:trPr>
          <w:trHeight w:val="209"/>
        </w:trPr>
        <w:tc>
          <w:tcPr>
            <w:tcW w:w="8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jc w:val="right"/>
              <w:spacing w:after="0"/>
              <w:rPr>
                <w:sz w:val="20"/>
                <w:szCs w:val="20"/>
                <w:color w:val="auto"/>
              </w:rPr>
            </w:pPr>
            <w:r>
              <w:rPr>
                <w:rFonts w:ascii="Arial" w:cs="Arial" w:eastAsia="Arial" w:hAnsi="Arial"/>
                <w:sz w:val="18"/>
                <w:szCs w:val="18"/>
                <w:color w:val="auto"/>
              </w:rPr>
              <w:t>- 60%</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jc w:val="right"/>
              <w:spacing w:after="0"/>
              <w:rPr>
                <w:sz w:val="20"/>
                <w:szCs w:val="20"/>
                <w:color w:val="auto"/>
              </w:rPr>
            </w:pPr>
            <w:r>
              <w:rPr>
                <w:rFonts w:ascii="Arial" w:cs="Arial" w:eastAsia="Arial" w:hAnsi="Arial"/>
                <w:sz w:val="18"/>
                <w:szCs w:val="18"/>
                <w:color w:val="auto"/>
              </w:rPr>
              <w:t>- 60%</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primarily cash and cash equivalents and hedge funds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w:t>
            </w:r>
          </w:p>
        </w:tc>
      </w:tr>
    </w:tbl>
    <w:p>
      <w:pPr>
        <w:spacing w:after="0" w:line="16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following tables provides the fair value of plan assets held by our defined benefit plan by asset category and by fair value hierarchy level. Certain investments are measured at their NAV per share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522" w:right="339" w:bottom="1440" w:gutter="0" w:footer="0" w:header="0"/>
        </w:sectPr>
      </w:pPr>
    </w:p>
    <w:bookmarkStart w:id="240" w:name="page241"/>
    <w:bookmarkEnd w:id="240"/>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do not have readily determined fair values. As such, these investments are not subject to leveling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126365</wp:posOffset>
            </wp:positionV>
            <wp:extent cx="889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126365</wp:posOffset>
            </wp:positionV>
            <wp:extent cx="889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4605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Investments measured at fair value:</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2"/>
                <w:szCs w:val="22"/>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Investments measured at NAV:</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Collective trust funds</w:t>
            </w:r>
          </w:p>
        </w:tc>
        <w:tc>
          <w:tcPr>
            <w:tcW w:w="3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and fixed income funds</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2"/>
                <w:szCs w:val="22"/>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2"/>
        </w:trPr>
        <w:tc>
          <w:tcPr>
            <w:tcW w:w="4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Investments measured at fair value:</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Investments measured at NAV:</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Collective trust funds</w:t>
            </w:r>
          </w:p>
        </w:tc>
        <w:tc>
          <w:tcPr>
            <w:tcW w:w="3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and fixed income funds</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-4053840</wp:posOffset>
            </wp:positionV>
            <wp:extent cx="2974340" cy="1619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74340" cy="1619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40575" cy="1903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1903095"/>
                    </a:xfrm>
                    <a:prstGeom prst="rect">
                      <a:avLst/>
                    </a:prstGeom>
                    <a:noFill/>
                  </pic:spPr>
                </pic:pic>
              </a:graphicData>
            </a:graphic>
          </wp:anchor>
        </w:drawing>
      </w:r>
    </w:p>
    <w:p>
      <w:pPr>
        <w:spacing w:after="0" w:line="8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For the year ended December 31, 2021, the Company expects to contribute $18 million to its pension plans and an inconsequential amount to its postretirement plans. The Company deferred approximately $7 million in pension contributions until 2021 under the CARES Act and IRS Notice 2020-82, which is included in the expected contributions for 2021.</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expected pension and postretirement benefit payments over the next 10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Defined Benefit</w:t>
            </w:r>
          </w:p>
        </w:tc>
        <w:tc>
          <w:tcPr>
            <w:tcW w:w="1840" w:type="dxa"/>
            <w:vAlign w:val="bottom"/>
            <w:gridSpan w:val="4"/>
          </w:tcPr>
          <w:p>
            <w:pPr>
              <w:ind w:left="20"/>
              <w:spacing w:after="0"/>
              <w:rPr>
                <w:sz w:val="20"/>
                <w:szCs w:val="20"/>
                <w:color w:val="auto"/>
              </w:rPr>
            </w:pPr>
            <w:r>
              <w:rPr>
                <w:rFonts w:ascii="Arial" w:cs="Arial" w:eastAsia="Arial" w:hAnsi="Arial"/>
                <w:sz w:val="14"/>
                <w:szCs w:val="14"/>
                <w:b w:val="1"/>
                <w:bCs w:val="1"/>
                <w:color w:val="auto"/>
              </w:rPr>
              <w:t>Postretirement Benefit</w:t>
            </w:r>
          </w:p>
        </w:tc>
        <w:tc>
          <w:tcPr>
            <w:tcW w:w="1420" w:type="dxa"/>
            <w:vAlign w:val="bottom"/>
          </w:tcPr>
          <w:p>
            <w:pPr>
              <w:jc w:val="right"/>
              <w:ind w:right="235"/>
              <w:spacing w:after="0"/>
              <w:rPr>
                <w:sz w:val="20"/>
                <w:szCs w:val="20"/>
                <w:color w:val="auto"/>
              </w:rPr>
            </w:pPr>
            <w:r>
              <w:rPr>
                <w:rFonts w:ascii="Arial" w:cs="Arial" w:eastAsia="Arial" w:hAnsi="Arial"/>
                <w:sz w:val="14"/>
                <w:szCs w:val="14"/>
                <w:b w:val="1"/>
                <w:bCs w:val="1"/>
                <w:color w:val="auto"/>
              </w:rPr>
              <w:t>Supplemental</w:t>
            </w:r>
          </w:p>
        </w:tc>
      </w:tr>
      <w:tr>
        <w:trPr>
          <w:trHeight w:val="196"/>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Pr>
          <w:p>
            <w:pPr>
              <w:spacing w:after="0"/>
              <w:rPr>
                <w:sz w:val="17"/>
                <w:szCs w:val="17"/>
                <w:color w:val="auto"/>
              </w:rPr>
            </w:pPr>
          </w:p>
        </w:tc>
        <w:tc>
          <w:tcPr>
            <w:tcW w:w="1480" w:type="dxa"/>
            <w:vAlign w:val="bottom"/>
            <w:gridSpan w:val="3"/>
          </w:tcPr>
          <w:p>
            <w:pPr>
              <w:ind w:left="240"/>
              <w:spacing w:after="0"/>
              <w:rPr>
                <w:sz w:val="20"/>
                <w:szCs w:val="20"/>
                <w:color w:val="auto"/>
              </w:rPr>
            </w:pPr>
            <w:r>
              <w:rPr>
                <w:rFonts w:ascii="Arial" w:cs="Arial" w:eastAsia="Arial" w:hAnsi="Arial"/>
                <w:sz w:val="14"/>
                <w:szCs w:val="14"/>
                <w:b w:val="1"/>
                <w:bCs w:val="1"/>
                <w:color w:val="auto"/>
              </w:rPr>
              <w:t>Plans</w:t>
            </w: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rPr>
              <w:t>Retirement Plans</w:t>
            </w:r>
          </w:p>
        </w:tc>
      </w:tr>
      <w:tr>
        <w:trPr>
          <w:trHeight w:val="236"/>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2026-2030</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ectPr>
          <w:pgSz w:w="11900" w:h="16838" w:orient="portrait"/>
          <w:cols w:equalWidth="0" w:num="1">
            <w:col w:w="11260"/>
          </w:cols>
          <w:pgMar w:left="320" w:top="5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260"/>
          </w:cols>
          <w:pgMar w:left="320" w:top="522" w:right="319" w:bottom="1440" w:gutter="0" w:footer="0" w:header="0"/>
          <w:type w:val="continuous"/>
        </w:sectPr>
      </w:pPr>
    </w:p>
    <w:bookmarkStart w:id="241" w:name="page242"/>
    <w:bookmarkEnd w:id="241"/>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93"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The Company maintains defined contribution plans covering substantially all domestic full-time eligible employees. The Company's contributions to these plans for the years ended December 31, 2020, 2019 and 2018 amounted to $21 million, $19 million and $15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Equity Method Investments</w:t>
      </w:r>
    </w:p>
    <w:p>
      <w:pPr>
        <w:spacing w:after="0" w:line="193"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Our share of net earnings related to our equity method investments was $3 million, $2 million and $1 million for the years ended December 31, 2020, 2019 and 2018, respectively, which was included in our Network Computing &amp; Communications business segment operating profit.</w:t>
      </w:r>
    </w:p>
    <w:p>
      <w:pPr>
        <w:spacing w:after="0" w:line="14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Below is a list of the entities accounted for under the equity method and recorded in other noncurrent assets on our Consolidated Balance Sheet: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3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 of Ownership</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Carrying Value</w:t>
            </w:r>
          </w:p>
        </w:tc>
        <w:tc>
          <w:tcPr>
            <w:tcW w:w="1000" w:type="dxa"/>
            <w:vAlign w:val="bottom"/>
            <w:tcBorders>
              <w:bottom w:val="single" w:sz="8" w:color="auto"/>
            </w:tcBorders>
          </w:tcPr>
          <w:p>
            <w:pPr>
              <w:spacing w:after="0"/>
              <w:rPr>
                <w:sz w:val="17"/>
                <w:szCs w:val="17"/>
                <w:color w:val="auto"/>
              </w:rPr>
            </w:pPr>
          </w:p>
        </w:tc>
      </w:tr>
      <w:tr>
        <w:trPr>
          <w:trHeight w:val="20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Acoustics Concepts, LLC</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 $</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5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 plans</w:t>
      </w:r>
    </w:p>
    <w:p>
      <w:pPr>
        <w:spacing w:after="0" w:line="175" w:lineRule="exact"/>
        <w:rPr>
          <w:sz w:val="20"/>
          <w:szCs w:val="20"/>
          <w:color w:val="auto"/>
        </w:rPr>
      </w:pPr>
    </w:p>
    <w:p>
      <w:pPr>
        <w:ind w:right="720" w:firstLine="324"/>
        <w:spacing w:after="0" w:line="282" w:lineRule="auto"/>
        <w:rPr>
          <w:sz w:val="20"/>
          <w:szCs w:val="20"/>
          <w:color w:val="auto"/>
        </w:rPr>
      </w:pPr>
      <w:r>
        <w:rPr>
          <w:rFonts w:ascii="Arial" w:cs="Arial" w:eastAsia="Arial" w:hAnsi="Arial"/>
          <w:sz w:val="18"/>
          <w:szCs w:val="18"/>
          <w:color w:val="auto"/>
        </w:rPr>
        <w:t xml:space="preserve">The Company does not have any share-based compensation plans.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Other Liabilities</w:t>
      </w:r>
      <w:r>
        <w:rPr>
          <w:rFonts w:ascii="Arial" w:cs="Arial" w:eastAsia="Arial" w:hAnsi="Arial"/>
          <w:sz w:val="18"/>
          <w:szCs w:val="18"/>
          <w:color w:val="auto"/>
        </w:rPr>
        <w:t>, for information regarding cash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w:t>
      </w:r>
    </w:p>
    <w:p>
      <w:pPr>
        <w:spacing w:after="0" w:line="175" w:lineRule="exact"/>
        <w:rPr>
          <w:sz w:val="20"/>
          <w:szCs w:val="20"/>
          <w:color w:val="auto"/>
        </w:rPr>
      </w:pPr>
    </w:p>
    <w:p>
      <w:pPr>
        <w:ind w:right="620" w:firstLine="324"/>
        <w:spacing w:after="0" w:line="282" w:lineRule="auto"/>
        <w:rPr>
          <w:sz w:val="20"/>
          <w:szCs w:val="20"/>
          <w:color w:val="auto"/>
        </w:rPr>
      </w:pPr>
      <w:r>
        <w:rPr>
          <w:rFonts w:ascii="Arial" w:cs="Arial" w:eastAsia="Arial" w:hAnsi="Arial"/>
          <w:sz w:val="18"/>
          <w:szCs w:val="18"/>
          <w:color w:val="auto"/>
        </w:rPr>
        <w:t xml:space="preserve">The Company’s commitments are primarily related to our lease and credit agreements. See </w:t>
      </w:r>
      <w:r>
        <w:rPr>
          <w:rFonts w:ascii="Arial" w:cs="Arial" w:eastAsia="Arial" w:hAnsi="Arial"/>
          <w:sz w:val="18"/>
          <w:szCs w:val="18"/>
          <w:i w:val="1"/>
          <w:iCs w:val="1"/>
          <w:color w:val="auto"/>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11</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additional information on our leases and credit agreements.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5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the subsidiary’s response to the RFI, the NPS directed it and another alleged former operator to perform an Engineering Evaluation and Cost Analysis (“EE/CA”) of a portion of the site. The Company’s subsidiary made a good faith offer to conduct an alternative EE/CA work plan, but the NPS rejected this offer and opted to perform the EE/CA itself. The NPS previously posted its intention to open a formal public comment period regarding the EE/CA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522" w:right="339" w:bottom="1440" w:gutter="0" w:footer="0" w:header="0"/>
        </w:sectPr>
      </w:pPr>
    </w:p>
    <w:bookmarkStart w:id="242" w:name="page243"/>
    <w:bookmarkEnd w:id="242"/>
    <w:p>
      <w:pPr>
        <w:jc w:val="center"/>
        <w:ind w:right="1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end of 2019. To the Company’s knowledge, the EE/CA has not been released and a public comment period has yet to be opened.</w:t>
      </w:r>
    </w:p>
    <w:p>
      <w:pPr>
        <w:spacing w:after="0" w:line="17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The Company believes that it has legitimate defenses to its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15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Company has recorded its best estimate of damages and its share of remediation costs related to the site to reflect what we and our advisors reasonably believe we would be liable for based on the current information and circumstances of the claim, exclusive of other potential liabilities that may be asserted in the future.</w:t>
      </w:r>
    </w:p>
    <w:p>
      <w:pPr>
        <w:spacing w:after="0" w:line="14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the performance of our contracts we routinely request contract modifications that require additional funding from the customer. Most often, these requests are due to customer-directed changes in the scope of work. While we are entitled to recovery of these costs under our contracts, the administrative process with our customer may be protracted. Based on the circumstances, we periodically file requests for equitable adjustment (“REAs”) that are sometimes converted into claims. In some cases, these requests are disputed by our customer. We believe our outstanding modifications, REAs and other claims will be resolved without material impact to our results of operations, financial condition or cash flows.</w:t>
      </w:r>
    </w:p>
    <w:p>
      <w:pPr>
        <w:spacing w:after="0" w:line="154"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spacing w:after="0" w:line="150"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Management believes that adequate provisions for such potential audits, investigations, claims and contract adjustments, if any, have been made in the Consolidated Financial Statements.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2020, 2019 and 2018 we engaged in restructuring initiatives in order to rationalize headcount and align our operations in a more strategic and cost-efficient structure. In connection with these restructuring initiatives we recorded charges totaling $12 million, $20 million and $14 million for the years ended December 31, 2020, 2019 and 2018, respectively. Costs incurred were related to employee termination and severance costs, as well as costs related to discontinuing product lines or closing down of locations. Charges were recorded within other operating expenses, net, with the exception of costs incurred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320" w:top="522" w:right="379" w:bottom="1440" w:gutter="0" w:footer="0" w:header="0"/>
        </w:sectPr>
      </w:pPr>
    </w:p>
    <w:bookmarkStart w:id="243" w:name="page244"/>
    <w:bookmarkEnd w:id="243"/>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 the write-down of inventory, which were recorded in cost of products. See the table below for a breakout of restructuring costs incurred by segment and by nature of cost incurred: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Severance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abandonment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AST</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NC&amp;C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Facility abandonment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NC&amp;C</w:t>
            </w: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IMS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Severance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abandonment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IMS</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Facility abandonment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Corporate</w:t>
            </w: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-591185</wp:posOffset>
            </wp:positionV>
            <wp:extent cx="8255"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-2357120</wp:posOffset>
            </wp:positionV>
            <wp:extent cx="8255"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-3239770</wp:posOffset>
            </wp:positionV>
            <wp:extent cx="825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-3900170</wp:posOffset>
            </wp:positionV>
            <wp:extent cx="825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54305"/>
                    </a:xfrm>
                    <a:prstGeom prst="rect">
                      <a:avLst/>
                    </a:prstGeom>
                    <a:noFill/>
                  </pic:spPr>
                </pic:pic>
              </a:graphicData>
            </a:graphic>
          </wp:anchor>
        </w:drawing>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changes in the restructuring provision balance during the years ended December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Additional provision</w:t>
            </w:r>
          </w:p>
        </w:tc>
        <w:tc>
          <w:tcPr>
            <w:tcW w:w="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Reversal and utilization</w:t>
            </w:r>
          </w:p>
        </w:tc>
        <w:tc>
          <w:tcPr>
            <w:tcW w:w="6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6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provision</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Reversal and utilization</w:t>
            </w:r>
          </w:p>
        </w:tc>
        <w:tc>
          <w:tcPr>
            <w:tcW w:w="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Product warranty costs generally are accrued in proportion to product revenue realized in conjunction with our over-time revenue recognition policy. Product warranty expense is recognized based on the term of the product warranty, generally one year to three years, and the related estimated costs, considering historical claims expense. Accrued warranty costs are reduced as these costs are incurred and as the warranty period expires, and otherwise may be modified as specific product performance issues are</w:t>
      </w:r>
    </w:p>
    <w:p>
      <w:pPr>
        <w:sectPr>
          <w:pgSz w:w="11900" w:h="16838" w:orient="portrait"/>
          <w:cols w:equalWidth="0" w:num="1">
            <w:col w:w="11260"/>
          </w:cols>
          <w:pgMar w:left="320" w:top="5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260"/>
          </w:cols>
          <w:pgMar w:left="320" w:top="522" w:right="319" w:bottom="1440" w:gutter="0" w:footer="0" w:header="0"/>
          <w:type w:val="continuous"/>
        </w:sectPr>
      </w:pPr>
    </w:p>
    <w:bookmarkStart w:id="244" w:name="page245"/>
    <w:bookmarkEnd w:id="244"/>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identified and resolved. The following is a summary of changes in the product warranty balances during the years ended December 31, 2019 and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16</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Additional provision</w:t>
            </w:r>
          </w:p>
        </w:tc>
        <w:tc>
          <w:tcPr>
            <w:tcW w:w="680" w:type="dxa"/>
            <w:vAlign w:val="bottom"/>
          </w:tcPr>
          <w:p>
            <w:pPr>
              <w:spacing w:after="0"/>
              <w:rPr>
                <w:sz w:val="21"/>
                <w:szCs w:val="21"/>
                <w:color w:val="auto"/>
              </w:rPr>
            </w:pPr>
          </w:p>
        </w:tc>
        <w:tc>
          <w:tcPr>
            <w:tcW w:w="900" w:type="dxa"/>
            <w:vAlign w:val="bottom"/>
          </w:tcPr>
          <w:p>
            <w:pPr>
              <w:jc w:val="center"/>
              <w:ind w:left="450"/>
              <w:spacing w:after="0"/>
              <w:rPr>
                <w:sz w:val="20"/>
                <w:szCs w:val="20"/>
                <w:color w:val="auto"/>
              </w:rPr>
            </w:pPr>
            <w:r>
              <w:rPr>
                <w:rFonts w:ascii="Arial" w:cs="Arial" w:eastAsia="Arial" w:hAnsi="Arial"/>
                <w:sz w:val="18"/>
                <w:szCs w:val="18"/>
                <w:color w:val="auto"/>
                <w:w w:val="99"/>
              </w:rPr>
              <w:t>10</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Reversal and utilization</w:t>
            </w:r>
          </w:p>
        </w:tc>
        <w:tc>
          <w:tcPr>
            <w:tcW w:w="6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(13)</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6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center"/>
              <w:ind w:left="450"/>
              <w:spacing w:after="0"/>
              <w:rPr>
                <w:sz w:val="20"/>
                <w:szCs w:val="20"/>
                <w:color w:val="auto"/>
              </w:rPr>
            </w:pPr>
            <w:r>
              <w:rPr>
                <w:rFonts w:ascii="Arial" w:cs="Arial" w:eastAsia="Arial" w:hAnsi="Arial"/>
                <w:sz w:val="18"/>
                <w:szCs w:val="18"/>
                <w:color w:val="auto"/>
                <w:w w:val="99"/>
              </w:rPr>
              <w:t>13</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provision</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16</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Reversal and utilization</w:t>
            </w:r>
          </w:p>
        </w:tc>
        <w:tc>
          <w:tcPr>
            <w:tcW w:w="680" w:type="dxa"/>
            <w:vAlign w:val="bottom"/>
          </w:tcPr>
          <w:p>
            <w:pPr>
              <w:spacing w:after="0"/>
              <w:rPr>
                <w:sz w:val="21"/>
                <w:szCs w:val="21"/>
                <w:color w:val="auto"/>
              </w:rPr>
            </w:pPr>
          </w:p>
        </w:tc>
        <w:tc>
          <w:tcPr>
            <w:tcW w:w="900" w:type="dxa"/>
            <w:vAlign w:val="bottom"/>
          </w:tcPr>
          <w:p>
            <w:pPr>
              <w:jc w:val="center"/>
              <w:ind w:left="450"/>
              <w:spacing w:after="0"/>
              <w:rPr>
                <w:sz w:val="20"/>
                <w:szCs w:val="20"/>
                <w:color w:val="auto"/>
              </w:rPr>
            </w:pPr>
            <w:r>
              <w:rPr>
                <w:rFonts w:ascii="Arial" w:cs="Arial" w:eastAsia="Arial" w:hAnsi="Arial"/>
                <w:sz w:val="18"/>
                <w:szCs w:val="18"/>
                <w:color w:val="auto"/>
                <w:w w:val="99"/>
              </w:rPr>
              <w:t>(12)</w:t>
            </w:r>
          </w:p>
        </w:tc>
      </w:tr>
      <w:tr>
        <w:trPr>
          <w:trHeight w:val="27"/>
        </w:trPr>
        <w:tc>
          <w:tcPr>
            <w:tcW w:w="9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17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193"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Under our current proxy agreement, DRS remains largely independent from the Parent. Additionally, the Company provides services related to the US interface for the Parent and its other affiliates. These services include financial, tax, trade compliance, marketing and communications and legal.</w:t>
      </w:r>
    </w:p>
    <w:p>
      <w:pPr>
        <w:spacing w:after="0" w:line="148"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Company also has related-party sales with the Parent and its other affiliates that occur in the regular course of business. Related-party sales for these transactions are included in revenues and were $26 million, $16 million and $20 million for the years ended December 31, 2020, 2019 and 2018, respectively. The receivables related to these transactions with the Parent and its other affiliates of $5 million and $2 million, respectively, and payables of $8 million and $10 million, respectively, are included in accounts receivable and accounts payable in our Consolidated Balance Sheet as of December 31, 2020 and 2019.</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entered into a Surplus Treasury Agreement with US Holding (the “Surplus Agreement”) in December 2019. The Surplus Agreement allows the Company to advance excess funds to US Holding when funds are available. The advances bear interest at LIBOR plus between 5 and 20 basis points depending on the tenor of the advance. As of December 31, 2020 and 2019, the Company had advanced $115 million and $100 million to US Holding, which is presented on the balance sheet as a related party note receivable.</w:t>
      </w:r>
    </w:p>
    <w:p>
      <w:pPr>
        <w:spacing w:after="0" w:line="150"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During 2020, US Holding forgave $300 million of related party debt. This was treated as a capital transaction and the amount was recorded in additional paid-in capital, as US Holding is a related party.</w:t>
      </w:r>
    </w:p>
    <w:p>
      <w:pPr>
        <w:spacing w:after="0" w:line="126"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color w:val="auto"/>
        </w:rPr>
        <w:t xml:space="preserve">The Company entered into Tax Allocation Agreement with US Holding, dated as of November 16, 2020. Refer to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Operating segments represent components of an enterprise for which separate financial information is available that is regularly reviewed by the CODM in determining how to allocate resources and assess performance. Our Chief Executive Officer is our CODM and he uses a variety of measures to assess the performance of the Company as a whole, depending on the nature of the activity. The Company’s operating and reportable segments consist of AST, NC&amp;C and IMS. All other operations, which consists primarily of DRS Corporate Headquarters and certain non-operating subsidiaries of the Company, are grouped in Corporate &amp; Eliminations.</w:t>
      </w:r>
    </w:p>
    <w:p>
      <w:pPr>
        <w:spacing w:after="0" w:line="15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primarily use Adjusted EBITDA to manage the Company and allocate resources. Adjusted EBITDA of our business segments includes our net earnings before income taxes, amortization of acquired intangible assets, depreciation, restructuring costs, interest, transaction costs related to this offering, acquisition and divestiture related expenses, foreign exchange, COVID-19 response costs, non-service pension expenditures and other one-time non-operational events. Adjusted EBITDA is used to facilitate a comparison of the ordinary, ongoing and customary course of our operations on a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522" w:right="339" w:bottom="1440" w:gutter="0" w:footer="0" w:header="0"/>
        </w:sectPr>
      </w:pPr>
    </w:p>
    <w:bookmarkStart w:id="245" w:name="page246"/>
    <w:bookmarkEnd w:id="245"/>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basis from period to period and provide an additional understanding of factors and trends affecting our business segments. This measure assists the CODM in assessing segment operating performance consistently over time without the impact of our capital structure, asset base and items outside the control of the management team and expenses that do not relate to our core operations.</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Certain information related to our segments for the years ended December 31, 2020, 2019 and 2018, is presented in the following tables. Consistent accounting policies have been applied by all segments within the Company, within all reporting periods. A description of our reportable segments as of December 31, 2020 and 2019 has been included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Transactions between segments generally are negotiated and accounted for under terms and conditions that are similar to other government and commercial contracts; however, these intercompany transactions are eliminated in consolidation.</w:t>
      </w:r>
    </w:p>
    <w:p>
      <w:pPr>
        <w:spacing w:after="0" w:line="151" w:lineRule="exact"/>
        <w:rPr>
          <w:sz w:val="20"/>
          <w:szCs w:val="20"/>
          <w:color w:val="auto"/>
        </w:rPr>
      </w:pPr>
    </w:p>
    <w:p>
      <w:pPr>
        <w:ind w:right="800" w:firstLine="324"/>
        <w:spacing w:after="0" w:line="261" w:lineRule="auto"/>
        <w:rPr>
          <w:sz w:val="20"/>
          <w:szCs w:val="20"/>
          <w:color w:val="auto"/>
        </w:rPr>
      </w:pPr>
      <w:r>
        <w:rPr>
          <w:rFonts w:ascii="Arial" w:cs="Arial" w:eastAsia="Arial" w:hAnsi="Arial"/>
          <w:sz w:val="18"/>
          <w:szCs w:val="18"/>
          <w:color w:val="auto"/>
        </w:rPr>
        <w:t>Total revenues and intersegment revenues by segment for the years ended December 31, 2020, 2019 and 2018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100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NC&amp;C</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000" w:type="dxa"/>
            <w:vAlign w:val="bottom"/>
            <w:tcBorders>
              <w:bottom w:val="single" w:sz="8" w:color="auto"/>
            </w:tcBorders>
            <w:gridSpan w:val="2"/>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7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100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NC&amp;C</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intersegment revenue</w:t>
            </w:r>
          </w:p>
        </w:tc>
        <w:tc>
          <w:tcPr>
            <w:tcW w:w="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34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72"/>
        </w:trPr>
        <w:tc>
          <w:tcPr>
            <w:tcW w:w="7980" w:type="dxa"/>
            <w:vAlign w:val="bottom"/>
            <w:gridSpan w:val="5"/>
          </w:tcPr>
          <w:p>
            <w:pPr>
              <w:ind w:left="340"/>
              <w:spacing w:after="0"/>
              <w:rPr>
                <w:sz w:val="20"/>
                <w:szCs w:val="20"/>
                <w:color w:val="auto"/>
              </w:rPr>
            </w:pPr>
            <w:r>
              <w:rPr>
                <w:rFonts w:ascii="Arial" w:cs="Arial" w:eastAsia="Arial" w:hAnsi="Arial"/>
                <w:sz w:val="18"/>
                <w:szCs w:val="18"/>
                <w:color w:val="auto"/>
              </w:rPr>
              <w:t>Depreciation by segment as of December 31, 2020, 2019 and 2018 consists of the following:</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100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NC&amp;C</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depreciation</w:t>
            </w:r>
          </w:p>
        </w:tc>
        <w:tc>
          <w:tcPr>
            <w:tcW w:w="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34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72"/>
        </w:trPr>
        <w:tc>
          <w:tcPr>
            <w:tcW w:w="7320" w:type="dxa"/>
            <w:vAlign w:val="bottom"/>
            <w:gridSpan w:val="3"/>
          </w:tcPr>
          <w:p>
            <w:pPr>
              <w:ind w:left="340"/>
              <w:spacing w:after="0"/>
              <w:rPr>
                <w:sz w:val="20"/>
                <w:szCs w:val="20"/>
                <w:color w:val="auto"/>
              </w:rPr>
            </w:pPr>
            <w:r>
              <w:rPr>
                <w:rFonts w:ascii="Arial" w:cs="Arial" w:eastAsia="Arial" w:hAnsi="Arial"/>
                <w:sz w:val="18"/>
                <w:szCs w:val="18"/>
                <w:color w:val="auto"/>
              </w:rPr>
              <w:t>Total assets by segment as of December 31, 2020 and 2019 consist of the following:</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NC&amp;C</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6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522" w:right="339" w:bottom="1440" w:gutter="0" w:footer="0" w:header="0"/>
        </w:sectPr>
      </w:pPr>
    </w:p>
    <w:bookmarkStart w:id="246" w:name="page247"/>
    <w:bookmarkEnd w:id="246"/>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Reconciliation of reportable segment Adjusted EBITDA to Net Earnings (loss)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NC&amp;C</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IMS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&amp;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Acquisition and divestiture related expenses</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COVID-19 response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Non-service pension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Other one-time non-operational events</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93"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The Company has evaluated subsequent events through March 15, 2021, which represents the date on which the Consolidated Financial Statements were issued.</w:t>
      </w:r>
    </w:p>
    <w:p>
      <w:pPr>
        <w:spacing w:after="0" w:line="14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coronavirus (“COVID-19”) pandemic has caused significant disruptions to national and global economies and government activities. We are designated as an essential business in each of the jurisdictions in which we operate and, as such, we have worked to ensure continuity of our operations to meet our contractual obligations. Certain of our businesses have experienced disruptions, such as customer site closures, travel restrictions and social distancing requirements. We have adopted various initiatives at our businesses as part of our business continuity programs, and we continue to work to mitigate risk when disruptions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522" w:right="339"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5"/>
          <w:szCs w:val="25"/>
          <w:color w:val="auto"/>
        </w:rPr>
        <w:t>31,900,000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125095</wp:posOffset>
            </wp:positionV>
            <wp:extent cx="1517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605155</wp:posOffset>
            </wp:positionV>
            <wp:extent cx="4063365" cy="514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633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Leonardo DRS, Inc.</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159385</wp:posOffset>
            </wp:positionV>
            <wp:extent cx="1517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40"/>
        <w:spacing w:after="0"/>
        <w:rPr>
          <w:sz w:val="20"/>
          <w:szCs w:val="20"/>
          <w:color w:val="auto"/>
        </w:rPr>
      </w:pPr>
      <w:r>
        <w:rPr>
          <w:rFonts w:ascii="Arial" w:cs="Arial" w:eastAsia="Arial" w:hAnsi="Arial"/>
          <w:sz w:val="25"/>
          <w:szCs w:val="25"/>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BofA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J.P. Morgan</w:t>
      </w:r>
    </w:p>
    <w:p>
      <w:pPr>
        <w:spacing w:after="0" w:line="211" w:lineRule="exact"/>
        <w:rPr>
          <w:sz w:val="20"/>
          <w:szCs w:val="20"/>
          <w:color w:val="auto"/>
        </w:rPr>
      </w:pPr>
    </w:p>
    <w:p>
      <w:pPr>
        <w:sectPr>
          <w:pgSz w:w="11900" w:h="16838" w:orient="portrait"/>
          <w:cols w:equalWidth="0" w:num="3">
            <w:col w:w="5020" w:space="560"/>
            <w:col w:w="1880" w:space="560"/>
            <w:col w:w="3180"/>
          </w:cols>
          <w:pgMar w:left="320" w:top="1440" w:right="379" w:bottom="1440" w:gutter="0" w:footer="0" w:header="0"/>
          <w:type w:val="continuous"/>
        </w:sectPr>
      </w:pPr>
    </w:p>
    <w:p>
      <w:pPr>
        <w:spacing w:after="0" w:line="78" w:lineRule="exact"/>
        <w:rPr>
          <w:sz w:val="20"/>
          <w:szCs w:val="20"/>
          <w:color w:val="auto"/>
        </w:rPr>
      </w:pPr>
    </w:p>
    <w:p>
      <w:pPr>
        <w:ind w:left="2840"/>
        <w:spacing w:after="0"/>
        <w:rPr>
          <w:sz w:val="20"/>
          <w:szCs w:val="20"/>
          <w:color w:val="auto"/>
        </w:rPr>
      </w:pPr>
      <w:r>
        <w:rPr>
          <w:rFonts w:ascii="Arial" w:cs="Arial" w:eastAsia="Arial" w:hAnsi="Arial"/>
          <w:sz w:val="21"/>
          <w:szCs w:val="21"/>
          <w:b w:val="1"/>
          <w:bCs w:val="1"/>
          <w:color w:val="auto"/>
        </w:rPr>
        <w:t>Barclays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Credit Suisse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Morgan Stanley</w:t>
      </w:r>
    </w:p>
    <w:p>
      <w:pPr>
        <w:spacing w:after="0" w:line="173" w:lineRule="exact"/>
        <w:rPr>
          <w:sz w:val="20"/>
          <w:szCs w:val="20"/>
          <w:color w:val="auto"/>
        </w:rPr>
      </w:pPr>
    </w:p>
    <w:p>
      <w:pPr>
        <w:sectPr>
          <w:pgSz w:w="11900" w:h="16838" w:orient="portrait"/>
          <w:cols w:equalWidth="0" w:num="4">
            <w:col w:w="3740" w:space="240"/>
            <w:col w:w="960" w:space="240"/>
            <w:col w:w="1380" w:space="240"/>
            <w:col w:w="4400"/>
          </w:cols>
          <w:pgMar w:left="320" w:top="1440" w:right="379" w:bottom="1440" w:gutter="0" w:footer="0" w:header="0"/>
          <w:type w:val="continuous"/>
        </w:sectPr>
      </w:pPr>
    </w:p>
    <w:p>
      <w:pPr>
        <w:ind w:left="1800"/>
        <w:spacing w:after="0"/>
        <w:rPr>
          <w:sz w:val="20"/>
          <w:szCs w:val="20"/>
          <w:color w:val="auto"/>
        </w:rPr>
      </w:pPr>
      <w:r>
        <w:rPr>
          <w:rFonts w:ascii="Arial" w:cs="Arial" w:eastAsia="Arial" w:hAnsi="Arial"/>
          <w:sz w:val="17"/>
          <w:szCs w:val="17"/>
          <w:b w:val="1"/>
          <w:bCs w:val="1"/>
          <w:color w:val="auto"/>
        </w:rPr>
        <w:t>Credit Agricole CIB</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IMI - Intesa Sanpaolo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174625</wp:posOffset>
            </wp:positionV>
            <wp:extent cx="1517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b w:val="1"/>
          <w:bCs w:val="1"/>
          <w:color w:val="auto"/>
        </w:rPr>
        <w:t>MUFG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UniCredit Capital Markets</w:t>
      </w:r>
    </w:p>
    <w:p>
      <w:pPr>
        <w:spacing w:after="0" w:line="200" w:lineRule="exact"/>
        <w:rPr>
          <w:sz w:val="20"/>
          <w:szCs w:val="20"/>
          <w:color w:val="auto"/>
        </w:rPr>
      </w:pPr>
    </w:p>
    <w:p>
      <w:pPr>
        <w:sectPr>
          <w:pgSz w:w="11900" w:h="16838" w:orient="portrait"/>
          <w:cols w:equalWidth="0" w:num="4">
            <w:col w:w="3440" w:space="500"/>
            <w:col w:w="1800" w:space="500"/>
            <w:col w:w="520" w:space="500"/>
            <w:col w:w="3940"/>
          </w:cols>
          <w:pgMar w:left="320" w:top="1440" w:right="379" w:bottom="1440" w:gutter="0" w:footer="0" w:header="0"/>
          <w:type w:val="continuous"/>
        </w:sectPr>
      </w:pPr>
    </w:p>
    <w:p>
      <w:pPr>
        <w:spacing w:after="0" w:line="3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2021</w:t>
      </w:r>
    </w:p>
    <w:p>
      <w:pPr>
        <w:spacing w:after="0" w:line="200" w:lineRule="exact"/>
        <w:rPr>
          <w:sz w:val="20"/>
          <w:szCs w:val="20"/>
          <w:color w:val="auto"/>
        </w:rPr>
      </w:pPr>
    </w:p>
    <w:p>
      <w:pPr>
        <w:spacing w:after="0" w:line="35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Through and including , 2021 (25 days after the date of this prospectus), all dealers that buy, sell or trade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48" w:name="page249"/>
    <w:bookmarkEnd w:id="24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following table sets forth the estimated expenses payable by us in connection with the sale and distribution of the securities registered hereby, other than underwriting discounts or commissions. All amounts are estimates except for the SEC registration fee and the FINRA filing fee.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88,051</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121,561</w:t>
            </w:r>
          </w:p>
        </w:tc>
      </w:tr>
      <w:tr>
        <w:trPr>
          <w:trHeight w:val="27"/>
        </w:trPr>
        <w:tc>
          <w:tcPr>
            <w:tcW w:w="9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Listing Fee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197,000</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Printing Fees and Expenses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7"/>
        </w:trPr>
        <w:tc>
          <w:tcPr>
            <w:tcW w:w="9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6,100,000</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2,100,000</w:t>
            </w:r>
          </w:p>
        </w:tc>
      </w:tr>
      <w:tr>
        <w:trPr>
          <w:trHeight w:val="27"/>
        </w:trPr>
        <w:tc>
          <w:tcPr>
            <w:tcW w:w="9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Sky Fees and Expenses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Transfer Agent Fees and Expenses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9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63"/>
        </w:trPr>
        <w:tc>
          <w:tcPr>
            <w:tcW w:w="956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9,301,612</w:t>
            </w:r>
          </w:p>
        </w:tc>
      </w:tr>
      <w:tr>
        <w:trPr>
          <w:trHeight w:val="21"/>
        </w:trPr>
        <w:tc>
          <w:tcPr>
            <w:tcW w:w="9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Leonardo DRS, Inc. Is Incorporated Under the Laws of the State of Delaware.</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5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5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Section 145(c) of the DGCL provides that to the extent that a present or former director or officer of a corporation has been successful on the merits or otherwise in defense of any action, suit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5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referred to in subsections (a) and (b) of Section 145 of the DGCL, or in defense of any claim, issue or matter therein, such person shall be indemnified against expenses (including attorneys’ fees) actually and reasonably incurred by such person in connection therewith.</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5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Section 145(g) of the DGCL specifically allows a Delaware corporation to purchase liability insurance on behalf of its directors and officers and to insure against potential liability of such directors and officers regardless of whether the corporation would have the power to indemnify such directors and officers under Section 145 of the DGCL.</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Section 102(b)(7) of the DGCL permits a Delaware corporation to include a provision in its certificate of incorporation eliminating or limiting the personal liability of directors to the corporation or its stockholders for monetary damages for breach of fiduciary duty as a director. This provision, however, may not eliminate or limit a director’s liability (1) for breach of the director’s duty of loyalty to the corporation or its stockholders, (2) for acts or omissions not in good faith or involving intentional misconduct or a knowing violation of law, (3) under Section 174 of the DGCL, which provides for liability of directors for unlawful payments of dividends or unlawful stock purchases, redemptions or other distributions, or (4) for any transaction from which the director derived an improper personal benefit.</w:t>
      </w:r>
    </w:p>
    <w:p>
      <w:pPr>
        <w:spacing w:after="0" w:line="15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Section 174 of the DGCL provides, among other things, that a director who willfully and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the action occurred or immediately after the absent director receives notice of the unlawful acts.</w:t>
      </w:r>
    </w:p>
    <w:p>
      <w:pPr>
        <w:spacing w:after="0" w:line="15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Our amended and restated certificate of incorporation contains provisions permitted under the DGCL relating to the liability of directors. These provisions will eliminate a director’s personal liability for monetary damages resulting from a breach of fiduciary duty, except in circumstances involving:</w:t>
      </w:r>
    </w:p>
    <w:p>
      <w:pPr>
        <w:spacing w:after="0" w:line="148"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purchases, redemptions or other distributions;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71"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Our amended and restated certificate of incorporation and our amended and restated bylaws require us to indemnify and advance expenses to our directors and officers to the fullest extent not prohibited by the DGCL and other applicable law, except in the case of a proceeding instituted by the director without the approval of our board. Our amended and restated certificate of incorporation and our amended and restated bylaws provide that we are required to indemnify our directors and officers, to the fullest extent permitted by law, for all judgments, fines, settlements, legal fees and other expenses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1440" w:right="359" w:bottom="1440" w:gutter="0" w:footer="0" w:header="0"/>
        </w:sectPr>
      </w:pPr>
    </w:p>
    <w:bookmarkStart w:id="250" w:name="page251"/>
    <w:bookmarkEnd w:id="250"/>
    <w:p>
      <w:pPr>
        <w:spacing w:after="0" w:line="15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9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Prior to the completion of this offering, we will enter into indemnification agreements with our directors. The indemnification agreements will provide the directors with contractual rights to the indemnification and expense advancement rights provided under our amended and restated bylaws, as well as contractual rights to additional indemnification as provided in the indemnification agreements.</w:t>
      </w:r>
    </w:p>
    <w:p>
      <w:pPr>
        <w:spacing w:after="0" w:line="14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indemnification agreements will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 and Officers’ Liability Insurance</w:t>
      </w:r>
    </w:p>
    <w:p>
      <w:pPr>
        <w:spacing w:after="0" w:line="193"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Prior to the completion of this offering, we will have obtained directors’ and officers’ liability insurance that insures against certain liabilities that our directors and officers and the directors and officers of our subsidiaries may, in such capacities, incur.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the underwriting agreement we entered into in connection with the sale of the common stock being registered hereby, the underwriters have agreed to indemnify, under certain conditions, us, our directors, our officers and persons who control us within the meaning of the Securities Act, against certain liabilities, or to contribute to payments such parties may be required to make in respect of these liabilities.</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20" w:type="dxa"/>
            <w:vAlign w:val="bottom"/>
          </w:tcPr>
          <w:p>
            <w:pPr>
              <w:spacing w:after="0"/>
              <w:rPr>
                <w:sz w:val="20"/>
                <w:szCs w:val="20"/>
                <w:color w:val="auto"/>
              </w:rPr>
            </w:pPr>
          </w:p>
        </w:tc>
        <w:tc>
          <w:tcPr>
            <w:tcW w:w="10060" w:type="dxa"/>
            <w:vAlign w:val="bottom"/>
            <w:gridSpan w:val="21"/>
          </w:tcPr>
          <w:p>
            <w:pPr>
              <w:ind w:left="120"/>
              <w:spacing w:after="0"/>
              <w:rPr>
                <w:sz w:val="20"/>
                <w:szCs w:val="20"/>
                <w:color w:val="auto"/>
              </w:rPr>
            </w:pPr>
            <w:r>
              <w:rPr>
                <w:rFonts w:ascii="Arial" w:cs="Arial" w:eastAsia="Arial" w:hAnsi="Arial"/>
                <w:sz w:val="18"/>
                <w:szCs w:val="18"/>
                <w:b w:val="1"/>
                <w:bCs w:val="1"/>
                <w:color w:val="auto"/>
              </w:rPr>
              <w:t>Exhibits and Financial Statement Schedules.</w:t>
            </w:r>
          </w:p>
        </w:tc>
        <w:tc>
          <w:tcPr>
            <w:tcW w:w="0" w:type="dxa"/>
            <w:vAlign w:val="bottom"/>
          </w:tcPr>
          <w:p>
            <w:pPr>
              <w:spacing w:after="0"/>
              <w:rPr>
                <w:sz w:val="1"/>
                <w:szCs w:val="1"/>
                <w:color w:val="auto"/>
              </w:rPr>
            </w:pPr>
          </w:p>
        </w:tc>
      </w:tr>
      <w:tr>
        <w:trPr>
          <w:trHeight w:val="378"/>
        </w:trPr>
        <w:tc>
          <w:tcPr>
            <w:tcW w:w="11240" w:type="dxa"/>
            <w:vAlign w:val="bottom"/>
            <w:gridSpan w:val="24"/>
          </w:tcPr>
          <w:p>
            <w:pPr>
              <w:ind w:left="34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365"/>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520" w:type="dxa"/>
            <w:vAlign w:val="bottom"/>
            <w:gridSpan w:val="11"/>
          </w:tcPr>
          <w:p>
            <w:pPr>
              <w:ind w:left="8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25"/>
        </w:trPr>
        <w:tc>
          <w:tcPr>
            <w:tcW w:w="1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60" w:type="dxa"/>
            <w:vAlign w:val="bottom"/>
            <w:tcBorders>
              <w:top w:val="single" w:sz="8" w:color="auto"/>
            </w:tcBorders>
            <w:gridSpan w:val="21"/>
          </w:tcPr>
          <w:p>
            <w:pPr>
              <w:spacing w:after="0"/>
              <w:rPr>
                <w:rFonts w:ascii="Arial" w:cs="Arial" w:eastAsia="Arial" w:hAnsi="Arial"/>
                <w:sz w:val="17"/>
                <w:szCs w:val="17"/>
                <w:u w:val="single" w:color="auto"/>
                <w:color w:val="0000FF"/>
              </w:rPr>
            </w:pPr>
            <w:hyperlink r:id="rId82">
              <w:r>
                <w:rPr>
                  <w:rFonts w:ascii="Arial" w:cs="Arial" w:eastAsia="Arial" w:hAnsi="Arial"/>
                  <w:sz w:val="17"/>
                  <w:szCs w:val="17"/>
                  <w:u w:val="single" w:color="auto"/>
                  <w:color w:val="0000FF"/>
                </w:rPr>
                <w:t>Form of Underwriting Agreement</w:t>
              </w:r>
            </w:hyperlink>
          </w:p>
        </w:tc>
        <w:tc>
          <w:tcPr>
            <w:tcW w:w="0" w:type="dxa"/>
            <w:vAlign w:val="bottom"/>
          </w:tcPr>
          <w:p>
            <w:pPr>
              <w:spacing w:after="0"/>
              <w:rPr>
                <w:sz w:val="1"/>
                <w:szCs w:val="1"/>
                <w:color w:val="auto"/>
              </w:rPr>
            </w:pPr>
          </w:p>
        </w:tc>
      </w:tr>
      <w:tr>
        <w:trPr>
          <w:trHeight w:val="256"/>
        </w:trPr>
        <w:tc>
          <w:tcPr>
            <w:tcW w:w="1060" w:type="dxa"/>
            <w:vAlign w:val="bottom"/>
          </w:tcPr>
          <w:p>
            <w:pPr>
              <w:ind w:left="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83">
              <w:r>
                <w:rPr>
                  <w:rFonts w:ascii="Arial" w:cs="Arial" w:eastAsia="Arial" w:hAnsi="Arial"/>
                  <w:sz w:val="17"/>
                  <w:szCs w:val="17"/>
                  <w:u w:val="single" w:color="auto"/>
                  <w:color w:val="0000FF"/>
                </w:rPr>
                <w:t>Amended and Restated Certificate of Incorporation of Leonardo DRS, Inc. (f/k/a DRS Technologies, Inc.) (as amended)</w:t>
              </w:r>
            </w:hyperlink>
          </w:p>
        </w:tc>
        <w:tc>
          <w:tcPr>
            <w:tcW w:w="0" w:type="dxa"/>
            <w:vAlign w:val="bottom"/>
          </w:tcPr>
          <w:p>
            <w:pPr>
              <w:spacing w:after="0"/>
              <w:rPr>
                <w:sz w:val="1"/>
                <w:szCs w:val="1"/>
                <w:color w:val="auto"/>
              </w:rPr>
            </w:pPr>
          </w:p>
        </w:tc>
      </w:tr>
      <w:tr>
        <w:trPr>
          <w:trHeight w:val="220"/>
        </w:trPr>
        <w:tc>
          <w:tcPr>
            <w:tcW w:w="106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tcBorders>
              <w:bottom w:val="single" w:sz="8" w:color="0000FF"/>
            </w:tcBorders>
            <w:gridSpan w:val="17"/>
          </w:tcPr>
          <w:p>
            <w:pPr>
              <w:spacing w:after="0"/>
              <w:rPr>
                <w:rFonts w:ascii="Arial" w:cs="Arial" w:eastAsia="Arial" w:hAnsi="Arial"/>
                <w:sz w:val="17"/>
                <w:szCs w:val="17"/>
                <w:color w:val="0000FF"/>
              </w:rPr>
            </w:pPr>
            <w:hyperlink r:id="rId84">
              <w:r>
                <w:rPr>
                  <w:rFonts w:ascii="Arial" w:cs="Arial" w:eastAsia="Arial" w:hAnsi="Arial"/>
                  <w:sz w:val="17"/>
                  <w:szCs w:val="17"/>
                  <w:color w:val="0000FF"/>
                </w:rPr>
                <w:t>Certificate of Amendment to the Amended and Restated Certificate of Incorporation of Leonardo DRS, Inc. (f/k/a DRS Technologies,</w:t>
              </w:r>
            </w:hyperlink>
          </w:p>
        </w:tc>
        <w:tc>
          <w:tcPr>
            <w:tcW w:w="1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21"/>
          </w:tcPr>
          <w:p>
            <w:pPr>
              <w:spacing w:after="0" w:line="183" w:lineRule="exact"/>
              <w:rPr>
                <w:rFonts w:ascii="Arial" w:cs="Arial" w:eastAsia="Arial" w:hAnsi="Arial"/>
                <w:sz w:val="17"/>
                <w:szCs w:val="17"/>
                <w:color w:val="0000FF"/>
              </w:rPr>
            </w:pPr>
            <w:hyperlink r:id="rId84">
              <w:r>
                <w:rPr>
                  <w:rFonts w:ascii="Arial" w:cs="Arial" w:eastAsia="Arial" w:hAnsi="Arial"/>
                  <w:sz w:val="17"/>
                  <w:szCs w:val="17"/>
                  <w:color w:val="0000FF"/>
                </w:rPr>
                <w:t>Inc.)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60" w:type="dxa"/>
            <w:vAlign w:val="bottom"/>
          </w:tcPr>
          <w:p>
            <w:pPr>
              <w:ind w:left="2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85">
              <w:r>
                <w:rPr>
                  <w:rFonts w:ascii="Arial" w:cs="Arial" w:eastAsia="Arial" w:hAnsi="Arial"/>
                  <w:sz w:val="17"/>
                  <w:szCs w:val="17"/>
                  <w:u w:val="single" w:color="auto"/>
                  <w:color w:val="0000FF"/>
                </w:rPr>
                <w:t>Amended and Restated Certificate of Incorporation of Leonardo DRS, Inc., as in effect</w:t>
              </w:r>
            </w:hyperlink>
          </w:p>
        </w:tc>
        <w:tc>
          <w:tcPr>
            <w:tcW w:w="0" w:type="dxa"/>
            <w:vAlign w:val="bottom"/>
          </w:tcPr>
          <w:p>
            <w:pPr>
              <w:spacing w:after="0"/>
              <w:rPr>
                <w:sz w:val="1"/>
                <w:szCs w:val="1"/>
                <w:color w:val="auto"/>
              </w:rPr>
            </w:pPr>
          </w:p>
        </w:tc>
      </w:tr>
      <w:tr>
        <w:trPr>
          <w:trHeight w:val="220"/>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3.3(a)*</w:t>
            </w:r>
          </w:p>
        </w:tc>
        <w:tc>
          <w:tcPr>
            <w:tcW w:w="20" w:type="dxa"/>
            <w:vAlign w:val="bottom"/>
          </w:tcPr>
          <w:p>
            <w:pPr>
              <w:spacing w:after="0"/>
              <w:rPr>
                <w:sz w:val="19"/>
                <w:szCs w:val="19"/>
                <w:color w:val="auto"/>
              </w:rPr>
            </w:pPr>
          </w:p>
        </w:tc>
        <w:tc>
          <w:tcPr>
            <w:tcW w:w="10060" w:type="dxa"/>
            <w:vAlign w:val="bottom"/>
            <w:gridSpan w:val="21"/>
          </w:tcPr>
          <w:p>
            <w:pPr>
              <w:spacing w:after="0"/>
              <w:rPr>
                <w:rFonts w:ascii="Arial" w:cs="Arial" w:eastAsia="Arial" w:hAnsi="Arial"/>
                <w:sz w:val="17"/>
                <w:szCs w:val="17"/>
                <w:color w:val="0000FF"/>
              </w:rPr>
            </w:pPr>
            <w:hyperlink w:anchor="page255">
              <w:r>
                <w:rPr>
                  <w:rFonts w:ascii="Arial" w:cs="Arial" w:eastAsia="Arial" w:hAnsi="Arial"/>
                  <w:sz w:val="17"/>
                  <w:szCs w:val="17"/>
                  <w:color w:val="0000FF"/>
                </w:rPr>
                <w:t>Form of Certificate of Amendment to the Amended and Restated Certificate of Incorporation of Leonardo DRS, Inc., to be effective at</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19"/>
          </w:tcPr>
          <w:p>
            <w:pPr>
              <w:spacing w:after="0" w:line="183" w:lineRule="exact"/>
              <w:rPr>
                <w:rFonts w:ascii="Arial" w:cs="Arial" w:eastAsia="Arial" w:hAnsi="Arial"/>
                <w:sz w:val="17"/>
                <w:szCs w:val="17"/>
                <w:color w:val="0000FF"/>
              </w:rPr>
            </w:pPr>
            <w:hyperlink w:anchor="page255">
              <w:r>
                <w:rPr>
                  <w:rFonts w:ascii="Arial" w:cs="Arial" w:eastAsia="Arial" w:hAnsi="Arial"/>
                  <w:sz w:val="17"/>
                  <w:szCs w:val="17"/>
                  <w:color w:val="0000FF"/>
                </w:rPr>
                <w:t>the completion of this offering.</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60" w:type="dxa"/>
            <w:vAlign w:val="bottom"/>
          </w:tcPr>
          <w:p>
            <w:pPr>
              <w:ind w:left="20"/>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86">
              <w:r>
                <w:rPr>
                  <w:rFonts w:ascii="Arial" w:cs="Arial" w:eastAsia="Arial" w:hAnsi="Arial"/>
                  <w:sz w:val="17"/>
                  <w:szCs w:val="17"/>
                  <w:u w:val="single" w:color="auto"/>
                  <w:color w:val="0000FF"/>
                </w:rPr>
                <w:t>Amended and Restated Bylaws of Leonardo DRS, Inc., as in effect</w:t>
              </w:r>
            </w:hyperlink>
          </w:p>
        </w:tc>
        <w:tc>
          <w:tcPr>
            <w:tcW w:w="0" w:type="dxa"/>
            <w:vAlign w:val="bottom"/>
          </w:tcPr>
          <w:p>
            <w:pPr>
              <w:spacing w:after="0"/>
              <w:rPr>
                <w:sz w:val="1"/>
                <w:szCs w:val="1"/>
                <w:color w:val="auto"/>
              </w:rPr>
            </w:pPr>
          </w:p>
        </w:tc>
      </w:tr>
      <w:tr>
        <w:trPr>
          <w:trHeight w:val="256"/>
        </w:trPr>
        <w:tc>
          <w:tcPr>
            <w:tcW w:w="106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Form of Common Stock Certificate</w:t>
              </w:r>
            </w:hyperlink>
          </w:p>
        </w:tc>
        <w:tc>
          <w:tcPr>
            <w:tcW w:w="0" w:type="dxa"/>
            <w:vAlign w:val="bottom"/>
          </w:tcPr>
          <w:p>
            <w:pPr>
              <w:spacing w:after="0"/>
              <w:rPr>
                <w:sz w:val="1"/>
                <w:szCs w:val="1"/>
                <w:color w:val="auto"/>
              </w:rPr>
            </w:pPr>
          </w:p>
        </w:tc>
      </w:tr>
      <w:tr>
        <w:trPr>
          <w:trHeight w:val="257"/>
        </w:trPr>
        <w:tc>
          <w:tcPr>
            <w:tcW w:w="1060" w:type="dxa"/>
            <w:vAlign w:val="bottom"/>
          </w:tcPr>
          <w:p>
            <w:pPr>
              <w:ind w:left="2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w:anchor="page257">
              <w:r>
                <w:rPr>
                  <w:rFonts w:ascii="Arial" w:cs="Arial" w:eastAsia="Arial" w:hAnsi="Arial"/>
                  <w:sz w:val="17"/>
                  <w:szCs w:val="17"/>
                  <w:u w:val="single" w:color="auto"/>
                  <w:color w:val="0000FF"/>
                </w:rPr>
                <w:t>Opinion of Sullivan &amp; Cromwell LLP</w:t>
              </w:r>
            </w:hyperlink>
          </w:p>
        </w:tc>
        <w:tc>
          <w:tcPr>
            <w:tcW w:w="0" w:type="dxa"/>
            <w:vAlign w:val="bottom"/>
          </w:tcPr>
          <w:p>
            <w:pPr>
              <w:spacing w:after="0"/>
              <w:rPr>
                <w:sz w:val="1"/>
                <w:szCs w:val="1"/>
                <w:color w:val="auto"/>
              </w:rPr>
            </w:pPr>
          </w:p>
        </w:tc>
      </w:tr>
      <w:tr>
        <w:trPr>
          <w:trHeight w:val="220"/>
        </w:trPr>
        <w:tc>
          <w:tcPr>
            <w:tcW w:w="106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1"/>
          </w:tcPr>
          <w:p>
            <w:pPr>
              <w:spacing w:after="0"/>
              <w:rPr>
                <w:rFonts w:ascii="Arial" w:cs="Arial" w:eastAsia="Arial" w:hAnsi="Arial"/>
                <w:sz w:val="17"/>
                <w:szCs w:val="17"/>
                <w:color w:val="0000FF"/>
              </w:rPr>
            </w:pPr>
            <w:hyperlink r:id="rId88">
              <w:r>
                <w:rPr>
                  <w:rFonts w:ascii="Arial" w:cs="Arial" w:eastAsia="Arial" w:hAnsi="Arial"/>
                  <w:sz w:val="17"/>
                  <w:szCs w:val="17"/>
                  <w:u w:val="single" w:color="auto"/>
                  <w:color w:val="0000FF"/>
                </w:rPr>
                <w:t>Form of Cooperation Agreement</w:t>
              </w:r>
              <w:r>
                <w:rPr>
                  <w:rFonts w:ascii="Arial" w:cs="Arial" w:eastAsia="Arial" w:hAnsi="Arial"/>
                  <w:sz w:val="17"/>
                  <w:szCs w:val="17"/>
                  <w:color w:val="0000FF"/>
                </w:rPr>
                <w:t xml:space="preserve"> between </w:t>
              </w:r>
              <w:r>
                <w:rPr>
                  <w:rFonts w:ascii="Arial" w:cs="Arial" w:eastAsia="Arial" w:hAnsi="Arial"/>
                  <w:sz w:val="17"/>
                  <w:szCs w:val="17"/>
                  <w:u w:val="single" w:color="auto"/>
                  <w:color w:val="0000FF"/>
                </w:rPr>
                <w:t>Leonardo DRS, Inc.,</w:t>
              </w:r>
              <w:r>
                <w:rPr>
                  <w:rFonts w:ascii="Arial" w:cs="Arial" w:eastAsia="Arial" w:hAnsi="Arial"/>
                  <w:sz w:val="17"/>
                  <w:szCs w:val="17"/>
                  <w:color w:val="0000FF"/>
                </w:rPr>
                <w:t xml:space="preserve"> Leonardo US </w:t>
              </w:r>
            </w:hyperlink>
            <w:r>
              <w:rPr>
                <w:rFonts w:ascii="Arial" w:cs="Arial" w:eastAsia="Arial" w:hAnsi="Arial"/>
                <w:sz w:val="17"/>
                <w:szCs w:val="17"/>
                <w:color w:val="0000FF"/>
              </w:rPr>
              <w:t>Ho</w:t>
            </w:r>
            <w:hyperlink r:id="rId88">
              <w:r>
                <w:rPr>
                  <w:rFonts w:ascii="Arial" w:cs="Arial" w:eastAsia="Arial" w:hAnsi="Arial"/>
                  <w:sz w:val="17"/>
                  <w:szCs w:val="17"/>
                  <w:color w:val="0000FF"/>
                </w:rPr>
                <w:t xml:space="preserve">lding, </w:t>
              </w:r>
              <w:r>
                <w:rPr>
                  <w:rFonts w:ascii="Arial" w:cs="Arial" w:eastAsia="Arial" w:hAnsi="Arial"/>
                  <w:sz w:val="17"/>
                  <w:szCs w:val="17"/>
                  <w:u w:val="single" w:color="auto"/>
                  <w:color w:val="0000FF"/>
                </w:rPr>
                <w:t>Inc. and Leonardo – Società per azioni</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6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89">
              <w:r>
                <w:rPr>
                  <w:rFonts w:ascii="Arial" w:cs="Arial" w:eastAsia="Arial" w:hAnsi="Arial"/>
                  <w:sz w:val="17"/>
                  <w:szCs w:val="17"/>
                  <w:u w:val="single" w:color="auto"/>
                  <w:color w:val="0000FF"/>
                </w:rPr>
                <w:t>Form of Amended and Restated Proxy Agreement by and among Leonardo DRS, Inc., the individual Proxy Holders signatories</w:t>
              </w:r>
            </w:hyperlink>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gridSpan w:val="21"/>
          </w:tcPr>
          <w:p>
            <w:pPr>
              <w:spacing w:after="0" w:line="168" w:lineRule="exact"/>
              <w:rPr>
                <w:rFonts w:ascii="Arial" w:cs="Arial" w:eastAsia="Arial" w:hAnsi="Arial"/>
                <w:sz w:val="17"/>
                <w:szCs w:val="17"/>
                <w:color w:val="0000FF"/>
              </w:rPr>
            </w:pPr>
            <w:hyperlink r:id="rId89">
              <w:r>
                <w:rPr>
                  <w:rFonts w:ascii="Arial" w:cs="Arial" w:eastAsia="Arial" w:hAnsi="Arial"/>
                  <w:sz w:val="17"/>
                  <w:szCs w:val="17"/>
                  <w:color w:val="0000FF"/>
                </w:rPr>
                <w:t xml:space="preserve">thereto, </w:t>
              </w:r>
              <w:r>
                <w:rPr>
                  <w:rFonts w:ascii="Arial" w:cs="Arial" w:eastAsia="Arial" w:hAnsi="Arial"/>
                  <w:sz w:val="17"/>
                  <w:szCs w:val="17"/>
                  <w:u w:val="single" w:color="auto"/>
                  <w:color w:val="0000FF"/>
                </w:rPr>
                <w:t>Leonardo US Holding, Inc., Leonardo – Società per azioni and the U.S. Department of Defense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6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90">
              <w:r>
                <w:rPr>
                  <w:rFonts w:ascii="Arial" w:cs="Arial" w:eastAsia="Arial" w:hAnsi="Arial"/>
                  <w:sz w:val="17"/>
                  <w:szCs w:val="17"/>
                  <w:u w:val="single" w:color="auto"/>
                  <w:color w:val="0000FF"/>
                </w:rPr>
                <w:t>Commitment Letter re Leonardo DRS, Inc. Commitment to Mitigate Foreign Ownership, Control or Influence, dated as of February</w:t>
              </w:r>
            </w:hyperlink>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gridSpan w:val="21"/>
          </w:tcPr>
          <w:p>
            <w:pPr>
              <w:spacing w:after="0" w:line="168" w:lineRule="exact"/>
              <w:rPr>
                <w:rFonts w:ascii="Arial" w:cs="Arial" w:eastAsia="Arial" w:hAnsi="Arial"/>
                <w:sz w:val="17"/>
                <w:szCs w:val="17"/>
                <w:color w:val="0000FF"/>
              </w:rPr>
            </w:pPr>
            <w:hyperlink r:id="rId90">
              <w:r>
                <w:rPr>
                  <w:rFonts w:ascii="Arial" w:cs="Arial" w:eastAsia="Arial" w:hAnsi="Arial"/>
                  <w:sz w:val="17"/>
                  <w:szCs w:val="17"/>
                  <w:u w:val="single" w:color="auto"/>
                  <w:color w:val="0000FF"/>
                </w:rPr>
                <w:t>26, 2021, by and among Leonardo DRS, Inc., Leonardo US Holding, Inc., Leonardo – Società</w:t>
              </w:r>
              <w:r>
                <w:rPr>
                  <w:rFonts w:ascii="Arial" w:cs="Arial" w:eastAsia="Arial" w:hAnsi="Arial"/>
                  <w:sz w:val="17"/>
                  <w:szCs w:val="17"/>
                  <w:color w:val="0000FF"/>
                </w:rPr>
                <w:t xml:space="preserve"> per azioni and the U.S. Department of</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60" w:type="dxa"/>
            <w:vAlign w:val="bottom"/>
            <w:gridSpan w:val="13"/>
          </w:tcPr>
          <w:p>
            <w:pPr>
              <w:spacing w:after="0" w:line="169" w:lineRule="exact"/>
              <w:rPr>
                <w:rFonts w:ascii="Arial" w:cs="Arial" w:eastAsia="Arial" w:hAnsi="Arial"/>
                <w:sz w:val="17"/>
                <w:szCs w:val="17"/>
                <w:color w:val="0000FF"/>
              </w:rPr>
            </w:pPr>
            <w:hyperlink r:id="rId90">
              <w:r>
                <w:rPr>
                  <w:rFonts w:ascii="Arial" w:cs="Arial" w:eastAsia="Arial" w:hAnsi="Arial"/>
                  <w:sz w:val="17"/>
                  <w:szCs w:val="17"/>
                  <w:color w:val="0000FF"/>
                </w:rPr>
                <w:t>Defense</w:t>
              </w:r>
            </w:hyperlink>
          </w:p>
        </w:tc>
        <w:tc>
          <w:tcPr>
            <w:tcW w:w="2920" w:type="dxa"/>
            <w:vAlign w:val="bottom"/>
            <w:tcBorders>
              <w:top w:val="single" w:sz="8" w:color="0000FF"/>
            </w:tcBorders>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6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91">
              <w:r>
                <w:rPr>
                  <w:rFonts w:ascii="Arial" w:cs="Arial" w:eastAsia="Arial" w:hAnsi="Arial"/>
                  <w:sz w:val="17"/>
                  <w:szCs w:val="17"/>
                  <w:u w:val="single" w:color="auto"/>
                  <w:color w:val="0000FF"/>
                </w:rPr>
                <w:t>Form of Registration Rights Agreement</w:t>
              </w:r>
            </w:hyperlink>
          </w:p>
        </w:tc>
        <w:tc>
          <w:tcPr>
            <w:tcW w:w="0" w:type="dxa"/>
            <w:vAlign w:val="bottom"/>
          </w:tcPr>
          <w:p>
            <w:pPr>
              <w:spacing w:after="0"/>
              <w:rPr>
                <w:sz w:val="1"/>
                <w:szCs w:val="1"/>
                <w:color w:val="auto"/>
              </w:rPr>
            </w:pPr>
          </w:p>
        </w:tc>
      </w:tr>
      <w:tr>
        <w:trPr>
          <w:trHeight w:val="220"/>
        </w:trPr>
        <w:tc>
          <w:tcPr>
            <w:tcW w:w="1060" w:type="dxa"/>
            <w:vAlign w:val="bottom"/>
          </w:tcPr>
          <w:p>
            <w:pPr>
              <w:ind w:left="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1"/>
          </w:tcPr>
          <w:p>
            <w:pPr>
              <w:spacing w:after="0"/>
              <w:rPr>
                <w:rFonts w:ascii="Arial" w:cs="Arial" w:eastAsia="Arial" w:hAnsi="Arial"/>
                <w:sz w:val="17"/>
                <w:szCs w:val="17"/>
                <w:color w:val="0000FF"/>
              </w:rPr>
            </w:pPr>
            <w:hyperlink r:id="rId92">
              <w:r>
                <w:rPr>
                  <w:rFonts w:ascii="Arial" w:cs="Arial" w:eastAsia="Arial" w:hAnsi="Arial"/>
                  <w:sz w:val="17"/>
                  <w:szCs w:val="17"/>
                  <w:color w:val="0000FF"/>
                </w:rPr>
                <w:t>Tax Allocation Agreement, dated as of November 16, 2020, by and among Leonardo US Holding, Inc., Leonardo DRS, Inc. and the</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top w:val="single" w:sz="8" w:color="0000FF"/>
              <w:bottom w:val="single" w:sz="8" w:color="0000FF"/>
            </w:tcBorders>
            <w:gridSpan w:val="6"/>
          </w:tcPr>
          <w:p>
            <w:pPr>
              <w:spacing w:after="0" w:line="183" w:lineRule="exact"/>
              <w:rPr>
                <w:rFonts w:ascii="Arial" w:cs="Arial" w:eastAsia="Arial" w:hAnsi="Arial"/>
                <w:sz w:val="17"/>
                <w:szCs w:val="17"/>
                <w:color w:val="0000FF"/>
                <w:w w:val="99"/>
              </w:rPr>
            </w:pPr>
            <w:hyperlink r:id="rId92">
              <w:r>
                <w:rPr>
                  <w:rFonts w:ascii="Arial" w:cs="Arial" w:eastAsia="Arial" w:hAnsi="Arial"/>
                  <w:sz w:val="17"/>
                  <w:szCs w:val="17"/>
                  <w:color w:val="0000FF"/>
                  <w:w w:val="99"/>
                </w:rPr>
                <w:t>other signatories thereto</w:t>
              </w:r>
            </w:hyperlink>
          </w:p>
        </w:tc>
        <w:tc>
          <w:tcPr>
            <w:tcW w:w="8020" w:type="dxa"/>
            <w:vAlign w:val="bottom"/>
            <w:tcBorders>
              <w:top w:val="single" w:sz="8" w:color="0000FF"/>
            </w:tcBorders>
            <w:gridSpan w:val="10"/>
          </w:tcPr>
          <w:p>
            <w:pPr>
              <w:spacing w:after="0"/>
              <w:rPr>
                <w:sz w:val="15"/>
                <w:szCs w:val="15"/>
                <w:color w:val="auto"/>
              </w:rPr>
            </w:pPr>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1060" w:type="dxa"/>
            <w:vAlign w:val="bottom"/>
          </w:tcPr>
          <w:p>
            <w:pPr>
              <w:ind w:left="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93">
              <w:r>
                <w:rPr>
                  <w:rFonts w:ascii="Arial" w:cs="Arial" w:eastAsia="Arial" w:hAnsi="Arial"/>
                  <w:sz w:val="17"/>
                  <w:szCs w:val="17"/>
                  <w:u w:val="single" w:color="auto"/>
                  <w:color w:val="0000FF"/>
                </w:rPr>
                <w:t>Form of Trademark License Agreement</w:t>
              </w:r>
            </w:hyperlink>
          </w:p>
        </w:tc>
        <w:tc>
          <w:tcPr>
            <w:tcW w:w="0" w:type="dxa"/>
            <w:vAlign w:val="bottom"/>
          </w:tcPr>
          <w:p>
            <w:pPr>
              <w:spacing w:after="0"/>
              <w:rPr>
                <w:sz w:val="1"/>
                <w:szCs w:val="1"/>
                <w:color w:val="auto"/>
              </w:rPr>
            </w:pPr>
          </w:p>
        </w:tc>
      </w:tr>
      <w:tr>
        <w:trPr>
          <w:trHeight w:val="257"/>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22"/>
                <w:szCs w:val="22"/>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w:anchor="page259">
              <w:r>
                <w:rPr>
                  <w:rFonts w:ascii="Arial" w:cs="Arial" w:eastAsia="Arial" w:hAnsi="Arial"/>
                  <w:sz w:val="17"/>
                  <w:szCs w:val="17"/>
                  <w:u w:val="single" w:color="auto"/>
                  <w:color w:val="0000FF"/>
                </w:rPr>
                <w:t>Form of Employment Agreement between Leonardo DRS, Inc. and William J. Lynn III</w:t>
              </w:r>
            </w:hyperlink>
          </w:p>
        </w:tc>
        <w:tc>
          <w:tcPr>
            <w:tcW w:w="0" w:type="dxa"/>
            <w:vAlign w:val="bottom"/>
          </w:tcPr>
          <w:p>
            <w:pPr>
              <w:spacing w:after="0"/>
              <w:rPr>
                <w:sz w:val="1"/>
                <w:szCs w:val="1"/>
                <w:color w:val="auto"/>
              </w:rPr>
            </w:pPr>
          </w:p>
        </w:tc>
      </w:tr>
      <w:tr>
        <w:trPr>
          <w:trHeight w:val="256"/>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22"/>
                <w:szCs w:val="22"/>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94">
              <w:r>
                <w:rPr>
                  <w:rFonts w:ascii="Arial" w:cs="Arial" w:eastAsia="Arial" w:hAnsi="Arial"/>
                  <w:sz w:val="17"/>
                  <w:szCs w:val="17"/>
                  <w:u w:val="single" w:color="auto"/>
                  <w:color w:val="0000FF"/>
                </w:rPr>
                <w:t>Leonardo DRS Incentive Compensation Plan</w:t>
              </w:r>
            </w:hyperlink>
          </w:p>
        </w:tc>
        <w:tc>
          <w:tcPr>
            <w:tcW w:w="0" w:type="dxa"/>
            <w:vAlign w:val="bottom"/>
          </w:tcPr>
          <w:p>
            <w:pPr>
              <w:spacing w:after="0"/>
              <w:rPr>
                <w:sz w:val="1"/>
                <w:szCs w:val="1"/>
                <w:color w:val="auto"/>
              </w:rPr>
            </w:pPr>
          </w:p>
        </w:tc>
      </w:tr>
      <w:tr>
        <w:trPr>
          <w:trHeight w:val="257"/>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22"/>
                <w:szCs w:val="22"/>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95">
              <w:r>
                <w:rPr>
                  <w:rFonts w:ascii="Arial" w:cs="Arial" w:eastAsia="Arial" w:hAnsi="Arial"/>
                  <w:sz w:val="17"/>
                  <w:szCs w:val="17"/>
                  <w:u w:val="single" w:color="auto"/>
                  <w:color w:val="0000FF"/>
                </w:rPr>
                <w:t>Leonardo DRS Long-Term Incentive Plan</w:t>
              </w:r>
            </w:hyperlink>
          </w:p>
        </w:tc>
        <w:tc>
          <w:tcPr>
            <w:tcW w:w="0" w:type="dxa"/>
            <w:vAlign w:val="bottom"/>
          </w:tcPr>
          <w:p>
            <w:pPr>
              <w:spacing w:after="0"/>
              <w:rPr>
                <w:sz w:val="1"/>
                <w:szCs w:val="1"/>
                <w:color w:val="auto"/>
              </w:rPr>
            </w:pPr>
          </w:p>
        </w:tc>
      </w:tr>
      <w:tr>
        <w:trPr>
          <w:trHeight w:val="220"/>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10.10†**</w:t>
            </w:r>
          </w:p>
        </w:tc>
        <w:tc>
          <w:tcPr>
            <w:tcW w:w="20" w:type="dxa"/>
            <w:vAlign w:val="bottom"/>
          </w:tcPr>
          <w:p>
            <w:pPr>
              <w:spacing w:after="0"/>
              <w:rPr>
                <w:sz w:val="19"/>
                <w:szCs w:val="19"/>
                <w:color w:val="auto"/>
              </w:rPr>
            </w:pPr>
          </w:p>
        </w:tc>
        <w:tc>
          <w:tcPr>
            <w:tcW w:w="10060" w:type="dxa"/>
            <w:vAlign w:val="bottom"/>
            <w:gridSpan w:val="21"/>
          </w:tcPr>
          <w:p>
            <w:pPr>
              <w:spacing w:after="0"/>
              <w:rPr>
                <w:rFonts w:ascii="Arial" w:cs="Arial" w:eastAsia="Arial" w:hAnsi="Arial"/>
                <w:sz w:val="17"/>
                <w:szCs w:val="17"/>
                <w:color w:val="0000FF"/>
              </w:rPr>
            </w:pPr>
            <w:hyperlink r:id="rId96">
              <w:r>
                <w:rPr>
                  <w:rFonts w:ascii="Arial" w:cs="Arial" w:eastAsia="Arial" w:hAnsi="Arial"/>
                  <w:sz w:val="17"/>
                  <w:szCs w:val="17"/>
                  <w:u w:val="single" w:color="auto"/>
                  <w:color w:val="0000FF"/>
                </w:rPr>
                <w:t>Leonardo DRS, Inc.</w:t>
              </w:r>
              <w:r>
                <w:rPr>
                  <w:rFonts w:ascii="Arial" w:cs="Arial" w:eastAsia="Arial" w:hAnsi="Arial"/>
                  <w:sz w:val="17"/>
                  <w:szCs w:val="17"/>
                  <w:color w:val="0000FF"/>
                </w:rPr>
                <w:t xml:space="preserve"> Executive Severance Plan</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auto"/>
              </w:rPr>
              <w:t>10.11†**</w:t>
            </w: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940" w:type="dxa"/>
            <w:vAlign w:val="bottom"/>
            <w:tcBorders>
              <w:right w:val="single" w:sz="8" w:color="0000FF"/>
            </w:tcBorders>
            <w:gridSpan w:val="5"/>
            <w:shd w:val="clear" w:color="auto" w:fill="0000FF"/>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16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97">
              <w:r>
                <w:rPr>
                  <w:rFonts w:ascii="Arial" w:cs="Arial" w:eastAsia="Arial" w:hAnsi="Arial"/>
                  <w:sz w:val="17"/>
                  <w:szCs w:val="17"/>
                  <w:u w:val="single" w:color="auto"/>
                  <w:color w:val="0000FF"/>
                </w:rPr>
                <w:t>Leonardo DRS, Inc. Omnibus Equity Compensation Plan</w:t>
              </w:r>
            </w:hyperlink>
          </w:p>
        </w:tc>
        <w:tc>
          <w:tcPr>
            <w:tcW w:w="0" w:type="dxa"/>
            <w:vAlign w:val="bottom"/>
          </w:tcPr>
          <w:p>
            <w:pPr>
              <w:spacing w:after="0"/>
              <w:rPr>
                <w:sz w:val="1"/>
                <w:szCs w:val="1"/>
                <w:color w:val="auto"/>
              </w:rPr>
            </w:pPr>
          </w:p>
        </w:tc>
      </w:tr>
      <w:tr>
        <w:trPr>
          <w:trHeight w:val="220"/>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10.12†**</w:t>
            </w:r>
          </w:p>
        </w:tc>
        <w:tc>
          <w:tcPr>
            <w:tcW w:w="20" w:type="dxa"/>
            <w:vAlign w:val="bottom"/>
          </w:tcPr>
          <w:p>
            <w:pPr>
              <w:spacing w:after="0"/>
              <w:rPr>
                <w:sz w:val="19"/>
                <w:szCs w:val="19"/>
                <w:color w:val="auto"/>
              </w:rPr>
            </w:pPr>
          </w:p>
        </w:tc>
        <w:tc>
          <w:tcPr>
            <w:tcW w:w="10060" w:type="dxa"/>
            <w:vAlign w:val="bottom"/>
            <w:gridSpan w:val="21"/>
          </w:tcPr>
          <w:p>
            <w:pPr>
              <w:spacing w:after="0"/>
              <w:rPr>
                <w:rFonts w:ascii="Arial" w:cs="Arial" w:eastAsia="Arial" w:hAnsi="Arial"/>
                <w:sz w:val="17"/>
                <w:szCs w:val="17"/>
                <w:color w:val="0000FF"/>
              </w:rPr>
            </w:pPr>
            <w:hyperlink r:id="rId98">
              <w:r>
                <w:rPr>
                  <w:rFonts w:ascii="Arial" w:cs="Arial" w:eastAsia="Arial" w:hAnsi="Arial"/>
                  <w:sz w:val="17"/>
                  <w:szCs w:val="17"/>
                  <w:color w:val="0000FF"/>
                </w:rPr>
                <w:t xml:space="preserve">Form of Founders Restricted Stock Unit Award </w:t>
              </w:r>
              <w:r>
                <w:rPr>
                  <w:rFonts w:ascii="Arial" w:cs="Arial" w:eastAsia="Arial" w:hAnsi="Arial"/>
                  <w:sz w:val="17"/>
                  <w:szCs w:val="17"/>
                  <w:u w:val="single" w:color="auto"/>
                  <w:color w:val="0000FF"/>
                </w:rPr>
                <w:t>Agreement</w:t>
              </w:r>
            </w:hyperlink>
          </w:p>
        </w:tc>
        <w:tc>
          <w:tcPr>
            <w:tcW w:w="0" w:type="dxa"/>
            <w:vAlign w:val="bottom"/>
          </w:tcPr>
          <w:p>
            <w:pPr>
              <w:spacing w:after="0"/>
              <w:rPr>
                <w:sz w:val="1"/>
                <w:szCs w:val="1"/>
                <w:color w:val="auto"/>
              </w:rPr>
            </w:pPr>
          </w:p>
        </w:tc>
      </w:tr>
      <w:tr>
        <w:trPr>
          <w:trHeight w:val="260"/>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10.13†**</w:t>
            </w:r>
          </w:p>
        </w:tc>
        <w:tc>
          <w:tcPr>
            <w:tcW w:w="20" w:type="dxa"/>
            <w:vAlign w:val="bottom"/>
          </w:tcPr>
          <w:p>
            <w:pPr>
              <w:spacing w:after="0"/>
              <w:rPr>
                <w:sz w:val="22"/>
                <w:szCs w:val="22"/>
                <w:color w:val="auto"/>
              </w:rPr>
            </w:pPr>
          </w:p>
        </w:tc>
        <w:tc>
          <w:tcPr>
            <w:tcW w:w="3540" w:type="dxa"/>
            <w:vAlign w:val="bottom"/>
            <w:tcBorders>
              <w:top w:val="single" w:sz="8" w:color="0000FF"/>
            </w:tcBorders>
            <w:gridSpan w:val="10"/>
          </w:tcPr>
          <w:p>
            <w:pPr>
              <w:spacing w:after="0"/>
              <w:rPr>
                <w:rFonts w:ascii="Arial" w:cs="Arial" w:eastAsia="Arial" w:hAnsi="Arial"/>
                <w:sz w:val="17"/>
                <w:szCs w:val="17"/>
                <w:u w:val="single" w:color="auto"/>
                <w:color w:val="0000FF"/>
              </w:rPr>
            </w:pPr>
            <w:hyperlink r:id="rId99">
              <w:r>
                <w:rPr>
                  <w:rFonts w:ascii="Arial" w:cs="Arial" w:eastAsia="Arial" w:hAnsi="Arial"/>
                  <w:sz w:val="17"/>
                  <w:szCs w:val="17"/>
                  <w:u w:val="single" w:color="auto"/>
                  <w:color w:val="0000FF"/>
                </w:rPr>
                <w:t>Form of Director Indemnification Agreement</w:t>
              </w:r>
            </w:hyperlink>
          </w:p>
        </w:tc>
        <w:tc>
          <w:tcPr>
            <w:tcW w:w="65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10.14†**</w:t>
            </w:r>
          </w:p>
        </w:tc>
        <w:tc>
          <w:tcPr>
            <w:tcW w:w="20" w:type="dxa"/>
            <w:vAlign w:val="bottom"/>
          </w:tcPr>
          <w:p>
            <w:pPr>
              <w:spacing w:after="0"/>
              <w:rPr>
                <w:sz w:val="18"/>
                <w:szCs w:val="18"/>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100">
              <w:r>
                <w:rPr>
                  <w:rFonts w:ascii="Arial" w:cs="Arial" w:eastAsia="Arial" w:hAnsi="Arial"/>
                  <w:sz w:val="17"/>
                  <w:szCs w:val="17"/>
                  <w:u w:val="single" w:color="auto"/>
                  <w:color w:val="0000FF"/>
                </w:rPr>
                <w:t>Form of Restricted Stock Unit Agreement</w:t>
              </w:r>
            </w:hyperlink>
          </w:p>
        </w:tc>
        <w:tc>
          <w:tcPr>
            <w:tcW w:w="0" w:type="dxa"/>
            <w:vAlign w:val="bottom"/>
          </w:tcPr>
          <w:p>
            <w:pPr>
              <w:spacing w:after="0"/>
              <w:rPr>
                <w:sz w:val="1"/>
                <w:szCs w:val="1"/>
                <w:color w:val="auto"/>
              </w:rPr>
            </w:pPr>
          </w:p>
        </w:tc>
      </w:tr>
      <w:tr>
        <w:trPr>
          <w:trHeight w:val="216"/>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10.15†**</w:t>
            </w:r>
          </w:p>
        </w:tc>
        <w:tc>
          <w:tcPr>
            <w:tcW w:w="20" w:type="dxa"/>
            <w:vAlign w:val="bottom"/>
          </w:tcPr>
          <w:p>
            <w:pPr>
              <w:spacing w:after="0"/>
              <w:rPr>
                <w:sz w:val="18"/>
                <w:szCs w:val="18"/>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101">
              <w:r>
                <w:rPr>
                  <w:rFonts w:ascii="Arial" w:cs="Arial" w:eastAsia="Arial" w:hAnsi="Arial"/>
                  <w:sz w:val="17"/>
                  <w:szCs w:val="17"/>
                  <w:u w:val="single" w:color="auto"/>
                  <w:color w:val="0000FF"/>
                </w:rPr>
                <w:t>Form of Performance Restricted Stock Unit Agreement</w:t>
              </w:r>
            </w:hyperlink>
          </w:p>
        </w:tc>
        <w:tc>
          <w:tcPr>
            <w:tcW w:w="0" w:type="dxa"/>
            <w:vAlign w:val="bottom"/>
          </w:tcPr>
          <w:p>
            <w:pPr>
              <w:spacing w:after="0"/>
              <w:rPr>
                <w:sz w:val="1"/>
                <w:szCs w:val="1"/>
                <w:color w:val="auto"/>
              </w:rPr>
            </w:pPr>
          </w:p>
        </w:tc>
      </w:tr>
      <w:tr>
        <w:trPr>
          <w:trHeight w:val="173"/>
        </w:trPr>
        <w:tc>
          <w:tcPr>
            <w:tcW w:w="1160" w:type="dxa"/>
            <w:vAlign w:val="bottom"/>
            <w:gridSpan w:val="2"/>
          </w:tcPr>
          <w:p>
            <w:pPr>
              <w:ind w:left="20"/>
              <w:spacing w:after="0" w:line="173" w:lineRule="exact"/>
              <w:rPr>
                <w:sz w:val="20"/>
                <w:szCs w:val="20"/>
                <w:color w:val="auto"/>
              </w:rPr>
            </w:pPr>
            <w:r>
              <w:rPr>
                <w:rFonts w:ascii="Arial" w:cs="Arial" w:eastAsia="Arial" w:hAnsi="Arial"/>
                <w:sz w:val="17"/>
                <w:szCs w:val="17"/>
                <w:color w:val="auto"/>
              </w:rPr>
              <w:t>10.16†*</w:t>
            </w:r>
          </w:p>
        </w:tc>
        <w:tc>
          <w:tcPr>
            <w:tcW w:w="20" w:type="dxa"/>
            <w:vAlign w:val="bottom"/>
          </w:tcPr>
          <w:p>
            <w:pPr>
              <w:spacing w:after="0"/>
              <w:rPr>
                <w:sz w:val="15"/>
                <w:szCs w:val="15"/>
                <w:color w:val="auto"/>
              </w:rPr>
            </w:pPr>
          </w:p>
        </w:tc>
        <w:tc>
          <w:tcPr>
            <w:tcW w:w="10060" w:type="dxa"/>
            <w:vAlign w:val="bottom"/>
            <w:gridSpan w:val="21"/>
          </w:tcPr>
          <w:p>
            <w:pPr>
              <w:spacing w:after="0" w:line="173" w:lineRule="exact"/>
              <w:rPr>
                <w:rFonts w:ascii="Arial" w:cs="Arial" w:eastAsia="Arial" w:hAnsi="Arial"/>
                <w:sz w:val="17"/>
                <w:szCs w:val="17"/>
                <w:color w:val="0000FF"/>
              </w:rPr>
            </w:pPr>
            <w:hyperlink w:anchor="page276">
              <w:r>
                <w:rPr>
                  <w:rFonts w:ascii="Arial" w:cs="Arial" w:eastAsia="Arial" w:hAnsi="Arial"/>
                  <w:sz w:val="17"/>
                  <w:szCs w:val="17"/>
                  <w:u w:val="single" w:color="auto"/>
                  <w:color w:val="0000FF"/>
                </w:rPr>
                <w:t>Form of Credit Agreement by and among Leonardo DRS, Inc., the subsidiary guarantors named therein,</w:t>
              </w:r>
              <w:r>
                <w:rPr>
                  <w:rFonts w:ascii="Arial" w:cs="Arial" w:eastAsia="Arial" w:hAnsi="Arial"/>
                  <w:sz w:val="17"/>
                  <w:szCs w:val="17"/>
                  <w:color w:val="0000FF"/>
                </w:rPr>
                <w:t xml:space="preserve"> and the lenders party</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gridSpan w:val="14"/>
          </w:tcPr>
          <w:p>
            <w:pPr>
              <w:spacing w:after="0" w:line="148" w:lineRule="exact"/>
              <w:rPr>
                <w:rFonts w:ascii="Arial" w:cs="Arial" w:eastAsia="Arial" w:hAnsi="Arial"/>
                <w:sz w:val="17"/>
                <w:szCs w:val="17"/>
                <w:color w:val="0000FF"/>
              </w:rPr>
            </w:pPr>
            <w:hyperlink w:anchor="page276">
              <w:r>
                <w:rPr>
                  <w:rFonts w:ascii="Arial" w:cs="Arial" w:eastAsia="Arial" w:hAnsi="Arial"/>
                  <w:sz w:val="17"/>
                  <w:szCs w:val="17"/>
                  <w:color w:val="0000FF"/>
                </w:rPr>
                <w:t>thereto</w:t>
              </w:r>
            </w:hyperlink>
          </w:p>
        </w:tc>
        <w:tc>
          <w:tcPr>
            <w:tcW w:w="1600" w:type="dxa"/>
            <w:vAlign w:val="bottom"/>
            <w:tcBorders>
              <w:top w:val="single" w:sz="8" w:color="0000FF"/>
            </w:tcBorders>
          </w:tcPr>
          <w:p>
            <w:pPr>
              <w:spacing w:after="0"/>
              <w:rPr>
                <w:sz w:val="12"/>
                <w:szCs w:val="12"/>
                <w:color w:val="auto"/>
              </w:rPr>
            </w:pPr>
          </w:p>
        </w:tc>
        <w:tc>
          <w:tcPr>
            <w:tcW w:w="5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10.17†*</w:t>
            </w:r>
          </w:p>
        </w:tc>
        <w:tc>
          <w:tcPr>
            <w:tcW w:w="20" w:type="dxa"/>
            <w:vAlign w:val="bottom"/>
          </w:tcPr>
          <w:p>
            <w:pPr>
              <w:spacing w:after="0"/>
              <w:rPr>
                <w:sz w:val="16"/>
                <w:szCs w:val="16"/>
                <w:color w:val="auto"/>
              </w:rPr>
            </w:pPr>
          </w:p>
        </w:tc>
        <w:tc>
          <w:tcPr>
            <w:tcW w:w="10060" w:type="dxa"/>
            <w:vAlign w:val="bottom"/>
            <w:gridSpan w:val="21"/>
          </w:tcPr>
          <w:p>
            <w:pPr>
              <w:spacing w:after="0" w:line="190" w:lineRule="exact"/>
              <w:rPr>
                <w:rFonts w:ascii="Arial" w:cs="Arial" w:eastAsia="Arial" w:hAnsi="Arial"/>
                <w:sz w:val="17"/>
                <w:szCs w:val="17"/>
                <w:color w:val="0000FF"/>
              </w:rPr>
            </w:pPr>
            <w:hyperlink w:anchor="page452">
              <w:r>
                <w:rPr>
                  <w:rFonts w:ascii="Arial" w:cs="Arial" w:eastAsia="Arial" w:hAnsi="Arial"/>
                  <w:sz w:val="17"/>
                  <w:szCs w:val="17"/>
                  <w:u w:val="single" w:color="auto"/>
                  <w:color w:val="0000FF"/>
                </w:rPr>
                <w:t>Form of Bridge Loan</w:t>
              </w:r>
              <w:r>
                <w:rPr>
                  <w:rFonts w:ascii="Arial" w:cs="Arial" w:eastAsia="Arial" w:hAnsi="Arial"/>
                  <w:sz w:val="17"/>
                  <w:szCs w:val="17"/>
                  <w:color w:val="0000FF"/>
                </w:rPr>
                <w:t xml:space="preserve"> Credit Agreement by and among Leonardo DRS, Inc., the subsidiary guarantors named therein, and the lenders</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0000FF"/>
            </w:tcBorders>
            <w:gridSpan w:val="4"/>
          </w:tcPr>
          <w:p>
            <w:pPr>
              <w:spacing w:after="0" w:line="148" w:lineRule="exact"/>
              <w:rPr>
                <w:rFonts w:ascii="Arial" w:cs="Arial" w:eastAsia="Arial" w:hAnsi="Arial"/>
                <w:sz w:val="17"/>
                <w:szCs w:val="17"/>
                <w:color w:val="0000FF"/>
                <w:w w:val="98"/>
              </w:rPr>
            </w:pPr>
            <w:hyperlink w:anchor="page452">
              <w:r>
                <w:rPr>
                  <w:rFonts w:ascii="Arial" w:cs="Arial" w:eastAsia="Arial" w:hAnsi="Arial"/>
                  <w:sz w:val="17"/>
                  <w:szCs w:val="17"/>
                  <w:color w:val="0000FF"/>
                  <w:w w:val="98"/>
                </w:rPr>
                <w:t>party thereto</w:t>
              </w:r>
            </w:hyperlink>
          </w:p>
        </w:tc>
        <w:tc>
          <w:tcPr>
            <w:tcW w:w="640" w:type="dxa"/>
            <w:vAlign w:val="bottom"/>
          </w:tcPr>
          <w:p>
            <w:pPr>
              <w:spacing w:after="0"/>
              <w:rPr>
                <w:sz w:val="12"/>
                <w:szCs w:val="12"/>
                <w:color w:val="auto"/>
              </w:rPr>
            </w:pPr>
          </w:p>
        </w:tc>
        <w:tc>
          <w:tcPr>
            <w:tcW w:w="844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060" w:type="dxa"/>
            <w:vAlign w:val="bottom"/>
          </w:tcPr>
          <w:p>
            <w:pPr>
              <w:ind w:left="20"/>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102">
              <w:r>
                <w:rPr>
                  <w:rFonts w:ascii="Arial" w:cs="Arial" w:eastAsia="Arial" w:hAnsi="Arial"/>
                  <w:sz w:val="17"/>
                  <w:szCs w:val="17"/>
                  <w:u w:val="single" w:color="auto"/>
                  <w:color w:val="0000FF"/>
                </w:rPr>
                <w:t>Subsidiaries</w:t>
              </w:r>
            </w:hyperlink>
          </w:p>
        </w:tc>
        <w:tc>
          <w:tcPr>
            <w:tcW w:w="0" w:type="dxa"/>
            <w:vAlign w:val="bottom"/>
          </w:tcPr>
          <w:p>
            <w:pPr>
              <w:spacing w:after="0"/>
              <w:rPr>
                <w:sz w:val="1"/>
                <w:szCs w:val="1"/>
                <w:color w:val="auto"/>
              </w:rPr>
            </w:pPr>
          </w:p>
        </w:tc>
      </w:tr>
      <w:tr>
        <w:trPr>
          <w:trHeight w:val="216"/>
        </w:trPr>
        <w:tc>
          <w:tcPr>
            <w:tcW w:w="1060" w:type="dxa"/>
            <w:vAlign w:val="bottom"/>
          </w:tcPr>
          <w:p>
            <w:pPr>
              <w:ind w:left="20"/>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w:anchor="page591">
              <w:r>
                <w:rPr>
                  <w:rFonts w:ascii="Arial" w:cs="Arial" w:eastAsia="Arial" w:hAnsi="Arial"/>
                  <w:sz w:val="17"/>
                  <w:szCs w:val="17"/>
                  <w:u w:val="single" w:color="auto"/>
                  <w:color w:val="0000FF"/>
                </w:rPr>
                <w:t>Consent of KPMG LLP</w:t>
              </w:r>
            </w:hyperlink>
          </w:p>
        </w:tc>
        <w:tc>
          <w:tcPr>
            <w:tcW w:w="0" w:type="dxa"/>
            <w:vAlign w:val="bottom"/>
          </w:tcPr>
          <w:p>
            <w:pPr>
              <w:spacing w:after="0"/>
              <w:rPr>
                <w:sz w:val="1"/>
                <w:szCs w:val="1"/>
                <w:color w:val="auto"/>
              </w:rPr>
            </w:pPr>
          </w:p>
        </w:tc>
      </w:tr>
      <w:tr>
        <w:trPr>
          <w:trHeight w:val="216"/>
        </w:trPr>
        <w:tc>
          <w:tcPr>
            <w:tcW w:w="1060" w:type="dxa"/>
            <w:vAlign w:val="bottom"/>
          </w:tcPr>
          <w:p>
            <w:pPr>
              <w:ind w:left="20"/>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w:anchor="page257">
              <w:r>
                <w:rPr>
                  <w:rFonts w:ascii="Arial" w:cs="Arial" w:eastAsia="Arial" w:hAnsi="Arial"/>
                  <w:sz w:val="17"/>
                  <w:szCs w:val="17"/>
                  <w:u w:val="single" w:color="auto"/>
                  <w:color w:val="0000FF"/>
                </w:rPr>
                <w:t>Consent of Sullivan &amp; Cromwell LLP (included in Exhibit 5.1 hereto)</w:t>
              </w:r>
            </w:hyperlink>
          </w:p>
        </w:tc>
        <w:tc>
          <w:tcPr>
            <w:tcW w:w="0" w:type="dxa"/>
            <w:vAlign w:val="bottom"/>
          </w:tcPr>
          <w:p>
            <w:pPr>
              <w:spacing w:after="0"/>
              <w:rPr>
                <w:sz w:val="1"/>
                <w:szCs w:val="1"/>
                <w:color w:val="auto"/>
              </w:rPr>
            </w:pPr>
          </w:p>
        </w:tc>
      </w:tr>
      <w:tr>
        <w:trPr>
          <w:trHeight w:val="216"/>
        </w:trPr>
        <w:tc>
          <w:tcPr>
            <w:tcW w:w="1060" w:type="dxa"/>
            <w:vAlign w:val="bottom"/>
          </w:tcPr>
          <w:p>
            <w:pPr>
              <w:ind w:left="20"/>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Powers of Attorney (contained on signature pages to the Registration Statement on Form S-1)</w:t>
              </w:r>
            </w:hyperlink>
          </w:p>
        </w:tc>
        <w:tc>
          <w:tcPr>
            <w:tcW w:w="0" w:type="dxa"/>
            <w:vAlign w:val="bottom"/>
          </w:tcPr>
          <w:p>
            <w:pPr>
              <w:spacing w:after="0"/>
              <w:rPr>
                <w:sz w:val="1"/>
                <w:szCs w:val="1"/>
                <w:color w:val="auto"/>
              </w:rPr>
            </w:pPr>
          </w:p>
        </w:tc>
      </w:tr>
      <w:tr>
        <w:trPr>
          <w:trHeight w:val="216"/>
        </w:trPr>
        <w:tc>
          <w:tcPr>
            <w:tcW w:w="1060" w:type="dxa"/>
            <w:vAlign w:val="bottom"/>
          </w:tcPr>
          <w:p>
            <w:pPr>
              <w:ind w:left="2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w:anchor="page592">
              <w:r>
                <w:rPr>
                  <w:rFonts w:ascii="Arial" w:cs="Arial" w:eastAsia="Arial" w:hAnsi="Arial"/>
                  <w:sz w:val="17"/>
                  <w:szCs w:val="17"/>
                  <w:u w:val="single" w:color="auto"/>
                  <w:color w:val="0000FF"/>
                </w:rPr>
                <w:t>Consent of Gail Baker</w:t>
              </w:r>
            </w:hyperlink>
          </w:p>
        </w:tc>
        <w:tc>
          <w:tcPr>
            <w:tcW w:w="0" w:type="dxa"/>
            <w:vAlign w:val="bottom"/>
          </w:tcPr>
          <w:p>
            <w:pPr>
              <w:spacing w:after="0"/>
              <w:rPr>
                <w:sz w:val="1"/>
                <w:szCs w:val="1"/>
                <w:color w:val="auto"/>
              </w:rPr>
            </w:pPr>
          </w:p>
        </w:tc>
      </w:tr>
      <w:tr>
        <w:trPr>
          <w:trHeight w:val="216"/>
        </w:trPr>
        <w:tc>
          <w:tcPr>
            <w:tcW w:w="1060" w:type="dxa"/>
            <w:vAlign w:val="bottom"/>
          </w:tcPr>
          <w:p>
            <w:pPr>
              <w:ind w:left="20"/>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1"/>
          </w:tcPr>
          <w:p>
            <w:pPr>
              <w:spacing w:after="0"/>
              <w:rPr>
                <w:rFonts w:ascii="Arial" w:cs="Arial" w:eastAsia="Arial" w:hAnsi="Arial"/>
                <w:sz w:val="17"/>
                <w:szCs w:val="17"/>
                <w:u w:val="single" w:color="auto"/>
                <w:color w:val="0000FF"/>
              </w:rPr>
            </w:pPr>
            <w:hyperlink w:anchor="page593">
              <w:r>
                <w:rPr>
                  <w:rFonts w:ascii="Arial" w:cs="Arial" w:eastAsia="Arial" w:hAnsi="Arial"/>
                  <w:sz w:val="17"/>
                  <w:szCs w:val="17"/>
                  <w:u w:val="single" w:color="auto"/>
                  <w:color w:val="0000FF"/>
                </w:rPr>
                <w:t>Consent of Mary Gallagher</w:t>
              </w:r>
            </w:hyperlink>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5" w:lineRule="exact"/>
        <w:rPr>
          <w:sz w:val="20"/>
          <w:szCs w:val="20"/>
          <w:color w:val="auto"/>
        </w:rPr>
      </w:pPr>
    </w:p>
    <w:p>
      <w:pPr>
        <w:ind w:right="5460" w:firstLine="8"/>
        <w:spacing w:after="0" w:line="260" w:lineRule="auto"/>
        <w:tabs>
          <w:tab w:leader="none" w:pos="3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Identifies each management contract or compensatory plan or arrangement. ** Previously filed.</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Financial Statement Schedules: Not applicable.</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660" w:hanging="328"/>
        <w:spacing w:after="0" w:line="254" w:lineRule="auto"/>
        <w:tabs>
          <w:tab w:leader="none" w:pos="65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9" w:lineRule="exact"/>
        <w:rPr>
          <w:rFonts w:ascii="Arial" w:cs="Arial" w:eastAsia="Arial" w:hAnsi="Arial"/>
          <w:sz w:val="18"/>
          <w:szCs w:val="18"/>
          <w:color w:val="auto"/>
        </w:rPr>
      </w:pPr>
    </w:p>
    <w:p>
      <w:pPr>
        <w:ind w:left="660" w:right="140" w:hanging="328"/>
        <w:spacing w:after="0" w:line="256" w:lineRule="auto"/>
        <w:tabs>
          <w:tab w:leader="none" w:pos="65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Pursuant to the requirements of the Securities Act of 1933, as amended, Leonardo DRS, Inc. has duly caused this registration statement to be signed on its behalf by the undersigned, thereunto duly authorized, in the City of Arlington, State of Virginia on the 15th day of March, 2021.</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LEONARDO DRS,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23495</wp:posOffset>
            </wp:positionV>
            <wp:extent cx="3514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J. Lynn III</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on March 15, 2021 by the following persons in the capacities indicated.</w:t>
      </w:r>
    </w:p>
    <w:p>
      <w:pPr>
        <w:sectPr>
          <w:pgSz w:w="11900" w:h="16838" w:orient="portrait"/>
          <w:cols w:equalWidth="0" w:num="1">
            <w:col w:w="11180"/>
          </w:cols>
          <w:pgMar w:left="320" w:top="1440" w:right="399" w:bottom="1440" w:gutter="0" w:footer="0" w:header="0"/>
        </w:sectPr>
      </w:pPr>
    </w:p>
    <w:p>
      <w:pPr>
        <w:spacing w:after="0" w:line="185"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46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0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William J. Lynn III</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Michael D. Dippold</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Pamela J.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Pamela J. Morrow</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David W. Carey</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General George W. Casey, Jr. (Ret.)</w:t>
      </w:r>
    </w:p>
    <w:p>
      <w:pPr>
        <w:spacing w:after="0" w:line="12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Kenneth J. Krieg</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Peter A. Marino</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Philip A. Odeen</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Frances F. Townsend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23495</wp:posOffset>
            </wp:positionV>
            <wp:extent cx="16802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Michael D. Dippold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26035</wp:posOffset>
            </wp:positionV>
            <wp:extent cx="37973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4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Director, Chief Executive Officer</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Executive Vice President and Chief Financial Officer</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(Principal Accounting Officer)</w:t>
      </w:r>
    </w:p>
    <w:p>
      <w:pPr>
        <w:spacing w:after="0" w:line="29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460" w:space="720"/>
            <w:col w:w="5000"/>
          </w:cols>
          <w:pgMar w:left="320" w:top="1440" w:right="399" w:bottom="1440" w:gutter="0" w:footer="0" w:header="0"/>
          <w:type w:val="continuous"/>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3.3(a)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LEONARDO DRS, INC.</w:t>
      </w:r>
    </w:p>
    <w:p>
      <w:pPr>
        <w:spacing w:after="0" w:line="202" w:lineRule="exact"/>
        <w:rPr>
          <w:sz w:val="20"/>
          <w:szCs w:val="20"/>
          <w:color w:val="auto"/>
        </w:rPr>
      </w:pPr>
    </w:p>
    <w:p>
      <w:pPr>
        <w:jc w:val="center"/>
        <w:ind w:left="4860"/>
        <w:spacing w:after="0"/>
        <w:tabs>
          <w:tab w:leader="none" w:pos="360" w:val="left"/>
        </w:tabs>
        <w:rPr>
          <w:sz w:val="20"/>
          <w:szCs w:val="20"/>
          <w:color w:val="auto"/>
        </w:rPr>
      </w:pPr>
      <w:r>
        <w:rPr>
          <w:rFonts w:ascii="Arial" w:cs="Arial" w:eastAsia="Arial" w:hAnsi="Arial"/>
          <w:sz w:val="22"/>
          <w:szCs w:val="22"/>
          <w:color w:val="auto"/>
        </w:rPr>
        <w:t>March</w:t>
      </w:r>
      <w:r>
        <w:rPr>
          <w:sz w:val="20"/>
          <w:szCs w:val="20"/>
          <w:color w:val="auto"/>
        </w:rPr>
        <w:tab/>
      </w:r>
      <w:r>
        <w:rPr>
          <w:rFonts w:ascii="Arial" w:cs="Arial" w:eastAsia="Arial" w:hAnsi="Arial"/>
          <w:sz w:val="22"/>
          <w:szCs w:val="22"/>
          <w:color w:val="auto"/>
        </w:rPr>
        <w:t>, 2021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LEONARDO DRS, INC., a corporation organized and existing under and by virtue of the General Corporation Law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State of Delaware (the “DGCL”), hereby certifies as follows: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FIRST: The name of the Corporation is Leonardo DRS, Inc. (the “Corporation”). The original certificate of incorporation of the Corporation was filed with the Secretary of State of the State of Delaware on November 8, 1968 under the name Diagnostic/Retrieval Systems, Inc. The Amended and Restated Certificate of Incorporation of the Corporation (the “Certificate”) was filed with the Secretary of State of the State of Delaware on March 9, 2021.</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SECOND: This Amendment (the “Amendment”) to the Certificate was duly adopted in accordance with Section 228 and Section 242 of the DGCL by the holders of a majority of the issued and outstanding shares of stock of the Corporation entitled to vote thereon.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THIRD: Article TWELVETH of the Certificate is hereby amended by deleting Article TWELVETH in its entirety and inserting in its place a new Article TWELVETH to read as follows: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“TWELVETH: Subject to the Proxy Agreement, the Corporation reserves the right to amend, alter, or repeal any provision contained in this Amended and Restated Certificate of Incorporation in the manner now or hereafter prescribed by the DGCL; and all rights herein conferred upon stockholders, directors or any other persons are granted subject to this reservation. Notwithstanding anything to the contrary contained in this Amended and Restated Certificate of Incorporation, and notwithstanding that a lesser percentage may be permitted from time to time by applicable law, an affirmative vote of the majority of the Board of Directors and the affirmative vote of the holders of a majority of the outstanding shares of Common Stock then entitled to vote an any annual meeting or special meeting of stockholders shall be required to amend, alter, repeal or adopt any provision of this Amended and Restated Certificate of Incorporation; provided, however, that from and after the earlier of the Reporting Date and termination of the Effective Proxy Period, no provision of Articles FIFTH, SIXTH, SEVENTH, EIGHTH, NINETH, ELEVENTH and TWELVETH of this Certificate of Incorporation may be altered, amended or repealed in any respect, nor may any provision inconsistent therewith be adopted or added, unless such alteration, amendment, repeal, adoption or addition is approved by the affirmative vote of the holders of at least 66 2/3% of the voting power of the outstanding Common Stock then entitled to vote an any annual meeting or special meeting of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21" w:right="339" w:bottom="1440" w:gutter="0" w:footer="0" w:header="0"/>
        </w:sectPr>
      </w:pPr>
    </w:p>
    <w:bookmarkStart w:id="255" w:name="page256"/>
    <w:bookmarkEnd w:id="255"/>
    <w:p>
      <w:pPr>
        <w:ind w:firstLine="648"/>
        <w:spacing w:after="0" w:line="263" w:lineRule="auto"/>
        <w:rPr>
          <w:sz w:val="20"/>
          <w:szCs w:val="20"/>
          <w:color w:val="auto"/>
        </w:rPr>
      </w:pPr>
      <w:r>
        <w:rPr>
          <w:rFonts w:ascii="Arial" w:cs="Arial" w:eastAsia="Arial" w:hAnsi="Arial"/>
          <w:sz w:val="22"/>
          <w:szCs w:val="22"/>
          <w:color w:val="auto"/>
        </w:rPr>
        <w:t>IN WITNESS WHEREOF, the undersigned has duly executed this certificate of amendment on behalf of the Corporation this day of March, 2021.</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24130</wp:posOffset>
            </wp:positionV>
            <wp:extent cx="36087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5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William J. Lynn III</w:t>
      </w:r>
    </w:p>
    <w:p>
      <w:pPr>
        <w:spacing w:after="0" w:line="5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Amendment</w:t>
      </w:r>
      <w:r>
        <w:rPr>
          <w:rFonts w:ascii="Arial" w:cs="Arial" w:eastAsia="Arial" w:hAnsi="Arial"/>
          <w:sz w:val="18"/>
          <w:szCs w:val="18"/>
          <w:color w:val="auto"/>
        </w:rPr>
        <w:t>]</w:t>
      </w:r>
    </w:p>
    <w:p>
      <w:pPr>
        <w:sectPr>
          <w:pgSz w:w="11900" w:h="16838" w:orient="portrait"/>
          <w:cols w:equalWidth="0" w:num="1">
            <w:col w:w="11240"/>
          </w:cols>
          <w:pgMar w:left="320" w:top="1428"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580"/>
        <w:spacing w:after="0"/>
        <w:rPr>
          <w:sz w:val="20"/>
          <w:szCs w:val="20"/>
          <w:color w:val="auto"/>
        </w:rPr>
      </w:pPr>
      <w:r>
        <w:rPr>
          <w:rFonts w:ascii="Arial" w:cs="Arial" w:eastAsia="Arial" w:hAnsi="Arial"/>
          <w:sz w:val="22"/>
          <w:szCs w:val="22"/>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Leonardo DRS, Inc.,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2345 Crystal Drive, Suite 1000,</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Arlington, Virginia 22202.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60" w:firstLine="1296"/>
        <w:spacing w:after="0" w:line="294" w:lineRule="auto"/>
        <w:rPr>
          <w:sz w:val="20"/>
          <w:szCs w:val="20"/>
          <w:color w:val="auto"/>
        </w:rPr>
      </w:pPr>
      <w:r>
        <w:rPr>
          <w:rFonts w:ascii="Arial" w:cs="Arial" w:eastAsia="Arial" w:hAnsi="Arial"/>
          <w:sz w:val="19"/>
          <w:szCs w:val="19"/>
          <w:color w:val="auto"/>
        </w:rPr>
        <w:t>In connection with the registration under the Securities Act of 1933 (the “Act”) of up to 36,685,000 shares (the “Shares”) of Common Stock, par value $0.01 per share, of Leonardo DRS, Inc., a Delaware corporation (the “Company”), which will be sold by the selling stockholder named in the registration statement relating to the Shares (the “Registration Statement”), we, as your counsel, have examined such corporate records, certificates and other documents, and such questions of law, as we have considered necessary or appropriate for the purposes of this opinion. Upon the basis of such examination, it is our opinion that the Shares have been validly issued and are fully paid and nonassessable.</w:t>
      </w:r>
    </w:p>
    <w:p>
      <w:pPr>
        <w:spacing w:after="0" w:line="149" w:lineRule="exact"/>
        <w:rPr>
          <w:sz w:val="20"/>
          <w:szCs w:val="20"/>
          <w:color w:val="auto"/>
        </w:rPr>
      </w:pPr>
    </w:p>
    <w:p>
      <w:pPr>
        <w:ind w:right="280" w:firstLine="1296"/>
        <w:spacing w:after="0" w:line="343" w:lineRule="auto"/>
        <w:rPr>
          <w:sz w:val="20"/>
          <w:szCs w:val="20"/>
          <w:color w:val="auto"/>
        </w:rPr>
      </w:pPr>
      <w:r>
        <w:rPr>
          <w:rFonts w:ascii="Arial" w:cs="Arial" w:eastAsia="Arial" w:hAnsi="Arial"/>
          <w:sz w:val="19"/>
          <w:szCs w:val="19"/>
          <w:color w:val="auto"/>
        </w:rPr>
        <w:t>In rendering the foregoing opinion, we are not passing upon, and assume no responsibility for, any disclosure in any registration statement or any related prospectus or other offering material relating to the offer and sale of the Shares.</w:t>
      </w:r>
    </w:p>
    <w:p>
      <w:pPr>
        <w:spacing w:after="0" w:line="104" w:lineRule="exact"/>
        <w:rPr>
          <w:sz w:val="20"/>
          <w:szCs w:val="20"/>
          <w:color w:val="auto"/>
        </w:rPr>
      </w:pPr>
    </w:p>
    <w:p>
      <w:pPr>
        <w:ind w:right="160" w:firstLine="1296"/>
        <w:spacing w:after="0" w:line="287" w:lineRule="auto"/>
        <w:rPr>
          <w:sz w:val="20"/>
          <w:szCs w:val="20"/>
          <w:color w:val="auto"/>
        </w:rPr>
      </w:pPr>
      <w:r>
        <w:rPr>
          <w:rFonts w:ascii="Arial" w:cs="Arial" w:eastAsia="Arial" w:hAnsi="Arial"/>
          <w:sz w:val="21"/>
          <w:szCs w:val="21"/>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51"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color w:val="auto"/>
        </w:rPr>
        <w:t>We have relied as to certain factual matters on information obtained from public officials, officers of the Company and other sources believed by us to be responsible.</w:t>
      </w:r>
    </w:p>
    <w:p>
      <w:pPr>
        <w:spacing w:after="0" w:line="175"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We hereby consent to the filing of this opinion as an exhibit to the Registration Statement and to the reference to us under the heading “Validity of Common Stock” in the</w:t>
      </w:r>
    </w:p>
    <w:p>
      <w:pPr>
        <w:sectPr>
          <w:pgSz w:w="11900" w:h="16838" w:orient="portrait"/>
          <w:cols w:equalWidth="0" w:num="1">
            <w:col w:w="11240"/>
          </w:cols>
          <w:pgMar w:left="320" w:top="121" w:right="339" w:bottom="1440" w:gutter="0" w:footer="0" w:header="0"/>
        </w:sectPr>
      </w:pPr>
    </w:p>
    <w:bookmarkStart w:id="257" w:name="page258"/>
    <w:bookmarkEnd w:id="257"/>
    <w:tbl>
      <w:tblPr>
        <w:tblLayout w:type="fixed"/>
        <w:tblInd w:w="20" w:type="dxa"/>
        <w:tblCellMar>
          <w:top w:w="0" w:type="dxa"/>
          <w:left w:w="0" w:type="dxa"/>
          <w:bottom w:w="0" w:type="dxa"/>
          <w:right w:w="0" w:type="dxa"/>
        </w:tblCellMar>
      </w:tblPr>
      <w:tr>
        <w:trPr>
          <w:trHeight w:val="274"/>
        </w:trPr>
        <w:tc>
          <w:tcPr>
            <w:tcW w:w="6040" w:type="dxa"/>
            <w:vAlign w:val="bottom"/>
          </w:tcPr>
          <w:p>
            <w:pPr>
              <w:spacing w:after="0"/>
              <w:rPr>
                <w:sz w:val="20"/>
                <w:szCs w:val="20"/>
                <w:color w:val="auto"/>
              </w:rPr>
            </w:pPr>
            <w:r>
              <w:rPr>
                <w:rFonts w:ascii="Arial" w:cs="Arial" w:eastAsia="Arial" w:hAnsi="Arial"/>
                <w:sz w:val="22"/>
                <w:szCs w:val="22"/>
                <w:color w:val="auto"/>
              </w:rPr>
              <w:t>Leonardo DRS, Inc.</w:t>
            </w:r>
          </w:p>
        </w:tc>
        <w:tc>
          <w:tcPr>
            <w:tcW w:w="4540" w:type="dxa"/>
            <w:vAlign w:val="bottom"/>
          </w:tcPr>
          <w:p>
            <w:pPr>
              <w:jc w:val="right"/>
              <w:spacing w:after="0"/>
              <w:rPr>
                <w:sz w:val="20"/>
                <w:szCs w:val="20"/>
                <w:color w:val="auto"/>
              </w:rPr>
            </w:pPr>
            <w:r>
              <w:rPr>
                <w:rFonts w:ascii="Arial" w:cs="Arial" w:eastAsia="Arial" w:hAnsi="Arial"/>
                <w:sz w:val="22"/>
                <w:szCs w:val="22"/>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Prospectus. In giving such consent, we do not thereby admit that we are in the category of persons whose consent is required under Section 7 of the Act.</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Sullivan &amp; Cromwell LLP</w:t>
      </w:r>
    </w:p>
    <w:p>
      <w:pPr>
        <w:sectPr>
          <w:pgSz w:w="11900" w:h="16838" w:orient="portrait"/>
          <w:cols w:equalWidth="0" w:num="1">
            <w:col w:w="11220"/>
          </w:cols>
          <w:pgMar w:left="320" w:top="186" w:right="359" w:bottom="1440" w:gutter="0" w:footer="0" w:header="0"/>
        </w:sectPr>
      </w:pPr>
    </w:p>
    <w:bookmarkStart w:id="258" w:name="page259"/>
    <w:bookmarkEnd w:id="258"/>
    <w:p>
      <w:pPr>
        <w:ind w:left="10320"/>
        <w:spacing w:after="0"/>
        <w:rPr>
          <w:sz w:val="20"/>
          <w:szCs w:val="20"/>
          <w:color w:val="auto"/>
        </w:rPr>
      </w:pPr>
      <w:r>
        <w:rPr>
          <w:rFonts w:ascii="Arial" w:cs="Arial" w:eastAsia="Arial" w:hAnsi="Arial"/>
          <w:sz w:val="16"/>
          <w:szCs w:val="16"/>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368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2143125" cy="3689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March , 2021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William J. Lynn III</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4505 Hoban Road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20007</w:t>
      </w:r>
    </w:p>
    <w:p>
      <w:pPr>
        <w:spacing w:after="0" w:line="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New Employment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Bill:</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letter sets forth the terms of your continued employment as Chairman and Chief Executive Officer of Leonardo DRS, Inc. (the “</w:t>
      </w:r>
      <w:r>
        <w:rPr>
          <w:rFonts w:ascii="Arial" w:cs="Arial" w:eastAsia="Arial" w:hAnsi="Arial"/>
          <w:sz w:val="22"/>
          <w:szCs w:val="22"/>
          <w:b w:val="1"/>
          <w:bCs w:val="1"/>
          <w:color w:val="auto"/>
        </w:rPr>
        <w:t>Company</w:t>
      </w:r>
      <w:r>
        <w:rPr>
          <w:rFonts w:ascii="Arial" w:cs="Arial" w:eastAsia="Arial" w:hAnsi="Arial"/>
          <w:sz w:val="22"/>
          <w:szCs w:val="22"/>
          <w:color w:val="auto"/>
        </w:rPr>
        <w:t>”). Should you accept this offer, this signed letter shall constitute your employment agreement with the Company (the “</w:t>
      </w:r>
      <w:r>
        <w:rPr>
          <w:rFonts w:ascii="Arial" w:cs="Arial" w:eastAsia="Arial" w:hAnsi="Arial"/>
          <w:sz w:val="22"/>
          <w:szCs w:val="22"/>
          <w:b w:val="1"/>
          <w:bCs w:val="1"/>
          <w:color w:val="auto"/>
        </w:rPr>
        <w:t>Agreement</w:t>
      </w:r>
      <w:r>
        <w:rPr>
          <w:rFonts w:ascii="Arial" w:cs="Arial" w:eastAsia="Arial" w:hAnsi="Arial"/>
          <w:sz w:val="22"/>
          <w:szCs w:val="22"/>
          <w:color w:val="auto"/>
        </w:rPr>
        <w:t>”) and will be effective as and contingent upon the completion of Company’s initial public offering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88" w:lineRule="exact"/>
        <w:rPr>
          <w:sz w:val="20"/>
          <w:szCs w:val="20"/>
          <w:color w:val="auto"/>
        </w:rPr>
      </w:pPr>
    </w:p>
    <w:p>
      <w:pPr>
        <w:ind w:left="1040" w:hanging="384"/>
        <w:spacing w:after="0"/>
        <w:tabs>
          <w:tab w:leader="none" w:pos="1040" w:val="left"/>
        </w:tabs>
        <w:numPr>
          <w:ilvl w:val="0"/>
          <w:numId w:val="142"/>
        </w:numPr>
        <w:rPr>
          <w:rFonts w:ascii="Arial" w:cs="Arial" w:eastAsia="Arial" w:hAnsi="Arial"/>
          <w:sz w:val="22"/>
          <w:szCs w:val="22"/>
          <w:color w:val="010000"/>
        </w:rPr>
      </w:pPr>
      <w:r>
        <w:rPr>
          <w:rFonts w:ascii="Arial" w:cs="Arial" w:eastAsia="Arial" w:hAnsi="Arial"/>
          <w:sz w:val="22"/>
          <w:szCs w:val="22"/>
          <w:u w:val="single" w:color="auto"/>
          <w:color w:val="auto"/>
        </w:rPr>
        <w:t>Duties</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color w:val="000000"/>
        </w:rPr>
        <w:t>The Company shall employ you, and you shall serve, as Chairman and Chief Executive Officer of the</w:t>
      </w:r>
      <w:r>
        <w:rPr>
          <w:rFonts w:ascii="Arial" w:cs="Arial" w:eastAsia="Arial" w:hAnsi="Arial"/>
          <w:sz w:val="22"/>
          <w:szCs w:val="22"/>
          <w:color w:val="010000"/>
        </w:rPr>
        <w:t xml:space="preserve"> </w:t>
      </w:r>
      <w:r>
        <w:rPr>
          <w:rFonts w:ascii="Arial" w:cs="Arial" w:eastAsia="Arial" w:hAnsi="Arial"/>
          <w:sz w:val="22"/>
          <w:szCs w:val="22"/>
          <w:color w:val="000000"/>
        </w:rPr>
        <w:t>Company and in such capacity, have such authority, functions, duties, powers, and responsibilities typically associated with such position.</w:t>
      </w:r>
    </w:p>
    <w:p>
      <w:pPr>
        <w:spacing w:after="0" w:line="18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010000"/>
        </w:rPr>
        <w:t xml:space="preserve">1.2 </w:t>
      </w:r>
      <w:r>
        <w:rPr>
          <w:rFonts w:ascii="Arial" w:cs="Arial" w:eastAsia="Arial" w:hAnsi="Arial"/>
          <w:sz w:val="19"/>
          <w:szCs w:val="19"/>
          <w:color w:val="000000"/>
        </w:rPr>
        <w:t>You shall report to the Company’s Board of Directors. You shall devote substantially all of your working</w:t>
      </w:r>
      <w:r>
        <w:rPr>
          <w:rFonts w:ascii="Arial" w:cs="Arial" w:eastAsia="Arial" w:hAnsi="Arial"/>
          <w:sz w:val="19"/>
          <w:szCs w:val="19"/>
          <w:color w:val="010000"/>
        </w:rPr>
        <w:t xml:space="preserve"> </w:t>
      </w:r>
      <w:r>
        <w:rPr>
          <w:rFonts w:ascii="Arial" w:cs="Arial" w:eastAsia="Arial" w:hAnsi="Arial"/>
          <w:sz w:val="19"/>
          <w:szCs w:val="19"/>
          <w:color w:val="000000"/>
        </w:rPr>
        <w:t xml:space="preserve">time and efforts relating to the performance of your duties hereunder. While employed, you shall not engage in any other occupation for gain, profit or pecuniary advantage without the consent of the Board;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(a) this limitation shall not be construed as preventing you from managing your passive investments or being involved in charitable, religious, and civic interests so long as they do not materially interfere with the performance of your duties hereunder; (b) you may serve on the Proxy Board of Accenture, Inc. so long as such service does not create an actual conflict of interest or materially interfere with the performance of your duties hereunder; and (c) you may request to serve on another for-profit board of advisors or board of directors, provided that such for-profit organization is not a competing business and subject to the approval of the Board of Directors. In performing your duties hereunder, you shall comply with all written policies and procedures of the Company.</w:t>
      </w:r>
    </w:p>
    <w:p>
      <w:pPr>
        <w:spacing w:after="0" w:line="15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010000"/>
        </w:rPr>
        <w:t xml:space="preserve">1.3 </w:t>
      </w:r>
      <w:r>
        <w:rPr>
          <w:rFonts w:ascii="Arial" w:cs="Arial" w:eastAsia="Arial" w:hAnsi="Arial"/>
          <w:sz w:val="21"/>
          <w:szCs w:val="21"/>
          <w:color w:val="000000"/>
        </w:rPr>
        <w:t>You will provide services to the Company from the Company’s offices in Arlington, Virginia (Crystal City);</w:t>
      </w:r>
      <w:r>
        <w:rPr>
          <w:rFonts w:ascii="Arial" w:cs="Arial" w:eastAsia="Arial" w:hAnsi="Arial"/>
          <w:sz w:val="21"/>
          <w:szCs w:val="21"/>
          <w:color w:val="010000"/>
        </w:rPr>
        <w:t xml:space="preserve"> </w:t>
      </w:r>
      <w:r>
        <w:rPr>
          <w:rFonts w:ascii="Arial" w:cs="Arial" w:eastAsia="Arial" w:hAnsi="Arial"/>
          <w:sz w:val="21"/>
          <w:szCs w:val="21"/>
          <w:color w:val="000000"/>
        </w:rPr>
        <w:t>subject to any business travel as is necessary to perform your duties as Chairman and Chief Executive Officer.</w:t>
      </w:r>
    </w:p>
    <w:p>
      <w:pPr>
        <w:spacing w:after="0" w:line="15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1.4 </w:t>
      </w:r>
      <w:r>
        <w:rPr>
          <w:rFonts w:ascii="Arial" w:cs="Arial" w:eastAsia="Arial" w:hAnsi="Arial"/>
          <w:sz w:val="22"/>
          <w:szCs w:val="22"/>
          <w:color w:val="000000"/>
        </w:rPr>
        <w:t>Subject to the terms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4</w:t>
      </w:r>
      <w:r>
        <w:rPr>
          <w:rFonts w:ascii="Arial" w:cs="Arial" w:eastAsia="Arial" w:hAnsi="Arial"/>
          <w:sz w:val="22"/>
          <w:szCs w:val="22"/>
          <w:color w:val="010000"/>
        </w:rPr>
        <w:t xml:space="preserve"> </w:t>
      </w:r>
      <w:r>
        <w:rPr>
          <w:rFonts w:ascii="Arial" w:cs="Arial" w:eastAsia="Arial" w:hAnsi="Arial"/>
          <w:sz w:val="22"/>
          <w:szCs w:val="22"/>
          <w:color w:val="000000"/>
        </w:rPr>
        <w:t>below, please understand that this letter does not constitute a</w:t>
      </w:r>
      <w:r>
        <w:rPr>
          <w:rFonts w:ascii="Arial" w:cs="Arial" w:eastAsia="Arial" w:hAnsi="Arial"/>
          <w:sz w:val="22"/>
          <w:szCs w:val="22"/>
          <w:color w:val="010000"/>
        </w:rPr>
        <w:t xml:space="preserve"> </w:t>
      </w:r>
      <w:r>
        <w:rPr>
          <w:rFonts w:ascii="Arial" w:cs="Arial" w:eastAsia="Arial" w:hAnsi="Arial"/>
          <w:sz w:val="22"/>
          <w:szCs w:val="22"/>
          <w:color w:val="000000"/>
        </w:rPr>
        <w:t>contract of employment for any specific period of time, but will create an employment at-will relationship that may be terminated at any time by you or the</w:t>
      </w:r>
    </w:p>
    <w:p>
      <w:pPr>
        <w:sectPr>
          <w:pgSz w:w="11900" w:h="16838" w:orient="portrait"/>
          <w:cols w:equalWidth="0" w:num="1">
            <w:col w:w="11240"/>
          </w:cols>
          <w:pgMar w:left="320" w:top="121" w:right="339" w:bottom="1440" w:gutter="0" w:footer="0" w:header="0"/>
          <w:type w:val="continuous"/>
        </w:sectPr>
      </w:pPr>
    </w:p>
    <w:bookmarkStart w:id="259" w:name="page260"/>
    <w:bookmarkEnd w:id="259"/>
    <w:p>
      <w:pPr>
        <w:jc w:val="both"/>
        <w:spacing w:after="0" w:line="253" w:lineRule="auto"/>
        <w:rPr>
          <w:sz w:val="20"/>
          <w:szCs w:val="20"/>
          <w:color w:val="auto"/>
        </w:rPr>
      </w:pPr>
      <w:r>
        <w:rPr>
          <w:rFonts w:ascii="Arial" w:cs="Arial" w:eastAsia="Arial" w:hAnsi="Arial"/>
          <w:sz w:val="22"/>
          <w:szCs w:val="22"/>
          <w:color w:val="auto"/>
        </w:rPr>
        <w:t>Company, with or without cause, and with or without advance notice. The at-will nature of the employment relationship may not be modified or amended except by written agreement signed by the Chair of the Company’s Compensation Committee (the “</w:t>
      </w:r>
      <w:r>
        <w:rPr>
          <w:rFonts w:ascii="Arial" w:cs="Arial" w:eastAsia="Arial" w:hAnsi="Arial"/>
          <w:sz w:val="22"/>
          <w:szCs w:val="22"/>
          <w:b w:val="1"/>
          <w:bCs w:val="1"/>
          <w:color w:val="auto"/>
        </w:rPr>
        <w:t>Committee</w:t>
      </w:r>
      <w:r>
        <w:rPr>
          <w:rFonts w:ascii="Arial" w:cs="Arial" w:eastAsia="Arial" w:hAnsi="Arial"/>
          <w:sz w:val="22"/>
          <w:szCs w:val="22"/>
          <w:color w:val="auto"/>
        </w:rPr>
        <w:t>”) and you.</w:t>
      </w:r>
    </w:p>
    <w:p>
      <w:pPr>
        <w:spacing w:after="0" w:line="185" w:lineRule="exact"/>
        <w:rPr>
          <w:sz w:val="20"/>
          <w:szCs w:val="20"/>
          <w:color w:val="auto"/>
        </w:rPr>
      </w:pPr>
    </w:p>
    <w:p>
      <w:pPr>
        <w:ind w:left="1040" w:hanging="384"/>
        <w:spacing w:after="0"/>
        <w:tabs>
          <w:tab w:leader="none" w:pos="1040" w:val="left"/>
        </w:tabs>
        <w:numPr>
          <w:ilvl w:val="0"/>
          <w:numId w:val="143"/>
        </w:numPr>
        <w:rPr>
          <w:rFonts w:ascii="Arial" w:cs="Arial" w:eastAsia="Arial" w:hAnsi="Arial"/>
          <w:sz w:val="22"/>
          <w:szCs w:val="22"/>
          <w:color w:val="010000"/>
        </w:rPr>
      </w:pPr>
      <w:r>
        <w:rPr>
          <w:rFonts w:ascii="Arial" w:cs="Arial" w:eastAsia="Arial" w:hAnsi="Arial"/>
          <w:sz w:val="22"/>
          <w:szCs w:val="22"/>
          <w:u w:val="single" w:color="auto"/>
          <w:color w:val="auto"/>
        </w:rPr>
        <w:t>Compensation and Other Remuneration</w:t>
      </w:r>
      <w:r>
        <w:rPr>
          <w:rFonts w:ascii="Arial" w:cs="Arial" w:eastAsia="Arial" w:hAnsi="Arial"/>
          <w:sz w:val="22"/>
          <w:szCs w:val="22"/>
          <w:color w:val="auto"/>
        </w:rPr>
        <w:t>.</w:t>
      </w:r>
    </w:p>
    <w:p>
      <w:pPr>
        <w:spacing w:after="0" w:line="21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u w:val="single" w:color="auto"/>
          <w:color w:val="000000"/>
        </w:rPr>
        <w:t>Base Salary</w:t>
      </w:r>
      <w:r>
        <w:rPr>
          <w:rFonts w:ascii="Arial" w:cs="Arial" w:eastAsia="Arial" w:hAnsi="Arial"/>
          <w:sz w:val="22"/>
          <w:szCs w:val="22"/>
          <w:color w:val="000000"/>
        </w:rPr>
        <w:t>. Your annual base salary (“</w:t>
      </w:r>
      <w:r>
        <w:rPr>
          <w:rFonts w:ascii="Arial" w:cs="Arial" w:eastAsia="Arial" w:hAnsi="Arial"/>
          <w:sz w:val="22"/>
          <w:szCs w:val="22"/>
          <w:b w:val="1"/>
          <w:bCs w:val="1"/>
          <w:color w:val="000000"/>
        </w:rPr>
        <w:t>Base Salary</w:t>
      </w:r>
      <w:r>
        <w:rPr>
          <w:rFonts w:ascii="Arial" w:cs="Arial" w:eastAsia="Arial" w:hAnsi="Arial"/>
          <w:sz w:val="22"/>
          <w:szCs w:val="22"/>
          <w:color w:val="000000"/>
        </w:rPr>
        <w:t>”) for 2021 will be $1,157,249. The amount of your Base</w:t>
      </w:r>
      <w:r>
        <w:rPr>
          <w:rFonts w:ascii="Arial" w:cs="Arial" w:eastAsia="Arial" w:hAnsi="Arial"/>
          <w:sz w:val="22"/>
          <w:szCs w:val="22"/>
          <w:color w:val="010000"/>
        </w:rPr>
        <w:t xml:space="preserve"> </w:t>
      </w:r>
      <w:r>
        <w:rPr>
          <w:rFonts w:ascii="Arial" w:cs="Arial" w:eastAsia="Arial" w:hAnsi="Arial"/>
          <w:sz w:val="22"/>
          <w:szCs w:val="22"/>
          <w:color w:val="000000"/>
        </w:rPr>
        <w:t>Salary shall be reviewed annually by the Board in consultation with the Parent; provided the Company may increase, but not decrease, the Base Salary. Base Salary shall be paid in accordance with the customary payroll practices of the Company and shall be subject to payroll deductions and required withholdings.</w:t>
      </w:r>
    </w:p>
    <w:p>
      <w:pPr>
        <w:spacing w:after="0" w:line="18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010000"/>
        </w:rPr>
        <w:t>2.2</w:t>
      </w:r>
      <w:r>
        <w:rPr>
          <w:sz w:val="20"/>
          <w:szCs w:val="20"/>
          <w:color w:val="auto"/>
        </w:rPr>
        <w:tab/>
      </w:r>
      <w:r>
        <w:rPr>
          <w:rFonts w:ascii="Arial" w:cs="Arial" w:eastAsia="Arial" w:hAnsi="Arial"/>
          <w:sz w:val="19"/>
          <w:szCs w:val="19"/>
          <w:u w:val="single" w:color="auto"/>
          <w:color w:val="auto"/>
        </w:rPr>
        <w:t>Annual and Long Term Incentives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94" w:lineRule="auto"/>
        <w:tabs>
          <w:tab w:leader="none" w:pos="2494" w:val="left"/>
        </w:tabs>
        <w:numPr>
          <w:ilvl w:val="1"/>
          <w:numId w:val="144"/>
        </w:numPr>
        <w:rPr>
          <w:rFonts w:ascii="Arial" w:cs="Arial" w:eastAsia="Arial" w:hAnsi="Arial"/>
          <w:sz w:val="19"/>
          <w:szCs w:val="19"/>
          <w:color w:val="010000"/>
        </w:rPr>
      </w:pPr>
      <w:r>
        <w:rPr>
          <w:rFonts w:ascii="Arial" w:cs="Arial" w:eastAsia="Arial" w:hAnsi="Arial"/>
          <w:sz w:val="19"/>
          <w:szCs w:val="19"/>
          <w:color w:val="auto"/>
        </w:rPr>
        <w:t>You shall be eligible to participate in the Company’s annual Incentive Compensation Plan or any successor annual incentive program in effect from time to time (the “</w:t>
      </w:r>
      <w:r>
        <w:rPr>
          <w:rFonts w:ascii="Arial" w:cs="Arial" w:eastAsia="Arial" w:hAnsi="Arial"/>
          <w:sz w:val="19"/>
          <w:szCs w:val="19"/>
          <w:b w:val="1"/>
          <w:bCs w:val="1"/>
          <w:color w:val="auto"/>
        </w:rPr>
        <w:t>ICP</w:t>
      </w:r>
      <w:r>
        <w:rPr>
          <w:rFonts w:ascii="Arial" w:cs="Arial" w:eastAsia="Arial" w:hAnsi="Arial"/>
          <w:sz w:val="19"/>
          <w:szCs w:val="19"/>
          <w:color w:val="auto"/>
        </w:rPr>
        <w:t>”) in accordance with, and subject to, the terms of such plan. Your target award under the ICP shall be 110% of your Base Salary (as determined in accordance with the ICP) (“</w:t>
      </w:r>
      <w:r>
        <w:rPr>
          <w:rFonts w:ascii="Arial" w:cs="Arial" w:eastAsia="Arial" w:hAnsi="Arial"/>
          <w:sz w:val="19"/>
          <w:szCs w:val="19"/>
          <w:b w:val="1"/>
          <w:bCs w:val="1"/>
          <w:color w:val="auto"/>
        </w:rPr>
        <w:t>Target</w:t>
      </w:r>
      <w:r>
        <w:rPr>
          <w:rFonts w:ascii="Arial" w:cs="Arial" w:eastAsia="Arial" w:hAnsi="Arial"/>
          <w:sz w:val="19"/>
          <w:szCs w:val="19"/>
          <w:color w:val="auto"/>
        </w:rPr>
        <w:t xml:space="preserve"> </w:t>
      </w:r>
      <w:r>
        <w:rPr>
          <w:rFonts w:ascii="Arial" w:cs="Arial" w:eastAsia="Arial" w:hAnsi="Arial"/>
          <w:sz w:val="19"/>
          <w:szCs w:val="19"/>
          <w:b w:val="1"/>
          <w:bCs w:val="1"/>
          <w:color w:val="auto"/>
        </w:rPr>
        <w:t>Award</w:t>
      </w:r>
      <w:r>
        <w:rPr>
          <w:rFonts w:ascii="Arial" w:cs="Arial" w:eastAsia="Arial" w:hAnsi="Arial"/>
          <w:sz w:val="19"/>
          <w:szCs w:val="19"/>
          <w:color w:val="auto"/>
        </w:rPr>
        <w:t>”) and your maximum Earned Award (as defined in the ICP) shall be 200% of your Target Award (notwithstanding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anything to the contrary in the ICP). The actual amount, if any, of your ICP award will be determined in accordance with the ICP and related terms and conditions approved by the Committee or the Board, as applicable.</w:t>
      </w:r>
    </w:p>
    <w:p>
      <w:pPr>
        <w:spacing w:after="0" w:line="143" w:lineRule="exact"/>
        <w:rPr>
          <w:rFonts w:ascii="Arial" w:cs="Arial" w:eastAsia="Arial" w:hAnsi="Arial"/>
          <w:sz w:val="19"/>
          <w:szCs w:val="19"/>
          <w:color w:val="010000"/>
        </w:rPr>
      </w:pPr>
    </w:p>
    <w:p>
      <w:pPr>
        <w:jc w:val="both"/>
        <w:ind w:firstLine="1952"/>
        <w:spacing w:after="0" w:line="295" w:lineRule="auto"/>
        <w:tabs>
          <w:tab w:leader="none" w:pos="2493" w:val="left"/>
        </w:tabs>
        <w:numPr>
          <w:ilvl w:val="1"/>
          <w:numId w:val="144"/>
        </w:numPr>
        <w:rPr>
          <w:rFonts w:ascii="Arial" w:cs="Arial" w:eastAsia="Arial" w:hAnsi="Arial"/>
          <w:sz w:val="19"/>
          <w:szCs w:val="19"/>
          <w:color w:val="010000"/>
        </w:rPr>
      </w:pPr>
      <w:r>
        <w:rPr>
          <w:rFonts w:ascii="Arial" w:cs="Arial" w:eastAsia="Arial" w:hAnsi="Arial"/>
          <w:sz w:val="19"/>
          <w:szCs w:val="19"/>
          <w:color w:val="auto"/>
        </w:rPr>
        <w:t>You shall be eligible to participate in the Company’s Long-Term Incentive Plan (the “</w:t>
      </w:r>
      <w:r>
        <w:rPr>
          <w:rFonts w:ascii="Arial" w:cs="Arial" w:eastAsia="Arial" w:hAnsi="Arial"/>
          <w:sz w:val="19"/>
          <w:szCs w:val="19"/>
          <w:b w:val="1"/>
          <w:bCs w:val="1"/>
          <w:color w:val="auto"/>
        </w:rPr>
        <w:t>LTIP</w:t>
      </w:r>
      <w:r>
        <w:rPr>
          <w:rFonts w:ascii="Arial" w:cs="Arial" w:eastAsia="Arial" w:hAnsi="Arial"/>
          <w:sz w:val="19"/>
          <w:szCs w:val="19"/>
          <w:color w:val="auto"/>
        </w:rPr>
        <w:t>”), the Company’s 2021 Omnibus Equity Compensation Plan (the “</w:t>
      </w:r>
      <w:r>
        <w:rPr>
          <w:rFonts w:ascii="Arial" w:cs="Arial" w:eastAsia="Arial" w:hAnsi="Arial"/>
          <w:sz w:val="19"/>
          <w:szCs w:val="19"/>
          <w:b w:val="1"/>
          <w:bCs w:val="1"/>
          <w:color w:val="auto"/>
        </w:rPr>
        <w:t>Omnibus Plan</w:t>
      </w:r>
      <w:r>
        <w:rPr>
          <w:rFonts w:ascii="Arial" w:cs="Arial" w:eastAsia="Arial" w:hAnsi="Arial"/>
          <w:sz w:val="19"/>
          <w:szCs w:val="19"/>
          <w:color w:val="auto"/>
        </w:rPr>
        <w:t>”), or any other long-term incentive plans in effect from time to time (collectively, the “</w:t>
      </w:r>
      <w:r>
        <w:rPr>
          <w:rFonts w:ascii="Arial" w:cs="Arial" w:eastAsia="Arial" w:hAnsi="Arial"/>
          <w:sz w:val="19"/>
          <w:szCs w:val="19"/>
          <w:b w:val="1"/>
          <w:bCs w:val="1"/>
          <w:color w:val="auto"/>
        </w:rPr>
        <w:t>LTI Plans</w:t>
      </w:r>
      <w:r>
        <w:rPr>
          <w:rFonts w:ascii="Arial" w:cs="Arial" w:eastAsia="Arial" w:hAnsi="Arial"/>
          <w:sz w:val="19"/>
          <w:szCs w:val="19"/>
          <w:color w:val="auto"/>
        </w:rPr>
        <w:t>”) in accordance with the terms of the LTI Plans. Your target award for 2021 under the Company’s Omnibus Plan shall be $3,580,000. The amount of your target award shall be reviewed annually by the Board; provided the Company may increase, but not decrease, the target award. Unless otherwise provided herein, all LTI Plan awards will be subject to the terms and conditions set forth in the applicable LTI Plan and award agreement.</w:t>
      </w:r>
    </w:p>
    <w:p>
      <w:pPr>
        <w:spacing w:after="0" w:line="149" w:lineRule="exact"/>
        <w:rPr>
          <w:rFonts w:ascii="Arial" w:cs="Arial" w:eastAsia="Arial" w:hAnsi="Arial"/>
          <w:sz w:val="19"/>
          <w:szCs w:val="19"/>
          <w:color w:val="010000"/>
        </w:rPr>
      </w:pPr>
    </w:p>
    <w:p>
      <w:pPr>
        <w:ind w:firstLine="1952"/>
        <w:spacing w:after="0" w:line="263" w:lineRule="auto"/>
        <w:tabs>
          <w:tab w:leader="none" w:pos="2400" w:val="left"/>
        </w:tabs>
        <w:numPr>
          <w:ilvl w:val="1"/>
          <w:numId w:val="144"/>
        </w:numPr>
        <w:rPr>
          <w:rFonts w:ascii="Arial" w:cs="Arial" w:eastAsia="Arial" w:hAnsi="Arial"/>
          <w:sz w:val="22"/>
          <w:szCs w:val="22"/>
          <w:color w:val="010000"/>
        </w:rPr>
      </w:pPr>
      <w:r>
        <w:rPr>
          <w:rFonts w:ascii="Arial" w:cs="Arial" w:eastAsia="Arial" w:hAnsi="Arial"/>
          <w:sz w:val="22"/>
          <w:szCs w:val="22"/>
          <w:color w:val="auto"/>
        </w:rPr>
        <w:t>Any awards granted to you under the LTIP in 2019 and 2020 and otherwise payable in 2022 and 2023 shall be subject to Section 6.2 of the LTIP.</w:t>
      </w:r>
    </w:p>
    <w:p>
      <w:pPr>
        <w:spacing w:after="0" w:line="168" w:lineRule="exact"/>
        <w:rPr>
          <w:rFonts w:ascii="Arial" w:cs="Arial" w:eastAsia="Arial" w:hAnsi="Arial"/>
          <w:sz w:val="22"/>
          <w:szCs w:val="22"/>
          <w:color w:val="010000"/>
        </w:rPr>
      </w:pPr>
    </w:p>
    <w:p>
      <w:pPr>
        <w:jc w:val="both"/>
        <w:ind w:firstLine="1952"/>
        <w:spacing w:after="0" w:line="252" w:lineRule="auto"/>
        <w:tabs>
          <w:tab w:leader="none" w:pos="2533" w:val="left"/>
        </w:tabs>
        <w:numPr>
          <w:ilvl w:val="1"/>
          <w:numId w:val="144"/>
        </w:numPr>
        <w:rPr>
          <w:rFonts w:ascii="Arial" w:cs="Arial" w:eastAsia="Arial" w:hAnsi="Arial"/>
          <w:sz w:val="22"/>
          <w:szCs w:val="22"/>
          <w:color w:val="010000"/>
        </w:rPr>
      </w:pPr>
      <w:r>
        <w:rPr>
          <w:rFonts w:ascii="Arial" w:cs="Arial" w:eastAsia="Arial" w:hAnsi="Arial"/>
          <w:sz w:val="22"/>
          <w:szCs w:val="22"/>
          <w:color w:val="auto"/>
        </w:rPr>
        <w:t>You shall be eligible to receive a Founders Award (“</w:t>
      </w:r>
      <w:r>
        <w:rPr>
          <w:rFonts w:ascii="Arial" w:cs="Arial" w:eastAsia="Arial" w:hAnsi="Arial"/>
          <w:sz w:val="22"/>
          <w:szCs w:val="22"/>
          <w:b w:val="1"/>
          <w:bCs w:val="1"/>
          <w:color w:val="auto"/>
        </w:rPr>
        <w:t>Founders Award</w:t>
      </w:r>
      <w:r>
        <w:rPr>
          <w:rFonts w:ascii="Arial" w:cs="Arial" w:eastAsia="Arial" w:hAnsi="Arial"/>
          <w:sz w:val="22"/>
          <w:szCs w:val="22"/>
          <w:color w:val="auto"/>
        </w:rPr>
        <w:t>”) in connection with the Company’s initial public offering in the form of restricted stock units, subject to approval by the Committee and in accordance with the terms of the Founders Award. Your target Founders Award shall be equal to an amount that is two times your 2020 LTIP target award, subject to the terms and conditions of the Founders Award.</w:t>
      </w:r>
    </w:p>
    <w:p>
      <w:pPr>
        <w:spacing w:after="0" w:line="185" w:lineRule="exact"/>
        <w:rPr>
          <w:rFonts w:ascii="Arial" w:cs="Arial" w:eastAsia="Arial" w:hAnsi="Arial"/>
          <w:sz w:val="22"/>
          <w:szCs w:val="22"/>
          <w:color w:val="010000"/>
        </w:rPr>
      </w:pPr>
    </w:p>
    <w:p>
      <w:pPr>
        <w:ind w:firstLine="656"/>
        <w:spacing w:after="0" w:line="263" w:lineRule="auto"/>
        <w:tabs>
          <w:tab w:leader="none" w:pos="1053" w:val="left"/>
        </w:tabs>
        <w:numPr>
          <w:ilvl w:val="0"/>
          <w:numId w:val="145"/>
        </w:numPr>
        <w:rPr>
          <w:rFonts w:ascii="Arial" w:cs="Arial" w:eastAsia="Arial" w:hAnsi="Arial"/>
          <w:sz w:val="22"/>
          <w:szCs w:val="22"/>
          <w:color w:val="010000"/>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While employed by the Company, you shall be entitled to the compensation, benefits, and reimbursements set forth in this </w:t>
      </w:r>
      <w:r>
        <w:rPr>
          <w:rFonts w:ascii="Arial" w:cs="Arial" w:eastAsia="Arial" w:hAnsi="Arial"/>
          <w:sz w:val="22"/>
          <w:szCs w:val="22"/>
          <w:u w:val="single" w:color="auto"/>
          <w:color w:val="auto"/>
        </w:rPr>
        <w:t>Section 3</w:t>
      </w:r>
      <w:r>
        <w:rPr>
          <w:rFonts w:ascii="Arial" w:cs="Arial" w:eastAsia="Arial" w:hAnsi="Arial"/>
          <w:sz w:val="22"/>
          <w:szCs w:val="22"/>
          <w:color w:val="auto"/>
        </w:rPr>
        <w:t>, subject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60" w:name="page261"/>
    <w:bookmarkEnd w:id="260"/>
    <w:p>
      <w:pPr>
        <w:jc w:val="both"/>
        <w:ind w:firstLine="1296"/>
        <w:spacing w:after="0" w:line="297"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u w:val="single" w:color="auto"/>
          <w:color w:val="000000"/>
        </w:rPr>
        <w:t>Health, Welfare and Retirement Benefits</w:t>
      </w:r>
      <w:r>
        <w:rPr>
          <w:rFonts w:ascii="Arial" w:cs="Arial" w:eastAsia="Arial" w:hAnsi="Arial"/>
          <w:sz w:val="19"/>
          <w:szCs w:val="19"/>
          <w:color w:val="000000"/>
        </w:rPr>
        <w:t>. The Company shall provide group health, dental, hospitalization,</w:t>
      </w:r>
      <w:r>
        <w:rPr>
          <w:rFonts w:ascii="Arial" w:cs="Arial" w:eastAsia="Arial" w:hAnsi="Arial"/>
          <w:sz w:val="19"/>
          <w:szCs w:val="19"/>
          <w:color w:val="010000"/>
        </w:rPr>
        <w:t xml:space="preserve"> </w:t>
      </w:r>
      <w:r>
        <w:rPr>
          <w:rFonts w:ascii="Arial" w:cs="Arial" w:eastAsia="Arial" w:hAnsi="Arial"/>
          <w:sz w:val="19"/>
          <w:szCs w:val="19"/>
          <w:color w:val="000000"/>
        </w:rPr>
        <w:t>life and disability insurance benefits to you and your eligible dependents that are in effect as of the Effective Date in accordance with the terms of such plans as may be modified from time to time. You shall also be eligible to participate in such other welfare and retirement benefit plans or programs that are offered to senior executives of the Company generally to the extent you are eligible under the general provisions thereof as in effect from time to time.</w:t>
      </w:r>
    </w:p>
    <w:p>
      <w:pPr>
        <w:spacing w:after="0" w:line="14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Life Insurance</w:t>
      </w:r>
      <w:r>
        <w:rPr>
          <w:rFonts w:ascii="Arial" w:cs="Arial" w:eastAsia="Arial" w:hAnsi="Arial"/>
          <w:sz w:val="22"/>
          <w:szCs w:val="22"/>
          <w:color w:val="000000"/>
        </w:rPr>
        <w:t>. The Company shall provide you with term life insurance benefits under a company-sponsored individual policy that provides your beneficiary with (i) a death benefit in the amount of $4,000,000 and (ii) a death benefit of $325,000 that is subject to certain age-related reductions after you reach the age of 65. Such benefits are to be provided by group life insurance applicable to you and are subject to your eligibility for commercially available coverage and cooperation in obtaining same.</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3.3 </w:t>
      </w:r>
      <w:r>
        <w:rPr>
          <w:rFonts w:ascii="Arial" w:cs="Arial" w:eastAsia="Arial" w:hAnsi="Arial"/>
          <w:sz w:val="22"/>
          <w:szCs w:val="22"/>
          <w:u w:val="single" w:color="auto"/>
          <w:color w:val="000000"/>
        </w:rPr>
        <w:t>Vacation</w:t>
      </w:r>
      <w:r>
        <w:rPr>
          <w:rFonts w:ascii="Arial" w:cs="Arial" w:eastAsia="Arial" w:hAnsi="Arial"/>
          <w:sz w:val="22"/>
          <w:szCs w:val="22"/>
          <w:color w:val="000000"/>
        </w:rPr>
        <w:t>. You shall be entitled to four (4) weeks of paid vacation per year, with such vacation being accrued</w:t>
      </w:r>
      <w:r>
        <w:rPr>
          <w:rFonts w:ascii="Arial" w:cs="Arial" w:eastAsia="Arial" w:hAnsi="Arial"/>
          <w:sz w:val="22"/>
          <w:szCs w:val="22"/>
          <w:color w:val="010000"/>
        </w:rPr>
        <w:t xml:space="preserve"> </w:t>
      </w:r>
      <w:r>
        <w:rPr>
          <w:rFonts w:ascii="Arial" w:cs="Arial" w:eastAsia="Arial" w:hAnsi="Arial"/>
          <w:sz w:val="22"/>
          <w:szCs w:val="22"/>
          <w:color w:val="000000"/>
        </w:rPr>
        <w:t>in accordance with the Company’s vacation policies.</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u w:val="single" w:color="auto"/>
          <w:color w:val="000000"/>
        </w:rPr>
        <w:t>Directors’ and Officers’ Insurance</w:t>
      </w:r>
      <w:r>
        <w:rPr>
          <w:rFonts w:ascii="Arial" w:cs="Arial" w:eastAsia="Arial" w:hAnsi="Arial"/>
          <w:sz w:val="22"/>
          <w:szCs w:val="22"/>
          <w:color w:val="000000"/>
        </w:rPr>
        <w:t>. The Company shall provide you with coverage under the directors’ and</w:t>
      </w:r>
      <w:r>
        <w:rPr>
          <w:rFonts w:ascii="Arial" w:cs="Arial" w:eastAsia="Arial" w:hAnsi="Arial"/>
          <w:sz w:val="22"/>
          <w:szCs w:val="22"/>
          <w:color w:val="010000"/>
        </w:rPr>
        <w:t xml:space="preserve"> </w:t>
      </w:r>
      <w:r>
        <w:rPr>
          <w:rFonts w:ascii="Arial" w:cs="Arial" w:eastAsia="Arial" w:hAnsi="Arial"/>
          <w:sz w:val="22"/>
          <w:szCs w:val="22"/>
          <w:color w:val="000000"/>
        </w:rPr>
        <w:t>officers’ insurance policy currently maintained by the Company, or provide you with coverage under any successor or replacement policy that provides at least the same level and duration of coverage as the policy currently maintained by the Company. The Company shall maintain such coverage in full force and effect for a period of time after the termination of your employment which is reasonable and customary in the industry.</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3.5 </w:t>
      </w:r>
      <w:r>
        <w:rPr>
          <w:rFonts w:ascii="Arial" w:cs="Arial" w:eastAsia="Arial" w:hAnsi="Arial"/>
          <w:sz w:val="22"/>
          <w:szCs w:val="22"/>
          <w:u w:val="single" w:color="auto"/>
          <w:color w:val="000000"/>
        </w:rPr>
        <w:t>Executive Allowances</w:t>
      </w:r>
      <w:r>
        <w:rPr>
          <w:rFonts w:ascii="Arial" w:cs="Arial" w:eastAsia="Arial" w:hAnsi="Arial"/>
          <w:sz w:val="22"/>
          <w:szCs w:val="22"/>
          <w:color w:val="000000"/>
        </w:rPr>
        <w:t>. You shall participate in the Company’s executive allowances program, and for each</w:t>
      </w:r>
      <w:r>
        <w:rPr>
          <w:rFonts w:ascii="Arial" w:cs="Arial" w:eastAsia="Arial" w:hAnsi="Arial"/>
          <w:sz w:val="22"/>
          <w:szCs w:val="22"/>
          <w:color w:val="010000"/>
        </w:rPr>
        <w:t xml:space="preserve"> </w:t>
      </w:r>
      <w:r>
        <w:rPr>
          <w:rFonts w:ascii="Arial" w:cs="Arial" w:eastAsia="Arial" w:hAnsi="Arial"/>
          <w:sz w:val="22"/>
          <w:szCs w:val="22"/>
          <w:color w:val="000000"/>
        </w:rPr>
        <w:t>calendar year of your employment you shall be entitled to an executive allowance of $40,000.</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3.6 </w:t>
      </w:r>
      <w:r>
        <w:rPr>
          <w:rFonts w:ascii="Arial" w:cs="Arial" w:eastAsia="Arial" w:hAnsi="Arial"/>
          <w:sz w:val="22"/>
          <w:szCs w:val="22"/>
          <w:u w:val="single" w:color="auto"/>
          <w:color w:val="000000"/>
        </w:rPr>
        <w:t>Business Travel</w:t>
      </w:r>
      <w:r>
        <w:rPr>
          <w:rFonts w:ascii="Arial" w:cs="Arial" w:eastAsia="Arial" w:hAnsi="Arial"/>
          <w:sz w:val="22"/>
          <w:szCs w:val="22"/>
          <w:color w:val="000000"/>
        </w:rPr>
        <w:t>. The Company shall reimburse you for all reasonable expenses incurred for all business</w:t>
      </w:r>
      <w:r>
        <w:rPr>
          <w:rFonts w:ascii="Arial" w:cs="Arial" w:eastAsia="Arial" w:hAnsi="Arial"/>
          <w:sz w:val="22"/>
          <w:szCs w:val="22"/>
          <w:color w:val="010000"/>
        </w:rPr>
        <w:t xml:space="preserve"> </w:t>
      </w:r>
      <w:r>
        <w:rPr>
          <w:rFonts w:ascii="Arial" w:cs="Arial" w:eastAsia="Arial" w:hAnsi="Arial"/>
          <w:sz w:val="22"/>
          <w:szCs w:val="22"/>
          <w:color w:val="000000"/>
        </w:rPr>
        <w:t>travel you engage in for the benefit of the Company. You shall be entitled to not less than business class travel, when available, when travelling for Company business.</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3.7 </w:t>
      </w:r>
      <w:r>
        <w:rPr>
          <w:rFonts w:ascii="Arial" w:cs="Arial" w:eastAsia="Arial" w:hAnsi="Arial"/>
          <w:sz w:val="22"/>
          <w:szCs w:val="22"/>
          <w:u w:val="single" w:color="auto"/>
          <w:color w:val="000000"/>
        </w:rPr>
        <w:t>Business Expenses</w:t>
      </w:r>
      <w:r>
        <w:rPr>
          <w:rFonts w:ascii="Arial" w:cs="Arial" w:eastAsia="Arial" w:hAnsi="Arial"/>
          <w:sz w:val="22"/>
          <w:szCs w:val="22"/>
          <w:color w:val="000000"/>
        </w:rPr>
        <w:t>. The Company shall pay or reimburse you for the ordinary and customary business</w:t>
      </w:r>
      <w:r>
        <w:rPr>
          <w:rFonts w:ascii="Arial" w:cs="Arial" w:eastAsia="Arial" w:hAnsi="Arial"/>
          <w:sz w:val="22"/>
          <w:szCs w:val="22"/>
          <w:color w:val="010000"/>
        </w:rPr>
        <w:t xml:space="preserve"> </w:t>
      </w:r>
      <w:r>
        <w:rPr>
          <w:rFonts w:ascii="Arial" w:cs="Arial" w:eastAsia="Arial" w:hAnsi="Arial"/>
          <w:sz w:val="22"/>
          <w:szCs w:val="22"/>
          <w:color w:val="000000"/>
        </w:rPr>
        <w:t>expenses incurred in the performance of your duties hereunder.</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3.8 </w:t>
      </w:r>
      <w:r>
        <w:rPr>
          <w:rFonts w:ascii="Arial" w:cs="Arial" w:eastAsia="Arial" w:hAnsi="Arial"/>
          <w:sz w:val="22"/>
          <w:szCs w:val="22"/>
          <w:u w:val="single" w:color="auto"/>
          <w:color w:val="000000"/>
        </w:rPr>
        <w:t>Legal Expenses</w:t>
      </w:r>
      <w:r>
        <w:rPr>
          <w:rFonts w:ascii="Arial" w:cs="Arial" w:eastAsia="Arial" w:hAnsi="Arial"/>
          <w:sz w:val="22"/>
          <w:szCs w:val="22"/>
          <w:color w:val="000000"/>
        </w:rPr>
        <w:t>. The Company shall reimburse you for your reasonable legal expenses, in an amount not to</w:t>
      </w:r>
      <w:r>
        <w:rPr>
          <w:rFonts w:ascii="Arial" w:cs="Arial" w:eastAsia="Arial" w:hAnsi="Arial"/>
          <w:sz w:val="22"/>
          <w:szCs w:val="22"/>
          <w:color w:val="010000"/>
        </w:rPr>
        <w:t xml:space="preserve"> </w:t>
      </w:r>
      <w:r>
        <w:rPr>
          <w:rFonts w:ascii="Arial" w:cs="Arial" w:eastAsia="Arial" w:hAnsi="Arial"/>
          <w:sz w:val="22"/>
          <w:szCs w:val="22"/>
          <w:color w:val="000000"/>
        </w:rPr>
        <w:t>exceed $10,000, incurred in the negotiation and documentation of this Agreement.</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3.9 </w:t>
      </w:r>
      <w:r>
        <w:rPr>
          <w:rFonts w:ascii="Arial" w:cs="Arial" w:eastAsia="Arial" w:hAnsi="Arial"/>
          <w:sz w:val="22"/>
          <w:szCs w:val="22"/>
          <w:u w:val="single" w:color="auto"/>
          <w:color w:val="000000"/>
        </w:rPr>
        <w:t>Annual Exam</w:t>
      </w:r>
      <w:r>
        <w:rPr>
          <w:rFonts w:ascii="Arial" w:cs="Arial" w:eastAsia="Arial" w:hAnsi="Arial"/>
          <w:sz w:val="22"/>
          <w:szCs w:val="22"/>
          <w:color w:val="000000"/>
        </w:rPr>
        <w:t>. Each calendar year during which you are employed hereunder, the Company shall pay for a</w:t>
      </w:r>
      <w:r>
        <w:rPr>
          <w:rFonts w:ascii="Arial" w:cs="Arial" w:eastAsia="Arial" w:hAnsi="Arial"/>
          <w:sz w:val="22"/>
          <w:szCs w:val="22"/>
          <w:color w:val="010000"/>
        </w:rPr>
        <w:t xml:space="preserve"> </w:t>
      </w:r>
      <w:r>
        <w:rPr>
          <w:rFonts w:ascii="Arial" w:cs="Arial" w:eastAsia="Arial" w:hAnsi="Arial"/>
          <w:sz w:val="22"/>
          <w:szCs w:val="22"/>
          <w:color w:val="000000"/>
        </w:rPr>
        <w:t>comprehensive annual physical examination by a physician of your choice, to the extent not otherwise covered under the Company’s medical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261" w:name="page262"/>
    <w:bookmarkEnd w:id="261"/>
    <w:p>
      <w:pPr>
        <w:ind w:left="1300" w:right="7460" w:hanging="644"/>
        <w:spacing w:after="0" w:line="519" w:lineRule="auto"/>
        <w:tabs>
          <w:tab w:leader="none" w:pos="1030" w:val="left"/>
        </w:tabs>
        <w:numPr>
          <w:ilvl w:val="0"/>
          <w:numId w:val="146"/>
        </w:numPr>
        <w:rPr>
          <w:rFonts w:ascii="Arial" w:cs="Arial" w:eastAsia="Arial" w:hAnsi="Arial"/>
          <w:sz w:val="19"/>
          <w:szCs w:val="19"/>
          <w:color w:val="010000"/>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w:t>
      </w:r>
      <w:r>
        <w:rPr>
          <w:rFonts w:ascii="Arial" w:cs="Arial" w:eastAsia="Arial" w:hAnsi="Arial"/>
          <w:sz w:val="19"/>
          <w:szCs w:val="19"/>
          <w:color w:val="010000"/>
        </w:rPr>
        <w:t xml:space="preserve">4.1 </w:t>
      </w:r>
      <w:r>
        <w:rPr>
          <w:rFonts w:ascii="Arial" w:cs="Arial" w:eastAsia="Arial" w:hAnsi="Arial"/>
          <w:sz w:val="19"/>
          <w:szCs w:val="19"/>
          <w:u w:val="single" w:color="auto"/>
          <w:color w:val="000000"/>
        </w:rPr>
        <w:t>Termination for Cause</w:t>
      </w:r>
      <w:r>
        <w:rPr>
          <w:rFonts w:ascii="Arial" w:cs="Arial" w:eastAsia="Arial" w:hAnsi="Arial"/>
          <w:sz w:val="19"/>
          <w:szCs w:val="19"/>
          <w:color w:val="000000"/>
        </w:rPr>
        <w:t>.</w:t>
      </w:r>
    </w:p>
    <w:p>
      <w:pPr>
        <w:jc w:val="both"/>
        <w:ind w:firstLine="1952"/>
        <w:spacing w:after="0" w:line="258" w:lineRule="auto"/>
        <w:tabs>
          <w:tab w:leader="none" w:pos="2400" w:val="left"/>
        </w:tabs>
        <w:numPr>
          <w:ilvl w:val="1"/>
          <w:numId w:val="146"/>
        </w:numPr>
        <w:rPr>
          <w:rFonts w:ascii="Arial" w:cs="Arial" w:eastAsia="Arial" w:hAnsi="Arial"/>
          <w:sz w:val="21"/>
          <w:szCs w:val="21"/>
          <w:color w:val="010000"/>
        </w:rPr>
      </w:pPr>
      <w:r>
        <w:rPr>
          <w:rFonts w:ascii="Arial" w:cs="Arial" w:eastAsia="Arial" w:hAnsi="Arial"/>
          <w:sz w:val="21"/>
          <w:szCs w:val="21"/>
          <w:color w:val="auto"/>
        </w:rPr>
        <w:t xml:space="preserve">The Company may terminate your employment and all of the Company’s obligations hereunder, other than its obligations set forth below in this </w:t>
      </w:r>
      <w:r>
        <w:rPr>
          <w:rFonts w:ascii="Arial" w:cs="Arial" w:eastAsia="Arial" w:hAnsi="Arial"/>
          <w:sz w:val="21"/>
          <w:szCs w:val="21"/>
          <w:u w:val="single" w:color="auto"/>
          <w:color w:val="auto"/>
        </w:rPr>
        <w:t>Section 4.1</w:t>
      </w:r>
      <w:r>
        <w:rPr>
          <w:rFonts w:ascii="Arial" w:cs="Arial" w:eastAsia="Arial" w:hAnsi="Arial"/>
          <w:sz w:val="21"/>
          <w:szCs w:val="21"/>
          <w:color w:val="auto"/>
        </w:rPr>
        <w:t>, at any time for “Cause.” “</w:t>
      </w:r>
      <w:r>
        <w:rPr>
          <w:rFonts w:ascii="Arial" w:cs="Arial" w:eastAsia="Arial" w:hAnsi="Arial"/>
          <w:sz w:val="21"/>
          <w:szCs w:val="21"/>
          <w:b w:val="1"/>
          <w:bCs w:val="1"/>
          <w:color w:val="auto"/>
        </w:rPr>
        <w:t>Cause</w:t>
      </w:r>
      <w:r>
        <w:rPr>
          <w:rFonts w:ascii="Arial" w:cs="Arial" w:eastAsia="Arial" w:hAnsi="Arial"/>
          <w:sz w:val="21"/>
          <w:szCs w:val="21"/>
          <w:color w:val="auto"/>
        </w:rPr>
        <w:t>” shall mean (i) willful failure or refusal without proper cause to perform your duties with the Company, including your obligations under this Agreement (other than any such failure resulting from your incapacity due to physical or mental impairment) and, after having been given written notice thereof by the Company, failure to correct such willful failure or refusal to perform within 30 days after receipt of such notice; (ii) your engagement in dishonesty, illegal conduct or misconduct; (iii) your embezzlement, misappropriation or fraud, whether or not related to the your employment with the Company; (iv) your conviction of, or plea of guilty or nolo contendere to, a crime that constitutes a felony (or state law equivalent) or crime that constitutes a misdemeanor involving moral turpitude; or (v) your violations of the Company’s code of ethics and business conduct, as amended from time to time, as determined in the Company’s sole discretion.</w:t>
      </w:r>
    </w:p>
    <w:p>
      <w:pPr>
        <w:spacing w:after="0" w:line="185" w:lineRule="exact"/>
        <w:rPr>
          <w:rFonts w:ascii="Arial" w:cs="Arial" w:eastAsia="Arial" w:hAnsi="Arial"/>
          <w:sz w:val="21"/>
          <w:szCs w:val="21"/>
          <w:color w:val="010000"/>
        </w:rPr>
      </w:pPr>
    </w:p>
    <w:p>
      <w:pPr>
        <w:jc w:val="both"/>
        <w:ind w:firstLine="1952"/>
        <w:spacing w:after="0" w:line="263" w:lineRule="auto"/>
        <w:tabs>
          <w:tab w:leader="none" w:pos="2452" w:val="left"/>
        </w:tabs>
        <w:numPr>
          <w:ilvl w:val="1"/>
          <w:numId w:val="146"/>
        </w:numPr>
        <w:rPr>
          <w:rFonts w:ascii="Arial" w:cs="Arial" w:eastAsia="Arial" w:hAnsi="Arial"/>
          <w:sz w:val="21"/>
          <w:szCs w:val="21"/>
          <w:color w:val="010000"/>
        </w:rPr>
      </w:pPr>
      <w:r>
        <w:rPr>
          <w:rFonts w:ascii="Arial" w:cs="Arial" w:eastAsia="Arial" w:hAnsi="Arial"/>
          <w:sz w:val="21"/>
          <w:szCs w:val="21"/>
          <w:color w:val="auto"/>
        </w:rPr>
        <w:t>In the event your employment is terminated by the Company for Cause, the Company shall have no further obligations to you under this agreement other than to: (i) pay Base Salary and unused vacation accrued through the effective date of termination, (ii) pay any unpaid Earned Award under the ICP for any completed prior fiscal year and (iii) comply with obligations owed under the Company’s benefit plans in accordance with their terms as in effect as of the effective date of termination ((i) through (iii) collectively, the “</w:t>
      </w:r>
      <w:r>
        <w:rPr>
          <w:rFonts w:ascii="Arial" w:cs="Arial" w:eastAsia="Arial" w:hAnsi="Arial"/>
          <w:sz w:val="21"/>
          <w:szCs w:val="21"/>
          <w:b w:val="1"/>
          <w:bCs w:val="1"/>
          <w:color w:val="auto"/>
        </w:rPr>
        <w:t>Termination Entitlement</w:t>
      </w:r>
      <w:r>
        <w:rPr>
          <w:rFonts w:ascii="Arial" w:cs="Arial" w:eastAsia="Arial" w:hAnsi="Arial"/>
          <w:sz w:val="21"/>
          <w:szCs w:val="21"/>
          <w:color w:val="auto"/>
        </w:rPr>
        <w:t>”).</w:t>
      </w:r>
    </w:p>
    <w:p>
      <w:pPr>
        <w:spacing w:after="0" w:line="175" w:lineRule="exact"/>
        <w:rPr>
          <w:rFonts w:ascii="Arial" w:cs="Arial" w:eastAsia="Arial" w:hAnsi="Arial"/>
          <w:sz w:val="21"/>
          <w:szCs w:val="21"/>
          <w:color w:val="010000"/>
        </w:rPr>
      </w:pPr>
    </w:p>
    <w:p>
      <w:pPr>
        <w:ind w:firstLine="1952"/>
        <w:spacing w:after="0" w:line="287" w:lineRule="auto"/>
        <w:tabs>
          <w:tab w:leader="none" w:pos="2413" w:val="left"/>
        </w:tabs>
        <w:numPr>
          <w:ilvl w:val="1"/>
          <w:numId w:val="146"/>
        </w:numPr>
        <w:rPr>
          <w:rFonts w:ascii="Arial" w:cs="Arial" w:eastAsia="Arial" w:hAnsi="Arial"/>
          <w:sz w:val="21"/>
          <w:szCs w:val="21"/>
          <w:color w:val="010000"/>
        </w:rPr>
      </w:pPr>
      <w:r>
        <w:rPr>
          <w:rFonts w:ascii="Arial" w:cs="Arial" w:eastAsia="Arial" w:hAnsi="Arial"/>
          <w:sz w:val="21"/>
          <w:szCs w:val="21"/>
          <w:color w:val="auto"/>
        </w:rPr>
        <w:t>In the event your employment is terminated by the Company for Cause, you shall cease to be eligible for any Award Payments (as defined in the ICP) not paid as of the date on which your employment terminates.</w:t>
      </w:r>
    </w:p>
    <w:p>
      <w:pPr>
        <w:spacing w:after="0" w:line="151" w:lineRule="exact"/>
        <w:rPr>
          <w:rFonts w:ascii="Arial" w:cs="Arial" w:eastAsia="Arial" w:hAnsi="Arial"/>
          <w:sz w:val="21"/>
          <w:szCs w:val="21"/>
          <w:color w:val="010000"/>
        </w:rPr>
      </w:pPr>
    </w:p>
    <w:p>
      <w:pPr>
        <w:ind w:firstLine="1952"/>
        <w:spacing w:after="0" w:line="287" w:lineRule="auto"/>
        <w:tabs>
          <w:tab w:leader="none" w:pos="2425" w:val="left"/>
        </w:tabs>
        <w:numPr>
          <w:ilvl w:val="1"/>
          <w:numId w:val="146"/>
        </w:numPr>
        <w:rPr>
          <w:rFonts w:ascii="Arial" w:cs="Arial" w:eastAsia="Arial" w:hAnsi="Arial"/>
          <w:sz w:val="21"/>
          <w:szCs w:val="21"/>
          <w:color w:val="010000"/>
        </w:rPr>
      </w:pPr>
      <w:r>
        <w:rPr>
          <w:rFonts w:ascii="Arial" w:cs="Arial" w:eastAsia="Arial" w:hAnsi="Arial"/>
          <w:sz w:val="21"/>
          <w:szCs w:val="21"/>
          <w:color w:val="auto"/>
        </w:rPr>
        <w:t>In the event your employment is terminated by the Company for Cause, you shall cease to be eligible for any Award Payments (as defined in the LTIP) not paid as of the date on which employment terminates.</w:t>
      </w:r>
    </w:p>
    <w:p>
      <w:pPr>
        <w:spacing w:after="0" w:line="151" w:lineRule="exact"/>
        <w:rPr>
          <w:rFonts w:ascii="Arial" w:cs="Arial" w:eastAsia="Arial" w:hAnsi="Arial"/>
          <w:sz w:val="21"/>
          <w:szCs w:val="21"/>
          <w:color w:val="010000"/>
        </w:rPr>
      </w:pPr>
    </w:p>
    <w:p>
      <w:pPr>
        <w:jc w:val="both"/>
        <w:ind w:firstLine="1952"/>
        <w:spacing w:after="0" w:line="248" w:lineRule="auto"/>
        <w:tabs>
          <w:tab w:leader="none" w:pos="2467" w:val="left"/>
        </w:tabs>
        <w:numPr>
          <w:ilvl w:val="1"/>
          <w:numId w:val="146"/>
        </w:numPr>
        <w:rPr>
          <w:rFonts w:ascii="Arial" w:cs="Arial" w:eastAsia="Arial" w:hAnsi="Arial"/>
          <w:sz w:val="22"/>
          <w:szCs w:val="22"/>
          <w:color w:val="010000"/>
        </w:rPr>
      </w:pPr>
      <w:r>
        <w:rPr>
          <w:rFonts w:ascii="Arial" w:cs="Arial" w:eastAsia="Arial" w:hAnsi="Arial"/>
          <w:sz w:val="22"/>
          <w:szCs w:val="22"/>
          <w:color w:val="auto"/>
        </w:rPr>
        <w:t xml:space="preserve">In the event your employment (as defined in the Omnibus Plan) is terminated by the Company for Cause prior to the vesting of all of the awards granted to you under the Omnibus Plan, any unvested awards shall terminate automatically without any further action by the Company and be forfeited without further notice and at no cost to the Company, unless otherwise provided in the applicable award agreements. For the avoidance of doubt, this </w:t>
      </w:r>
      <w:r>
        <w:rPr>
          <w:rFonts w:ascii="Arial" w:cs="Arial" w:eastAsia="Arial" w:hAnsi="Arial"/>
          <w:sz w:val="22"/>
          <w:szCs w:val="22"/>
          <w:u w:val="single" w:color="auto"/>
          <w:color w:val="auto"/>
        </w:rPr>
        <w:t>Section 4.1(e)</w:t>
      </w:r>
      <w:r>
        <w:rPr>
          <w:rFonts w:ascii="Arial" w:cs="Arial" w:eastAsia="Arial" w:hAnsi="Arial"/>
          <w:sz w:val="22"/>
          <w:szCs w:val="22"/>
          <w:color w:val="auto"/>
        </w:rPr>
        <w:t xml:space="preserve"> shall also apply to your Founders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262" w:name="page263"/>
    <w:bookmarkEnd w:id="262"/>
    <w:p>
      <w:pPr>
        <w:ind w:left="1300"/>
        <w:spacing w:after="0"/>
        <w:tabs>
          <w:tab w:leader="none" w:pos="178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46" w:lineRule="auto"/>
        <w:tabs>
          <w:tab w:leader="none" w:pos="2521" w:val="left"/>
        </w:tabs>
        <w:numPr>
          <w:ilvl w:val="0"/>
          <w:numId w:val="147"/>
        </w:numPr>
        <w:rPr>
          <w:rFonts w:ascii="Arial" w:cs="Arial" w:eastAsia="Arial" w:hAnsi="Arial"/>
          <w:sz w:val="22"/>
          <w:szCs w:val="22"/>
          <w:color w:val="010000"/>
        </w:rPr>
      </w:pPr>
      <w:r>
        <w:rPr>
          <w:rFonts w:ascii="Arial" w:cs="Arial" w:eastAsia="Arial" w:hAnsi="Arial"/>
          <w:sz w:val="22"/>
          <w:szCs w:val="22"/>
          <w:color w:val="auto"/>
        </w:rPr>
        <w:t xml:space="preserve">This Agreement shall terminate (i) upon your death or (ii) upon written to notice to you by the Company if you become physically or mentally disabled, whether totally or partially, so that you are unable to perform the regular duties of your employment with the Company on a full time continuous basis for six (6) months, or which can be expected to prevent you from performing such duties in the opinion of a qualified physician, with such notice given at any time thereafter during which you are still disabled. In the event your employment is terminated under this </w:t>
      </w:r>
      <w:r>
        <w:rPr>
          <w:rFonts w:ascii="Arial" w:cs="Arial" w:eastAsia="Arial" w:hAnsi="Arial"/>
          <w:sz w:val="22"/>
          <w:szCs w:val="22"/>
          <w:u w:val="single" w:color="auto"/>
          <w:color w:val="auto"/>
        </w:rPr>
        <w:t>Section 4.2(a)</w:t>
      </w:r>
      <w:r>
        <w:rPr>
          <w:rFonts w:ascii="Arial" w:cs="Arial" w:eastAsia="Arial" w:hAnsi="Arial"/>
          <w:sz w:val="22"/>
          <w:szCs w:val="22"/>
          <w:color w:val="auto"/>
        </w:rPr>
        <w:t>, the Company shall not have any further obligations hereunder, except that you or your estate shall be entitled to receive, in addition to any regular life insurance benefits paid by the Company or any disability benefits paid by insurance plans, the Termination Entitlement.</w:t>
      </w:r>
    </w:p>
    <w:p>
      <w:pPr>
        <w:spacing w:after="0" w:line="193" w:lineRule="exact"/>
        <w:rPr>
          <w:rFonts w:ascii="Arial" w:cs="Arial" w:eastAsia="Arial" w:hAnsi="Arial"/>
          <w:sz w:val="22"/>
          <w:szCs w:val="22"/>
          <w:color w:val="010000"/>
        </w:rPr>
      </w:pPr>
    </w:p>
    <w:p>
      <w:pPr>
        <w:jc w:val="both"/>
        <w:ind w:firstLine="1952"/>
        <w:spacing w:after="0" w:line="250" w:lineRule="auto"/>
        <w:tabs>
          <w:tab w:leader="none" w:pos="2479" w:val="left"/>
        </w:tabs>
        <w:numPr>
          <w:ilvl w:val="0"/>
          <w:numId w:val="147"/>
        </w:numPr>
        <w:rPr>
          <w:rFonts w:ascii="Arial" w:cs="Arial" w:eastAsia="Arial" w:hAnsi="Arial"/>
          <w:sz w:val="22"/>
          <w:szCs w:val="22"/>
          <w:color w:val="010000"/>
        </w:rPr>
      </w:pPr>
      <w:r>
        <w:rPr>
          <w:rFonts w:ascii="Arial" w:cs="Arial" w:eastAsia="Arial" w:hAnsi="Arial"/>
          <w:sz w:val="22"/>
          <w:szCs w:val="22"/>
          <w:color w:val="auto"/>
        </w:rPr>
        <w:t>In the event this Agreement is terminated due to your death or Disability (as defined in the LTIP), notwithstanding anything to the contrary herein or in the LTIP, any unvested Target Awards (as defined in the LTIP), shall fully vest on the date this Agreement terminates due to your death or Disability and shall be payable in accordance with the terms of the LTIP to you or your beneficiary.</w:t>
      </w:r>
    </w:p>
    <w:p>
      <w:pPr>
        <w:spacing w:after="0" w:line="187" w:lineRule="exact"/>
        <w:rPr>
          <w:rFonts w:ascii="Arial" w:cs="Arial" w:eastAsia="Arial" w:hAnsi="Arial"/>
          <w:sz w:val="22"/>
          <w:szCs w:val="22"/>
          <w:color w:val="010000"/>
        </w:rPr>
      </w:pPr>
    </w:p>
    <w:p>
      <w:pPr>
        <w:jc w:val="both"/>
        <w:ind w:firstLine="1952"/>
        <w:spacing w:after="0" w:line="250" w:lineRule="auto"/>
        <w:tabs>
          <w:tab w:leader="none" w:pos="2440" w:val="left"/>
        </w:tabs>
        <w:numPr>
          <w:ilvl w:val="0"/>
          <w:numId w:val="147"/>
        </w:numPr>
        <w:rPr>
          <w:rFonts w:ascii="Arial" w:cs="Arial" w:eastAsia="Arial" w:hAnsi="Arial"/>
          <w:sz w:val="22"/>
          <w:szCs w:val="22"/>
          <w:color w:val="010000"/>
        </w:rPr>
      </w:pPr>
      <w:r>
        <w:rPr>
          <w:rFonts w:ascii="Arial" w:cs="Arial" w:eastAsia="Arial" w:hAnsi="Arial"/>
          <w:sz w:val="22"/>
          <w:szCs w:val="22"/>
          <w:color w:val="auto"/>
        </w:rPr>
        <w:t>In the event your employment is terminated by reason of your death or Disability (as defined in the ICP), the Administrator(as defined in the ICP), in its sole discretion, may authorize a Pro-rated Award Payment (as defined in the ICP) to you or your beneficiary reflecting your participation for a portion of the Plan Year (as defined in the ICP) in which your employment terminated payable in accordance with the terms of the ICP.</w:t>
      </w:r>
    </w:p>
    <w:p>
      <w:pPr>
        <w:spacing w:after="0" w:line="187" w:lineRule="exact"/>
        <w:rPr>
          <w:rFonts w:ascii="Arial" w:cs="Arial" w:eastAsia="Arial" w:hAnsi="Arial"/>
          <w:sz w:val="22"/>
          <w:szCs w:val="22"/>
          <w:color w:val="010000"/>
        </w:rPr>
      </w:pPr>
    </w:p>
    <w:p>
      <w:pPr>
        <w:jc w:val="both"/>
        <w:ind w:firstLine="1952"/>
        <w:spacing w:after="0" w:line="250" w:lineRule="auto"/>
        <w:tabs>
          <w:tab w:leader="none" w:pos="2412" w:val="left"/>
        </w:tabs>
        <w:numPr>
          <w:ilvl w:val="0"/>
          <w:numId w:val="147"/>
        </w:numPr>
        <w:rPr>
          <w:rFonts w:ascii="Arial" w:cs="Arial" w:eastAsia="Arial" w:hAnsi="Arial"/>
          <w:sz w:val="22"/>
          <w:szCs w:val="22"/>
          <w:color w:val="010000"/>
        </w:rPr>
      </w:pPr>
      <w:r>
        <w:rPr>
          <w:rFonts w:ascii="Arial" w:cs="Arial" w:eastAsia="Arial" w:hAnsi="Arial"/>
          <w:sz w:val="22"/>
          <w:szCs w:val="22"/>
          <w:color w:val="auto"/>
        </w:rPr>
        <w:t xml:space="preserve">In the event your employment (as defined in the Omnibus Plan) is terminated by reason of your death or Disability (as defined in the Omnibus Plan), any awards granted under the Omnibus Plan shall fully vest on the date of your death or Disability, as applicable, unless otherwise provided in the applicable award agreements. For the avoidance of doubt, this </w:t>
      </w:r>
      <w:r>
        <w:rPr>
          <w:rFonts w:ascii="Arial" w:cs="Arial" w:eastAsia="Arial" w:hAnsi="Arial"/>
          <w:sz w:val="22"/>
          <w:szCs w:val="22"/>
          <w:u w:val="single" w:color="auto"/>
          <w:color w:val="auto"/>
        </w:rPr>
        <w:t>Section 4.2(d)</w:t>
      </w:r>
      <w:r>
        <w:rPr>
          <w:rFonts w:ascii="Arial" w:cs="Arial" w:eastAsia="Arial" w:hAnsi="Arial"/>
          <w:sz w:val="22"/>
          <w:szCs w:val="22"/>
          <w:color w:val="auto"/>
        </w:rPr>
        <w:t xml:space="preserve"> shall also apply to your Founders Awards.</w:t>
      </w:r>
    </w:p>
    <w:p>
      <w:pPr>
        <w:spacing w:after="0" w:line="188" w:lineRule="exact"/>
        <w:rPr>
          <w:sz w:val="20"/>
          <w:szCs w:val="20"/>
          <w:color w:val="auto"/>
        </w:rPr>
      </w:pPr>
    </w:p>
    <w:p>
      <w:pPr>
        <w:ind w:firstLine="1296"/>
        <w:spacing w:after="0" w:line="287" w:lineRule="auto"/>
        <w:rPr>
          <w:sz w:val="20"/>
          <w:szCs w:val="20"/>
          <w:color w:val="auto"/>
        </w:rPr>
      </w:pPr>
      <w:r>
        <w:rPr>
          <w:rFonts w:ascii="Arial" w:cs="Arial" w:eastAsia="Arial" w:hAnsi="Arial"/>
          <w:sz w:val="21"/>
          <w:szCs w:val="21"/>
          <w:color w:val="010000"/>
        </w:rPr>
        <w:t xml:space="preserve">4.3 </w:t>
      </w:r>
      <w:r>
        <w:rPr>
          <w:rFonts w:ascii="Arial" w:cs="Arial" w:eastAsia="Arial" w:hAnsi="Arial"/>
          <w:sz w:val="21"/>
          <w:szCs w:val="21"/>
          <w:u w:val="single" w:color="auto"/>
          <w:color w:val="000000"/>
        </w:rPr>
        <w:t>Termination in Connection with a Change in Control</w:t>
      </w:r>
      <w:r>
        <w:rPr>
          <w:rFonts w:ascii="Arial" w:cs="Arial" w:eastAsia="Arial" w:hAnsi="Arial"/>
          <w:sz w:val="21"/>
          <w:szCs w:val="21"/>
          <w:color w:val="000000"/>
        </w:rPr>
        <w:t>. In the event of a Change in Control (as defined in the</w:t>
      </w:r>
      <w:r>
        <w:rPr>
          <w:rFonts w:ascii="Arial" w:cs="Arial" w:eastAsia="Arial" w:hAnsi="Arial"/>
          <w:sz w:val="21"/>
          <w:szCs w:val="21"/>
          <w:color w:val="010000"/>
        </w:rPr>
        <w:t xml:space="preserve"> </w:t>
      </w:r>
      <w:r>
        <w:rPr>
          <w:rFonts w:ascii="Arial" w:cs="Arial" w:eastAsia="Arial" w:hAnsi="Arial"/>
          <w:sz w:val="21"/>
          <w:szCs w:val="21"/>
          <w:color w:val="000000"/>
        </w:rPr>
        <w:t>Company’s Executive Severance Plan), the provisions of the Company’s Executive Severance Plan shall apply.</w:t>
      </w:r>
    </w:p>
    <w:p>
      <w:pPr>
        <w:spacing w:after="0" w:line="15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010000"/>
        </w:rPr>
        <w:t>4.4</w:t>
      </w:r>
      <w:r>
        <w:rPr>
          <w:sz w:val="20"/>
          <w:szCs w:val="20"/>
          <w:color w:val="auto"/>
        </w:rPr>
        <w:tab/>
      </w:r>
      <w:r>
        <w:rPr>
          <w:rFonts w:ascii="Arial" w:cs="Arial" w:eastAsia="Arial" w:hAnsi="Arial"/>
          <w:sz w:val="19"/>
          <w:szCs w:val="19"/>
          <w:u w:val="single" w:color="auto"/>
          <w:color w:val="auto"/>
        </w:rPr>
        <w:t>Other Termination by the Company</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63" w:lineRule="auto"/>
        <w:tabs>
          <w:tab w:leader="none" w:pos="2467" w:val="left"/>
        </w:tabs>
        <w:numPr>
          <w:ilvl w:val="0"/>
          <w:numId w:val="148"/>
        </w:numPr>
        <w:rPr>
          <w:rFonts w:ascii="Arial" w:cs="Arial" w:eastAsia="Arial" w:hAnsi="Arial"/>
          <w:sz w:val="21"/>
          <w:szCs w:val="21"/>
          <w:color w:val="010000"/>
        </w:rPr>
      </w:pPr>
      <w:r>
        <w:rPr>
          <w:rFonts w:ascii="Arial" w:cs="Arial" w:eastAsia="Arial" w:hAnsi="Arial"/>
          <w:sz w:val="21"/>
          <w:szCs w:val="21"/>
          <w:color w:val="auto"/>
        </w:rPr>
        <w:t xml:space="preserve">The Company may terminate your employment, other than a termination under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4.3</w:t>
      </w:r>
      <w:r>
        <w:rPr>
          <w:rFonts w:ascii="Arial" w:cs="Arial" w:eastAsia="Arial" w:hAnsi="Arial"/>
          <w:sz w:val="21"/>
          <w:szCs w:val="21"/>
          <w:color w:val="auto"/>
        </w:rPr>
        <w:t>, upon 30 days’ written notice to you. In the event this Agreement is so terminated, you shall be entitled to a lump sum payment equal to (i) two and one-half times (2.5x) the sum of: (A) your Base Salary, and (B) your Target Award under the ICP for the fiscal year in which your termination of employment occurs, and (ii) any unpaid cash incentive compensation bonus earned by you for the last full fiscal year prior to the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263" w:name="page264"/>
    <w:bookmarkEnd w:id="263"/>
    <w:p>
      <w:pPr>
        <w:jc w:val="both"/>
        <w:ind w:firstLine="1952"/>
        <w:spacing w:after="0" w:line="294" w:lineRule="auto"/>
        <w:tabs>
          <w:tab w:leader="none" w:pos="2452" w:val="left"/>
        </w:tabs>
        <w:numPr>
          <w:ilvl w:val="0"/>
          <w:numId w:val="149"/>
        </w:numPr>
        <w:rPr>
          <w:rFonts w:ascii="Arial" w:cs="Arial" w:eastAsia="Arial" w:hAnsi="Arial"/>
          <w:sz w:val="19"/>
          <w:szCs w:val="19"/>
          <w:color w:val="010000"/>
        </w:rPr>
      </w:pPr>
      <w:r>
        <w:rPr>
          <w:rFonts w:ascii="Arial" w:cs="Arial" w:eastAsia="Arial" w:hAnsi="Arial"/>
          <w:sz w:val="19"/>
          <w:szCs w:val="19"/>
          <w:color w:val="auto"/>
        </w:rPr>
        <w:t xml:space="preserve">If the Company terminates your employment pursuant to this </w:t>
      </w:r>
      <w:r>
        <w:rPr>
          <w:rFonts w:ascii="Arial" w:cs="Arial" w:eastAsia="Arial" w:hAnsi="Arial"/>
          <w:sz w:val="19"/>
          <w:szCs w:val="19"/>
          <w:u w:val="single" w:color="auto"/>
          <w:color w:val="auto"/>
        </w:rPr>
        <w:t>Section 4.4</w:t>
      </w:r>
      <w:r>
        <w:rPr>
          <w:rFonts w:ascii="Arial" w:cs="Arial" w:eastAsia="Arial" w:hAnsi="Arial"/>
          <w:sz w:val="19"/>
          <w:szCs w:val="19"/>
          <w:color w:val="auto"/>
        </w:rPr>
        <w:t>, notwithstanding anything to the contrary in the LTIP, then you shall be eligible for unvested Award Payments (as defined in the LTIP) under the LTIP, payable in accordance with the terms of the LTIP at the same time and in the same manner as Award Payments paid to other participants and subject to approval by the Committee, provided however: (i) you shall automatically be eligible for such Award Payment without regard to the date of your termination of employment during the calendar year, and (ii) payment of such Award Payment shall not be subject to any requirement that you be employed by the Company on the date of payment.</w:t>
      </w:r>
    </w:p>
    <w:p>
      <w:pPr>
        <w:spacing w:after="0" w:line="149" w:lineRule="exact"/>
        <w:rPr>
          <w:rFonts w:ascii="Arial" w:cs="Arial" w:eastAsia="Arial" w:hAnsi="Arial"/>
          <w:sz w:val="19"/>
          <w:szCs w:val="19"/>
          <w:color w:val="010000"/>
        </w:rPr>
      </w:pPr>
    </w:p>
    <w:p>
      <w:pPr>
        <w:jc w:val="both"/>
        <w:ind w:firstLine="1952"/>
        <w:spacing w:after="0" w:line="259" w:lineRule="auto"/>
        <w:tabs>
          <w:tab w:leader="none" w:pos="2535" w:val="left"/>
        </w:tabs>
        <w:numPr>
          <w:ilvl w:val="0"/>
          <w:numId w:val="149"/>
        </w:numPr>
        <w:rPr>
          <w:rFonts w:ascii="Arial" w:cs="Arial" w:eastAsia="Arial" w:hAnsi="Arial"/>
          <w:sz w:val="21"/>
          <w:szCs w:val="21"/>
          <w:color w:val="010000"/>
        </w:rPr>
      </w:pPr>
      <w:r>
        <w:rPr>
          <w:rFonts w:ascii="Arial" w:cs="Arial" w:eastAsia="Arial" w:hAnsi="Arial"/>
          <w:sz w:val="21"/>
          <w:szCs w:val="21"/>
          <w:color w:val="auto"/>
        </w:rPr>
        <w:t xml:space="preserve">If the Company terminates your employment (as defined in the Omnibus Plan) pursuant to this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prior to the vesting of all of any awards granted to you under the Omnibus Plan, excluding any Founders Awards, then subject to Committee approval and not withstanding anything to the contrary in the Omnibus Plan or applicable award agreement, (i) any unvested restricted stock unit granted to you under the Omnibus Plan shall continue to vest in accordance with its vesting schedule set forth in the applicable award agreement and (ii) any performance-based restricted stock unit granted to you under the Omnibus Plan shall vest pro rata, in accordance with its vesting schedule, based on the effective date your employment terminates, subject to satisfaction of the performance goals set forth in the applicable award agreement, as determined by the Committee.</w:t>
      </w:r>
    </w:p>
    <w:p>
      <w:pPr>
        <w:spacing w:after="0" w:line="183" w:lineRule="exact"/>
        <w:rPr>
          <w:rFonts w:ascii="Arial" w:cs="Arial" w:eastAsia="Arial" w:hAnsi="Arial"/>
          <w:sz w:val="21"/>
          <w:szCs w:val="21"/>
          <w:color w:val="010000"/>
        </w:rPr>
      </w:pPr>
    </w:p>
    <w:p>
      <w:pPr>
        <w:jc w:val="both"/>
        <w:ind w:firstLine="1952"/>
        <w:spacing w:after="0" w:line="253" w:lineRule="auto"/>
        <w:tabs>
          <w:tab w:leader="none" w:pos="2547" w:val="left"/>
        </w:tabs>
        <w:numPr>
          <w:ilvl w:val="0"/>
          <w:numId w:val="149"/>
        </w:numPr>
        <w:rPr>
          <w:rFonts w:ascii="Arial" w:cs="Arial" w:eastAsia="Arial" w:hAnsi="Arial"/>
          <w:sz w:val="22"/>
          <w:szCs w:val="22"/>
          <w:color w:val="010000"/>
        </w:rPr>
      </w:pPr>
      <w:r>
        <w:rPr>
          <w:rFonts w:ascii="Arial" w:cs="Arial" w:eastAsia="Arial" w:hAnsi="Arial"/>
          <w:sz w:val="22"/>
          <w:szCs w:val="22"/>
          <w:color w:val="auto"/>
        </w:rPr>
        <w:t xml:space="preserve">If the Company terminates your employment (as defined in the Omnibus Plan) pursuant to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prior to the vesting of all of your Founders Awards, any unvested awards shall continue to vest in accordance with vesting schedule set forth in the applicable award agreement.</w:t>
      </w:r>
    </w:p>
    <w:p>
      <w:pPr>
        <w:spacing w:after="0" w:line="18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010000"/>
        </w:rPr>
        <w:t xml:space="preserve">4.5 </w:t>
      </w:r>
      <w:r>
        <w:rPr>
          <w:rFonts w:ascii="Arial" w:cs="Arial" w:eastAsia="Arial" w:hAnsi="Arial"/>
          <w:sz w:val="19"/>
          <w:szCs w:val="19"/>
          <w:u w:val="single" w:color="auto"/>
          <w:color w:val="000000"/>
        </w:rPr>
        <w:t>Termination Due to Material Breach by Company</w:t>
      </w:r>
      <w:r>
        <w:rPr>
          <w:rFonts w:ascii="Arial" w:cs="Arial" w:eastAsia="Arial" w:hAnsi="Arial"/>
          <w:sz w:val="19"/>
          <w:szCs w:val="19"/>
          <w:color w:val="000000"/>
        </w:rPr>
        <w:t>. Notwithstanding anything in this Agreement to the</w:t>
      </w:r>
      <w:r>
        <w:rPr>
          <w:rFonts w:ascii="Arial" w:cs="Arial" w:eastAsia="Arial" w:hAnsi="Arial"/>
          <w:sz w:val="19"/>
          <w:szCs w:val="19"/>
          <w:color w:val="010000"/>
        </w:rPr>
        <w:t xml:space="preserve"> </w:t>
      </w:r>
      <w:r>
        <w:rPr>
          <w:rFonts w:ascii="Arial" w:cs="Arial" w:eastAsia="Arial" w:hAnsi="Arial"/>
          <w:sz w:val="19"/>
          <w:szCs w:val="19"/>
          <w:color w:val="000000"/>
        </w:rPr>
        <w:t>contrary, you shall have the right, exercisable by notice to the Company, to terminate your employment, effective thirty (30) days after the giving of notice, if at the time of such notice: (a) the Company shall be in material breach of its obligations hereunder,</w:t>
      </w:r>
    </w:p>
    <w:p>
      <w:pPr>
        <w:spacing w:after="0" w:line="1" w:lineRule="exact"/>
        <w:rPr>
          <w:sz w:val="20"/>
          <w:szCs w:val="20"/>
          <w:color w:val="auto"/>
        </w:rPr>
      </w:pPr>
    </w:p>
    <w:p>
      <w:pPr>
        <w:jc w:val="both"/>
        <w:ind w:firstLine="8"/>
        <w:spacing w:after="0" w:line="243" w:lineRule="auto"/>
        <w:tabs>
          <w:tab w:leader="none" w:pos="31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the Company seeks to relocate your place of employment from the Washington, D.C. area, or (c) the Company has materially diminished your duties, authority or reporting lines (each, a “material breach”);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this Agreement and your employment will not so terminate if within such 30-day period the Company has cured all such material breaches; and provided further, that such notice is provided to the Company within 120 days after the occurrence of such material breach. If such material breach has not been so cured, you may elect to terminate your employment and to treat such termination as a termination of your employment by the Company pursuant to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above, and you shall be entitled to the rights and benefits provided for therein.</w:t>
      </w:r>
    </w:p>
    <w:p>
      <w:pPr>
        <w:spacing w:after="0" w:line="20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4.6 </w:t>
      </w:r>
      <w:r>
        <w:rPr>
          <w:rFonts w:ascii="Arial" w:cs="Arial" w:eastAsia="Arial" w:hAnsi="Arial"/>
          <w:sz w:val="22"/>
          <w:szCs w:val="22"/>
          <w:u w:val="single" w:color="auto"/>
          <w:color w:val="000000"/>
        </w:rPr>
        <w:t>Resignation</w:t>
      </w:r>
      <w:r>
        <w:rPr>
          <w:rFonts w:ascii="Arial" w:cs="Arial" w:eastAsia="Arial" w:hAnsi="Arial"/>
          <w:sz w:val="22"/>
          <w:szCs w:val="22"/>
          <w:color w:val="000000"/>
        </w:rPr>
        <w:t>. Notwithstanding anything in this Agreement to the contrary, you may voluntarily terminate</w:t>
      </w:r>
      <w:r>
        <w:rPr>
          <w:rFonts w:ascii="Arial" w:cs="Arial" w:eastAsia="Arial" w:hAnsi="Arial"/>
          <w:sz w:val="22"/>
          <w:szCs w:val="22"/>
          <w:color w:val="010000"/>
        </w:rPr>
        <w:t xml:space="preserve"> </w:t>
      </w:r>
      <w:r>
        <w:rPr>
          <w:rFonts w:ascii="Arial" w:cs="Arial" w:eastAsia="Arial" w:hAnsi="Arial"/>
          <w:sz w:val="22"/>
          <w:szCs w:val="22"/>
          <w:color w:val="000000"/>
        </w:rPr>
        <w:t>your employment ninety (90) days prior written notice to the Company. In such event, the Company’s only obligations to you shall be for the Termination Entitlement.</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4.7 </w:t>
      </w:r>
      <w:r>
        <w:rPr>
          <w:rFonts w:ascii="Arial" w:cs="Arial" w:eastAsia="Arial" w:hAnsi="Arial"/>
          <w:sz w:val="22"/>
          <w:szCs w:val="22"/>
          <w:u w:val="single" w:color="auto"/>
          <w:color w:val="000000"/>
        </w:rPr>
        <w:t>Retirement</w:t>
      </w:r>
      <w:r>
        <w:rPr>
          <w:rFonts w:ascii="Arial" w:cs="Arial" w:eastAsia="Arial" w:hAnsi="Arial"/>
          <w:sz w:val="22"/>
          <w:szCs w:val="22"/>
          <w:color w:val="000000"/>
        </w:rPr>
        <w:t>. Notwithstanding anything in this Agreement to the contrary, you may Retire by voluntarily</w:t>
      </w:r>
      <w:r>
        <w:rPr>
          <w:rFonts w:ascii="Arial" w:cs="Arial" w:eastAsia="Arial" w:hAnsi="Arial"/>
          <w:sz w:val="22"/>
          <w:szCs w:val="22"/>
          <w:color w:val="010000"/>
        </w:rPr>
        <w:t xml:space="preserve"> </w:t>
      </w:r>
      <w:r>
        <w:rPr>
          <w:rFonts w:ascii="Arial" w:cs="Arial" w:eastAsia="Arial" w:hAnsi="Arial"/>
          <w:sz w:val="22"/>
          <w:szCs w:val="22"/>
          <w:color w:val="000000"/>
        </w:rPr>
        <w:t>terminating your employment on one hundred eighty (180)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64" w:name="page265"/>
    <w:bookmarkEnd w:id="264"/>
    <w:p>
      <w:pPr>
        <w:spacing w:after="0"/>
        <w:rPr>
          <w:sz w:val="20"/>
          <w:szCs w:val="20"/>
          <w:color w:val="auto"/>
        </w:rPr>
      </w:pPr>
      <w:r>
        <w:rPr>
          <w:rFonts w:ascii="Arial" w:cs="Arial" w:eastAsia="Arial" w:hAnsi="Arial"/>
          <w:sz w:val="21"/>
          <w:szCs w:val="21"/>
          <w:color w:val="auto"/>
        </w:rPr>
        <w:t>prior written notice to the Company. In such event, you shall be eligible to receive, subject to approval of the Committee:</w:t>
      </w:r>
    </w:p>
    <w:p>
      <w:pPr>
        <w:spacing w:after="0" w:line="231" w:lineRule="exact"/>
        <w:rPr>
          <w:sz w:val="20"/>
          <w:szCs w:val="20"/>
          <w:color w:val="auto"/>
        </w:rPr>
      </w:pPr>
    </w:p>
    <w:p>
      <w:pPr>
        <w:ind w:left="2400" w:hanging="448"/>
        <w:spacing w:after="0"/>
        <w:tabs>
          <w:tab w:leader="none" w:pos="2400" w:val="left"/>
        </w:tabs>
        <w:numPr>
          <w:ilvl w:val="0"/>
          <w:numId w:val="151"/>
        </w:numPr>
        <w:rPr>
          <w:rFonts w:ascii="Arial" w:cs="Arial" w:eastAsia="Arial" w:hAnsi="Arial"/>
          <w:sz w:val="22"/>
          <w:szCs w:val="22"/>
          <w:color w:val="010000"/>
        </w:rPr>
      </w:pPr>
      <w:r>
        <w:rPr>
          <w:rFonts w:ascii="Arial" w:cs="Arial" w:eastAsia="Arial" w:hAnsi="Arial"/>
          <w:sz w:val="22"/>
          <w:szCs w:val="22"/>
          <w:color w:val="auto"/>
        </w:rPr>
        <w:t>the Termination Entitlement;</w:t>
      </w:r>
    </w:p>
    <w:p>
      <w:pPr>
        <w:spacing w:after="0" w:line="219" w:lineRule="exact"/>
        <w:rPr>
          <w:rFonts w:ascii="Arial" w:cs="Arial" w:eastAsia="Arial" w:hAnsi="Arial"/>
          <w:sz w:val="22"/>
          <w:szCs w:val="22"/>
          <w:color w:val="010000"/>
        </w:rPr>
      </w:pPr>
    </w:p>
    <w:p>
      <w:pPr>
        <w:ind w:firstLine="1952"/>
        <w:spacing w:after="0" w:line="263" w:lineRule="auto"/>
        <w:tabs>
          <w:tab w:leader="none" w:pos="2425" w:val="left"/>
        </w:tabs>
        <w:numPr>
          <w:ilvl w:val="0"/>
          <w:numId w:val="151"/>
        </w:numPr>
        <w:rPr>
          <w:rFonts w:ascii="Arial" w:cs="Arial" w:eastAsia="Arial" w:hAnsi="Arial"/>
          <w:sz w:val="22"/>
          <w:szCs w:val="22"/>
          <w:color w:val="010000"/>
        </w:rPr>
      </w:pPr>
      <w:r>
        <w:rPr>
          <w:rFonts w:ascii="Arial" w:cs="Arial" w:eastAsia="Arial" w:hAnsi="Arial"/>
          <w:sz w:val="22"/>
          <w:szCs w:val="22"/>
          <w:color w:val="auto"/>
        </w:rPr>
        <w:t>your Target Award under the ICP for the full fiscal year in which you retire payable at the same time as ICP awards are paid to other participants;</w:t>
      </w:r>
    </w:p>
    <w:p>
      <w:pPr>
        <w:spacing w:after="0" w:line="174" w:lineRule="exact"/>
        <w:rPr>
          <w:rFonts w:ascii="Arial" w:cs="Arial" w:eastAsia="Arial" w:hAnsi="Arial"/>
          <w:sz w:val="22"/>
          <w:szCs w:val="22"/>
          <w:color w:val="010000"/>
        </w:rPr>
      </w:pPr>
    </w:p>
    <w:p>
      <w:pPr>
        <w:jc w:val="both"/>
        <w:ind w:firstLine="1952"/>
        <w:spacing w:after="0" w:line="253" w:lineRule="auto"/>
        <w:tabs>
          <w:tab w:leader="none" w:pos="2467" w:val="left"/>
        </w:tabs>
        <w:numPr>
          <w:ilvl w:val="0"/>
          <w:numId w:val="151"/>
        </w:numPr>
        <w:rPr>
          <w:rFonts w:ascii="Arial" w:cs="Arial" w:eastAsia="Arial" w:hAnsi="Arial"/>
          <w:sz w:val="22"/>
          <w:szCs w:val="22"/>
          <w:color w:val="010000"/>
        </w:rPr>
      </w:pPr>
      <w:r>
        <w:rPr>
          <w:rFonts w:ascii="Arial" w:cs="Arial" w:eastAsia="Arial" w:hAnsi="Arial"/>
          <w:sz w:val="22"/>
          <w:szCs w:val="22"/>
          <w:color w:val="auto"/>
        </w:rPr>
        <w:t xml:space="preserve">any restricted stock unit granted to you under the Omnibus Plan (excluding any Founders Awards) shall continue to vest according to the vesting schedule in the applicable award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your employment continued for a minimum of six (6) months after the date of grant of such awards;</w:t>
      </w:r>
    </w:p>
    <w:p>
      <w:pPr>
        <w:spacing w:after="0" w:line="185" w:lineRule="exact"/>
        <w:rPr>
          <w:rFonts w:ascii="Arial" w:cs="Arial" w:eastAsia="Arial" w:hAnsi="Arial"/>
          <w:sz w:val="22"/>
          <w:szCs w:val="22"/>
          <w:color w:val="010000"/>
        </w:rPr>
      </w:pPr>
    </w:p>
    <w:p>
      <w:pPr>
        <w:jc w:val="both"/>
        <w:ind w:firstLine="1952"/>
        <w:spacing w:after="0" w:line="253" w:lineRule="auto"/>
        <w:tabs>
          <w:tab w:leader="none" w:pos="2493" w:val="left"/>
        </w:tabs>
        <w:numPr>
          <w:ilvl w:val="0"/>
          <w:numId w:val="151"/>
        </w:numPr>
        <w:rPr>
          <w:rFonts w:ascii="Arial" w:cs="Arial" w:eastAsia="Arial" w:hAnsi="Arial"/>
          <w:sz w:val="22"/>
          <w:szCs w:val="22"/>
          <w:color w:val="010000"/>
        </w:rPr>
      </w:pPr>
      <w:r>
        <w:rPr>
          <w:rFonts w:ascii="Arial" w:cs="Arial" w:eastAsia="Arial" w:hAnsi="Arial"/>
          <w:sz w:val="22"/>
          <w:szCs w:val="22"/>
          <w:color w:val="auto"/>
        </w:rPr>
        <w:t>any performance-based restricted stock unit granted to you under the Omnibus Plan shall vest pro rata, in accordance with its vesting schedule, based on the date your employment terminates, subject to satisfaction of the performance goals set forth in the applicable award agreement, as determined by the Committee;</w:t>
      </w:r>
    </w:p>
    <w:p>
      <w:pPr>
        <w:spacing w:after="0" w:line="185" w:lineRule="exact"/>
        <w:rPr>
          <w:rFonts w:ascii="Arial" w:cs="Arial" w:eastAsia="Arial" w:hAnsi="Arial"/>
          <w:sz w:val="22"/>
          <w:szCs w:val="22"/>
          <w:color w:val="010000"/>
        </w:rPr>
      </w:pPr>
    </w:p>
    <w:p>
      <w:pPr>
        <w:jc w:val="both"/>
        <w:ind w:firstLine="1952"/>
        <w:spacing w:after="0" w:line="253" w:lineRule="auto"/>
        <w:tabs>
          <w:tab w:leader="none" w:pos="2467" w:val="left"/>
        </w:tabs>
        <w:numPr>
          <w:ilvl w:val="0"/>
          <w:numId w:val="151"/>
        </w:numPr>
        <w:rPr>
          <w:rFonts w:ascii="Arial" w:cs="Arial" w:eastAsia="Arial" w:hAnsi="Arial"/>
          <w:sz w:val="22"/>
          <w:szCs w:val="22"/>
          <w:color w:val="010000"/>
        </w:rPr>
      </w:pPr>
      <w:r>
        <w:rPr>
          <w:rFonts w:ascii="Arial" w:cs="Arial" w:eastAsia="Arial" w:hAnsi="Arial"/>
          <w:sz w:val="22"/>
          <w:szCs w:val="22"/>
          <w:color w:val="auto"/>
        </w:rPr>
        <w:t>Notwithstanding anything to the contrary in the LTIP, unvested Award Payments (as defined in the LTIP) under the LTIP, payable in accordance with the terms of the LTIP at the same time and in the same manner as Award Payments are made to other participants and subject to approval by the Committee; and</w:t>
      </w:r>
    </w:p>
    <w:p>
      <w:pPr>
        <w:spacing w:after="0" w:line="185" w:lineRule="exact"/>
        <w:rPr>
          <w:rFonts w:ascii="Arial" w:cs="Arial" w:eastAsia="Arial" w:hAnsi="Arial"/>
          <w:sz w:val="22"/>
          <w:szCs w:val="22"/>
          <w:color w:val="010000"/>
        </w:rPr>
      </w:pPr>
    </w:p>
    <w:p>
      <w:pPr>
        <w:ind w:firstLine="1952"/>
        <w:spacing w:after="0" w:line="343" w:lineRule="auto"/>
        <w:tabs>
          <w:tab w:leader="none" w:pos="2578"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Coverage pursuant to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for eighteen (18) months, subject to the terms set forth in Section 2.2 of the Company’s Executive Severance Plan.</w:t>
      </w:r>
    </w:p>
    <w:p>
      <w:pPr>
        <w:spacing w:after="0" w:line="98" w:lineRule="exact"/>
        <w:rPr>
          <w:sz w:val="20"/>
          <w:szCs w:val="20"/>
          <w:color w:val="auto"/>
        </w:rPr>
      </w:pPr>
    </w:p>
    <w:p>
      <w:pPr>
        <w:jc w:val="both"/>
        <w:ind w:firstLine="1944"/>
        <w:spacing w:after="0" w:line="304" w:lineRule="auto"/>
        <w:rPr>
          <w:sz w:val="20"/>
          <w:szCs w:val="20"/>
          <w:color w:val="auto"/>
        </w:rPr>
      </w:pPr>
      <w:r>
        <w:rPr>
          <w:rFonts w:ascii="Arial" w:cs="Arial" w:eastAsia="Arial" w:hAnsi="Arial"/>
          <w:sz w:val="19"/>
          <w:szCs w:val="19"/>
          <w:color w:val="auto"/>
        </w:rPr>
        <w:t>For the purposes of this agreement, “</w:t>
      </w:r>
      <w:r>
        <w:rPr>
          <w:rFonts w:ascii="Arial" w:cs="Arial" w:eastAsia="Arial" w:hAnsi="Arial"/>
          <w:sz w:val="19"/>
          <w:szCs w:val="19"/>
          <w:b w:val="1"/>
          <w:bCs w:val="1"/>
          <w:color w:val="auto"/>
        </w:rPr>
        <w:t>Retire</w:t>
      </w:r>
      <w:r>
        <w:rPr>
          <w:rFonts w:ascii="Arial" w:cs="Arial" w:eastAsia="Arial" w:hAnsi="Arial"/>
          <w:sz w:val="19"/>
          <w:szCs w:val="19"/>
          <w:color w:val="auto"/>
        </w:rPr>
        <w:t xml:space="preserve">” means, once you have reached the age of 65 years, the voluntary termination of employment by you; </w:t>
      </w:r>
      <w:r>
        <w:rPr>
          <w:rFonts w:ascii="Arial" w:cs="Arial" w:eastAsia="Arial" w:hAnsi="Arial"/>
          <w:sz w:val="19"/>
          <w:szCs w:val="19"/>
          <w:u w:val="single" w:color="auto"/>
          <w:color w:val="auto"/>
        </w:rPr>
        <w:t>provided</w:t>
      </w:r>
      <w:r>
        <w:rPr>
          <w:rFonts w:ascii="Arial" w:cs="Arial" w:eastAsia="Arial" w:hAnsi="Arial"/>
          <w:sz w:val="19"/>
          <w:szCs w:val="19"/>
          <w:color w:val="auto"/>
        </w:rPr>
        <w:t>, that you provide notice to the Company at least one hundred eighty (180) days prior to your last day of employment. Any Founders Awards that are unvested at the time you retire shall terminate automatically without any further action by the Company and be forfeited without further notice and at no cost to the Company.</w:t>
      </w:r>
    </w:p>
    <w:p>
      <w:pPr>
        <w:spacing w:after="0" w:line="14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010000"/>
        </w:rPr>
        <w:t>4.8</w:t>
      </w:r>
      <w:r>
        <w:rPr>
          <w:sz w:val="20"/>
          <w:szCs w:val="20"/>
          <w:color w:val="auto"/>
        </w:rPr>
        <w:tab/>
      </w:r>
      <w:r>
        <w:rPr>
          <w:rFonts w:ascii="Arial" w:cs="Arial" w:eastAsia="Arial" w:hAnsi="Arial"/>
          <w:sz w:val="19"/>
          <w:szCs w:val="19"/>
          <w:u w:val="single" w:color="auto"/>
          <w:color w:val="auto"/>
        </w:rPr>
        <w:t>Delivery of Release; Timing of Payments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48" w:lineRule="auto"/>
        <w:tabs>
          <w:tab w:leader="none" w:pos="2467" w:val="left"/>
        </w:tabs>
        <w:numPr>
          <w:ilvl w:val="0"/>
          <w:numId w:val="152"/>
        </w:numPr>
        <w:rPr>
          <w:rFonts w:ascii="Arial" w:cs="Arial" w:eastAsia="Arial" w:hAnsi="Arial"/>
          <w:sz w:val="22"/>
          <w:szCs w:val="22"/>
          <w:color w:val="010000"/>
        </w:rPr>
      </w:pPr>
      <w:r>
        <w:rPr>
          <w:rFonts w:ascii="Arial" w:cs="Arial" w:eastAsia="Arial" w:hAnsi="Arial"/>
          <w:sz w:val="22"/>
          <w:szCs w:val="22"/>
          <w:color w:val="auto"/>
        </w:rPr>
        <w:t xml:space="preserve">Notwithstanding anything herein to the contrary, you shall be entitled to the payments and benefits provided for in </w:t>
      </w:r>
      <w:r>
        <w:rPr>
          <w:rFonts w:ascii="Arial" w:cs="Arial" w:eastAsia="Arial" w:hAnsi="Arial"/>
          <w:sz w:val="22"/>
          <w:szCs w:val="22"/>
          <w:u w:val="single" w:color="auto"/>
          <w:color w:val="auto"/>
        </w:rPr>
        <w:t>Sections 4.4</w:t>
      </w:r>
      <w:r>
        <w:rPr>
          <w:rFonts w:ascii="Arial" w:cs="Arial" w:eastAsia="Arial" w:hAnsi="Arial"/>
          <w:sz w:val="22"/>
          <w:szCs w:val="22"/>
          <w:color w:val="auto"/>
        </w:rPr>
        <w:t xml:space="preserve">, </w:t>
      </w:r>
      <w:r>
        <w:rPr>
          <w:rFonts w:ascii="Arial" w:cs="Arial" w:eastAsia="Arial" w:hAnsi="Arial"/>
          <w:sz w:val="22"/>
          <w:szCs w:val="22"/>
          <w:u w:val="single" w:color="auto"/>
          <w:color w:val="auto"/>
        </w:rPr>
        <w:t>4.5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4.8(b)</w:t>
      </w:r>
      <w:r>
        <w:rPr>
          <w:rFonts w:ascii="Arial" w:cs="Arial" w:eastAsia="Arial" w:hAnsi="Arial"/>
          <w:sz w:val="22"/>
          <w:szCs w:val="22"/>
          <w:color w:val="auto"/>
        </w:rPr>
        <w:t xml:space="preserve"> (subject to the terms of such sections) only if you first execute and deliver to the Company, and do not revoke, a Separation and General Release Agreement (the “</w:t>
      </w:r>
      <w:r>
        <w:rPr>
          <w:rFonts w:ascii="Arial" w:cs="Arial" w:eastAsia="Arial" w:hAnsi="Arial"/>
          <w:sz w:val="22"/>
          <w:szCs w:val="22"/>
          <w:b w:val="1"/>
          <w:bCs w:val="1"/>
          <w:color w:val="auto"/>
        </w:rPr>
        <w:t>Release Agreement</w:t>
      </w:r>
      <w:r>
        <w:rPr>
          <w:rFonts w:ascii="Arial" w:cs="Arial" w:eastAsia="Arial" w:hAnsi="Arial"/>
          <w:sz w:val="22"/>
          <w:szCs w:val="22"/>
          <w:color w:val="auto"/>
        </w:rPr>
        <w:t>”) in favor of the Company, its affiliates and their respective officers and directors, in a form to be provided by the Company on or about the date on which your termination of employment occurs.</w:t>
      </w:r>
    </w:p>
    <w:p>
      <w:pPr>
        <w:spacing w:after="0" w:line="191" w:lineRule="exact"/>
        <w:rPr>
          <w:rFonts w:ascii="Arial" w:cs="Arial" w:eastAsia="Arial" w:hAnsi="Arial"/>
          <w:sz w:val="22"/>
          <w:szCs w:val="22"/>
          <w:color w:val="010000"/>
        </w:rPr>
      </w:pPr>
    </w:p>
    <w:p>
      <w:pPr>
        <w:jc w:val="both"/>
        <w:ind w:firstLine="1952"/>
        <w:spacing w:after="0" w:line="253" w:lineRule="auto"/>
        <w:tabs>
          <w:tab w:leader="none" w:pos="2479" w:val="left"/>
        </w:tabs>
        <w:numPr>
          <w:ilvl w:val="0"/>
          <w:numId w:val="152"/>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4.8(a)</w:t>
      </w:r>
      <w:r>
        <w:rPr>
          <w:rFonts w:ascii="Arial" w:cs="Arial" w:eastAsia="Arial" w:hAnsi="Arial"/>
          <w:sz w:val="22"/>
          <w:szCs w:val="22"/>
          <w:color w:val="auto"/>
        </w:rPr>
        <w:t xml:space="preserve">, the payment provided for in </w:t>
      </w:r>
      <w:r>
        <w:rPr>
          <w:rFonts w:ascii="Arial" w:cs="Arial" w:eastAsia="Arial" w:hAnsi="Arial"/>
          <w:sz w:val="22"/>
          <w:szCs w:val="22"/>
          <w:u w:val="single" w:color="auto"/>
          <w:color w:val="auto"/>
        </w:rPr>
        <w:t>Section 4.4(a)</w:t>
      </w:r>
      <w:r>
        <w:rPr>
          <w:rFonts w:ascii="Arial" w:cs="Arial" w:eastAsia="Arial" w:hAnsi="Arial"/>
          <w:sz w:val="22"/>
          <w:szCs w:val="22"/>
          <w:color w:val="auto"/>
        </w:rPr>
        <w:t xml:space="preserve"> (subject to the specific terms therein) shall be made no later than 60 days following the date on which your termination of employment occurs, provided, that if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65" w:name="page266"/>
    <w:bookmarkEnd w:id="265"/>
    <w:p>
      <w:pPr>
        <w:jc w:val="both"/>
        <w:spacing w:after="0" w:line="253" w:lineRule="auto"/>
        <w:rPr>
          <w:sz w:val="20"/>
          <w:szCs w:val="20"/>
          <w:color w:val="auto"/>
        </w:rPr>
      </w:pPr>
      <w:r>
        <w:rPr>
          <w:rFonts w:ascii="Arial" w:cs="Arial" w:eastAsia="Arial" w:hAnsi="Arial"/>
          <w:sz w:val="22"/>
          <w:szCs w:val="22"/>
          <w:color w:val="auto"/>
        </w:rPr>
        <w:t>consideration and revocation period spans two calendar years, then such payment shall be made in the second calendar year. The Termination Entitlement will be paid on the payroll date next following the date on which your termination of employment occurs.</w:t>
      </w:r>
    </w:p>
    <w:p>
      <w:pPr>
        <w:spacing w:after="0" w:line="18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010000"/>
        </w:rPr>
        <w:t>4.9</w:t>
      </w:r>
      <w:r>
        <w:rPr>
          <w:sz w:val="20"/>
          <w:szCs w:val="20"/>
          <w:color w:val="auto"/>
        </w:rPr>
        <w:tab/>
      </w:r>
      <w:r>
        <w:rPr>
          <w:rFonts w:ascii="Arial" w:cs="Arial" w:eastAsia="Arial" w:hAnsi="Arial"/>
          <w:sz w:val="19"/>
          <w:szCs w:val="19"/>
          <w:u w:val="single" w:color="auto"/>
          <w:color w:val="auto"/>
        </w:rPr>
        <w:t>Benefits and Other Payments upon Termination</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302" w:lineRule="auto"/>
        <w:tabs>
          <w:tab w:leader="none" w:pos="2535" w:val="left"/>
        </w:tabs>
        <w:numPr>
          <w:ilvl w:val="0"/>
          <w:numId w:val="153"/>
        </w:numPr>
        <w:rPr>
          <w:rFonts w:ascii="Arial" w:cs="Arial" w:eastAsia="Arial" w:hAnsi="Arial"/>
          <w:sz w:val="19"/>
          <w:szCs w:val="19"/>
          <w:color w:val="010000"/>
        </w:rPr>
      </w:pPr>
      <w:r>
        <w:rPr>
          <w:rFonts w:ascii="Arial" w:cs="Arial" w:eastAsia="Arial" w:hAnsi="Arial"/>
          <w:sz w:val="19"/>
          <w:szCs w:val="19"/>
          <w:color w:val="auto"/>
        </w:rPr>
        <w:t>Except as otherwise provided herein, upon termination employment, your rights to benefits and payments under the Company’s incentive compensation and other benefit plans (including the ICP, the LTIP, the Omnibus Plan, your Founders Awards) shall be determined in accordance with the then current terms and provisions of such plans and any agreements under which such benefits or payments were granted, except as specifically set forth herein.</w:t>
      </w:r>
    </w:p>
    <w:p>
      <w:pPr>
        <w:spacing w:after="0" w:line="142" w:lineRule="exact"/>
        <w:rPr>
          <w:rFonts w:ascii="Arial" w:cs="Arial" w:eastAsia="Arial" w:hAnsi="Arial"/>
          <w:sz w:val="19"/>
          <w:szCs w:val="19"/>
          <w:color w:val="010000"/>
        </w:rPr>
      </w:pPr>
    </w:p>
    <w:p>
      <w:pPr>
        <w:ind w:firstLine="1952"/>
        <w:spacing w:after="0" w:line="263" w:lineRule="auto"/>
        <w:tabs>
          <w:tab w:leader="none" w:pos="2547" w:val="left"/>
        </w:tabs>
        <w:numPr>
          <w:ilvl w:val="0"/>
          <w:numId w:val="153"/>
        </w:numPr>
        <w:rPr>
          <w:rFonts w:ascii="Arial" w:cs="Arial" w:eastAsia="Arial" w:hAnsi="Arial"/>
          <w:sz w:val="22"/>
          <w:szCs w:val="22"/>
          <w:color w:val="010000"/>
        </w:rPr>
      </w:pPr>
      <w:r>
        <w:rPr>
          <w:rFonts w:ascii="Arial" w:cs="Arial" w:eastAsia="Arial" w:hAnsi="Arial"/>
          <w:sz w:val="22"/>
          <w:szCs w:val="22"/>
          <w:color w:val="auto"/>
        </w:rPr>
        <w:t xml:space="preserve">If your employment is terminated under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4.5</w:t>
      </w:r>
      <w:r>
        <w:rPr>
          <w:rFonts w:ascii="Arial" w:cs="Arial" w:eastAsia="Arial" w:hAnsi="Arial"/>
          <w:sz w:val="22"/>
          <w:szCs w:val="22"/>
          <w:color w:val="auto"/>
        </w:rPr>
        <w:t>, you shall be entitled to the payments and benefits described in the following clauses (i) and (ii):</w:t>
      </w:r>
    </w:p>
    <w:p>
      <w:pPr>
        <w:spacing w:after="0" w:line="175" w:lineRule="exact"/>
        <w:rPr>
          <w:sz w:val="20"/>
          <w:szCs w:val="20"/>
          <w:color w:val="auto"/>
        </w:rPr>
      </w:pPr>
    </w:p>
    <w:p>
      <w:pPr>
        <w:jc w:val="both"/>
        <w:ind w:firstLine="1952"/>
        <w:spacing w:after="0" w:line="288" w:lineRule="auto"/>
        <w:tabs>
          <w:tab w:leader="none" w:pos="2391" w:val="left"/>
        </w:tabs>
        <w:numPr>
          <w:ilvl w:val="1"/>
          <w:numId w:val="154"/>
        </w:numPr>
        <w:rPr>
          <w:rFonts w:ascii="Arial" w:cs="Arial" w:eastAsia="Arial" w:hAnsi="Arial"/>
          <w:sz w:val="19"/>
          <w:szCs w:val="19"/>
          <w:color w:val="010000"/>
        </w:rPr>
      </w:pPr>
      <w:r>
        <w:rPr>
          <w:rFonts w:ascii="Arial" w:cs="Arial" w:eastAsia="Arial" w:hAnsi="Arial"/>
          <w:sz w:val="19"/>
          <w:szCs w:val="19"/>
          <w:color w:val="auto"/>
        </w:rPr>
        <w:t>Payment or reimbursement by the Company for COBRA premiums payable by you for health, dental and hospitalization insurance for you and any dependents who are enrolled in such plans on the date of termination for the one-year period following such date (or until the date you cease to have a valid COBRA election in effect, if sooner). Such coverage shall in all events qualify as an “accident or health plan” under Sections 105 or 106 of the Code and shall be secondary to: (y) benefits of the same type received by or made available to you by a subsequent employer (if any), and (z) Medicare coverage upon you becoming eligible for Medicare. Notwithstanding the foregoing, in the event the Company determines, in its reasonable judgment, that payment or reimbursement of your COBRA premiums may result in a violation of applicable law, the imposition of any penalties under applicable law, or other adverse consequences to the Company, the Company may instead pay to you a lump sum amount, in cash, that on an after-tax basis is equal to the premiums (or remaining premiums) that would otherwise have been paid or reimbursed by the Company.</w:t>
      </w:r>
    </w:p>
    <w:p>
      <w:pPr>
        <w:spacing w:after="0" w:line="159" w:lineRule="exact"/>
        <w:rPr>
          <w:rFonts w:ascii="Arial" w:cs="Arial" w:eastAsia="Arial" w:hAnsi="Arial"/>
          <w:sz w:val="19"/>
          <w:szCs w:val="19"/>
          <w:color w:val="010000"/>
        </w:rPr>
      </w:pPr>
    </w:p>
    <w:p>
      <w:pPr>
        <w:jc w:val="both"/>
        <w:ind w:firstLine="1952"/>
        <w:spacing w:after="0" w:line="246" w:lineRule="auto"/>
        <w:tabs>
          <w:tab w:leader="none" w:pos="2478" w:val="left"/>
        </w:tabs>
        <w:numPr>
          <w:ilvl w:val="1"/>
          <w:numId w:val="154"/>
        </w:numPr>
        <w:rPr>
          <w:rFonts w:ascii="Arial" w:cs="Arial" w:eastAsia="Arial" w:hAnsi="Arial"/>
          <w:sz w:val="22"/>
          <w:szCs w:val="22"/>
          <w:color w:val="010000"/>
        </w:rPr>
      </w:pPr>
      <w:r>
        <w:rPr>
          <w:rFonts w:ascii="Arial" w:cs="Arial" w:eastAsia="Arial" w:hAnsi="Arial"/>
          <w:sz w:val="22"/>
          <w:szCs w:val="22"/>
          <w:color w:val="auto"/>
        </w:rPr>
        <w:t xml:space="preserve">Continued participation in, and payment of premiums by the Company for, life insurance and other welfare benefits (other than health, dental, and hospitalization benefits) that you would otherwise be entitled to receive had you remained employed by the Company during the one-year period following the date of 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participation by you after termination of employment is not permitted under any such plan, the Company may provide you with substantially equivalent alternative coverage through one or more individual insurance policies or otherwise. You shall cooperate with the Company with respect to the Company’s obtaining and providing such substantially equivalent alternative coverage.</w:t>
      </w:r>
    </w:p>
    <w:p>
      <w:pPr>
        <w:spacing w:after="0" w:line="196" w:lineRule="exact"/>
        <w:rPr>
          <w:rFonts w:ascii="Arial" w:cs="Arial" w:eastAsia="Arial" w:hAnsi="Arial"/>
          <w:sz w:val="22"/>
          <w:szCs w:val="22"/>
          <w:color w:val="010000"/>
        </w:rPr>
      </w:pPr>
    </w:p>
    <w:p>
      <w:pPr>
        <w:ind w:left="1040" w:hanging="384"/>
        <w:spacing w:after="0"/>
        <w:tabs>
          <w:tab w:leader="none" w:pos="1040" w:val="left"/>
        </w:tabs>
        <w:numPr>
          <w:ilvl w:val="0"/>
          <w:numId w:val="155"/>
        </w:numPr>
        <w:rPr>
          <w:rFonts w:ascii="Arial" w:cs="Arial" w:eastAsia="Arial" w:hAnsi="Arial"/>
          <w:sz w:val="22"/>
          <w:szCs w:val="22"/>
          <w:color w:val="010000"/>
        </w:rPr>
      </w:pPr>
      <w:r>
        <w:rPr>
          <w:rFonts w:ascii="Arial" w:cs="Arial" w:eastAsia="Arial" w:hAnsi="Arial"/>
          <w:sz w:val="22"/>
          <w:szCs w:val="22"/>
          <w:u w:val="single" w:color="auto"/>
          <w:color w:val="auto"/>
        </w:rPr>
        <w:t>Restrictions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010000"/>
        </w:rPr>
        <w:t>5.1</w:t>
      </w:r>
      <w:r>
        <w:rPr>
          <w:sz w:val="20"/>
          <w:szCs w:val="20"/>
          <w:color w:val="auto"/>
        </w:rPr>
        <w:tab/>
      </w:r>
      <w:r>
        <w:rPr>
          <w:rFonts w:ascii="Arial" w:cs="Arial" w:eastAsia="Arial" w:hAnsi="Arial"/>
          <w:sz w:val="19"/>
          <w:szCs w:val="19"/>
          <w:u w:val="single" w:color="auto"/>
          <w:color w:val="auto"/>
        </w:rPr>
        <w:t>Confidential Information</w:t>
      </w:r>
    </w:p>
    <w:p>
      <w:pPr>
        <w:spacing w:after="0" w:line="220" w:lineRule="exact"/>
        <w:rPr>
          <w:sz w:val="20"/>
          <w:szCs w:val="20"/>
          <w:color w:val="auto"/>
        </w:rPr>
      </w:pPr>
    </w:p>
    <w:p>
      <w:pPr>
        <w:ind w:firstLine="1952"/>
        <w:spacing w:after="0" w:line="263" w:lineRule="auto"/>
        <w:tabs>
          <w:tab w:leader="none" w:pos="2548" w:val="left"/>
        </w:tabs>
        <w:numPr>
          <w:ilvl w:val="0"/>
          <w:numId w:val="156"/>
        </w:numPr>
        <w:rPr>
          <w:rFonts w:ascii="Arial" w:cs="Arial" w:eastAsia="Arial" w:hAnsi="Arial"/>
          <w:sz w:val="22"/>
          <w:szCs w:val="22"/>
          <w:color w:val="010000"/>
        </w:rPr>
      </w:pPr>
      <w:r>
        <w:rPr>
          <w:rFonts w:ascii="Arial" w:cs="Arial" w:eastAsia="Arial" w:hAnsi="Arial"/>
          <w:sz w:val="22"/>
          <w:szCs w:val="22"/>
          <w:color w:val="auto"/>
        </w:rPr>
        <w:t>You shall not disclose or use at any time, either during or subsequent to your service with the Company, any trade secrets or other proprietary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66" w:name="page267"/>
    <w:bookmarkEnd w:id="266"/>
    <w:p>
      <w:pPr>
        <w:jc w:val="both"/>
        <w:spacing w:after="0" w:line="292" w:lineRule="auto"/>
        <w:rPr>
          <w:sz w:val="20"/>
          <w:szCs w:val="20"/>
          <w:color w:val="auto"/>
        </w:rPr>
      </w:pPr>
      <w:r>
        <w:rPr>
          <w:rFonts w:ascii="Arial" w:cs="Arial" w:eastAsia="Arial" w:hAnsi="Arial"/>
          <w:sz w:val="19"/>
          <w:szCs w:val="19"/>
          <w:color w:val="auto"/>
        </w:rPr>
        <w:t>confidential information, whether patentable or not, of the Company or any of its Affiliates (defined below), including, but not limited to, technical or non-technical data, software programs and enhancement equipment, hardware and enhancements, business strategies, marketing data and plans, current and potential customer data and contract arrangements, plans for growth and acquisition, financial information, facilities, personnel information and operating methods and procedures or suppliers, of which you are or become informed or aware during your service with the Company, whether or not developed by you. “</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Person, any other Person that directly or indirectly through one or more intermediaries, controls, or is controlled by, or is under common control with, such Person.</w:t>
      </w:r>
    </w:p>
    <w:p>
      <w:pPr>
        <w:spacing w:after="0" w:line="151" w:lineRule="exact"/>
        <w:rPr>
          <w:sz w:val="20"/>
          <w:szCs w:val="20"/>
          <w:color w:val="auto"/>
        </w:rPr>
      </w:pPr>
    </w:p>
    <w:p>
      <w:pPr>
        <w:jc w:val="both"/>
        <w:ind w:firstLine="1952"/>
        <w:spacing w:after="0" w:line="260" w:lineRule="auto"/>
        <w:tabs>
          <w:tab w:leader="none" w:pos="2479" w:val="left"/>
        </w:tabs>
        <w:numPr>
          <w:ilvl w:val="0"/>
          <w:numId w:val="157"/>
        </w:numPr>
        <w:rPr>
          <w:rFonts w:ascii="Arial" w:cs="Arial" w:eastAsia="Arial" w:hAnsi="Arial"/>
          <w:sz w:val="21"/>
          <w:szCs w:val="21"/>
          <w:color w:val="010000"/>
        </w:rPr>
      </w:pPr>
      <w:r>
        <w:rPr>
          <w:rFonts w:ascii="Arial" w:cs="Arial" w:eastAsia="Arial" w:hAnsi="Arial"/>
          <w:sz w:val="21"/>
          <w:szCs w:val="21"/>
          <w:color w:val="auto"/>
        </w:rPr>
        <w:t>This covenant shall survive the termination of your service with the Company and shall remain in effect and be enforceable against you for so long as any such Company and/or Affiliate secret, proprietary or confidential information retains economic value, whether actual or potential (to be determined at the discretion of the Company and/or the Affiliate, as applicable), from not being generally known to other persons who can obtain economic value from its disclosure or use. You shall execute such reasonable further agreements and confirmations of your obligations to the Company and its Affiliates concerning non-disclosure of trade secrets and proprietary and confidential information of the Company and its Affiliates as the Company and its Affiliates may require from time to time.</w:t>
      </w:r>
    </w:p>
    <w:p>
      <w:pPr>
        <w:spacing w:after="0" w:line="180" w:lineRule="exact"/>
        <w:rPr>
          <w:rFonts w:ascii="Arial" w:cs="Arial" w:eastAsia="Arial" w:hAnsi="Arial"/>
          <w:sz w:val="21"/>
          <w:szCs w:val="21"/>
          <w:color w:val="010000"/>
        </w:rPr>
      </w:pPr>
    </w:p>
    <w:p>
      <w:pPr>
        <w:jc w:val="both"/>
        <w:ind w:firstLine="1952"/>
        <w:spacing w:after="0" w:line="248" w:lineRule="auto"/>
        <w:tabs>
          <w:tab w:leader="none" w:pos="2440"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Upon termination of your service with the Company, you shall promptly deliver to the Company all of the Company’s property, wherever it is located, including, but not limited to, keys, equipment, all customer lists, specifications, drawings, listings, documentation, manuals, letters, notes, note books, reports, computer discs, and all copies thereof, and all other materials of a secret, proprietary, or confidential nature relating to the Company’s business, which are in your possession or under your control.</w:t>
      </w:r>
    </w:p>
    <w:p>
      <w:pPr>
        <w:spacing w:after="0" w:line="191" w:lineRule="exact"/>
        <w:rPr>
          <w:rFonts w:ascii="Arial" w:cs="Arial" w:eastAsia="Arial" w:hAnsi="Arial"/>
          <w:sz w:val="22"/>
          <w:szCs w:val="22"/>
          <w:color w:val="010000"/>
        </w:rPr>
      </w:pPr>
    </w:p>
    <w:p>
      <w:pPr>
        <w:jc w:val="both"/>
        <w:ind w:firstLine="1952"/>
        <w:spacing w:after="0" w:line="253" w:lineRule="auto"/>
        <w:tabs>
          <w:tab w:leader="none" w:pos="2493"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185" w:lineRule="exact"/>
        <w:rPr>
          <w:rFonts w:ascii="Arial" w:cs="Arial" w:eastAsia="Arial" w:hAnsi="Arial"/>
          <w:sz w:val="22"/>
          <w:szCs w:val="22"/>
          <w:color w:val="010000"/>
        </w:rPr>
      </w:pPr>
    </w:p>
    <w:p>
      <w:pPr>
        <w:jc w:val="both"/>
        <w:ind w:firstLine="1952"/>
        <w:spacing w:after="0" w:line="288" w:lineRule="auto"/>
        <w:tabs>
          <w:tab w:leader="none" w:pos="2562" w:val="left"/>
        </w:tabs>
        <w:numPr>
          <w:ilvl w:val="0"/>
          <w:numId w:val="157"/>
        </w:numPr>
        <w:rPr>
          <w:rFonts w:ascii="Arial" w:cs="Arial" w:eastAsia="Arial" w:hAnsi="Arial"/>
          <w:sz w:val="19"/>
          <w:szCs w:val="19"/>
          <w:color w:val="010000"/>
        </w:rPr>
      </w:pPr>
      <w:r>
        <w:rPr>
          <w:rFonts w:ascii="Arial" w:cs="Arial" w:eastAsia="Arial" w:hAnsi="Arial"/>
          <w:sz w:val="19"/>
          <w:szCs w:val="19"/>
          <w:color w:val="auto"/>
        </w:rPr>
        <w:t xml:space="preserve">Notwithstanding the foregoing, you agree to waive your right to recover monetary damages in connection with any charge, complaint or lawsuit filed by you or anyone else on your behalf (whether involving a governmental entity or not); </w:t>
      </w:r>
      <w:r>
        <w:rPr>
          <w:rFonts w:ascii="Arial" w:cs="Arial" w:eastAsia="Arial" w:hAnsi="Arial"/>
          <w:sz w:val="19"/>
          <w:szCs w:val="19"/>
          <w:u w:val="single" w:color="auto"/>
          <w:color w:val="auto"/>
        </w:rPr>
        <w:t>provided</w:t>
      </w:r>
      <w:r>
        <w:rPr>
          <w:rFonts w:ascii="Arial" w:cs="Arial" w:eastAsia="Arial" w:hAnsi="Arial"/>
          <w:sz w:val="19"/>
          <w:szCs w:val="19"/>
          <w:color w:val="auto"/>
        </w:rPr>
        <w:t>, that you are not agreeing to waive, and this Agreement shall not be read as requiring you to waive, any right you may have to receive an award for information provided to any governmental entity. 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67" w:name="page268"/>
    <w:bookmarkEnd w:id="267"/>
    <w:p>
      <w:pPr>
        <w:spacing w:after="0"/>
        <w:rPr>
          <w:sz w:val="20"/>
          <w:szCs w:val="20"/>
          <w:color w:val="auto"/>
        </w:rPr>
      </w:pPr>
      <w:r>
        <w:rPr>
          <w:rFonts w:ascii="Arial" w:cs="Arial" w:eastAsia="Arial" w:hAnsi="Arial"/>
          <w:sz w:val="19"/>
          <w:szCs w:val="19"/>
          <w:color w:val="auto"/>
        </w:rPr>
        <w:t>document containing the trade secret is filed under seal and the trade secret is not disclosed except pursuant to court order.</w:t>
      </w:r>
    </w:p>
    <w:p>
      <w:pPr>
        <w:spacing w:after="0" w:line="25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010000"/>
        </w:rPr>
        <w:t xml:space="preserve">5.2 </w:t>
      </w:r>
      <w:r>
        <w:rPr>
          <w:rFonts w:ascii="Arial" w:cs="Arial" w:eastAsia="Arial" w:hAnsi="Arial"/>
          <w:sz w:val="19"/>
          <w:szCs w:val="19"/>
          <w:u w:val="single" w:color="auto"/>
          <w:color w:val="000000"/>
        </w:rPr>
        <w:t>Intellectual Property</w:t>
      </w:r>
      <w:r>
        <w:rPr>
          <w:rFonts w:ascii="Arial" w:cs="Arial" w:eastAsia="Arial" w:hAnsi="Arial"/>
          <w:sz w:val="19"/>
          <w:szCs w:val="19"/>
          <w:color w:val="000000"/>
        </w:rPr>
        <w:t>. You hereby irrevocably assign and agree to assign to the Company all rights, title, and</w:t>
      </w:r>
      <w:r>
        <w:rPr>
          <w:rFonts w:ascii="Arial" w:cs="Arial" w:eastAsia="Arial" w:hAnsi="Arial"/>
          <w:sz w:val="19"/>
          <w:szCs w:val="19"/>
          <w:color w:val="010000"/>
        </w:rPr>
        <w:t xml:space="preserve"> </w:t>
      </w:r>
      <w:r>
        <w:rPr>
          <w:rFonts w:ascii="Arial" w:cs="Arial" w:eastAsia="Arial" w:hAnsi="Arial"/>
          <w:sz w:val="19"/>
          <w:szCs w:val="19"/>
          <w:color w:val="000000"/>
        </w:rPr>
        <w:t>interest worldwide you may have or acquire in and to any and all Company Intellectual Property, together with the right to prosecute or sue for infringements or violations of the same. The term “</w:t>
      </w:r>
      <w:r>
        <w:rPr>
          <w:rFonts w:ascii="Arial" w:cs="Arial" w:eastAsia="Arial" w:hAnsi="Arial"/>
          <w:sz w:val="19"/>
          <w:szCs w:val="19"/>
          <w:b w:val="1"/>
          <w:bCs w:val="1"/>
          <w:color w:val="000000"/>
        </w:rPr>
        <w:t>Intellectual Property</w:t>
      </w:r>
      <w:r>
        <w:rPr>
          <w:rFonts w:ascii="Arial" w:cs="Arial" w:eastAsia="Arial" w:hAnsi="Arial"/>
          <w:sz w:val="19"/>
          <w:szCs w:val="19"/>
          <w:color w:val="000000"/>
        </w:rPr>
        <w:t>” means inventions, discoveries; developments; trade secrets; processes; formulas; data; lists; plans, software programs; graphics; artwork; logos, and all other works of authorship, ideas, concepts, know-how, designs, and techniques, whether or not any of the foregoing is or are patentable, copyrightable, or registerable under any intellectual property laws or industrial property laws in the United States or any foreign country. The term “</w:t>
      </w:r>
      <w:r>
        <w:rPr>
          <w:rFonts w:ascii="Arial" w:cs="Arial" w:eastAsia="Arial" w:hAnsi="Arial"/>
          <w:sz w:val="19"/>
          <w:szCs w:val="19"/>
          <w:b w:val="1"/>
          <w:bCs w:val="1"/>
          <w:color w:val="000000"/>
        </w:rPr>
        <w:t>Company Intellectual Property</w:t>
      </w:r>
      <w:r>
        <w:rPr>
          <w:rFonts w:ascii="Arial" w:cs="Arial" w:eastAsia="Arial" w:hAnsi="Arial"/>
          <w:sz w:val="19"/>
          <w:szCs w:val="19"/>
          <w:color w:val="000000"/>
        </w:rPr>
        <w:t>” means all Intellectual Property that: (a) relate to the actual or proposed business, work, research or investigation of the Company, any of its Affiliates or any predecessors thereto or that are discovered, developed, created, conceived, reduced to practice, made, completed, learned or written by you, either alone or jointly with others, in the course of your employment; (b) utilize, incorporate or otherwise relate to Company or Affiliate secret, proprietary or confidential information; or (c) are discovered, developed, created, conceived, reduced to practice, made, completed, learned or written by you using property or equipment of the Company or any of its predecessors. You agree to promptly and fully communicate in writing to the Company (to such department or officer of the Company and in accordance with such procedures as the Company may direct from time to time) any and all Company Intellectual Property. You acknowledge and agree that any work of authorship by you or others comprising Company Intellectual Property shall be deemed to be a “work made for hire,” as that term is defined in the United States Copyright Act (17 U.S.C. § 101 (2000)). To the extent that any such work of authorship may not be deemed to be a work made for hire, you hereby irrevocably assigns and agrees to assign any ownership rights you may have or acquire in and to such work to the Company. You agree to perform, whether during or after your employment with the Company, all acts deemed necessary or desirable by the Company to permit and assist the Company in protecting, registering, recording, obtaining, maintaining, defending, enforcing and perfecting the Company’s rights in and to the Company Intellectual Property, including executing applications for registration therefore. This Agreement does not apply to any Intellectual Property you made before your employment by the Company.</w:t>
      </w:r>
    </w:p>
    <w:p>
      <w:pPr>
        <w:spacing w:after="0" w:line="200" w:lineRule="exact"/>
        <w:rPr>
          <w:sz w:val="20"/>
          <w:szCs w:val="20"/>
          <w:color w:val="auto"/>
        </w:rPr>
      </w:pPr>
    </w:p>
    <w:p>
      <w:pPr>
        <w:spacing w:after="0" w:line="23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010000"/>
        </w:rPr>
        <w:t xml:space="preserve">5.3 </w:t>
      </w:r>
      <w:r>
        <w:rPr>
          <w:rFonts w:ascii="Arial" w:cs="Arial" w:eastAsia="Arial" w:hAnsi="Arial"/>
          <w:sz w:val="19"/>
          <w:szCs w:val="19"/>
          <w:u w:val="single" w:color="auto"/>
          <w:color w:val="000000"/>
        </w:rPr>
        <w:t>Non-Disparagement</w:t>
      </w:r>
      <w:r>
        <w:rPr>
          <w:rFonts w:ascii="Arial" w:cs="Arial" w:eastAsia="Arial" w:hAnsi="Arial"/>
          <w:sz w:val="19"/>
          <w:szCs w:val="19"/>
          <w:color w:val="000000"/>
        </w:rPr>
        <w:t>. You agree, other than with regard to employees in the good faith performance of your</w:t>
      </w:r>
      <w:r>
        <w:rPr>
          <w:rFonts w:ascii="Arial" w:cs="Arial" w:eastAsia="Arial" w:hAnsi="Arial"/>
          <w:sz w:val="19"/>
          <w:szCs w:val="19"/>
          <w:color w:val="010000"/>
        </w:rPr>
        <w:t xml:space="preserve"> </w:t>
      </w:r>
      <w:r>
        <w:rPr>
          <w:rFonts w:ascii="Arial" w:cs="Arial" w:eastAsia="Arial" w:hAnsi="Arial"/>
          <w:sz w:val="19"/>
          <w:szCs w:val="19"/>
          <w:color w:val="000000"/>
        </w:rPr>
        <w:t xml:space="preserve">duties with the Company while employed by the Company, both during and after your employment with the Company terminates, not to knowingly disparage the Company or its officers, directors, employees or agents in any manner likely to be materially harmful to it or them or its or their business, business reputation or personal reputation. This paragraph shall not be violated by statements from you which are truthful, complete and made in good faith in required response to legal process or governmental inquiry. You also agree that any breach of this non-disparagement provision by you shall be deemed a material breach of this Agreement. Likewise, the Company agrees not to disparage you or your business or personal reputation,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this paragraph shall not be violated by statements from the company which are truthful, complete, and made in good faith in required governmental disclosures in response to legal or governmental inquiry. The Company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its breach of this non-disparagement provision shall be deemed a material breach of this Agreement.</w:t>
      </w:r>
    </w:p>
    <w:p>
      <w:pPr>
        <w:spacing w:after="0" w:line="22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010000"/>
        </w:rPr>
        <w:t xml:space="preserve">5.4 </w:t>
      </w:r>
      <w:r>
        <w:rPr>
          <w:rFonts w:ascii="Arial" w:cs="Arial" w:eastAsia="Arial" w:hAnsi="Arial"/>
          <w:sz w:val="19"/>
          <w:szCs w:val="19"/>
          <w:u w:val="single" w:color="auto"/>
          <w:color w:val="000000"/>
        </w:rPr>
        <w:t>Non-Competition</w:t>
      </w:r>
      <w:r>
        <w:rPr>
          <w:rFonts w:ascii="Arial" w:cs="Arial" w:eastAsia="Arial" w:hAnsi="Arial"/>
          <w:sz w:val="19"/>
          <w:szCs w:val="19"/>
          <w:color w:val="000000"/>
        </w:rPr>
        <w:t>. You agree that so long as you are employed by the Company and for a period of one (1)</w:t>
      </w:r>
      <w:r>
        <w:rPr>
          <w:rFonts w:ascii="Arial" w:cs="Arial" w:eastAsia="Arial" w:hAnsi="Arial"/>
          <w:sz w:val="19"/>
          <w:szCs w:val="19"/>
          <w:color w:val="010000"/>
        </w:rPr>
        <w:t xml:space="preserve"> </w:t>
      </w:r>
      <w:r>
        <w:rPr>
          <w:rFonts w:ascii="Arial" w:cs="Arial" w:eastAsia="Arial" w:hAnsi="Arial"/>
          <w:sz w:val="19"/>
          <w:szCs w:val="19"/>
          <w:color w:val="000000"/>
        </w:rPr>
        <w:t>year after such employment is terminated, whether voluntarily or involuntarily, you will not be employed by, manage, operate, control or participate in the ownership, management, operation or control of any company, business, or organization doing business in the United States that provides products or services competitive with those of the Company if that company is providing services under a program for which the Company provided services during the last two (2) years of your employment and if your job duties or function for that company, business or organization is substantially similar to the job duties or function that you performed in connection with that program while employed by the Company during that period.</w:t>
      </w:r>
    </w:p>
    <w:p>
      <w:pPr>
        <w:spacing w:after="0" w:line="15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010000"/>
        </w:rPr>
        <w:t xml:space="preserve">5.5 </w:t>
      </w:r>
      <w:r>
        <w:rPr>
          <w:rFonts w:ascii="Arial" w:cs="Arial" w:eastAsia="Arial" w:hAnsi="Arial"/>
          <w:sz w:val="21"/>
          <w:szCs w:val="21"/>
          <w:u w:val="single" w:color="auto"/>
          <w:color w:val="000000"/>
        </w:rPr>
        <w:t>Program Non-Solicitation</w:t>
      </w:r>
      <w:r>
        <w:rPr>
          <w:rFonts w:ascii="Arial" w:cs="Arial" w:eastAsia="Arial" w:hAnsi="Arial"/>
          <w:sz w:val="21"/>
          <w:szCs w:val="21"/>
          <w:color w:val="000000"/>
        </w:rPr>
        <w:t>. You agree that you will not, while employed with the Company and for an</w:t>
      </w:r>
      <w:r>
        <w:rPr>
          <w:rFonts w:ascii="Arial" w:cs="Arial" w:eastAsia="Arial" w:hAnsi="Arial"/>
          <w:sz w:val="21"/>
          <w:szCs w:val="21"/>
          <w:color w:val="010000"/>
        </w:rPr>
        <w:t xml:space="preserve"> </w:t>
      </w:r>
      <w:r>
        <w:rPr>
          <w:rFonts w:ascii="Arial" w:cs="Arial" w:eastAsia="Arial" w:hAnsi="Arial"/>
          <w:sz w:val="21"/>
          <w:szCs w:val="21"/>
          <w:color w:val="000000"/>
        </w:rPr>
        <w:t>additional two (2) years after your employment with the Company is terminated for any reason, whether voluntarily or involuntarily, participate in or assist with the submission of any proposal or bid for a program or prospective program that is competitive with a proposal of the Company by: (i) disclosing, providing or using information about the Company’s work on a program or prospective program, (ii) disclosing, providing or using information about a proposal or bid for a program and prospective program prepared or made by the Company, (iii) reviewing, advising or assisting with the preparation of a proposal or bid for a program or prospective program, or (iv) reviewing, advising, assisting with or making a presentation to a program customer or prospective program customer.</w:t>
      </w:r>
    </w:p>
    <w:p>
      <w:pPr>
        <w:spacing w:after="0" w:line="18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010000"/>
        </w:rPr>
        <w:t xml:space="preserve">5.6 </w:t>
      </w:r>
      <w:r>
        <w:rPr>
          <w:rFonts w:ascii="Arial" w:cs="Arial" w:eastAsia="Arial" w:hAnsi="Arial"/>
          <w:sz w:val="19"/>
          <w:szCs w:val="19"/>
          <w:u w:val="single" w:color="auto"/>
          <w:color w:val="000000"/>
        </w:rPr>
        <w:t>Employee Non-Solicitation</w:t>
      </w:r>
      <w:r>
        <w:rPr>
          <w:rFonts w:ascii="Arial" w:cs="Arial" w:eastAsia="Arial" w:hAnsi="Arial"/>
          <w:sz w:val="19"/>
          <w:szCs w:val="19"/>
          <w:color w:val="000000"/>
        </w:rPr>
        <w:t>. You agree that you will not, while employed with the Company and for an</w:t>
      </w:r>
      <w:r>
        <w:rPr>
          <w:rFonts w:ascii="Arial" w:cs="Arial" w:eastAsia="Arial" w:hAnsi="Arial"/>
          <w:sz w:val="19"/>
          <w:szCs w:val="19"/>
          <w:color w:val="010000"/>
        </w:rPr>
        <w:t xml:space="preserve"> </w:t>
      </w:r>
      <w:r>
        <w:rPr>
          <w:rFonts w:ascii="Arial" w:cs="Arial" w:eastAsia="Arial" w:hAnsi="Arial"/>
          <w:sz w:val="19"/>
          <w:szCs w:val="19"/>
          <w:color w:val="000000"/>
        </w:rPr>
        <w:t>additional two (2) years after your employment with the Company is terminated for any reason, whether voluntarily or involuntarily, directly or indirectly, (i) solicit, hire, or recruit, (ii) attempt to solicit, hire or recruit, or (iii) induce or cause the termination of employment or engagement of, any employee, consultant, independent contractor or agent of the Company.</w:t>
      </w:r>
    </w:p>
    <w:p>
      <w:pPr>
        <w:spacing w:after="0" w:line="14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010000"/>
        </w:rPr>
        <w:t xml:space="preserve">5.7 </w:t>
      </w:r>
      <w:r>
        <w:rPr>
          <w:rFonts w:ascii="Arial" w:cs="Arial" w:eastAsia="Arial" w:hAnsi="Arial"/>
          <w:sz w:val="19"/>
          <w:szCs w:val="19"/>
          <w:u w:val="single" w:color="auto"/>
          <w:color w:val="000000"/>
        </w:rPr>
        <w:t>Remedies for Breach</w:t>
      </w:r>
      <w:r>
        <w:rPr>
          <w:rFonts w:ascii="Arial" w:cs="Arial" w:eastAsia="Arial" w:hAnsi="Arial"/>
          <w:sz w:val="19"/>
          <w:szCs w:val="19"/>
          <w:color w:val="000000"/>
        </w:rPr>
        <w:t>. The parties hereby declare that the rights of the Company contained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Sections 5.1</w:t>
      </w:r>
      <w:r>
        <w:rPr>
          <w:rFonts w:ascii="Arial" w:cs="Arial" w:eastAsia="Arial" w:hAnsi="Arial"/>
          <w:sz w:val="19"/>
          <w:szCs w:val="19"/>
          <w:color w:val="010000"/>
        </w:rPr>
        <w:t xml:space="preserve"> </w:t>
      </w:r>
      <w:r>
        <w:rPr>
          <w:rFonts w:ascii="Arial" w:cs="Arial" w:eastAsia="Arial" w:hAnsi="Arial"/>
          <w:sz w:val="19"/>
          <w:szCs w:val="19"/>
          <w:color w:val="000000"/>
        </w:rPr>
        <w:t xml:space="preserve">through </w:t>
      </w:r>
      <w:r>
        <w:rPr>
          <w:rFonts w:ascii="Arial" w:cs="Arial" w:eastAsia="Arial" w:hAnsi="Arial"/>
          <w:sz w:val="19"/>
          <w:szCs w:val="19"/>
          <w:u w:val="single" w:color="auto"/>
          <w:color w:val="000000"/>
        </w:rPr>
        <w:t>5.6</w:t>
      </w:r>
      <w:r>
        <w:rPr>
          <w:rFonts w:ascii="Arial" w:cs="Arial" w:eastAsia="Arial" w:hAnsi="Arial"/>
          <w:sz w:val="19"/>
          <w:szCs w:val="19"/>
          <w:color w:val="000000"/>
        </w:rPr>
        <w:t xml:space="preserve"> are of a unique nature, the loss of which may cause irreparable harm, and that it may be impossible to measure in money the damages which will accrue to the Company by reason of the loss of such rights or a failure by you to perform or adhere to any of the obligations under </w:t>
      </w:r>
      <w:r>
        <w:rPr>
          <w:rFonts w:ascii="Arial" w:cs="Arial" w:eastAsia="Arial" w:hAnsi="Arial"/>
          <w:sz w:val="19"/>
          <w:szCs w:val="19"/>
          <w:u w:val="single" w:color="auto"/>
          <w:color w:val="000000"/>
        </w:rPr>
        <w:t>Sections 5.1</w:t>
      </w:r>
      <w:r>
        <w:rPr>
          <w:rFonts w:ascii="Arial" w:cs="Arial" w:eastAsia="Arial" w:hAnsi="Arial"/>
          <w:sz w:val="19"/>
          <w:szCs w:val="19"/>
          <w:color w:val="000000"/>
        </w:rPr>
        <w:t xml:space="preserve"> through </w:t>
      </w:r>
      <w:r>
        <w:rPr>
          <w:rFonts w:ascii="Arial" w:cs="Arial" w:eastAsia="Arial" w:hAnsi="Arial"/>
          <w:sz w:val="19"/>
          <w:szCs w:val="19"/>
          <w:u w:val="single" w:color="auto"/>
          <w:color w:val="000000"/>
        </w:rPr>
        <w:t>5.6</w:t>
      </w:r>
      <w:r>
        <w:rPr>
          <w:rFonts w:ascii="Arial" w:cs="Arial" w:eastAsia="Arial" w:hAnsi="Arial"/>
          <w:sz w:val="19"/>
          <w:szCs w:val="19"/>
          <w:color w:val="000000"/>
        </w:rPr>
        <w:t xml:space="preserve"> herein. You expressly acknowledge that remedies at law alone will be inadequate to compensate the Company and its Affiliates for any breach or violation of any of the provisions of </w:t>
      </w:r>
      <w:r>
        <w:rPr>
          <w:rFonts w:ascii="Arial" w:cs="Arial" w:eastAsia="Arial" w:hAnsi="Arial"/>
          <w:sz w:val="19"/>
          <w:szCs w:val="19"/>
          <w:u w:val="single" w:color="auto"/>
          <w:color w:val="000000"/>
        </w:rPr>
        <w:t>Sections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5.1</w:t>
      </w:r>
      <w:r>
        <w:rPr>
          <w:rFonts w:ascii="Arial" w:cs="Arial" w:eastAsia="Arial" w:hAnsi="Arial"/>
          <w:sz w:val="19"/>
          <w:szCs w:val="19"/>
          <w:color w:val="000000"/>
        </w:rPr>
        <w:t xml:space="preserve"> through </w:t>
      </w:r>
      <w:r>
        <w:rPr>
          <w:rFonts w:ascii="Arial" w:cs="Arial" w:eastAsia="Arial" w:hAnsi="Arial"/>
          <w:sz w:val="19"/>
          <w:szCs w:val="19"/>
          <w:u w:val="single" w:color="auto"/>
          <w:color w:val="000000"/>
        </w:rPr>
        <w:t>5.6</w:t>
      </w:r>
      <w:r>
        <w:rPr>
          <w:rFonts w:ascii="Arial" w:cs="Arial" w:eastAsia="Arial" w:hAnsi="Arial"/>
          <w:sz w:val="19"/>
          <w:szCs w:val="19"/>
          <w:color w:val="000000"/>
        </w:rPr>
        <w:t xml:space="preserve"> herein, and that the Company, in addition to all other remedies hereunder or thereunder, shall be entitled, as a matter of right, to seek injunctive relief, including specific performance, with respect to any such breach or violation, in any court of competent jurisdiction and you waive the requirement of the posting of any bond in connection with such injunctive relief. You further acknowledge and agree that the promises and covenants contained in </w:t>
      </w:r>
      <w:r>
        <w:rPr>
          <w:rFonts w:ascii="Arial" w:cs="Arial" w:eastAsia="Arial" w:hAnsi="Arial"/>
          <w:sz w:val="19"/>
          <w:szCs w:val="19"/>
          <w:u w:val="single" w:color="auto"/>
          <w:color w:val="000000"/>
        </w:rPr>
        <w:t>Sections 5.1</w:t>
      </w:r>
      <w:r>
        <w:rPr>
          <w:rFonts w:ascii="Arial" w:cs="Arial" w:eastAsia="Arial" w:hAnsi="Arial"/>
          <w:sz w:val="19"/>
          <w:szCs w:val="19"/>
          <w:color w:val="000000"/>
        </w:rPr>
        <w:t xml:space="preserve"> through </w:t>
      </w:r>
      <w:r>
        <w:rPr>
          <w:rFonts w:ascii="Arial" w:cs="Arial" w:eastAsia="Arial" w:hAnsi="Arial"/>
          <w:sz w:val="19"/>
          <w:szCs w:val="19"/>
          <w:u w:val="single" w:color="auto"/>
          <w:color w:val="000000"/>
        </w:rPr>
        <w:t>5.6</w:t>
      </w:r>
      <w:r>
        <w:rPr>
          <w:rFonts w:ascii="Arial" w:cs="Arial" w:eastAsia="Arial" w:hAnsi="Arial"/>
          <w:sz w:val="19"/>
          <w:szCs w:val="19"/>
          <w:color w:val="000000"/>
        </w:rPr>
        <w:t xml:space="preserve"> are ancillary to the otherwise enforceable promises contained herein and are reasonable and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69" w:name="page270"/>
    <w:bookmarkEnd w:id="269"/>
    <w:p>
      <w:pPr>
        <w:jc w:val="both"/>
        <w:ind w:firstLine="656"/>
        <w:spacing w:after="0" w:line="258" w:lineRule="auto"/>
        <w:tabs>
          <w:tab w:leader="none" w:pos="1066" w:val="left"/>
        </w:tabs>
        <w:numPr>
          <w:ilvl w:val="0"/>
          <w:numId w:val="158"/>
        </w:numPr>
        <w:rPr>
          <w:rFonts w:ascii="Arial" w:cs="Arial" w:eastAsia="Arial" w:hAnsi="Arial"/>
          <w:sz w:val="21"/>
          <w:szCs w:val="21"/>
          <w:color w:val="010000"/>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xml:space="preserve">. The Company hereby agrees to indemnify and hold you harmless for any damages, costs, charges, fees or other expenses, including without limitation, reasonable attorneys’ fees, that you incur or may incur as a result of any claims, disputes, suits or other proceedings or investigations arising out of or relating to the performance of your duties under this Agreement, to the maximum extent permitted by law. You shall be entitled to advancement of expenses in the event an indemnifiable event occurs or is threatened upon written notice to the Company of such event. You may be represented in any such matter by counsel of your choice if you shall reasonably determine that there exists a conflict of interest between the Company and you. The Company’s obligations under this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shall be subject to you executing and delivering to the Company an undertaking agreement containing customary provisions for the repayment of any amounts paid, advanced, or reimbursed by the Company to the extent that it is ultimately determined that you are not entitled to indemnification pursuant to this </w:t>
      </w:r>
      <w:r>
        <w:rPr>
          <w:rFonts w:ascii="Arial" w:cs="Arial" w:eastAsia="Arial" w:hAnsi="Arial"/>
          <w:sz w:val="21"/>
          <w:szCs w:val="21"/>
          <w:u w:val="single" w:color="auto"/>
          <w:color w:val="auto"/>
        </w:rPr>
        <w:t>Section 6</w:t>
      </w:r>
      <w:r>
        <w:rPr>
          <w:rFonts w:ascii="Arial" w:cs="Arial" w:eastAsia="Arial" w:hAnsi="Arial"/>
          <w:sz w:val="21"/>
          <w:szCs w:val="21"/>
          <w:color w:val="auto"/>
        </w:rPr>
        <w:t>.</w:t>
      </w:r>
    </w:p>
    <w:p>
      <w:pPr>
        <w:spacing w:after="0" w:line="185" w:lineRule="exact"/>
        <w:rPr>
          <w:rFonts w:ascii="Arial" w:cs="Arial" w:eastAsia="Arial" w:hAnsi="Arial"/>
          <w:sz w:val="21"/>
          <w:szCs w:val="21"/>
          <w:color w:val="010000"/>
        </w:rPr>
      </w:pPr>
    </w:p>
    <w:p>
      <w:pPr>
        <w:ind w:left="1040" w:hanging="384"/>
        <w:spacing w:after="0"/>
        <w:tabs>
          <w:tab w:leader="none" w:pos="1040" w:val="left"/>
        </w:tabs>
        <w:numPr>
          <w:ilvl w:val="0"/>
          <w:numId w:val="158"/>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010000"/>
        </w:rPr>
        <w:t xml:space="preserve">7.1 </w:t>
      </w:r>
      <w:r>
        <w:rPr>
          <w:rFonts w:ascii="Arial" w:cs="Arial" w:eastAsia="Arial" w:hAnsi="Arial"/>
          <w:sz w:val="21"/>
          <w:szCs w:val="21"/>
          <w:u w:val="single" w:color="auto"/>
          <w:color w:val="000000"/>
        </w:rPr>
        <w:t>Notices</w:t>
      </w:r>
      <w:r>
        <w:rPr>
          <w:rFonts w:ascii="Arial" w:cs="Arial" w:eastAsia="Arial" w:hAnsi="Arial"/>
          <w:sz w:val="21"/>
          <w:szCs w:val="21"/>
          <w:color w:val="000000"/>
        </w:rPr>
        <w:t>. All notices, requests, consents and other communications required or permitted to be given</w:t>
      </w:r>
      <w:r>
        <w:rPr>
          <w:rFonts w:ascii="Arial" w:cs="Arial" w:eastAsia="Arial" w:hAnsi="Arial"/>
          <w:sz w:val="21"/>
          <w:szCs w:val="21"/>
          <w:color w:val="010000"/>
        </w:rPr>
        <w:t xml:space="preserve"> </w:t>
      </w:r>
      <w:r>
        <w:rPr>
          <w:rFonts w:ascii="Arial" w:cs="Arial" w:eastAsia="Arial" w:hAnsi="Arial"/>
          <w:sz w:val="21"/>
          <w:szCs w:val="21"/>
          <w:color w:val="000000"/>
        </w:rPr>
        <w:t>hereunder shall be in writing and shall be deemed to have been duly given, if delivered personally or mailed first-class, postage prepaid, by registered or certified mail, as follows (or to such other or additional address as either party shall designate by notice in writing to the other in accordance herewith): If to the Company, to the Company’s principal HR official in the United States and, if to you, to the address set forth on the records of the Company.</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7.2 </w:t>
      </w:r>
      <w:r>
        <w:rPr>
          <w:rFonts w:ascii="Arial" w:cs="Arial" w:eastAsia="Arial" w:hAnsi="Arial"/>
          <w:sz w:val="22"/>
          <w:szCs w:val="22"/>
          <w:u w:val="single" w:color="auto"/>
          <w:color w:val="000000"/>
        </w:rPr>
        <w:t>Governing Law</w:t>
      </w:r>
      <w:r>
        <w:rPr>
          <w:rFonts w:ascii="Arial" w:cs="Arial" w:eastAsia="Arial" w:hAnsi="Arial"/>
          <w:sz w:val="22"/>
          <w:szCs w:val="22"/>
          <w:color w:val="000000"/>
        </w:rPr>
        <w:t>. Except for the indemnification provision contained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6</w:t>
      </w:r>
      <w:r>
        <w:rPr>
          <w:rFonts w:ascii="Arial" w:cs="Arial" w:eastAsia="Arial" w:hAnsi="Arial"/>
          <w:sz w:val="22"/>
          <w:szCs w:val="22"/>
          <w:color w:val="000000"/>
        </w:rPr>
        <w:t>, which shall be governed by</w:t>
      </w:r>
      <w:r>
        <w:rPr>
          <w:rFonts w:ascii="Arial" w:cs="Arial" w:eastAsia="Arial" w:hAnsi="Arial"/>
          <w:sz w:val="22"/>
          <w:szCs w:val="22"/>
          <w:color w:val="010000"/>
        </w:rPr>
        <w:t xml:space="preserve"> </w:t>
      </w:r>
      <w:r>
        <w:rPr>
          <w:rFonts w:ascii="Arial" w:cs="Arial" w:eastAsia="Arial" w:hAnsi="Arial"/>
          <w:sz w:val="22"/>
          <w:szCs w:val="22"/>
          <w:color w:val="000000"/>
        </w:rPr>
        <w:t>the laws of the State of Delaware, this Agreement shall be governed by and construed and enforced in accordance with the laws of the Commonwealth of Virginia applicable to agreements made and performed within Virginia, without regard to the principles of conflicts laws.</w:t>
      </w:r>
    </w:p>
    <w:p>
      <w:pPr>
        <w:spacing w:after="0" w:line="188"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010000"/>
        </w:rPr>
        <w:t xml:space="preserve">7.3 </w:t>
      </w:r>
      <w:r>
        <w:rPr>
          <w:rFonts w:ascii="Arial" w:cs="Arial" w:eastAsia="Arial" w:hAnsi="Arial"/>
          <w:sz w:val="19"/>
          <w:szCs w:val="19"/>
          <w:u w:val="single" w:color="auto"/>
          <w:color w:val="000000"/>
        </w:rPr>
        <w:t>Resolution of Conflict</w:t>
      </w:r>
      <w:r>
        <w:rPr>
          <w:rFonts w:ascii="Arial" w:cs="Arial" w:eastAsia="Arial" w:hAnsi="Arial"/>
          <w:sz w:val="19"/>
          <w:szCs w:val="19"/>
          <w:color w:val="000000"/>
        </w:rPr>
        <w:t>. Except as provided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5.3</w:t>
      </w:r>
      <w:r>
        <w:rPr>
          <w:rFonts w:ascii="Arial" w:cs="Arial" w:eastAsia="Arial" w:hAnsi="Arial"/>
          <w:sz w:val="19"/>
          <w:szCs w:val="19"/>
          <w:color w:val="000000"/>
        </w:rPr>
        <w:t>, any and all disputes, claims and controversies</w:t>
      </w:r>
      <w:r>
        <w:rPr>
          <w:rFonts w:ascii="Arial" w:cs="Arial" w:eastAsia="Arial" w:hAnsi="Arial"/>
          <w:sz w:val="19"/>
          <w:szCs w:val="19"/>
          <w:color w:val="010000"/>
        </w:rPr>
        <w:t xml:space="preserve"> </w:t>
      </w:r>
      <w:r>
        <w:rPr>
          <w:rFonts w:ascii="Arial" w:cs="Arial" w:eastAsia="Arial" w:hAnsi="Arial"/>
          <w:sz w:val="19"/>
          <w:szCs w:val="19"/>
          <w:color w:val="000000"/>
        </w:rPr>
        <w:t>between the parties hereto concerning the validity, interpretation, performance, termination or breach of this Agreement, which cannot be resolved by the parties within ninety (90) days after such dispute, claim or controversy arises shall, at the option of either party, be referred to and finally settled by arbitration. Such arbitration shall be initiated by the initiating party giving notice (the “</w:t>
      </w:r>
      <w:r>
        <w:rPr>
          <w:rFonts w:ascii="Arial" w:cs="Arial" w:eastAsia="Arial" w:hAnsi="Arial"/>
          <w:sz w:val="19"/>
          <w:szCs w:val="19"/>
          <w:b w:val="1"/>
          <w:bCs w:val="1"/>
          <w:color w:val="000000"/>
        </w:rPr>
        <w:t>Arbitration Notice</w:t>
      </w:r>
      <w:r>
        <w:rPr>
          <w:rFonts w:ascii="Arial" w:cs="Arial" w:eastAsia="Arial" w:hAnsi="Arial"/>
          <w:sz w:val="19"/>
          <w:szCs w:val="19"/>
          <w:color w:val="000000"/>
        </w:rPr>
        <w:t>”) to the other party (the “</w:t>
      </w:r>
      <w:r>
        <w:rPr>
          <w:rFonts w:ascii="Arial" w:cs="Arial" w:eastAsia="Arial" w:hAnsi="Arial"/>
          <w:sz w:val="19"/>
          <w:szCs w:val="19"/>
          <w:b w:val="1"/>
          <w:bCs w:val="1"/>
          <w:color w:val="000000"/>
        </w:rPr>
        <w:t>Respondent</w:t>
      </w:r>
      <w:r>
        <w:rPr>
          <w:rFonts w:ascii="Arial" w:cs="Arial" w:eastAsia="Arial" w:hAnsi="Arial"/>
          <w:sz w:val="19"/>
          <w:szCs w:val="19"/>
          <w:color w:val="000000"/>
        </w:rPr>
        <w:t>”) that it intends to submit such dispute, claim or controversy to arbitration. Each party shall, within thirty (30) days of the date the Arbitration Notice is received by the Respondent, designate a person to act as an arbitrator; if either party fails to designate a person to Act as an arbitrator within the time specified herein the arbitration shall be conducted by the sole designated arbitrator. The two arbitrators appointed by the parties shall, within thirty</w:t>
      </w:r>
    </w:p>
    <w:p>
      <w:pPr>
        <w:spacing w:after="0" w:line="2" w:lineRule="exact"/>
        <w:rPr>
          <w:sz w:val="20"/>
          <w:szCs w:val="20"/>
          <w:color w:val="auto"/>
        </w:rPr>
      </w:pPr>
    </w:p>
    <w:p>
      <w:pPr>
        <w:jc w:val="both"/>
        <w:ind w:firstLine="8"/>
        <w:spacing w:after="0" w:line="244" w:lineRule="auto"/>
        <w:tabs>
          <w:tab w:leader="none" w:pos="43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days after their designation appoint a third arbitrator who shall act as presiding arbitrator (the “</w:t>
      </w:r>
      <w:r>
        <w:rPr>
          <w:rFonts w:ascii="Arial" w:cs="Arial" w:eastAsia="Arial" w:hAnsi="Arial"/>
          <w:sz w:val="22"/>
          <w:szCs w:val="22"/>
          <w:b w:val="1"/>
          <w:bCs w:val="1"/>
          <w:color w:val="auto"/>
        </w:rPr>
        <w:t>Presiding Arbitrator</w:t>
      </w:r>
      <w:r>
        <w:rPr>
          <w:rFonts w:ascii="Arial" w:cs="Arial" w:eastAsia="Arial" w:hAnsi="Arial"/>
          <w:sz w:val="22"/>
          <w:szCs w:val="22"/>
          <w:color w:val="auto"/>
        </w:rPr>
        <w:t>”). If the two arbitrators designated by the parties are unable to appoint a Presiding Arbitrator, the Presiding Arbitrator shall be appointed according to the rules of the American Arbitration Association as in effect on the date the notice of submission to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70" w:name="page271"/>
    <w:bookmarkEnd w:id="270"/>
    <w:p>
      <w:pPr>
        <w:jc w:val="both"/>
        <w:spacing w:after="0" w:line="298" w:lineRule="auto"/>
        <w:rPr>
          <w:sz w:val="20"/>
          <w:szCs w:val="20"/>
          <w:color w:val="auto"/>
        </w:rPr>
      </w:pPr>
      <w:r>
        <w:rPr>
          <w:rFonts w:ascii="Arial" w:cs="Arial" w:eastAsia="Arial" w:hAnsi="Arial"/>
          <w:sz w:val="19"/>
          <w:szCs w:val="19"/>
          <w:color w:val="auto"/>
        </w:rPr>
        <w:t>is given (the “</w:t>
      </w:r>
      <w:r>
        <w:rPr>
          <w:rFonts w:ascii="Arial" w:cs="Arial" w:eastAsia="Arial" w:hAnsi="Arial"/>
          <w:sz w:val="19"/>
          <w:szCs w:val="19"/>
          <w:b w:val="1"/>
          <w:bCs w:val="1"/>
          <w:color w:val="auto"/>
        </w:rPr>
        <w:t>Rules</w:t>
      </w:r>
      <w:r>
        <w:rPr>
          <w:rFonts w:ascii="Arial" w:cs="Arial" w:eastAsia="Arial" w:hAnsi="Arial"/>
          <w:sz w:val="19"/>
          <w:szCs w:val="19"/>
          <w:color w:val="auto"/>
        </w:rPr>
        <w:t>”). Such arbitration shall be held in Virginia in accordance with the Rules except as otherwise expressly provided herein. The arbitrators shall, by majority vote, render a written decision stating reasons therefore in reasonable detail within three (3) months after the appointment of all the arbitrators. The award of the arbitrators shall be made in United States currency and shall be final and binding, and judgment thereon may be rendered by any court having jurisdiction thereof, or application may be made to such court for the judicial acceptance of the award and an order of enforcement as the case may be.</w:t>
      </w:r>
    </w:p>
    <w:p>
      <w:pPr>
        <w:spacing w:after="0" w:line="148"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010000"/>
        </w:rPr>
        <w:t>7.4</w:t>
      </w:r>
      <w:r>
        <w:rPr>
          <w:sz w:val="20"/>
          <w:szCs w:val="20"/>
          <w:color w:val="auto"/>
        </w:rPr>
        <w:tab/>
      </w:r>
      <w:r>
        <w:rPr>
          <w:rFonts w:ascii="Arial" w:cs="Arial" w:eastAsia="Arial" w:hAnsi="Arial"/>
          <w:sz w:val="19"/>
          <w:szCs w:val="19"/>
          <w:u w:val="single" w:color="auto"/>
          <w:color w:val="auto"/>
        </w:rPr>
        <w:t>Assignability</w:t>
      </w:r>
      <w:r>
        <w:rPr>
          <w:rFonts w:ascii="Arial" w:cs="Arial" w:eastAsia="Arial" w:hAnsi="Arial"/>
          <w:sz w:val="19"/>
          <w:szCs w:val="19"/>
          <w:color w:val="auto"/>
        </w:rPr>
        <w:t>. This Agreement may not be assigned by either party without the other party’s express written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consent.</w:t>
      </w:r>
    </w:p>
    <w:p>
      <w:pPr>
        <w:spacing w:after="0" w:line="20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010000"/>
        </w:rPr>
        <w:t xml:space="preserve">7.5 </w:t>
      </w:r>
      <w:r>
        <w:rPr>
          <w:rFonts w:ascii="Arial" w:cs="Arial" w:eastAsia="Arial" w:hAnsi="Arial"/>
          <w:sz w:val="21"/>
          <w:szCs w:val="21"/>
          <w:u w:val="single" w:color="auto"/>
          <w:color w:val="000000"/>
        </w:rPr>
        <w:t>Amendments; Waivers</w:t>
      </w:r>
      <w:r>
        <w:rPr>
          <w:rFonts w:ascii="Arial" w:cs="Arial" w:eastAsia="Arial" w:hAnsi="Arial"/>
          <w:sz w:val="21"/>
          <w:szCs w:val="21"/>
          <w:color w:val="000000"/>
        </w:rPr>
        <w:t>. This Agreement may be amended, modified, superseded, canceled, renewed or</w:t>
      </w:r>
      <w:r>
        <w:rPr>
          <w:rFonts w:ascii="Arial" w:cs="Arial" w:eastAsia="Arial" w:hAnsi="Arial"/>
          <w:sz w:val="21"/>
          <w:szCs w:val="21"/>
          <w:color w:val="010000"/>
        </w:rPr>
        <w:t xml:space="preserve"> </w:t>
      </w:r>
      <w:r>
        <w:rPr>
          <w:rFonts w:ascii="Arial" w:cs="Arial" w:eastAsia="Arial" w:hAnsi="Arial"/>
          <w:sz w:val="21"/>
          <w:szCs w:val="21"/>
          <w:color w:val="000000"/>
        </w:rPr>
        <w:t>extended and the terms or covenants hereof may be waived only by written instrument executed by both of the parties hereto, or in the case of a waiver, by the party waiving compliance. The failure of either party at any time or times to require performance of any provisions hereof shall in no manner affect such party’s right at a later time to enforce the same. No waiver by either party of the breach of any term or covenant contained in this Agreement, whether by conduct or otherwise, in any one or more instances, shall be deemed to be, or construed as, a further or continuing waiver of any such breach, or a waiver of the breach of any other term or covenant contained in this Agreement.</w:t>
      </w:r>
    </w:p>
    <w:p>
      <w:pPr>
        <w:spacing w:after="0" w:line="18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7.6 </w:t>
      </w:r>
      <w:r>
        <w:rPr>
          <w:rFonts w:ascii="Arial" w:cs="Arial" w:eastAsia="Arial" w:hAnsi="Arial"/>
          <w:sz w:val="22"/>
          <w:szCs w:val="22"/>
          <w:u w:val="single" w:color="auto"/>
          <w:color w:val="000000"/>
        </w:rPr>
        <w:t>Severability</w:t>
      </w:r>
      <w:r>
        <w:rPr>
          <w:rFonts w:ascii="Arial" w:cs="Arial" w:eastAsia="Arial" w:hAnsi="Arial"/>
          <w:sz w:val="22"/>
          <w:szCs w:val="22"/>
          <w:color w:val="000000"/>
        </w:rPr>
        <w:t>. If any provision of this Agreement is held to be unenforceable by a court, the remaining</w:t>
      </w:r>
      <w:r>
        <w:rPr>
          <w:rFonts w:ascii="Arial" w:cs="Arial" w:eastAsia="Arial" w:hAnsi="Arial"/>
          <w:sz w:val="22"/>
          <w:szCs w:val="22"/>
          <w:color w:val="010000"/>
        </w:rPr>
        <w:t xml:space="preserve"> </w:t>
      </w:r>
      <w:r>
        <w:rPr>
          <w:rFonts w:ascii="Arial" w:cs="Arial" w:eastAsia="Arial" w:hAnsi="Arial"/>
          <w:sz w:val="22"/>
          <w:szCs w:val="22"/>
          <w:color w:val="000000"/>
        </w:rPr>
        <w:t>provisions shall be enforced to the maximum extent possible. If a court should determine that any provision of this Agreement is overbroad or unreasonable, such provision shall be given effect to the maximum extent possible by narrowing or enforcing in part that aspect of the provision found overbroad or unreasonable.</w:t>
      </w:r>
    </w:p>
    <w:p>
      <w:pPr>
        <w:spacing w:after="0" w:line="188"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010000"/>
        </w:rPr>
        <w:t xml:space="preserve">7.7 </w:t>
      </w:r>
      <w:r>
        <w:rPr>
          <w:rFonts w:ascii="Arial" w:cs="Arial" w:eastAsia="Arial" w:hAnsi="Arial"/>
          <w:sz w:val="22"/>
          <w:szCs w:val="22"/>
          <w:u w:val="single" w:color="auto"/>
          <w:color w:val="000000"/>
        </w:rPr>
        <w:t>Withholding Taxes</w:t>
      </w:r>
      <w:r>
        <w:rPr>
          <w:rFonts w:ascii="Arial" w:cs="Arial" w:eastAsia="Arial" w:hAnsi="Arial"/>
          <w:sz w:val="22"/>
          <w:szCs w:val="22"/>
          <w:color w:val="000000"/>
        </w:rPr>
        <w:t>. Payments made to pursuant to this Agreement shall be subject to withholding and social</w:t>
      </w:r>
      <w:r>
        <w:rPr>
          <w:rFonts w:ascii="Arial" w:cs="Arial" w:eastAsia="Arial" w:hAnsi="Arial"/>
          <w:sz w:val="22"/>
          <w:szCs w:val="22"/>
          <w:color w:val="010000"/>
        </w:rPr>
        <w:t xml:space="preserve"> </w:t>
      </w:r>
      <w:r>
        <w:rPr>
          <w:rFonts w:ascii="Arial" w:cs="Arial" w:eastAsia="Arial" w:hAnsi="Arial"/>
          <w:sz w:val="22"/>
          <w:szCs w:val="22"/>
          <w:color w:val="000000"/>
        </w:rPr>
        <w:t>security taxes and other ordinary and customary payroll deductions.</w:t>
      </w:r>
    </w:p>
    <w:p>
      <w:pPr>
        <w:spacing w:after="0" w:line="17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010000"/>
        </w:rPr>
        <w:t xml:space="preserve">7.8 </w:t>
      </w:r>
      <w:r>
        <w:rPr>
          <w:rFonts w:ascii="Arial" w:cs="Arial" w:eastAsia="Arial" w:hAnsi="Arial"/>
          <w:sz w:val="21"/>
          <w:szCs w:val="21"/>
          <w:u w:val="single" w:color="auto"/>
          <w:color w:val="000000"/>
        </w:rPr>
        <w:t>Compliance with IRC Section 409A</w:t>
      </w:r>
      <w:r>
        <w:rPr>
          <w:rFonts w:ascii="Arial" w:cs="Arial" w:eastAsia="Arial" w:hAnsi="Arial"/>
          <w:sz w:val="21"/>
          <w:szCs w:val="21"/>
          <w:color w:val="000000"/>
        </w:rPr>
        <w:t>. This Agreement is intended to comply with Section 409A of the</w:t>
      </w:r>
      <w:r>
        <w:rPr>
          <w:rFonts w:ascii="Arial" w:cs="Arial" w:eastAsia="Arial" w:hAnsi="Arial"/>
          <w:sz w:val="21"/>
          <w:szCs w:val="21"/>
          <w:color w:val="010000"/>
        </w:rPr>
        <w:t xml:space="preserve"> </w:t>
      </w:r>
      <w:r>
        <w:rPr>
          <w:rFonts w:ascii="Arial" w:cs="Arial" w:eastAsia="Arial" w:hAnsi="Arial"/>
          <w:sz w:val="21"/>
          <w:szCs w:val="21"/>
          <w:color w:val="000000"/>
        </w:rPr>
        <w:t>Internal Revenue Code of 1986, as amended (the “</w:t>
      </w:r>
      <w:r>
        <w:rPr>
          <w:rFonts w:ascii="Arial" w:cs="Arial" w:eastAsia="Arial" w:hAnsi="Arial"/>
          <w:sz w:val="21"/>
          <w:szCs w:val="21"/>
          <w:b w:val="1"/>
          <w:bCs w:val="1"/>
          <w:color w:val="000000"/>
        </w:rPr>
        <w:t>Code</w:t>
      </w:r>
      <w:r>
        <w:rPr>
          <w:rFonts w:ascii="Arial" w:cs="Arial" w:eastAsia="Arial" w:hAnsi="Arial"/>
          <w:sz w:val="21"/>
          <w:szCs w:val="21"/>
          <w:color w:val="000000"/>
        </w:rPr>
        <w:t>”) to the extent applicable, and will be interpreted in a manner intended to comply with Section 409A of the Code. Notwithstanding anything herein to the contrary, if at the time of your termination of employment with the Company you are a “specified employee” as defined in Section 409A of the Code (and any related regulations or other pronouncements thereunder) and the deferral of the commencement of any payments or benefits otherwise payable hereunder or under the LTI Plans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you) until the expiration of the six-month period measured from the date of your separation from service with the Company (or the earliest date as is permitted under Section 409A of the Code). On the first day of the seventh month following the date of your separation from service, or if earlier, the date of your death, all payments delayed pursuant to this paragraph (whether they would have otherwise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2" w:right="339" w:bottom="1440" w:gutter="0" w:footer="0" w:header="0"/>
        </w:sectPr>
      </w:pPr>
    </w:p>
    <w:bookmarkStart w:id="271" w:name="page272"/>
    <w:bookmarkEnd w:id="271"/>
    <w:p>
      <w:pPr>
        <w:jc w:val="both"/>
        <w:spacing w:after="0" w:line="287" w:lineRule="auto"/>
        <w:rPr>
          <w:sz w:val="20"/>
          <w:szCs w:val="20"/>
          <w:color w:val="auto"/>
        </w:rPr>
      </w:pPr>
      <w:r>
        <w:rPr>
          <w:rFonts w:ascii="Arial" w:cs="Arial" w:eastAsia="Arial" w:hAnsi="Arial"/>
          <w:sz w:val="19"/>
          <w:szCs w:val="19"/>
          <w:color w:val="auto"/>
        </w:rPr>
        <w:t xml:space="preserve">paid or reimbursed to you in a single sum or in installments) shall be paid or reimbursed to you in a single sum and any remaining payments and benefits due under this Agreement shall be paid or provided in accordance with the normal dates specified for them in this Agreement. In addition, if any other payments of money or other benefits due to you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Company, that does not cause such an accelerated or additional tax. To the extent any reimbursements or in-kind benefits due to you under this Agreement constitute “deferred compensation” under Section 409A of the Code, any such reimbursements or in-kind benefits shall be paid to you in a manner consistent with Treas. Reg. Section 1.409A-3(i)(l)(iv) or (v), as applicable. Each payment made under this Agreement shall be designated as a “separate payment” within the meaning of Section 409A of the Code. The Company shall consult with you in good faith regarding the implementation of the provisions of this </w:t>
      </w:r>
      <w:r>
        <w:rPr>
          <w:rFonts w:ascii="Arial" w:cs="Arial" w:eastAsia="Arial" w:hAnsi="Arial"/>
          <w:sz w:val="19"/>
          <w:szCs w:val="19"/>
          <w:u w:val="single" w:color="auto"/>
          <w:color w:val="auto"/>
        </w:rPr>
        <w:t>Section 7.8</w:t>
      </w:r>
      <w:r>
        <w:rPr>
          <w:rFonts w:ascii="Arial" w:cs="Arial" w:eastAsia="Arial" w:hAnsi="Arial"/>
          <w:sz w:val="19"/>
          <w:szCs w:val="19"/>
          <w:color w:val="auto"/>
        </w:rPr>
        <w:t>.</w:t>
      </w:r>
    </w:p>
    <w:p>
      <w:pPr>
        <w:spacing w:after="0" w:line="16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010000"/>
        </w:rPr>
        <w:t>7.9</w:t>
      </w:r>
      <w:r>
        <w:rPr>
          <w:sz w:val="20"/>
          <w:szCs w:val="20"/>
          <w:color w:val="auto"/>
        </w:rPr>
        <w:tab/>
      </w:r>
      <w:r>
        <w:rPr>
          <w:rFonts w:ascii="Arial" w:cs="Arial" w:eastAsia="Arial" w:hAnsi="Arial"/>
          <w:sz w:val="19"/>
          <w:szCs w:val="19"/>
          <w:u w:val="single" w:color="auto"/>
          <w:color w:val="auto"/>
        </w:rPr>
        <w:t>Section 280G</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90" w:lineRule="auto"/>
        <w:tabs>
          <w:tab w:leader="none" w:pos="2454" w:val="left"/>
        </w:tabs>
        <w:numPr>
          <w:ilvl w:val="0"/>
          <w:numId w:val="160"/>
        </w:numPr>
        <w:rPr>
          <w:rFonts w:ascii="Arial" w:cs="Arial" w:eastAsia="Arial" w:hAnsi="Arial"/>
          <w:sz w:val="19"/>
          <w:szCs w:val="19"/>
          <w:color w:val="010000"/>
        </w:rPr>
      </w:pPr>
      <w:r>
        <w:rPr>
          <w:rFonts w:ascii="Arial" w:cs="Arial" w:eastAsia="Arial" w:hAnsi="Arial"/>
          <w:sz w:val="19"/>
          <w:szCs w:val="19"/>
          <w:color w:val="auto"/>
        </w:rPr>
        <w:t>If any of the payments or benefits received or to be received by you (including, without limitation, any payment or benefits received in connection with your Separation of Service, whether pursuant to the terms of this Agreement or any other plan, arrangement, or agreement, or otherwise) (all such payments collectively referred to herein as the “</w:t>
      </w:r>
      <w:r>
        <w:rPr>
          <w:rFonts w:ascii="Arial" w:cs="Arial" w:eastAsia="Arial" w:hAnsi="Arial"/>
          <w:sz w:val="19"/>
          <w:szCs w:val="19"/>
          <w:b w:val="1"/>
          <w:bCs w:val="1"/>
          <w:color w:val="auto"/>
        </w:rPr>
        <w:t>280G</w:t>
      </w:r>
      <w:r>
        <w:rPr>
          <w:rFonts w:ascii="Arial" w:cs="Arial" w:eastAsia="Arial" w:hAnsi="Arial"/>
          <w:sz w:val="19"/>
          <w:szCs w:val="19"/>
          <w:color w:val="auto"/>
        </w:rPr>
        <w:t xml:space="preserve"> </w:t>
      </w:r>
      <w:r>
        <w:rPr>
          <w:rFonts w:ascii="Arial" w:cs="Arial" w:eastAsia="Arial" w:hAnsi="Arial"/>
          <w:sz w:val="19"/>
          <w:szCs w:val="19"/>
          <w:b w:val="1"/>
          <w:bCs w:val="1"/>
          <w:color w:val="auto"/>
        </w:rPr>
        <w:t>Payments</w:t>
      </w:r>
      <w:r>
        <w:rPr>
          <w:rFonts w:ascii="Arial" w:cs="Arial" w:eastAsia="Arial" w:hAnsi="Arial"/>
          <w:sz w:val="19"/>
          <w:szCs w:val="19"/>
          <w:color w:val="auto"/>
        </w:rPr>
        <w:t>”) constitute “parachute payments” within the meaning of Section 280G of the Code and will be subject to the excise</w:t>
      </w:r>
      <w:r>
        <w:rPr>
          <w:rFonts w:ascii="Arial" w:cs="Arial" w:eastAsia="Arial" w:hAnsi="Arial"/>
          <w:sz w:val="19"/>
          <w:szCs w:val="19"/>
          <w:b w:val="1"/>
          <w:bCs w:val="1"/>
          <w:color w:val="auto"/>
        </w:rPr>
        <w:t xml:space="preserve"> </w:t>
      </w:r>
      <w:r>
        <w:rPr>
          <w:rFonts w:ascii="Arial" w:cs="Arial" w:eastAsia="Arial" w:hAnsi="Arial"/>
          <w:sz w:val="19"/>
          <w:szCs w:val="19"/>
          <w:color w:val="auto"/>
        </w:rPr>
        <w:t>tax imposed under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such 280G Payments will be reduced in a manner determined by the Company (by the minimum possible amounts) that is consistent with the requirements of Section 409A until no amount payable to you will be subject to the Excise Tax. If two economically equivalent amounts are subject to reduction but are payable at different times, the amounts will be reduced (but not below zero) on a pro rata basis.</w:t>
      </w:r>
    </w:p>
    <w:p>
      <w:pPr>
        <w:spacing w:after="0" w:line="155" w:lineRule="exact"/>
        <w:rPr>
          <w:rFonts w:ascii="Arial" w:cs="Arial" w:eastAsia="Arial" w:hAnsi="Arial"/>
          <w:sz w:val="19"/>
          <w:szCs w:val="19"/>
          <w:color w:val="010000"/>
        </w:rPr>
      </w:pPr>
    </w:p>
    <w:p>
      <w:pPr>
        <w:jc w:val="both"/>
        <w:ind w:firstLine="1952"/>
        <w:spacing w:after="0" w:line="292" w:lineRule="auto"/>
        <w:tabs>
          <w:tab w:leader="none" w:pos="2479" w:val="left"/>
        </w:tabs>
        <w:numPr>
          <w:ilvl w:val="0"/>
          <w:numId w:val="160"/>
        </w:numPr>
        <w:rPr>
          <w:rFonts w:ascii="Arial" w:cs="Arial" w:eastAsia="Arial" w:hAnsi="Arial"/>
          <w:sz w:val="19"/>
          <w:szCs w:val="19"/>
          <w:color w:val="010000"/>
        </w:rPr>
      </w:pPr>
      <w:r>
        <w:rPr>
          <w:rFonts w:ascii="Arial" w:cs="Arial" w:eastAsia="Arial" w:hAnsi="Arial"/>
          <w:sz w:val="19"/>
          <w:szCs w:val="19"/>
          <w:color w:val="auto"/>
        </w:rPr>
        <w:t>All calculations and determinations under this Section will be made by an independent accounting firm, independent consultant or independent tax counsel appointed by the Company (the “</w:t>
      </w:r>
      <w:r>
        <w:rPr>
          <w:rFonts w:ascii="Arial" w:cs="Arial" w:eastAsia="Arial" w:hAnsi="Arial"/>
          <w:sz w:val="19"/>
          <w:szCs w:val="19"/>
          <w:b w:val="1"/>
          <w:bCs w:val="1"/>
          <w:color w:val="auto"/>
        </w:rPr>
        <w:t>Tax Counsel</w:t>
      </w:r>
      <w:r>
        <w:rPr>
          <w:rFonts w:ascii="Arial" w:cs="Arial" w:eastAsia="Arial" w:hAnsi="Arial"/>
          <w:sz w:val="19"/>
          <w:szCs w:val="19"/>
          <w:color w:val="auto"/>
        </w:rPr>
        <w:t>”) whose determinations will be conclusive and binding on the Company and you for all purposes. For purposes of making the calculations and determinations required by this Section, the Tax Counsel may rely on reasonable, good faith assumptions and approximations concerning the application of Section 280G and Section 4999 of the Code. The Company and you will furnish the Tax Counsel with such information and documents as the Tax Counsel may reasonably request in order to make its determinations under this Section. The Company will bear all costs the Tax Counsel may reasonably incur in connection with its services.</w:t>
      </w:r>
    </w:p>
    <w:p>
      <w:pPr>
        <w:spacing w:after="0" w:line="15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010000"/>
        </w:rPr>
        <w:t xml:space="preserve">7.10 </w:t>
      </w:r>
      <w:r>
        <w:rPr>
          <w:rFonts w:ascii="Arial" w:cs="Arial" w:eastAsia="Arial" w:hAnsi="Arial"/>
          <w:sz w:val="21"/>
          <w:szCs w:val="21"/>
          <w:u w:val="single" w:color="auto"/>
          <w:color w:val="000000"/>
        </w:rPr>
        <w:t>No Offset</w:t>
      </w:r>
      <w:r>
        <w:rPr>
          <w:rFonts w:ascii="Arial" w:cs="Arial" w:eastAsia="Arial" w:hAnsi="Arial"/>
          <w:sz w:val="21"/>
          <w:szCs w:val="21"/>
          <w:color w:val="000000"/>
        </w:rPr>
        <w:t>. Neither you nor the Company shall have any right to offset any amounts owed by one party</w:t>
      </w:r>
      <w:r>
        <w:rPr>
          <w:rFonts w:ascii="Arial" w:cs="Arial" w:eastAsia="Arial" w:hAnsi="Arial"/>
          <w:sz w:val="21"/>
          <w:szCs w:val="21"/>
          <w:color w:val="010000"/>
        </w:rPr>
        <w:t xml:space="preserve"> </w:t>
      </w:r>
      <w:r>
        <w:rPr>
          <w:rFonts w:ascii="Arial" w:cs="Arial" w:eastAsia="Arial" w:hAnsi="Arial"/>
          <w:sz w:val="21"/>
          <w:szCs w:val="21"/>
          <w:color w:val="000000"/>
        </w:rPr>
        <w:t>hereunder against amounts owed or claimed to be owed to such party, whether pursuant to this Agreement or otherwise, and you and the Company shall make all the payments provided for in this Agreement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72" w:name="page273"/>
    <w:bookmarkEnd w:id="272"/>
    <w:p>
      <w:pPr>
        <w:jc w:val="both"/>
        <w:ind w:firstLine="1296"/>
        <w:spacing w:after="0" w:line="250" w:lineRule="auto"/>
        <w:rPr>
          <w:sz w:val="20"/>
          <w:szCs w:val="20"/>
          <w:color w:val="auto"/>
        </w:rPr>
      </w:pPr>
      <w:r>
        <w:rPr>
          <w:rFonts w:ascii="Arial" w:cs="Arial" w:eastAsia="Arial" w:hAnsi="Arial"/>
          <w:sz w:val="22"/>
          <w:szCs w:val="22"/>
          <w:color w:val="010000"/>
        </w:rPr>
        <w:t xml:space="preserve">7.11 </w:t>
      </w:r>
      <w:r>
        <w:rPr>
          <w:rFonts w:ascii="Arial" w:cs="Arial" w:eastAsia="Arial" w:hAnsi="Arial"/>
          <w:sz w:val="22"/>
          <w:szCs w:val="22"/>
          <w:u w:val="single" w:color="auto"/>
          <w:color w:val="000000"/>
        </w:rPr>
        <w:t>Beneficiaries</w:t>
      </w:r>
      <w:r>
        <w:rPr>
          <w:rFonts w:ascii="Arial" w:cs="Arial" w:eastAsia="Arial" w:hAnsi="Arial"/>
          <w:sz w:val="22"/>
          <w:szCs w:val="22"/>
          <w:color w:val="000000"/>
        </w:rPr>
        <w:t>. Whenever this Agreement provides for any payment to your estate, such payment may be</w:t>
      </w:r>
      <w:r>
        <w:rPr>
          <w:rFonts w:ascii="Arial" w:cs="Arial" w:eastAsia="Arial" w:hAnsi="Arial"/>
          <w:sz w:val="22"/>
          <w:szCs w:val="22"/>
          <w:color w:val="010000"/>
        </w:rPr>
        <w:t xml:space="preserve"> </w:t>
      </w:r>
      <w:r>
        <w:rPr>
          <w:rFonts w:ascii="Arial" w:cs="Arial" w:eastAsia="Arial" w:hAnsi="Arial"/>
          <w:sz w:val="22"/>
          <w:szCs w:val="22"/>
          <w:color w:val="000000"/>
        </w:rPr>
        <w:t>made instead to such beneficiary or beneficiaries as you may designate by written notice to the Company. You shall have the right to revoke any such designation and to re-designate a beneficiary or beneficiaries by written notice to the Company (and to any applicable insurance company) to such effect.</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010000"/>
        </w:rPr>
        <w:t xml:space="preserve">7.12 </w:t>
      </w:r>
      <w:r>
        <w:rPr>
          <w:rFonts w:ascii="Arial" w:cs="Arial" w:eastAsia="Arial" w:hAnsi="Arial"/>
          <w:sz w:val="21"/>
          <w:szCs w:val="21"/>
          <w:u w:val="single" w:color="auto"/>
          <w:color w:val="000000"/>
        </w:rPr>
        <w:t>Compliance with SSA and Proxy Agreement</w:t>
      </w:r>
      <w:r>
        <w:rPr>
          <w:rFonts w:ascii="Arial" w:cs="Arial" w:eastAsia="Arial" w:hAnsi="Arial"/>
          <w:sz w:val="21"/>
          <w:szCs w:val="21"/>
          <w:color w:val="000000"/>
        </w:rPr>
        <w:t>. The parties agree that the terms of this Agreement and the</w:t>
      </w:r>
      <w:r>
        <w:rPr>
          <w:rFonts w:ascii="Arial" w:cs="Arial" w:eastAsia="Arial" w:hAnsi="Arial"/>
          <w:sz w:val="21"/>
          <w:szCs w:val="21"/>
          <w:color w:val="010000"/>
        </w:rPr>
        <w:t xml:space="preserve"> </w:t>
      </w:r>
      <w:r>
        <w:rPr>
          <w:rFonts w:ascii="Arial" w:cs="Arial" w:eastAsia="Arial" w:hAnsi="Arial"/>
          <w:sz w:val="21"/>
          <w:szCs w:val="21"/>
          <w:color w:val="000000"/>
        </w:rPr>
        <w:t>performance of the parties’ obligations contemplated herein are intended to be subject to any Special Security Agreement (“</w:t>
      </w:r>
      <w:r>
        <w:rPr>
          <w:rFonts w:ascii="Arial" w:cs="Arial" w:eastAsia="Arial" w:hAnsi="Arial"/>
          <w:sz w:val="21"/>
          <w:szCs w:val="21"/>
          <w:b w:val="1"/>
          <w:bCs w:val="1"/>
          <w:color w:val="000000"/>
        </w:rPr>
        <w:t>SSA</w:t>
      </w:r>
      <w:r>
        <w:rPr>
          <w:rFonts w:ascii="Arial" w:cs="Arial" w:eastAsia="Arial" w:hAnsi="Arial"/>
          <w:sz w:val="21"/>
          <w:szCs w:val="21"/>
          <w:color w:val="000000"/>
        </w:rPr>
        <w:t>”) or Proxy Agreement entered into between the Company and the Department of Defense. To the extent that any provision of this Agreement is prohibited or invalid under the terms of any SSA or Proxy Agreement, (a) such provision shall be ineffective only to the extent of such prohibition or invalidity, without invalidating the remainder of such provision or the remaining provisions of this Agreement, and (b) the Company and you agree to negotiate in good faith such changes as may be necessary to comply with the terms of any SSA or Proxy Agreement and to preserve to the maximum extent possible, the rights and obligations of the parties hereto.</w:t>
      </w:r>
    </w:p>
    <w:p>
      <w:pPr>
        <w:spacing w:after="0" w:line="183"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010000"/>
        </w:rPr>
        <w:t xml:space="preserve">7.13 </w:t>
      </w:r>
      <w:r>
        <w:rPr>
          <w:rFonts w:ascii="Arial" w:cs="Arial" w:eastAsia="Arial" w:hAnsi="Arial"/>
          <w:sz w:val="19"/>
          <w:szCs w:val="19"/>
          <w:u w:val="single" w:color="auto"/>
          <w:color w:val="000000"/>
        </w:rPr>
        <w:t>Successor</w:t>
      </w:r>
      <w:r>
        <w:rPr>
          <w:rFonts w:ascii="Arial" w:cs="Arial" w:eastAsia="Arial" w:hAnsi="Arial"/>
          <w:sz w:val="19"/>
          <w:szCs w:val="19"/>
          <w:color w:val="000000"/>
        </w:rPr>
        <w:t>. The Company shall require any successor (whether direct or indirect, by purchase, merger,</w:t>
      </w:r>
      <w:r>
        <w:rPr>
          <w:rFonts w:ascii="Arial" w:cs="Arial" w:eastAsia="Arial" w:hAnsi="Arial"/>
          <w:sz w:val="19"/>
          <w:szCs w:val="19"/>
          <w:color w:val="010000"/>
        </w:rPr>
        <w:t xml:space="preserve"> </w:t>
      </w:r>
      <w:r>
        <w:rPr>
          <w:rFonts w:ascii="Arial" w:cs="Arial" w:eastAsia="Arial" w:hAnsi="Arial"/>
          <w:sz w:val="19"/>
          <w:szCs w:val="19"/>
          <w:color w:val="000000"/>
        </w:rPr>
        <w:t>consolidation or otherwise) to all or substantially all of the business or assets of the Company to assume and agree to perform this Agreement in the same manner and to the same extent as the Company would be required to perform if no such succession had occurred. As used in this Agreement, “</w:t>
      </w:r>
      <w:r>
        <w:rPr>
          <w:rFonts w:ascii="Arial" w:cs="Arial" w:eastAsia="Arial" w:hAnsi="Arial"/>
          <w:sz w:val="19"/>
          <w:szCs w:val="19"/>
          <w:b w:val="1"/>
          <w:bCs w:val="1"/>
          <w:color w:val="000000"/>
        </w:rPr>
        <w:t>Company</w:t>
      </w:r>
      <w:r>
        <w:rPr>
          <w:rFonts w:ascii="Arial" w:cs="Arial" w:eastAsia="Arial" w:hAnsi="Arial"/>
          <w:sz w:val="19"/>
          <w:szCs w:val="19"/>
          <w:color w:val="000000"/>
        </w:rPr>
        <w:t>” shall mean the Company as defined above and any successor to all or substantially all of its business or assets which becomes bound by all of the terms and conditions of this Agreement.</w:t>
      </w:r>
    </w:p>
    <w:p>
      <w:pPr>
        <w:spacing w:after="0" w:line="14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7.14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any number of counterparts and by facsimile or .pdf, all</w:t>
      </w:r>
      <w:r>
        <w:rPr>
          <w:rFonts w:ascii="Arial" w:cs="Arial" w:eastAsia="Arial" w:hAnsi="Arial"/>
          <w:sz w:val="22"/>
          <w:szCs w:val="22"/>
          <w:color w:val="010000"/>
        </w:rPr>
        <w:t xml:space="preserve"> </w:t>
      </w:r>
      <w:r>
        <w:rPr>
          <w:rFonts w:ascii="Arial" w:cs="Arial" w:eastAsia="Arial" w:hAnsi="Arial"/>
          <w:sz w:val="22"/>
          <w:szCs w:val="22"/>
          <w:color w:val="000000"/>
        </w:rPr>
        <w:t>of which shall constitute one original instrument.</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7.15 </w:t>
      </w:r>
      <w:r>
        <w:rPr>
          <w:rFonts w:ascii="Arial" w:cs="Arial" w:eastAsia="Arial" w:hAnsi="Arial"/>
          <w:sz w:val="22"/>
          <w:szCs w:val="22"/>
          <w:u w:val="single" w:color="auto"/>
          <w:color w:val="000000"/>
        </w:rPr>
        <w:t>Headings</w:t>
      </w:r>
      <w:r>
        <w:rPr>
          <w:rFonts w:ascii="Arial" w:cs="Arial" w:eastAsia="Arial" w:hAnsi="Arial"/>
          <w:sz w:val="22"/>
          <w:szCs w:val="22"/>
          <w:color w:val="000000"/>
        </w:rPr>
        <w:t>. The section headings contained herein are for reference purposes only and shall not in any way</w:t>
      </w:r>
      <w:r>
        <w:rPr>
          <w:rFonts w:ascii="Arial" w:cs="Arial" w:eastAsia="Arial" w:hAnsi="Arial"/>
          <w:sz w:val="22"/>
          <w:szCs w:val="22"/>
          <w:color w:val="010000"/>
        </w:rPr>
        <w:t xml:space="preserve"> </w:t>
      </w:r>
      <w:r>
        <w:rPr>
          <w:rFonts w:ascii="Arial" w:cs="Arial" w:eastAsia="Arial" w:hAnsi="Arial"/>
          <w:sz w:val="22"/>
          <w:szCs w:val="22"/>
          <w:color w:val="000000"/>
        </w:rPr>
        <w:t>affect the meaning or interpretation of this Agreement.</w:t>
      </w:r>
    </w:p>
    <w:p>
      <w:pPr>
        <w:spacing w:after="0" w:line="17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010000"/>
        </w:rPr>
        <w:t xml:space="preserve">7.16 </w:t>
      </w:r>
      <w:r>
        <w:rPr>
          <w:rFonts w:ascii="Arial" w:cs="Arial" w:eastAsia="Arial" w:hAnsi="Arial"/>
          <w:sz w:val="19"/>
          <w:szCs w:val="19"/>
          <w:u w:val="single" w:color="auto"/>
          <w:color w:val="000000"/>
        </w:rPr>
        <w:t>Entire Agreement</w:t>
      </w:r>
      <w:r>
        <w:rPr>
          <w:rFonts w:ascii="Arial" w:cs="Arial" w:eastAsia="Arial" w:hAnsi="Arial"/>
          <w:sz w:val="19"/>
          <w:szCs w:val="19"/>
          <w:color w:val="000000"/>
        </w:rPr>
        <w:t>. This letter and the documents and agreements referenced herein constitute the entire</w:t>
      </w:r>
      <w:r>
        <w:rPr>
          <w:rFonts w:ascii="Arial" w:cs="Arial" w:eastAsia="Arial" w:hAnsi="Arial"/>
          <w:sz w:val="19"/>
          <w:szCs w:val="19"/>
          <w:color w:val="010000"/>
        </w:rPr>
        <w:t xml:space="preserve"> </w:t>
      </w:r>
      <w:r>
        <w:rPr>
          <w:rFonts w:ascii="Arial" w:cs="Arial" w:eastAsia="Arial" w:hAnsi="Arial"/>
          <w:sz w:val="19"/>
          <w:szCs w:val="19"/>
          <w:color w:val="000000"/>
        </w:rPr>
        <w:t>agreement between you and the Company with respect to the subject matter hereof and as of the Effective Date will supersede any and all prior or contemporaneous oral or written representations, understandings, agreements or communications between you and the Company concerning those subject matters, including but not limited to the employment agreement between you and the Company dated as of May 1, 2014 and the employment agreement between you and the Company dated as of May 3, 2017. The terms set forth in this letter shall not be changed, altered, modified or amended, except by a written agreement that</w:t>
      </w:r>
    </w:p>
    <w:p>
      <w:pPr>
        <w:ind w:right="20" w:firstLine="8"/>
        <w:spacing w:after="0" w:line="269" w:lineRule="auto"/>
        <w:tabs>
          <w:tab w:leader="none" w:pos="278" w:val="left"/>
        </w:tabs>
        <w:numPr>
          <w:ilvl w:val="0"/>
          <w:numId w:val="161"/>
        </w:numPr>
        <w:rPr>
          <w:rFonts w:ascii="Arial" w:cs="Arial" w:eastAsia="Arial" w:hAnsi="Arial"/>
          <w:sz w:val="21"/>
          <w:szCs w:val="21"/>
          <w:color w:val="auto"/>
        </w:rPr>
      </w:pPr>
      <w:r>
        <w:rPr>
          <w:rFonts w:ascii="Arial" w:cs="Arial" w:eastAsia="Arial" w:hAnsi="Arial"/>
          <w:sz w:val="21"/>
          <w:szCs w:val="21"/>
          <w:color w:val="auto"/>
        </w:rPr>
        <w:t>explicitly states the intent of both parties hereto to supplement this offer letter and (ii) is signed by both parties hereto. No provision of this Agreement is intended to confer on any person not a party hereto any rights or remedies.</w:t>
      </w:r>
    </w:p>
    <w:p>
      <w:pPr>
        <w:spacing w:after="0" w:line="17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7.17 </w:t>
      </w:r>
      <w:r>
        <w:rPr>
          <w:rFonts w:ascii="Arial" w:cs="Arial" w:eastAsia="Arial" w:hAnsi="Arial"/>
          <w:sz w:val="22"/>
          <w:szCs w:val="22"/>
          <w:u w:val="single" w:color="auto"/>
          <w:color w:val="000000"/>
        </w:rPr>
        <w:t>No Mitigation</w:t>
      </w:r>
      <w:r>
        <w:rPr>
          <w:rFonts w:ascii="Arial" w:cs="Arial" w:eastAsia="Arial" w:hAnsi="Arial"/>
          <w:sz w:val="22"/>
          <w:szCs w:val="22"/>
          <w:color w:val="000000"/>
        </w:rPr>
        <w:t>. The Company agrees that, if your employment with the Company terminates, you shall not</w:t>
      </w:r>
      <w:r>
        <w:rPr>
          <w:rFonts w:ascii="Arial" w:cs="Arial" w:eastAsia="Arial" w:hAnsi="Arial"/>
          <w:sz w:val="22"/>
          <w:szCs w:val="22"/>
          <w:color w:val="010000"/>
        </w:rPr>
        <w:t xml:space="preserve"> </w:t>
      </w:r>
      <w:r>
        <w:rPr>
          <w:rFonts w:ascii="Arial" w:cs="Arial" w:eastAsia="Arial" w:hAnsi="Arial"/>
          <w:sz w:val="22"/>
          <w:szCs w:val="22"/>
          <w:color w:val="000000"/>
        </w:rPr>
        <w:t xml:space="preserve">be required to seek other employment or to attempt in any way to reduce any amounts payable to you by the Company pursuant to </w:t>
      </w:r>
      <w:r>
        <w:rPr>
          <w:rFonts w:ascii="Arial" w:cs="Arial" w:eastAsia="Arial" w:hAnsi="Arial"/>
          <w:sz w:val="22"/>
          <w:szCs w:val="22"/>
          <w:u w:val="single" w:color="auto"/>
          <w:color w:val="000000"/>
        </w:rPr>
        <w:t>Section 4</w:t>
      </w:r>
      <w:r>
        <w:rPr>
          <w:rFonts w:ascii="Arial" w:cs="Arial" w:eastAsia="Arial" w:hAnsi="Arial"/>
          <w:sz w:val="22"/>
          <w:szCs w:val="22"/>
          <w:color w:val="000000"/>
        </w:rPr>
        <w:t>. Further,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73" w:name="page274"/>
    <w:bookmarkEnd w:id="273"/>
    <w:p>
      <w:pPr>
        <w:jc w:val="both"/>
        <w:spacing w:after="0" w:line="263" w:lineRule="auto"/>
        <w:rPr>
          <w:sz w:val="20"/>
          <w:szCs w:val="20"/>
          <w:color w:val="auto"/>
        </w:rPr>
      </w:pPr>
      <w:r>
        <w:rPr>
          <w:rFonts w:ascii="Arial" w:cs="Arial" w:eastAsia="Arial" w:hAnsi="Arial"/>
          <w:sz w:val="22"/>
          <w:szCs w:val="22"/>
          <w:color w:val="auto"/>
        </w:rPr>
        <w:t>payment or benefit provided for in this Agreement shall be reduced by any compensation earned by you as the result of retirement benefits or as a result of you providing services to another Person.</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7.18 </w:t>
      </w:r>
      <w:r>
        <w:rPr>
          <w:rFonts w:ascii="Arial" w:cs="Arial" w:eastAsia="Arial" w:hAnsi="Arial"/>
          <w:sz w:val="22"/>
          <w:szCs w:val="22"/>
          <w:u w:val="single" w:color="auto"/>
          <w:color w:val="000000"/>
        </w:rPr>
        <w:t>Survival</w:t>
      </w:r>
      <w:r>
        <w:rPr>
          <w:rFonts w:ascii="Arial" w:cs="Arial" w:eastAsia="Arial" w:hAnsi="Arial"/>
          <w:sz w:val="22"/>
          <w:szCs w:val="22"/>
          <w:color w:val="000000"/>
        </w:rPr>
        <w:t>. Provisions of this Agreement which by their terms must survive the termination of this</w:t>
      </w:r>
      <w:r>
        <w:rPr>
          <w:rFonts w:ascii="Arial" w:cs="Arial" w:eastAsia="Arial" w:hAnsi="Arial"/>
          <w:sz w:val="22"/>
          <w:szCs w:val="22"/>
          <w:color w:val="010000"/>
        </w:rPr>
        <w:t xml:space="preserve"> </w:t>
      </w:r>
      <w:r>
        <w:rPr>
          <w:rFonts w:ascii="Arial" w:cs="Arial" w:eastAsia="Arial" w:hAnsi="Arial"/>
          <w:sz w:val="22"/>
          <w:szCs w:val="22"/>
          <w:color w:val="000000"/>
        </w:rPr>
        <w:t xml:space="preserve">Agreement in order to effectuate the intent of the parties will survive any such termination, whether by termination of your employment or otherwise, for such period as may be appropriate under the circumstances. Such provisions include, without limitation, </w:t>
      </w:r>
      <w:r>
        <w:rPr>
          <w:rFonts w:ascii="Arial" w:cs="Arial" w:eastAsia="Arial" w:hAnsi="Arial"/>
          <w:sz w:val="22"/>
          <w:szCs w:val="22"/>
          <w:u w:val="single" w:color="auto"/>
          <w:color w:val="000000"/>
        </w:rPr>
        <w:t>Sections 4</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5</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6</w:t>
      </w:r>
      <w:r>
        <w:rPr>
          <w:rFonts w:ascii="Arial" w:cs="Arial" w:eastAsia="Arial" w:hAnsi="Arial"/>
          <w:sz w:val="22"/>
          <w:szCs w:val="22"/>
          <w:color w:val="000000"/>
        </w:rPr>
        <w:t xml:space="preserve"> and </w:t>
      </w:r>
      <w:r>
        <w:rPr>
          <w:rFonts w:ascii="Arial" w:cs="Arial" w:eastAsia="Arial" w:hAnsi="Arial"/>
          <w:sz w:val="22"/>
          <w:szCs w:val="22"/>
          <w:u w:val="single" w:color="auto"/>
          <w:color w:val="000000"/>
        </w:rPr>
        <w:t>7</w:t>
      </w:r>
      <w:r>
        <w:rPr>
          <w:rFonts w:ascii="Arial" w:cs="Arial" w:eastAsia="Arial" w:hAnsi="Arial"/>
          <w:sz w:val="22"/>
          <w:szCs w:val="22"/>
          <w:color w:val="000000"/>
        </w:rPr>
        <w: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 accept this offer, please sign this letter in the space provided below and return to Tami Gesiskie, Senior Vice President, Human Resources. We are pleased to reach agreement regarding your continued service to the Company and look forward to receiving your acceptance of this offer by 11:59 pm (ET) on March 12,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74" w:name="page275"/>
    <w:bookmarkEnd w:id="274"/>
    <w:p>
      <w:pPr>
        <w:ind w:firstLine="648"/>
        <w:spacing w:after="0" w:line="263" w:lineRule="auto"/>
        <w:rPr>
          <w:sz w:val="20"/>
          <w:szCs w:val="20"/>
          <w:color w:val="auto"/>
        </w:rPr>
      </w:pPr>
      <w:r>
        <w:rPr>
          <w:rFonts w:ascii="Arial" w:cs="Arial" w:eastAsia="Arial" w:hAnsi="Arial"/>
          <w:sz w:val="22"/>
          <w:szCs w:val="22"/>
          <w:color w:val="auto"/>
        </w:rPr>
        <w:t>IN WITNESS WHEREOF, the parties hereto have executed and delivered this Agreement with legal and binding effect as of the day and year first above written.</w:t>
      </w:r>
    </w:p>
    <w:p>
      <w:pPr>
        <w:spacing w:after="0" w:line="229"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LEONARDO DRS, INC.</w:t>
      </w:r>
    </w:p>
    <w:p>
      <w:pPr>
        <w:spacing w:after="0" w:line="200" w:lineRule="exact"/>
        <w:rPr>
          <w:sz w:val="20"/>
          <w:szCs w:val="20"/>
          <w:color w:val="auto"/>
        </w:rPr>
      </w:pPr>
    </w:p>
    <w:p>
      <w:pPr>
        <w:spacing w:after="0" w:line="398"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24130</wp:posOffset>
            </wp:positionV>
            <wp:extent cx="30772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p>
      <w:pPr>
        <w:spacing w:after="0" w:line="71" w:lineRule="exact"/>
        <w:rPr>
          <w:sz w:val="20"/>
          <w:szCs w:val="20"/>
          <w:color w:val="auto"/>
        </w:rPr>
      </w:pPr>
    </w:p>
    <w:p>
      <w:pPr>
        <w:ind w:left="64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Frances F. Townsend</w:t>
      </w:r>
    </w:p>
    <w:p>
      <w:pPr>
        <w:spacing w:after="0" w:line="103" w:lineRule="exact"/>
        <w:rPr>
          <w:sz w:val="20"/>
          <w:szCs w:val="20"/>
          <w:color w:val="auto"/>
        </w:rPr>
      </w:pPr>
    </w:p>
    <w:p>
      <w:pPr>
        <w:sectPr>
          <w:pgSz w:w="11900" w:h="16838" w:orient="portrait"/>
          <w:cols w:equalWidth="0" w:num="2">
            <w:col w:w="6980" w:space="420"/>
            <w:col w:w="3840"/>
          </w:cols>
          <w:pgMar w:left="320" w:top="1428" w:right="339" w:bottom="1440" w:gutter="0" w:footer="0" w:header="0"/>
          <w:type w:val="continuous"/>
        </w:sectPr>
      </w:pPr>
    </w:p>
    <w:p>
      <w:pPr>
        <w:ind w:left="64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Compensation Committee Chair</w:t>
      </w:r>
    </w:p>
    <w:p>
      <w:pPr>
        <w:spacing w:after="0" w:line="222" w:lineRule="exact"/>
        <w:rPr>
          <w:sz w:val="20"/>
          <w:szCs w:val="20"/>
          <w:color w:val="auto"/>
        </w:rPr>
      </w:pPr>
    </w:p>
    <w:p>
      <w:pPr>
        <w:sectPr>
          <w:pgSz w:w="11900" w:h="16838" w:orient="portrait"/>
          <w:cols w:equalWidth="0" w:num="2">
            <w:col w:w="6880" w:space="520"/>
            <w:col w:w="3840"/>
          </w:cols>
          <w:pgMar w:left="320" w:top="1428" w:right="33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WILLIAM J. LYNN III</w:t>
      </w:r>
    </w:p>
    <w:p>
      <w:pPr>
        <w:spacing w:after="0" w:line="200" w:lineRule="exact"/>
        <w:rPr>
          <w:sz w:val="20"/>
          <w:szCs w:val="20"/>
          <w:color w:val="auto"/>
        </w:rPr>
      </w:pPr>
    </w:p>
    <w:p>
      <w:pPr>
        <w:spacing w:after="0" w:line="398"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24130</wp:posOffset>
            </wp:positionV>
            <wp:extent cx="30772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51"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428" w:right="339" w:bottom="1440" w:gutter="0" w:footer="0" w:header="0"/>
          <w:type w:val="continuous"/>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Published Deal CUSIP: 52660HAA2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Revolver Facility CUSIP: 52660HAB0</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Term Loan A Facility CUSIP: 52660HAC8</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CREDIT AGREEMENT</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 2021</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among</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LEONARDO DRS,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the Borrower,</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CERTAIN SUBSIDIARIES OF LEONARDO DRS,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Guarantors</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BANK OF AMERICA, N.A.,</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Administrative Agent, Swing Line Lender [and [an] L/C Issuer,]</w:t>
      </w:r>
    </w:p>
    <w:p>
      <w:pPr>
        <w:spacing w:after="0" w:line="229"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[The Other L/C Issuers Party Hereto,]</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GOLDMAN SACHS BANK USA,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BOFA SECURITIES, INC. ,</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JPMORGAN CHASE BANK, N.A.</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BARCLAYS BANK PLC,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CITIBANK, N.A., LONDON BRANCH,</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CREDIT SUISSE LOAN FUNDING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MORGAN STANLEY SENIOR FUNDING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Lead Arrangers and Bookrunners,</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GOLDMAN SACHS BANK USA,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JPMORGAN CHASE BANK, N.A.,</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Syndication Agents,</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BARCLAYS BANK PLC,</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CITIBANK, N.A., LONDON BRANCH,</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CREDIT SUISSE LOAN FUNDING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MORGAN STANLEY SENIOR FUNDING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Documentation Agents,</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Lenders Party Hereto</w:t>
      </w:r>
    </w:p>
    <w:p>
      <w:pPr>
        <w:spacing w:after="0" w:line="11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________________________________________________________</w:t>
      </w:r>
    </w:p>
    <w:p>
      <w:pPr>
        <w:spacing w:after="0" w:line="247" w:lineRule="exact"/>
        <w:rPr>
          <w:sz w:val="20"/>
          <w:szCs w:val="20"/>
          <w:color w:val="auto"/>
        </w:rPr>
      </w:pPr>
    </w:p>
    <w:p>
      <w:pPr>
        <w:ind w:left="1360" w:hanging="154"/>
        <w:spacing w:after="0"/>
        <w:tabs>
          <w:tab w:leader="none" w:pos="136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100,000,000 Term A Facility and $ 200,000,000 Revolving Credit Facility</w:t>
      </w:r>
    </w:p>
    <w:p>
      <w:pPr>
        <w:spacing w:after="0" w:line="21" w:lineRule="exact"/>
        <w:rPr>
          <w:rFonts w:ascii="Arial" w:cs="Arial" w:eastAsia="Arial" w:hAnsi="Arial"/>
          <w:sz w:val="22"/>
          <w:szCs w:val="22"/>
          <w:color w:val="auto"/>
        </w:rPr>
      </w:pPr>
    </w:p>
    <w:p>
      <w:pPr>
        <w:ind w:left="148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w:t>
      </w:r>
    </w:p>
    <w:p>
      <w:pPr>
        <w:sectPr>
          <w:pgSz w:w="11900" w:h="16838" w:orient="portrait"/>
          <w:cols w:equalWidth="0" w:num="1">
            <w:col w:w="10120"/>
          </w:cols>
          <w:pgMar w:left="1440" w:top="121"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80"/>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40" w:type="dxa"/>
            <w:vAlign w:val="bottom"/>
          </w:tcPr>
          <w:p>
            <w:pPr>
              <w:ind w:left="3040"/>
              <w:spacing w:after="0"/>
              <w:rPr>
                <w:sz w:val="20"/>
                <w:szCs w:val="20"/>
                <w:color w:val="auto"/>
              </w:rPr>
            </w:pPr>
            <w:r>
              <w:rPr>
                <w:rFonts w:ascii="Arial" w:cs="Arial" w:eastAsia="Arial" w:hAnsi="Arial"/>
                <w:sz w:val="22"/>
                <w:szCs w:val="22"/>
                <w:b w:val="1"/>
                <w:bCs w:val="1"/>
                <w:color w:val="auto"/>
              </w:rPr>
              <w:t>TABLE OF CONTENTS</w:t>
            </w: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60"/>
        </w:trPr>
        <w:tc>
          <w:tcPr>
            <w:tcW w:w="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Section</w:t>
            </w:r>
          </w:p>
        </w:tc>
        <w:tc>
          <w:tcPr>
            <w:tcW w:w="74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77"/>
              </w:rPr>
              <w:t>Page</w:t>
            </w:r>
          </w:p>
        </w:tc>
      </w:tr>
      <w:tr>
        <w:trPr>
          <w:trHeight w:val="611"/>
        </w:trPr>
        <w:tc>
          <w:tcPr>
            <w:tcW w:w="8640" w:type="dxa"/>
            <w:vAlign w:val="bottom"/>
            <w:gridSpan w:val="3"/>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I.  DEFINITIONS AND ACCOUNTING TERMS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9</w:t>
            </w:r>
          </w:p>
        </w:tc>
        <w:tc>
          <w:tcPr>
            <w:tcW w:w="420" w:type="dxa"/>
            <w:vAlign w:val="bottom"/>
          </w:tcPr>
          <w:p>
            <w:pPr>
              <w:spacing w:after="0"/>
              <w:rPr>
                <w:sz w:val="24"/>
                <w:szCs w:val="24"/>
                <w:color w:val="auto"/>
              </w:rPr>
            </w:pPr>
          </w:p>
        </w:tc>
      </w:tr>
      <w:tr>
        <w:trPr>
          <w:trHeight w:val="581"/>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1.01</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Defined Terms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9</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1.02</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Other Interpretive Provisions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47</w:t>
            </w:r>
          </w:p>
        </w:tc>
        <w:tc>
          <w:tcPr>
            <w:tcW w:w="420" w:type="dxa"/>
            <w:vAlign w:val="bottom"/>
          </w:tcPr>
          <w:p>
            <w:pPr>
              <w:spacing w:after="0"/>
              <w:rPr>
                <w:sz w:val="24"/>
                <w:szCs w:val="24"/>
                <w:color w:val="auto"/>
              </w:rPr>
            </w:pPr>
          </w:p>
        </w:tc>
      </w:tr>
      <w:tr>
        <w:trPr>
          <w:trHeight w:val="311"/>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1.03</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Accounting Terms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48</w:t>
            </w:r>
          </w:p>
        </w:tc>
        <w:tc>
          <w:tcPr>
            <w:tcW w:w="420" w:type="dxa"/>
            <w:vAlign w:val="bottom"/>
          </w:tcPr>
          <w:p>
            <w:pPr>
              <w:spacing w:after="0"/>
              <w:rPr>
                <w:sz w:val="24"/>
                <w:szCs w:val="24"/>
                <w:color w:val="auto"/>
              </w:rPr>
            </w:pPr>
          </w:p>
        </w:tc>
      </w:tr>
      <w:tr>
        <w:trPr>
          <w:trHeight w:val="311"/>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1.04</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Rounding</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49</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1.05</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Times of Day</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49</w:t>
            </w:r>
          </w:p>
        </w:tc>
        <w:tc>
          <w:tcPr>
            <w:tcW w:w="420" w:type="dxa"/>
            <w:vAlign w:val="bottom"/>
          </w:tcPr>
          <w:p>
            <w:pPr>
              <w:spacing w:after="0"/>
              <w:rPr>
                <w:sz w:val="24"/>
                <w:szCs w:val="24"/>
                <w:color w:val="auto"/>
              </w:rPr>
            </w:pPr>
          </w:p>
        </w:tc>
      </w:tr>
      <w:tr>
        <w:trPr>
          <w:trHeight w:val="311"/>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1.06</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Letter of Credit Amounts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49</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1.07</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Currency Equivalents Generally</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49</w:t>
            </w:r>
          </w:p>
        </w:tc>
        <w:tc>
          <w:tcPr>
            <w:tcW w:w="420" w:type="dxa"/>
            <w:vAlign w:val="bottom"/>
          </w:tcPr>
          <w:p>
            <w:pPr>
              <w:spacing w:after="0"/>
              <w:rPr>
                <w:sz w:val="24"/>
                <w:szCs w:val="24"/>
                <w:color w:val="auto"/>
              </w:rPr>
            </w:pPr>
          </w:p>
        </w:tc>
      </w:tr>
      <w:tr>
        <w:trPr>
          <w:trHeight w:val="311"/>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1.08</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Interest Rates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49</w:t>
            </w:r>
          </w:p>
        </w:tc>
        <w:tc>
          <w:tcPr>
            <w:tcW w:w="420" w:type="dxa"/>
            <w:vAlign w:val="bottom"/>
          </w:tcPr>
          <w:p>
            <w:pPr>
              <w:spacing w:after="0"/>
              <w:rPr>
                <w:sz w:val="24"/>
                <w:szCs w:val="24"/>
                <w:color w:val="auto"/>
              </w:rPr>
            </w:pPr>
          </w:p>
        </w:tc>
      </w:tr>
      <w:tr>
        <w:trPr>
          <w:trHeight w:val="580"/>
        </w:trPr>
        <w:tc>
          <w:tcPr>
            <w:tcW w:w="8640" w:type="dxa"/>
            <w:vAlign w:val="bottom"/>
            <w:gridSpan w:val="3"/>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II.  THE COMMITMENTS AND CREDIT EXTENSIONS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50</w:t>
            </w:r>
          </w:p>
        </w:tc>
        <w:tc>
          <w:tcPr>
            <w:tcW w:w="420" w:type="dxa"/>
            <w:vAlign w:val="bottom"/>
          </w:tcPr>
          <w:p>
            <w:pPr>
              <w:spacing w:after="0"/>
              <w:rPr>
                <w:sz w:val="24"/>
                <w:szCs w:val="24"/>
                <w:color w:val="auto"/>
              </w:rPr>
            </w:pPr>
          </w:p>
        </w:tc>
      </w:tr>
      <w:tr>
        <w:trPr>
          <w:trHeight w:val="581"/>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2.01</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The Loans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50</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2.02</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Borrowings, Conversions and Continuations of Loans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50</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2.03</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Letters of Credit</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52</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2.04</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Swing Line Loans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61</w:t>
            </w:r>
          </w:p>
        </w:tc>
        <w:tc>
          <w:tcPr>
            <w:tcW w:w="420" w:type="dxa"/>
            <w:vAlign w:val="bottom"/>
          </w:tcPr>
          <w:p>
            <w:pPr>
              <w:spacing w:after="0"/>
              <w:rPr>
                <w:sz w:val="24"/>
                <w:szCs w:val="24"/>
                <w:color w:val="auto"/>
              </w:rPr>
            </w:pPr>
          </w:p>
        </w:tc>
      </w:tr>
      <w:tr>
        <w:trPr>
          <w:trHeight w:val="311"/>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2.05</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Prepayments.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64</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2.06</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Termination or Reduction of Commitments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67</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2.07</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Repayment of Loans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68</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2.08</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Interest</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70</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2.09</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Fees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71</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2.10</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Computation of Interest and Fees.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71</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2.11</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Evidence of Debt</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71</w:t>
            </w:r>
          </w:p>
        </w:tc>
        <w:tc>
          <w:tcPr>
            <w:tcW w:w="420" w:type="dxa"/>
            <w:vAlign w:val="bottom"/>
          </w:tcPr>
          <w:p>
            <w:pPr>
              <w:spacing w:after="0"/>
              <w:rPr>
                <w:sz w:val="24"/>
                <w:szCs w:val="24"/>
                <w:color w:val="auto"/>
              </w:rPr>
            </w:pPr>
          </w:p>
        </w:tc>
      </w:tr>
      <w:tr>
        <w:trPr>
          <w:trHeight w:val="311"/>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2.12</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Payments Generally; Administrative Agent’s Clawback</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72</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2.13</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Sharing of Payments by Lenders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74</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2.14</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75</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2.15</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75</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2.16</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75</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2.17</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Defaulting Lenders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75</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2.18</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Use of Proceeds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79</w:t>
            </w:r>
          </w:p>
        </w:tc>
        <w:tc>
          <w:tcPr>
            <w:tcW w:w="420" w:type="dxa"/>
            <w:vAlign w:val="bottom"/>
          </w:tcPr>
          <w:p>
            <w:pPr>
              <w:spacing w:after="0"/>
              <w:rPr>
                <w:sz w:val="24"/>
                <w:szCs w:val="24"/>
                <w:color w:val="auto"/>
              </w:rPr>
            </w:pPr>
          </w:p>
        </w:tc>
      </w:tr>
      <w:tr>
        <w:trPr>
          <w:trHeight w:val="580"/>
        </w:trPr>
        <w:tc>
          <w:tcPr>
            <w:tcW w:w="8640" w:type="dxa"/>
            <w:vAlign w:val="bottom"/>
            <w:gridSpan w:val="3"/>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III.  TAXES, YIELD PROTECTION AND ILLEGALITY</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79</w:t>
            </w:r>
          </w:p>
        </w:tc>
        <w:tc>
          <w:tcPr>
            <w:tcW w:w="420" w:type="dxa"/>
            <w:vAlign w:val="bottom"/>
          </w:tcPr>
          <w:p>
            <w:pPr>
              <w:spacing w:after="0"/>
              <w:rPr>
                <w:sz w:val="24"/>
                <w:szCs w:val="24"/>
                <w:color w:val="auto"/>
              </w:rPr>
            </w:pPr>
          </w:p>
        </w:tc>
      </w:tr>
      <w:tr>
        <w:trPr>
          <w:trHeight w:val="58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3.01</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Taxes</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79</w:t>
            </w:r>
          </w:p>
        </w:tc>
        <w:tc>
          <w:tcPr>
            <w:tcW w:w="420" w:type="dxa"/>
            <w:vAlign w:val="bottom"/>
          </w:tcPr>
          <w:p>
            <w:pPr>
              <w:spacing w:after="0"/>
              <w:rPr>
                <w:sz w:val="24"/>
                <w:szCs w:val="24"/>
                <w:color w:val="auto"/>
              </w:rPr>
            </w:pPr>
          </w:p>
        </w:tc>
      </w:tr>
      <w:tr>
        <w:trPr>
          <w:trHeight w:val="310"/>
        </w:trPr>
        <w:tc>
          <w:tcPr>
            <w:tcW w:w="14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3.02</w:t>
              </w:r>
            </w:hyperlink>
          </w:p>
        </w:tc>
        <w:tc>
          <w:tcPr>
            <w:tcW w:w="724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Illegality</w:t>
              </w:r>
            </w:hyperlink>
          </w:p>
        </w:tc>
        <w:tc>
          <w:tcPr>
            <w:tcW w:w="2140" w:type="dxa"/>
            <w:vAlign w:val="bottom"/>
          </w:tcPr>
          <w:p>
            <w:pPr>
              <w:ind w:left="1860"/>
              <w:spacing w:after="0"/>
              <w:rPr>
                <w:sz w:val="20"/>
                <w:szCs w:val="20"/>
                <w:color w:val="auto"/>
              </w:rPr>
            </w:pPr>
            <w:r>
              <w:rPr>
                <w:rFonts w:ascii="Arial" w:cs="Arial" w:eastAsia="Arial" w:hAnsi="Arial"/>
                <w:sz w:val="22"/>
                <w:szCs w:val="22"/>
                <w:color w:val="auto"/>
              </w:rPr>
              <w:t>83</w:t>
            </w:r>
          </w:p>
        </w:tc>
        <w:tc>
          <w:tcPr>
            <w:tcW w:w="4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00"/>
          </w:cols>
          <w:pgMar w:left="340" w:top="14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0"/>
          </w:cols>
          <w:pgMar w:left="340" w:top="1422" w:right="359" w:bottom="1440" w:gutter="0" w:footer="0" w:header="0"/>
          <w:type w:val="continuous"/>
        </w:sectPr>
      </w:pPr>
    </w:p>
    <w:bookmarkStart w:id="277" w:name="page278"/>
    <w:bookmarkEnd w:id="27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3.03</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Inability to Determine Rates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84</w:t>
            </w:r>
          </w:p>
        </w:tc>
      </w:tr>
      <w:tr>
        <w:trPr>
          <w:trHeight w:val="311"/>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3.04</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Increased Costs; Reserves on Eurodollar Rate Loans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88</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3.05</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Compensation for Losses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89</w:t>
            </w:r>
          </w:p>
        </w:tc>
      </w:tr>
      <w:tr>
        <w:trPr>
          <w:trHeight w:val="311"/>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3.06</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Mitigation Obligations; Replacement of Lenders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90</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3.07</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Survival</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91</w:t>
            </w:r>
          </w:p>
        </w:tc>
      </w:tr>
      <w:tr>
        <w:trPr>
          <w:trHeight w:val="581"/>
        </w:trPr>
        <w:tc>
          <w:tcPr>
            <w:tcW w:w="1380" w:type="dxa"/>
            <w:vAlign w:val="bottom"/>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IV.</w:t>
              </w:r>
            </w:hyperlink>
          </w:p>
        </w:tc>
        <w:tc>
          <w:tcPr>
            <w:tcW w:w="7220" w:type="dxa"/>
            <w:vAlign w:val="bottom"/>
          </w:tcPr>
          <w:p>
            <w:pPr>
              <w:ind w:left="80"/>
              <w:spacing w:after="0"/>
              <w:rPr>
                <w:rFonts w:ascii="Arial" w:cs="Arial" w:eastAsia="Arial" w:hAnsi="Arial"/>
                <w:sz w:val="22"/>
                <w:szCs w:val="22"/>
                <w:color w:val="auto"/>
              </w:rPr>
            </w:pPr>
            <w:hyperlink w:anchor="page276">
              <w:r>
                <w:rPr>
                  <w:rFonts w:ascii="Arial" w:cs="Arial" w:eastAsia="Arial" w:hAnsi="Arial"/>
                  <w:sz w:val="22"/>
                  <w:szCs w:val="22"/>
                  <w:color w:val="auto"/>
                </w:rPr>
                <w:t>CONDITIONS PRECEDENT TO CREDIT EXTENSIONS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91</w:t>
            </w:r>
          </w:p>
        </w:tc>
      </w:tr>
      <w:tr>
        <w:trPr>
          <w:trHeight w:val="58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4.01</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Closing Date</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91</w:t>
            </w:r>
          </w:p>
        </w:tc>
      </w:tr>
      <w:tr>
        <w:trPr>
          <w:trHeight w:val="311"/>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4.02</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Conditions to Each Credit Extension</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93</w:t>
            </w:r>
          </w:p>
        </w:tc>
      </w:tr>
      <w:tr>
        <w:trPr>
          <w:trHeight w:val="581"/>
        </w:trPr>
        <w:tc>
          <w:tcPr>
            <w:tcW w:w="8600" w:type="dxa"/>
            <w:vAlign w:val="bottom"/>
            <w:gridSpan w:val="2"/>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V.  REPRESENTATIONS AND WARRANTIES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94</w:t>
            </w:r>
          </w:p>
        </w:tc>
      </w:tr>
      <w:tr>
        <w:trPr>
          <w:trHeight w:val="58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5.01</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Organization; Requisite Power and Authority; Qualification</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94</w:t>
            </w:r>
          </w:p>
        </w:tc>
      </w:tr>
      <w:tr>
        <w:trPr>
          <w:trHeight w:val="311"/>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5.02</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Equity Interests and Ownership</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95</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5.03</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Due Authorization</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95</w:t>
            </w:r>
          </w:p>
        </w:tc>
      </w:tr>
      <w:tr>
        <w:trPr>
          <w:trHeight w:val="311"/>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5.04</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No Conflict</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95</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5.05</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Governmental Consents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95</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5.06</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Binding Obligation</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95</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5.07</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Historical Financial Statements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95</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5.08</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Projections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96</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5.09</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No Material Adverse Effect</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96</w:t>
            </w:r>
          </w:p>
        </w:tc>
      </w:tr>
      <w:tr>
        <w:trPr>
          <w:trHeight w:val="311"/>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5.10</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96</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5.11</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Adverse Proceedings, Etc</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96</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5.12</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Payment of Taxes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96</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5.13</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Properties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97</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5.14</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Environmental Matters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97</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5.15</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97</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5.16</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97</w:t>
            </w:r>
          </w:p>
        </w:tc>
      </w:tr>
      <w:tr>
        <w:trPr>
          <w:trHeight w:val="311"/>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5.17</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Governmental Regulation</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97</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5.18</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Federal Reserve Regulations; Exchange Act</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98</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5.19</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Employee Matters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98</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5.20</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Plans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98</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5.21</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Certain Fees</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99</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5.22</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Solvency</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rPr>
              <w:t>99</w:t>
            </w:r>
          </w:p>
        </w:tc>
      </w:tr>
      <w:tr>
        <w:trPr>
          <w:trHeight w:val="311"/>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5.23</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w w:val="87"/>
              </w:rPr>
              <w:t>100</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5.24</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Compliance with Statutes, Etc</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w w:val="87"/>
              </w:rPr>
              <w:t>100</w:t>
            </w:r>
          </w:p>
        </w:tc>
      </w:tr>
      <w:tr>
        <w:trPr>
          <w:trHeight w:val="310"/>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5.25</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Disclosure</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w w:val="87"/>
              </w:rPr>
              <w:t>100</w:t>
            </w:r>
          </w:p>
        </w:tc>
      </w:tr>
      <w:tr>
        <w:trPr>
          <w:trHeight w:val="311"/>
        </w:trPr>
        <w:tc>
          <w:tcPr>
            <w:tcW w:w="138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5.26</w:t>
              </w:r>
            </w:hyperlink>
          </w:p>
        </w:tc>
        <w:tc>
          <w:tcPr>
            <w:tcW w:w="7220" w:type="dxa"/>
            <w:vAlign w:val="bottom"/>
          </w:tcPr>
          <w:p>
            <w:pPr>
              <w:ind w:left="140"/>
              <w:spacing w:after="0"/>
              <w:rPr>
                <w:rFonts w:ascii="Arial" w:cs="Arial" w:eastAsia="Arial" w:hAnsi="Arial"/>
                <w:sz w:val="22"/>
                <w:szCs w:val="22"/>
                <w:color w:val="auto"/>
              </w:rPr>
            </w:pPr>
            <w:hyperlink w:anchor="page276">
              <w:r>
                <w:rPr>
                  <w:rFonts w:ascii="Arial" w:cs="Arial" w:eastAsia="Arial" w:hAnsi="Arial"/>
                  <w:sz w:val="22"/>
                  <w:szCs w:val="22"/>
                  <w:color w:val="auto"/>
                </w:rPr>
                <w:t>Sanctioned Persons; Anti-Corruption Laws; PATRIOT Act</w:t>
              </w:r>
            </w:hyperlink>
          </w:p>
        </w:tc>
        <w:tc>
          <w:tcPr>
            <w:tcW w:w="2240" w:type="dxa"/>
            <w:vAlign w:val="bottom"/>
          </w:tcPr>
          <w:p>
            <w:pPr>
              <w:ind w:left="1900"/>
              <w:spacing w:after="0"/>
              <w:rPr>
                <w:sz w:val="20"/>
                <w:szCs w:val="20"/>
                <w:color w:val="auto"/>
              </w:rPr>
            </w:pPr>
            <w:r>
              <w:rPr>
                <w:rFonts w:ascii="Arial" w:cs="Arial" w:eastAsia="Arial" w:hAnsi="Arial"/>
                <w:sz w:val="22"/>
                <w:szCs w:val="22"/>
                <w:color w:val="auto"/>
                <w:w w:val="87"/>
              </w:rPr>
              <w:t>100</w:t>
            </w: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840"/>
          </w:cols>
          <w:pgMar w:left="340" w:top="1440" w:right="719" w:bottom="1440" w:gutter="0" w:footer="0" w:header="0"/>
          <w:type w:val="continuous"/>
        </w:sectPr>
      </w:pPr>
    </w:p>
    <w:bookmarkStart w:id="278" w:name="page279"/>
    <w:bookmarkEnd w:id="278"/>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5.27</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EEA Financial Institutions.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101</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5.28</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Beneficial Ownership Certificate.</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101</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5.29</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Covered Entities.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101</w:t>
            </w:r>
          </w:p>
        </w:tc>
      </w:tr>
      <w:tr>
        <w:trPr>
          <w:trHeight w:val="581"/>
        </w:trPr>
        <w:tc>
          <w:tcPr>
            <w:tcW w:w="1400" w:type="dxa"/>
            <w:vAlign w:val="bottom"/>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VI.</w:t>
              </w:r>
            </w:hyperlink>
          </w:p>
        </w:tc>
        <w:tc>
          <w:tcPr>
            <w:tcW w:w="8400" w:type="dxa"/>
            <w:vAlign w:val="bottom"/>
          </w:tcPr>
          <w:p>
            <w:pPr>
              <w:ind w:left="80"/>
              <w:spacing w:after="0"/>
              <w:rPr>
                <w:rFonts w:ascii="Arial" w:cs="Arial" w:eastAsia="Arial" w:hAnsi="Arial"/>
                <w:sz w:val="22"/>
                <w:szCs w:val="22"/>
                <w:color w:val="auto"/>
              </w:rPr>
            </w:pPr>
            <w:hyperlink w:anchor="page276">
              <w:r>
                <w:rPr>
                  <w:rFonts w:ascii="Arial" w:cs="Arial" w:eastAsia="Arial" w:hAnsi="Arial"/>
                  <w:sz w:val="22"/>
                  <w:szCs w:val="22"/>
                  <w:color w:val="auto"/>
                </w:rPr>
                <w:t>AFFIRMATIVE COVENANTS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101</w:t>
            </w:r>
          </w:p>
        </w:tc>
      </w:tr>
      <w:tr>
        <w:trPr>
          <w:trHeight w:val="58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6.01</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Financial Statements and Other Reports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101</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6.02</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Existence</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103</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6.03</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Payment of Taxes and Claims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103</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6.04</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Maintenance of Properties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103</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6.05</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Insurance</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103</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6.06</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Books and Records; Inspections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103</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6.07</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105</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6.08</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Compliance with Laws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105</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6.09</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Environmental</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105</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6.10</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Subsidiaries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105</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6.11</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Further Assurances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105</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6.12</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105</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6.13</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Designation of Subsidiaries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105</w:t>
            </w:r>
          </w:p>
        </w:tc>
      </w:tr>
      <w:tr>
        <w:trPr>
          <w:trHeight w:val="580"/>
        </w:trPr>
        <w:tc>
          <w:tcPr>
            <w:tcW w:w="1400" w:type="dxa"/>
            <w:vAlign w:val="bottom"/>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VII.</w:t>
              </w:r>
            </w:hyperlink>
          </w:p>
        </w:tc>
        <w:tc>
          <w:tcPr>
            <w:tcW w:w="8400" w:type="dxa"/>
            <w:vAlign w:val="bottom"/>
          </w:tcPr>
          <w:p>
            <w:pPr>
              <w:ind w:left="160"/>
              <w:spacing w:after="0"/>
              <w:rPr>
                <w:rFonts w:ascii="Arial" w:cs="Arial" w:eastAsia="Arial" w:hAnsi="Arial"/>
                <w:sz w:val="22"/>
                <w:szCs w:val="22"/>
                <w:color w:val="auto"/>
              </w:rPr>
            </w:pPr>
            <w:hyperlink w:anchor="page276">
              <w:r>
                <w:rPr>
                  <w:rFonts w:ascii="Arial" w:cs="Arial" w:eastAsia="Arial" w:hAnsi="Arial"/>
                  <w:sz w:val="22"/>
                  <w:szCs w:val="22"/>
                  <w:color w:val="auto"/>
                </w:rPr>
                <w:t>NEGATIVE COVENANTS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106</w:t>
            </w:r>
          </w:p>
        </w:tc>
      </w:tr>
      <w:tr>
        <w:trPr>
          <w:trHeight w:val="58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7.01</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Indebtedness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106</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7.02</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Liens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109</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7.03</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Equitable Lien</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111</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7.04</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Restricted Junior Payments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111</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7.05</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Restrictions on Subsidiary Distributions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113</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7.06</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Investments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113</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7.07</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Financial Covenants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115</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7.08</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Fundamental Changes; Disposition of Assets; Acquisitions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115</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7.09</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116</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7.10</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116</w:t>
            </w:r>
          </w:p>
        </w:tc>
      </w:tr>
      <w:tr>
        <w:trPr>
          <w:trHeight w:val="310"/>
        </w:trPr>
        <w:tc>
          <w:tcPr>
            <w:tcW w:w="980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7.11  Transactions with Shareholders and Affiliates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116</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7.12</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Conduct of Business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116</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7.13</w:t>
              </w:r>
            </w:hyperlink>
          </w:p>
        </w:tc>
        <w:tc>
          <w:tcPr>
            <w:tcW w:w="8400" w:type="dxa"/>
            <w:vAlign w:val="bottom"/>
          </w:tcPr>
          <w:p>
            <w:pPr>
              <w:ind w:left="120"/>
              <w:spacing w:after="0"/>
              <w:rPr>
                <w:rFonts w:ascii="Arial" w:cs="Arial" w:eastAsia="Arial" w:hAnsi="Arial"/>
                <w:sz w:val="22"/>
                <w:szCs w:val="22"/>
                <w:color w:val="auto"/>
                <w:w w:val="97"/>
              </w:rPr>
            </w:pPr>
            <w:hyperlink w:anchor="page276">
              <w:r>
                <w:rPr>
                  <w:rFonts w:ascii="Arial" w:cs="Arial" w:eastAsia="Arial" w:hAnsi="Arial"/>
                  <w:sz w:val="22"/>
                  <w:szCs w:val="22"/>
                  <w:color w:val="auto"/>
                  <w:w w:val="97"/>
                </w:rPr>
                <w:t>Amendments or Waivers of Organizational Documents and Certain Related Documents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117</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7.14</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Amendments or Waivers of with respect to Certain Indebtedness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117</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7.15</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Fiscal Year</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117</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7.16</w:t>
              </w:r>
            </w:hyperlink>
          </w:p>
        </w:tc>
        <w:tc>
          <w:tcPr>
            <w:tcW w:w="840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Sanctions.</w:t>
              </w:r>
            </w:hyperlink>
          </w:p>
        </w:tc>
        <w:tc>
          <w:tcPr>
            <w:tcW w:w="1040" w:type="dxa"/>
            <w:vAlign w:val="bottom"/>
          </w:tcPr>
          <w:p>
            <w:pPr>
              <w:ind w:left="700"/>
              <w:spacing w:after="0"/>
              <w:rPr>
                <w:sz w:val="20"/>
                <w:szCs w:val="20"/>
                <w:color w:val="auto"/>
              </w:rPr>
            </w:pPr>
            <w:r>
              <w:rPr>
                <w:rFonts w:ascii="Arial" w:cs="Arial" w:eastAsia="Arial" w:hAnsi="Arial"/>
                <w:sz w:val="22"/>
                <w:szCs w:val="22"/>
                <w:color w:val="auto"/>
                <w:w w:val="87"/>
              </w:rPr>
              <w:t>117</w:t>
            </w: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840"/>
          </w:cols>
          <w:pgMar w:left="340" w:top="1440" w:right="719" w:bottom="1440" w:gutter="0" w:footer="0" w:header="0"/>
          <w:type w:val="continuous"/>
        </w:sectPr>
      </w:pPr>
    </w:p>
    <w:bookmarkStart w:id="279" w:name="page280"/>
    <w:bookmarkEnd w:id="279"/>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7.17</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Anti-Corruption Laws.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117</w:t>
            </w:r>
          </w:p>
        </w:tc>
      </w:tr>
      <w:tr>
        <w:trPr>
          <w:trHeight w:val="581"/>
        </w:trPr>
        <w:tc>
          <w:tcPr>
            <w:tcW w:w="1400" w:type="dxa"/>
            <w:vAlign w:val="bottom"/>
          </w:tcPr>
          <w:p>
            <w:pPr>
              <w:spacing w:after="0"/>
              <w:rPr>
                <w:rFonts w:ascii="Arial" w:cs="Arial" w:eastAsia="Arial" w:hAnsi="Arial"/>
                <w:sz w:val="22"/>
                <w:szCs w:val="22"/>
                <w:color w:val="auto"/>
                <w:w w:val="99"/>
              </w:rPr>
            </w:pPr>
            <w:hyperlink w:anchor="page276">
              <w:r>
                <w:rPr>
                  <w:rFonts w:ascii="Arial" w:cs="Arial" w:eastAsia="Arial" w:hAnsi="Arial"/>
                  <w:sz w:val="22"/>
                  <w:szCs w:val="22"/>
                  <w:color w:val="auto"/>
                  <w:w w:val="99"/>
                </w:rPr>
                <w:t>ARTICLE VIII.</w:t>
              </w:r>
            </w:hyperlink>
          </w:p>
        </w:tc>
        <w:tc>
          <w:tcPr>
            <w:tcW w:w="8080" w:type="dxa"/>
            <w:vAlign w:val="bottom"/>
          </w:tcPr>
          <w:p>
            <w:pPr>
              <w:ind w:left="220"/>
              <w:spacing w:after="0"/>
              <w:rPr>
                <w:rFonts w:ascii="Arial" w:cs="Arial" w:eastAsia="Arial" w:hAnsi="Arial"/>
                <w:sz w:val="22"/>
                <w:szCs w:val="22"/>
                <w:color w:val="auto"/>
              </w:rPr>
            </w:pPr>
            <w:hyperlink w:anchor="page276">
              <w:r>
                <w:rPr>
                  <w:rFonts w:ascii="Arial" w:cs="Arial" w:eastAsia="Arial" w:hAnsi="Arial"/>
                  <w:sz w:val="22"/>
                  <w:szCs w:val="22"/>
                  <w:color w:val="auto"/>
                </w:rPr>
                <w:t>EVENTS OF DEFAULT AND REMEDIES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117</w:t>
            </w:r>
          </w:p>
        </w:tc>
      </w:tr>
      <w:tr>
        <w:trPr>
          <w:trHeight w:val="58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8.01</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Events of Default</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117</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8.02</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Loan Party Remedies upon Event of Default</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120</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8.03</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Application of Funds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120</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8.04</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Borrower’s Right to Cure</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121</w:t>
            </w:r>
          </w:p>
        </w:tc>
      </w:tr>
      <w:tr>
        <w:trPr>
          <w:trHeight w:val="580"/>
        </w:trPr>
        <w:tc>
          <w:tcPr>
            <w:tcW w:w="1400" w:type="dxa"/>
            <w:vAlign w:val="bottom"/>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IX.</w:t>
              </w:r>
            </w:hyperlink>
          </w:p>
        </w:tc>
        <w:tc>
          <w:tcPr>
            <w:tcW w:w="8080" w:type="dxa"/>
            <w:vAlign w:val="bottom"/>
          </w:tcPr>
          <w:p>
            <w:pPr>
              <w:ind w:left="80"/>
              <w:spacing w:after="0"/>
              <w:rPr>
                <w:rFonts w:ascii="Arial" w:cs="Arial" w:eastAsia="Arial" w:hAnsi="Arial"/>
                <w:sz w:val="22"/>
                <w:szCs w:val="22"/>
                <w:color w:val="auto"/>
              </w:rPr>
            </w:pPr>
            <w:hyperlink w:anchor="page276">
              <w:r>
                <w:rPr>
                  <w:rFonts w:ascii="Arial" w:cs="Arial" w:eastAsia="Arial" w:hAnsi="Arial"/>
                  <w:sz w:val="22"/>
                  <w:szCs w:val="22"/>
                  <w:color w:val="auto"/>
                </w:rPr>
                <w:t>ADMINISTRATIVE AGENT</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122</w:t>
            </w:r>
          </w:p>
        </w:tc>
      </w:tr>
      <w:tr>
        <w:trPr>
          <w:trHeight w:val="58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9.01</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Appointment and Authority</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122</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9.02</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Rights as a Lender</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123</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9.03</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Exculpatory Provisions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123</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9.04</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Reliance by Administrative Agent</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124</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9.05</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Delegation of Duties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124</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9.06</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Resignation of Administrative Agent</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125</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9.07</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Non-Reliance on the Administrative Agent, the Arranger and the Other Lenders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126</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9.08</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No Other Duties, Etc</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127</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9.09</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Administrative Agent May File Proofs of Claim</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127</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9.10</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Guaranty Matters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128</w:t>
            </w:r>
          </w:p>
        </w:tc>
      </w:tr>
      <w:tr>
        <w:trPr>
          <w:trHeight w:val="311"/>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9.11</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Hedge Agreements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129</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9.12</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Certain ERISA Matters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129</w:t>
            </w:r>
          </w:p>
        </w:tc>
      </w:tr>
      <w:tr>
        <w:trPr>
          <w:trHeight w:val="310"/>
        </w:trPr>
        <w:tc>
          <w:tcPr>
            <w:tcW w:w="1400" w:type="dxa"/>
            <w:vAlign w:val="bottom"/>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9.13</w:t>
              </w:r>
            </w:hyperlink>
          </w:p>
        </w:tc>
        <w:tc>
          <w:tcPr>
            <w:tcW w:w="8080" w:type="dxa"/>
            <w:vAlign w:val="bottom"/>
          </w:tcPr>
          <w:p>
            <w:pPr>
              <w:ind w:left="120"/>
              <w:spacing w:after="0"/>
              <w:rPr>
                <w:rFonts w:ascii="Arial" w:cs="Arial" w:eastAsia="Arial" w:hAnsi="Arial"/>
                <w:sz w:val="22"/>
                <w:szCs w:val="22"/>
                <w:color w:val="auto"/>
              </w:rPr>
            </w:pPr>
            <w:hyperlink w:anchor="page276">
              <w:r>
                <w:rPr>
                  <w:rFonts w:ascii="Arial" w:cs="Arial" w:eastAsia="Arial" w:hAnsi="Arial"/>
                  <w:sz w:val="22"/>
                  <w:szCs w:val="22"/>
                  <w:color w:val="auto"/>
                </w:rPr>
                <w:t>Recovery of Erroneous Payments.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130</w:t>
            </w:r>
          </w:p>
        </w:tc>
      </w:tr>
      <w:tr>
        <w:trPr>
          <w:trHeight w:val="580"/>
        </w:trPr>
        <w:tc>
          <w:tcPr>
            <w:tcW w:w="1400" w:type="dxa"/>
            <w:vAlign w:val="bottom"/>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X.</w:t>
              </w:r>
            </w:hyperlink>
          </w:p>
        </w:tc>
        <w:tc>
          <w:tcPr>
            <w:tcW w:w="8080" w:type="dxa"/>
            <w:vAlign w:val="bottom"/>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GUARANTY</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131</w:t>
            </w:r>
          </w:p>
        </w:tc>
      </w:tr>
      <w:tr>
        <w:trPr>
          <w:trHeight w:val="580"/>
        </w:trPr>
        <w:tc>
          <w:tcPr>
            <w:tcW w:w="948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10.01  Guaranty of the Obligations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131</w:t>
            </w:r>
          </w:p>
        </w:tc>
      </w:tr>
      <w:tr>
        <w:trPr>
          <w:trHeight w:val="310"/>
        </w:trPr>
        <w:tc>
          <w:tcPr>
            <w:tcW w:w="1400" w:type="dxa"/>
            <w:vAlign w:val="bottom"/>
          </w:tcPr>
          <w:p>
            <w:pPr>
              <w:ind w:left="920"/>
              <w:spacing w:after="0"/>
              <w:rPr>
                <w:rFonts w:ascii="Arial" w:cs="Arial" w:eastAsia="Arial" w:hAnsi="Arial"/>
                <w:sz w:val="22"/>
                <w:szCs w:val="22"/>
                <w:color w:val="auto"/>
                <w:w w:val="83"/>
              </w:rPr>
            </w:pPr>
            <w:hyperlink w:anchor="page276">
              <w:r>
                <w:rPr>
                  <w:rFonts w:ascii="Arial" w:cs="Arial" w:eastAsia="Arial" w:hAnsi="Arial"/>
                  <w:sz w:val="22"/>
                  <w:szCs w:val="22"/>
                  <w:color w:val="auto"/>
                  <w:w w:val="83"/>
                </w:rPr>
                <w:t>10.02</w:t>
              </w:r>
            </w:hyperlink>
          </w:p>
        </w:tc>
        <w:tc>
          <w:tcPr>
            <w:tcW w:w="8080" w:type="dxa"/>
            <w:vAlign w:val="bottom"/>
          </w:tcPr>
          <w:p>
            <w:pPr>
              <w:ind w:left="240"/>
              <w:spacing w:after="0"/>
              <w:rPr>
                <w:rFonts w:ascii="Arial" w:cs="Arial" w:eastAsia="Arial" w:hAnsi="Arial"/>
                <w:sz w:val="22"/>
                <w:szCs w:val="22"/>
                <w:color w:val="auto"/>
              </w:rPr>
            </w:pPr>
            <w:hyperlink w:anchor="page276">
              <w:r>
                <w:rPr>
                  <w:rFonts w:ascii="Arial" w:cs="Arial" w:eastAsia="Arial" w:hAnsi="Arial"/>
                  <w:sz w:val="22"/>
                  <w:szCs w:val="22"/>
                  <w:color w:val="auto"/>
                </w:rPr>
                <w:t>Contribution by Guarantors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131</w:t>
            </w:r>
          </w:p>
        </w:tc>
      </w:tr>
      <w:tr>
        <w:trPr>
          <w:trHeight w:val="310"/>
        </w:trPr>
        <w:tc>
          <w:tcPr>
            <w:tcW w:w="1400" w:type="dxa"/>
            <w:vAlign w:val="bottom"/>
          </w:tcPr>
          <w:p>
            <w:pPr>
              <w:ind w:left="920"/>
              <w:spacing w:after="0"/>
              <w:rPr>
                <w:rFonts w:ascii="Arial" w:cs="Arial" w:eastAsia="Arial" w:hAnsi="Arial"/>
                <w:sz w:val="22"/>
                <w:szCs w:val="22"/>
                <w:color w:val="auto"/>
                <w:w w:val="83"/>
              </w:rPr>
            </w:pPr>
            <w:hyperlink w:anchor="page276">
              <w:r>
                <w:rPr>
                  <w:rFonts w:ascii="Arial" w:cs="Arial" w:eastAsia="Arial" w:hAnsi="Arial"/>
                  <w:sz w:val="22"/>
                  <w:szCs w:val="22"/>
                  <w:color w:val="auto"/>
                  <w:w w:val="83"/>
                </w:rPr>
                <w:t>10.03</w:t>
              </w:r>
            </w:hyperlink>
          </w:p>
        </w:tc>
        <w:tc>
          <w:tcPr>
            <w:tcW w:w="8080" w:type="dxa"/>
            <w:vAlign w:val="bottom"/>
          </w:tcPr>
          <w:p>
            <w:pPr>
              <w:ind w:left="240"/>
              <w:spacing w:after="0"/>
              <w:rPr>
                <w:rFonts w:ascii="Arial" w:cs="Arial" w:eastAsia="Arial" w:hAnsi="Arial"/>
                <w:sz w:val="22"/>
                <w:szCs w:val="22"/>
                <w:color w:val="auto"/>
              </w:rPr>
            </w:pPr>
            <w:hyperlink w:anchor="page276">
              <w:r>
                <w:rPr>
                  <w:rFonts w:ascii="Arial" w:cs="Arial" w:eastAsia="Arial" w:hAnsi="Arial"/>
                  <w:sz w:val="22"/>
                  <w:szCs w:val="22"/>
                  <w:color w:val="auto"/>
                </w:rPr>
                <w:t>Payment by Guarantors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132</w:t>
            </w:r>
          </w:p>
        </w:tc>
      </w:tr>
      <w:tr>
        <w:trPr>
          <w:trHeight w:val="310"/>
        </w:trPr>
        <w:tc>
          <w:tcPr>
            <w:tcW w:w="948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10.04  Liability of Guarantors Absolute</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132</w:t>
            </w:r>
          </w:p>
        </w:tc>
      </w:tr>
      <w:tr>
        <w:trPr>
          <w:trHeight w:val="311"/>
        </w:trPr>
        <w:tc>
          <w:tcPr>
            <w:tcW w:w="1400" w:type="dxa"/>
            <w:vAlign w:val="bottom"/>
          </w:tcPr>
          <w:p>
            <w:pPr>
              <w:ind w:left="920"/>
              <w:spacing w:after="0"/>
              <w:rPr>
                <w:rFonts w:ascii="Arial" w:cs="Arial" w:eastAsia="Arial" w:hAnsi="Arial"/>
                <w:sz w:val="22"/>
                <w:szCs w:val="22"/>
                <w:color w:val="auto"/>
                <w:w w:val="83"/>
              </w:rPr>
            </w:pPr>
            <w:hyperlink w:anchor="page276">
              <w:r>
                <w:rPr>
                  <w:rFonts w:ascii="Arial" w:cs="Arial" w:eastAsia="Arial" w:hAnsi="Arial"/>
                  <w:sz w:val="22"/>
                  <w:szCs w:val="22"/>
                  <w:color w:val="auto"/>
                  <w:w w:val="83"/>
                </w:rPr>
                <w:t>10.05</w:t>
              </w:r>
            </w:hyperlink>
          </w:p>
        </w:tc>
        <w:tc>
          <w:tcPr>
            <w:tcW w:w="8080" w:type="dxa"/>
            <w:vAlign w:val="bottom"/>
          </w:tcPr>
          <w:p>
            <w:pPr>
              <w:ind w:left="240"/>
              <w:spacing w:after="0"/>
              <w:rPr>
                <w:rFonts w:ascii="Arial" w:cs="Arial" w:eastAsia="Arial" w:hAnsi="Arial"/>
                <w:sz w:val="22"/>
                <w:szCs w:val="22"/>
                <w:color w:val="auto"/>
              </w:rPr>
            </w:pPr>
            <w:hyperlink w:anchor="page276">
              <w:r>
                <w:rPr>
                  <w:rFonts w:ascii="Arial" w:cs="Arial" w:eastAsia="Arial" w:hAnsi="Arial"/>
                  <w:sz w:val="22"/>
                  <w:szCs w:val="22"/>
                  <w:color w:val="auto"/>
                </w:rPr>
                <w:t>Waivers by Guarantors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134</w:t>
            </w:r>
          </w:p>
        </w:tc>
      </w:tr>
      <w:tr>
        <w:trPr>
          <w:trHeight w:val="310"/>
        </w:trPr>
        <w:tc>
          <w:tcPr>
            <w:tcW w:w="948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10.06  Guarantors’ Rights of Subrogation, Contribution, Etc</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135</w:t>
            </w:r>
          </w:p>
        </w:tc>
      </w:tr>
      <w:tr>
        <w:trPr>
          <w:trHeight w:val="310"/>
        </w:trPr>
        <w:tc>
          <w:tcPr>
            <w:tcW w:w="948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10.07  Subordination of Other Obligations</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135</w:t>
            </w:r>
          </w:p>
        </w:tc>
      </w:tr>
      <w:tr>
        <w:trPr>
          <w:trHeight w:val="310"/>
        </w:trPr>
        <w:tc>
          <w:tcPr>
            <w:tcW w:w="1400" w:type="dxa"/>
            <w:vAlign w:val="bottom"/>
          </w:tcPr>
          <w:p>
            <w:pPr>
              <w:ind w:left="920"/>
              <w:spacing w:after="0"/>
              <w:rPr>
                <w:rFonts w:ascii="Arial" w:cs="Arial" w:eastAsia="Arial" w:hAnsi="Arial"/>
                <w:sz w:val="22"/>
                <w:szCs w:val="22"/>
                <w:color w:val="auto"/>
                <w:w w:val="83"/>
              </w:rPr>
            </w:pPr>
            <w:hyperlink w:anchor="page276">
              <w:r>
                <w:rPr>
                  <w:rFonts w:ascii="Arial" w:cs="Arial" w:eastAsia="Arial" w:hAnsi="Arial"/>
                  <w:sz w:val="22"/>
                  <w:szCs w:val="22"/>
                  <w:color w:val="auto"/>
                  <w:w w:val="83"/>
                </w:rPr>
                <w:t>10.08</w:t>
              </w:r>
            </w:hyperlink>
          </w:p>
        </w:tc>
        <w:tc>
          <w:tcPr>
            <w:tcW w:w="8080" w:type="dxa"/>
            <w:vAlign w:val="bottom"/>
          </w:tcPr>
          <w:p>
            <w:pPr>
              <w:ind w:left="240"/>
              <w:spacing w:after="0"/>
              <w:rPr>
                <w:rFonts w:ascii="Arial" w:cs="Arial" w:eastAsia="Arial" w:hAnsi="Arial"/>
                <w:sz w:val="22"/>
                <w:szCs w:val="22"/>
                <w:color w:val="auto"/>
              </w:rPr>
            </w:pPr>
            <w:hyperlink w:anchor="page276">
              <w:r>
                <w:rPr>
                  <w:rFonts w:ascii="Arial" w:cs="Arial" w:eastAsia="Arial" w:hAnsi="Arial"/>
                  <w:sz w:val="22"/>
                  <w:szCs w:val="22"/>
                  <w:color w:val="auto"/>
                </w:rPr>
                <w:t>Continuing Guaranty</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136</w:t>
            </w:r>
          </w:p>
        </w:tc>
      </w:tr>
      <w:tr>
        <w:trPr>
          <w:trHeight w:val="310"/>
        </w:trPr>
        <w:tc>
          <w:tcPr>
            <w:tcW w:w="948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10.09  Authority of Guarantors or Borrower</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136</w:t>
            </w:r>
          </w:p>
        </w:tc>
      </w:tr>
      <w:tr>
        <w:trPr>
          <w:trHeight w:val="311"/>
        </w:trPr>
        <w:tc>
          <w:tcPr>
            <w:tcW w:w="948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10.10  Financial Condition of Borrower</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136</w:t>
            </w:r>
          </w:p>
        </w:tc>
      </w:tr>
      <w:tr>
        <w:trPr>
          <w:trHeight w:val="310"/>
        </w:trPr>
        <w:tc>
          <w:tcPr>
            <w:tcW w:w="1400" w:type="dxa"/>
            <w:vAlign w:val="bottom"/>
          </w:tcPr>
          <w:p>
            <w:pPr>
              <w:ind w:left="920"/>
              <w:spacing w:after="0"/>
              <w:rPr>
                <w:rFonts w:ascii="Arial" w:cs="Arial" w:eastAsia="Arial" w:hAnsi="Arial"/>
                <w:sz w:val="22"/>
                <w:szCs w:val="22"/>
                <w:color w:val="auto"/>
                <w:w w:val="83"/>
              </w:rPr>
            </w:pPr>
            <w:hyperlink w:anchor="page276">
              <w:r>
                <w:rPr>
                  <w:rFonts w:ascii="Arial" w:cs="Arial" w:eastAsia="Arial" w:hAnsi="Arial"/>
                  <w:sz w:val="22"/>
                  <w:szCs w:val="22"/>
                  <w:color w:val="auto"/>
                  <w:w w:val="83"/>
                </w:rPr>
                <w:t>10.11</w:t>
              </w:r>
            </w:hyperlink>
          </w:p>
        </w:tc>
        <w:tc>
          <w:tcPr>
            <w:tcW w:w="8080" w:type="dxa"/>
            <w:vAlign w:val="bottom"/>
          </w:tcPr>
          <w:p>
            <w:pPr>
              <w:ind w:left="220"/>
              <w:spacing w:after="0"/>
              <w:rPr>
                <w:rFonts w:ascii="Arial" w:cs="Arial" w:eastAsia="Arial" w:hAnsi="Arial"/>
                <w:sz w:val="22"/>
                <w:szCs w:val="22"/>
                <w:color w:val="auto"/>
              </w:rPr>
            </w:pPr>
            <w:hyperlink w:anchor="page276">
              <w:r>
                <w:rPr>
                  <w:rFonts w:ascii="Arial" w:cs="Arial" w:eastAsia="Arial" w:hAnsi="Arial"/>
                  <w:sz w:val="22"/>
                  <w:szCs w:val="22"/>
                  <w:color w:val="auto"/>
                </w:rPr>
                <w:t>Bankruptcy, Etc</w:t>
              </w:r>
            </w:hyperlink>
          </w:p>
        </w:tc>
        <w:tc>
          <w:tcPr>
            <w:tcW w:w="1360" w:type="dxa"/>
            <w:vAlign w:val="bottom"/>
          </w:tcPr>
          <w:p>
            <w:pPr>
              <w:ind w:left="1020"/>
              <w:spacing w:after="0"/>
              <w:rPr>
                <w:sz w:val="20"/>
                <w:szCs w:val="20"/>
                <w:color w:val="auto"/>
              </w:rPr>
            </w:pPr>
            <w:r>
              <w:rPr>
                <w:rFonts w:ascii="Arial" w:cs="Arial" w:eastAsia="Arial" w:hAnsi="Arial"/>
                <w:sz w:val="22"/>
                <w:szCs w:val="22"/>
                <w:color w:val="auto"/>
                <w:w w:val="87"/>
              </w:rPr>
              <w:t>136</w:t>
            </w: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840"/>
          </w:cols>
          <w:pgMar w:left="340" w:top="1440" w:right="719" w:bottom="1440" w:gutter="0" w:footer="0" w:header="0"/>
          <w:type w:val="continuous"/>
        </w:sectPr>
      </w:pPr>
    </w:p>
    <w:bookmarkStart w:id="280" w:name="page281"/>
    <w:bookmarkEnd w:id="280"/>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10.12</w:t>
              </w:r>
            </w:hyperlink>
          </w:p>
        </w:tc>
        <w:tc>
          <w:tcPr>
            <w:tcW w:w="7740" w:type="dxa"/>
            <w:vAlign w:val="bottom"/>
          </w:tcPr>
          <w:p>
            <w:pPr>
              <w:ind w:left="200"/>
              <w:spacing w:after="0"/>
              <w:rPr>
                <w:rFonts w:ascii="Arial" w:cs="Arial" w:eastAsia="Arial" w:hAnsi="Arial"/>
                <w:sz w:val="22"/>
                <w:szCs w:val="22"/>
                <w:color w:val="auto"/>
              </w:rPr>
            </w:pPr>
            <w:hyperlink w:anchor="page276">
              <w:r>
                <w:rPr>
                  <w:rFonts w:ascii="Arial" w:cs="Arial" w:eastAsia="Arial" w:hAnsi="Arial"/>
                  <w:sz w:val="22"/>
                  <w:szCs w:val="22"/>
                  <w:color w:val="auto"/>
                </w:rPr>
                <w:t>Keepwell</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137</w:t>
            </w:r>
          </w:p>
        </w:tc>
      </w:tr>
      <w:tr>
        <w:trPr>
          <w:trHeight w:val="581"/>
        </w:trPr>
        <w:tc>
          <w:tcPr>
            <w:tcW w:w="1440" w:type="dxa"/>
            <w:vAlign w:val="bottom"/>
          </w:tcPr>
          <w:p>
            <w:pPr>
              <w:spacing w:after="0"/>
              <w:rPr>
                <w:rFonts w:ascii="Arial" w:cs="Arial" w:eastAsia="Arial" w:hAnsi="Arial"/>
                <w:sz w:val="22"/>
                <w:szCs w:val="22"/>
                <w:color w:val="auto"/>
              </w:rPr>
            </w:pPr>
            <w:hyperlink w:anchor="page276">
              <w:r>
                <w:rPr>
                  <w:rFonts w:ascii="Arial" w:cs="Arial" w:eastAsia="Arial" w:hAnsi="Arial"/>
                  <w:sz w:val="22"/>
                  <w:szCs w:val="22"/>
                  <w:color w:val="auto"/>
                </w:rPr>
                <w:t>ARTICLE XI.</w:t>
              </w:r>
            </w:hyperlink>
          </w:p>
        </w:tc>
        <w:tc>
          <w:tcPr>
            <w:tcW w:w="7740" w:type="dxa"/>
            <w:vAlign w:val="bottom"/>
          </w:tcPr>
          <w:p>
            <w:pPr>
              <w:ind w:left="40"/>
              <w:spacing w:after="0"/>
              <w:rPr>
                <w:rFonts w:ascii="Arial" w:cs="Arial" w:eastAsia="Arial" w:hAnsi="Arial"/>
                <w:sz w:val="22"/>
                <w:szCs w:val="22"/>
                <w:color w:val="auto"/>
              </w:rPr>
            </w:pPr>
            <w:hyperlink w:anchor="page276">
              <w:r>
                <w:rPr>
                  <w:rFonts w:ascii="Arial" w:cs="Arial" w:eastAsia="Arial" w:hAnsi="Arial"/>
                  <w:sz w:val="22"/>
                  <w:szCs w:val="22"/>
                  <w:color w:val="auto"/>
                </w:rPr>
                <w:t>MISCELLANEOUS</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137</w:t>
            </w:r>
          </w:p>
        </w:tc>
      </w:tr>
      <w:tr>
        <w:trPr>
          <w:trHeight w:val="58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11.01</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Amendments, Etc</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137</w:t>
            </w:r>
          </w:p>
        </w:tc>
      </w:tr>
      <w:tr>
        <w:trPr>
          <w:trHeight w:val="311"/>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11.02</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Notices; Effectiveness; Electronic Communications</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139</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11.03</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No Waiver; Cumulative Remedies; Enforcement</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142</w:t>
            </w:r>
          </w:p>
        </w:tc>
      </w:tr>
      <w:tr>
        <w:trPr>
          <w:trHeight w:val="311"/>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11.04</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Expenses; Indemnity; Damage Waiver</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142</w:t>
            </w:r>
          </w:p>
        </w:tc>
      </w:tr>
      <w:tr>
        <w:trPr>
          <w:trHeight w:val="311"/>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11.05</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Payments Set Aside</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144</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11.06</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Successors and Assigns</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145</w:t>
            </w:r>
          </w:p>
        </w:tc>
      </w:tr>
      <w:tr>
        <w:trPr>
          <w:trHeight w:val="311"/>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11.07</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Treatment of Certain Information; Confidentiality</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151</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11.08</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Right of Setoff</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152</w:t>
            </w:r>
          </w:p>
        </w:tc>
      </w:tr>
      <w:tr>
        <w:trPr>
          <w:trHeight w:val="311"/>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11.09</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Interest Rate Limitation</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153</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11.10</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Counterparts; Integration; Effectiveness</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153</w:t>
            </w:r>
          </w:p>
        </w:tc>
      </w:tr>
      <w:tr>
        <w:trPr>
          <w:trHeight w:val="311"/>
        </w:trPr>
        <w:tc>
          <w:tcPr>
            <w:tcW w:w="9180" w:type="dxa"/>
            <w:vAlign w:val="bottom"/>
            <w:gridSpan w:val="2"/>
          </w:tcPr>
          <w:p>
            <w:pPr>
              <w:ind w:left="920"/>
              <w:spacing w:after="0"/>
              <w:rPr>
                <w:rFonts w:ascii="Arial" w:cs="Arial" w:eastAsia="Arial" w:hAnsi="Arial"/>
                <w:sz w:val="22"/>
                <w:szCs w:val="22"/>
                <w:color w:val="auto"/>
              </w:rPr>
            </w:pPr>
            <w:hyperlink w:anchor="page276">
              <w:r>
                <w:rPr>
                  <w:rFonts w:ascii="Arial" w:cs="Arial" w:eastAsia="Arial" w:hAnsi="Arial"/>
                  <w:sz w:val="22"/>
                  <w:szCs w:val="22"/>
                  <w:color w:val="auto"/>
                </w:rPr>
                <w:t>11.11  Survival of Representations and Warranties</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154</w:t>
            </w:r>
          </w:p>
        </w:tc>
      </w:tr>
      <w:tr>
        <w:trPr>
          <w:trHeight w:val="311"/>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11.12</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Severability</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154</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11.13</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Replacement of Lenders</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154</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11.14</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Governing Law; Jurisdiction; Etc</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155</w:t>
            </w:r>
          </w:p>
        </w:tc>
      </w:tr>
      <w:tr>
        <w:trPr>
          <w:trHeight w:val="311"/>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11.15</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Waiver of Jury Trial</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156</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11.16</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No Advisory or Fiduciary Responsibility</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157</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11.17</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Electronic Execution of Assignments and Certain Other Documents</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157</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11.18</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USA PATRIOT Act</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158</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11.19</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158</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11.20</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[Reserved.]</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158</w:t>
            </w:r>
          </w:p>
        </w:tc>
      </w:tr>
      <w:tr>
        <w:trPr>
          <w:trHeight w:val="310"/>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11.21</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Acknowledgement and Consent to Bail-In of EEA Financial Institutions</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158</w:t>
            </w:r>
          </w:p>
        </w:tc>
      </w:tr>
      <w:tr>
        <w:trPr>
          <w:trHeight w:val="311"/>
        </w:trPr>
        <w:tc>
          <w:tcPr>
            <w:tcW w:w="1440" w:type="dxa"/>
            <w:vAlign w:val="bottom"/>
          </w:tcPr>
          <w:p>
            <w:pPr>
              <w:ind w:left="920"/>
              <w:spacing w:after="0"/>
              <w:rPr>
                <w:rFonts w:ascii="Arial" w:cs="Arial" w:eastAsia="Arial" w:hAnsi="Arial"/>
                <w:sz w:val="22"/>
                <w:szCs w:val="22"/>
                <w:color w:val="auto"/>
                <w:w w:val="90"/>
              </w:rPr>
            </w:pPr>
            <w:hyperlink w:anchor="page276">
              <w:r>
                <w:rPr>
                  <w:rFonts w:ascii="Arial" w:cs="Arial" w:eastAsia="Arial" w:hAnsi="Arial"/>
                  <w:sz w:val="22"/>
                  <w:szCs w:val="22"/>
                  <w:color w:val="auto"/>
                  <w:w w:val="90"/>
                </w:rPr>
                <w:t>11.22</w:t>
              </w:r>
            </w:hyperlink>
          </w:p>
        </w:tc>
        <w:tc>
          <w:tcPr>
            <w:tcW w:w="7740" w:type="dxa"/>
            <w:vAlign w:val="bottom"/>
          </w:tcPr>
          <w:p>
            <w:pPr>
              <w:ind w:left="180"/>
              <w:spacing w:after="0"/>
              <w:rPr>
                <w:rFonts w:ascii="Arial" w:cs="Arial" w:eastAsia="Arial" w:hAnsi="Arial"/>
                <w:sz w:val="22"/>
                <w:szCs w:val="22"/>
                <w:color w:val="auto"/>
              </w:rPr>
            </w:pPr>
            <w:hyperlink w:anchor="page276">
              <w:r>
                <w:rPr>
                  <w:rFonts w:ascii="Arial" w:cs="Arial" w:eastAsia="Arial" w:hAnsi="Arial"/>
                  <w:sz w:val="22"/>
                  <w:szCs w:val="22"/>
                  <w:color w:val="auto"/>
                </w:rPr>
                <w:t>Acknowledgement Regarding Any Supported QFCs</w:t>
              </w:r>
            </w:hyperlink>
          </w:p>
        </w:tc>
        <w:tc>
          <w:tcPr>
            <w:tcW w:w="2020" w:type="dxa"/>
            <w:vAlign w:val="bottom"/>
          </w:tcPr>
          <w:p>
            <w:pPr>
              <w:jc w:val="right"/>
              <w:ind w:right="252"/>
              <w:spacing w:after="0"/>
              <w:rPr>
                <w:sz w:val="20"/>
                <w:szCs w:val="20"/>
                <w:color w:val="auto"/>
              </w:rPr>
            </w:pPr>
            <w:r>
              <w:rPr>
                <w:rFonts w:ascii="Arial" w:cs="Arial" w:eastAsia="Arial" w:hAnsi="Arial"/>
                <w:sz w:val="22"/>
                <w:szCs w:val="22"/>
                <w:color w:val="auto"/>
              </w:rPr>
              <w:t>159</w:t>
            </w:r>
          </w:p>
        </w:tc>
      </w:tr>
      <w:tr>
        <w:trPr>
          <w:trHeight w:val="850"/>
        </w:trPr>
        <w:tc>
          <w:tcPr>
            <w:tcW w:w="1440" w:type="dxa"/>
            <w:vAlign w:val="bottom"/>
          </w:tcPr>
          <w:p>
            <w:pPr>
              <w:spacing w:after="0"/>
              <w:rPr>
                <w:sz w:val="20"/>
                <w:szCs w:val="20"/>
                <w:color w:val="auto"/>
              </w:rPr>
            </w:pPr>
            <w:r>
              <w:rPr>
                <w:rFonts w:ascii="Arial" w:cs="Arial" w:eastAsia="Arial" w:hAnsi="Arial"/>
                <w:sz w:val="22"/>
                <w:szCs w:val="22"/>
                <w:color w:val="auto"/>
                <w:w w:val="99"/>
              </w:rPr>
              <w:t>SIGNATURES</w:t>
            </w:r>
          </w:p>
        </w:tc>
        <w:tc>
          <w:tcPr>
            <w:tcW w:w="77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2"/>
                <w:szCs w:val="22"/>
                <w:color w:val="auto"/>
              </w:rPr>
              <w:t>S-1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40" w:top="1440" w:right="359" w:bottom="1440" w:gutter="0" w:footer="0" w:header="0"/>
        </w:sectPr>
      </w:pPr>
    </w:p>
    <w:bookmarkStart w:id="281" w:name="page282"/>
    <w:bookmarkEnd w:id="281"/>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SCHEDULES</w:t>
            </w:r>
          </w:p>
        </w:tc>
        <w:tc>
          <w:tcPr>
            <w:tcW w:w="6000" w:type="dxa"/>
            <w:vAlign w:val="bottom"/>
          </w:tcPr>
          <w:p>
            <w:pPr>
              <w:spacing w:after="0"/>
              <w:rPr>
                <w:sz w:val="23"/>
                <w:szCs w:val="23"/>
                <w:color w:val="auto"/>
              </w:rPr>
            </w:pPr>
          </w:p>
        </w:tc>
      </w:tr>
      <w:tr>
        <w:trPr>
          <w:trHeight w:val="581"/>
        </w:trPr>
        <w:tc>
          <w:tcPr>
            <w:tcW w:w="2040" w:type="dxa"/>
            <w:vAlign w:val="bottom"/>
          </w:tcPr>
          <w:p>
            <w:pPr>
              <w:ind w:left="840"/>
              <w:spacing w:after="0"/>
              <w:rPr>
                <w:sz w:val="20"/>
                <w:szCs w:val="20"/>
                <w:color w:val="auto"/>
              </w:rPr>
            </w:pPr>
            <w:r>
              <w:rPr>
                <w:rFonts w:ascii="Arial" w:cs="Arial" w:eastAsia="Arial" w:hAnsi="Arial"/>
                <w:sz w:val="22"/>
                <w:szCs w:val="22"/>
                <w:color w:val="auto"/>
              </w:rPr>
              <w:t>2.01A</w:t>
            </w:r>
          </w:p>
        </w:tc>
        <w:tc>
          <w:tcPr>
            <w:tcW w:w="6000" w:type="dxa"/>
            <w:vAlign w:val="bottom"/>
          </w:tcPr>
          <w:p>
            <w:pPr>
              <w:ind w:left="660"/>
              <w:spacing w:after="0"/>
              <w:rPr>
                <w:sz w:val="20"/>
                <w:szCs w:val="20"/>
                <w:color w:val="auto"/>
              </w:rPr>
            </w:pPr>
            <w:r>
              <w:rPr>
                <w:rFonts w:ascii="Arial" w:cs="Arial" w:eastAsia="Arial" w:hAnsi="Arial"/>
                <w:sz w:val="22"/>
                <w:szCs w:val="22"/>
                <w:color w:val="auto"/>
              </w:rPr>
              <w:t>Commitments and Applicable Percentages</w:t>
            </w:r>
          </w:p>
        </w:tc>
      </w:tr>
      <w:tr>
        <w:trPr>
          <w:trHeight w:val="311"/>
        </w:trPr>
        <w:tc>
          <w:tcPr>
            <w:tcW w:w="2040" w:type="dxa"/>
            <w:vAlign w:val="bottom"/>
          </w:tcPr>
          <w:p>
            <w:pPr>
              <w:ind w:left="840"/>
              <w:spacing w:after="0"/>
              <w:rPr>
                <w:sz w:val="20"/>
                <w:szCs w:val="20"/>
                <w:color w:val="auto"/>
              </w:rPr>
            </w:pPr>
            <w:r>
              <w:rPr>
                <w:rFonts w:ascii="Arial" w:cs="Arial" w:eastAsia="Arial" w:hAnsi="Arial"/>
                <w:sz w:val="22"/>
                <w:szCs w:val="22"/>
                <w:color w:val="auto"/>
              </w:rPr>
              <w:t>2.01B</w:t>
            </w:r>
          </w:p>
        </w:tc>
        <w:tc>
          <w:tcPr>
            <w:tcW w:w="6000" w:type="dxa"/>
            <w:vAlign w:val="bottom"/>
          </w:tcPr>
          <w:p>
            <w:pPr>
              <w:ind w:left="660"/>
              <w:spacing w:after="0"/>
              <w:rPr>
                <w:sz w:val="20"/>
                <w:szCs w:val="20"/>
                <w:color w:val="auto"/>
              </w:rPr>
            </w:pPr>
            <w:r>
              <w:rPr>
                <w:rFonts w:ascii="Arial" w:cs="Arial" w:eastAsia="Arial" w:hAnsi="Arial"/>
                <w:sz w:val="22"/>
                <w:szCs w:val="22"/>
                <w:color w:val="auto"/>
              </w:rPr>
              <w:t>Swing Line Commitments</w:t>
            </w:r>
          </w:p>
        </w:tc>
      </w:tr>
      <w:tr>
        <w:trPr>
          <w:trHeight w:val="310"/>
        </w:trPr>
        <w:tc>
          <w:tcPr>
            <w:tcW w:w="2040" w:type="dxa"/>
            <w:vAlign w:val="bottom"/>
          </w:tcPr>
          <w:p>
            <w:pPr>
              <w:ind w:left="840"/>
              <w:spacing w:after="0"/>
              <w:rPr>
                <w:sz w:val="20"/>
                <w:szCs w:val="20"/>
                <w:color w:val="auto"/>
              </w:rPr>
            </w:pPr>
            <w:r>
              <w:rPr>
                <w:rFonts w:ascii="Arial" w:cs="Arial" w:eastAsia="Arial" w:hAnsi="Arial"/>
                <w:sz w:val="22"/>
                <w:szCs w:val="22"/>
                <w:color w:val="auto"/>
              </w:rPr>
              <w:t>2.01C</w:t>
            </w:r>
          </w:p>
        </w:tc>
        <w:tc>
          <w:tcPr>
            <w:tcW w:w="6000" w:type="dxa"/>
            <w:vAlign w:val="bottom"/>
          </w:tcPr>
          <w:p>
            <w:pPr>
              <w:ind w:left="660"/>
              <w:spacing w:after="0"/>
              <w:rPr>
                <w:sz w:val="20"/>
                <w:szCs w:val="20"/>
                <w:color w:val="auto"/>
              </w:rPr>
            </w:pPr>
            <w:r>
              <w:rPr>
                <w:rFonts w:ascii="Arial" w:cs="Arial" w:eastAsia="Arial" w:hAnsi="Arial"/>
                <w:sz w:val="22"/>
                <w:szCs w:val="22"/>
                <w:color w:val="auto"/>
              </w:rPr>
              <w:t>Letter of Credit Commitments</w:t>
            </w:r>
          </w:p>
        </w:tc>
      </w:tr>
      <w:tr>
        <w:trPr>
          <w:trHeight w:val="311"/>
        </w:trPr>
        <w:tc>
          <w:tcPr>
            <w:tcW w:w="2040" w:type="dxa"/>
            <w:vAlign w:val="bottom"/>
          </w:tcPr>
          <w:p>
            <w:pPr>
              <w:ind w:left="840"/>
              <w:spacing w:after="0"/>
              <w:rPr>
                <w:sz w:val="20"/>
                <w:szCs w:val="20"/>
                <w:color w:val="auto"/>
              </w:rPr>
            </w:pPr>
            <w:r>
              <w:rPr>
                <w:rFonts w:ascii="Arial" w:cs="Arial" w:eastAsia="Arial" w:hAnsi="Arial"/>
                <w:sz w:val="22"/>
                <w:szCs w:val="22"/>
                <w:color w:val="auto"/>
              </w:rPr>
              <w:t>4.01</w:t>
            </w:r>
          </w:p>
        </w:tc>
        <w:tc>
          <w:tcPr>
            <w:tcW w:w="6000" w:type="dxa"/>
            <w:vAlign w:val="bottom"/>
          </w:tcPr>
          <w:p>
            <w:pPr>
              <w:ind w:left="660"/>
              <w:spacing w:after="0"/>
              <w:rPr>
                <w:sz w:val="20"/>
                <w:szCs w:val="20"/>
                <w:color w:val="auto"/>
              </w:rPr>
            </w:pPr>
            <w:r>
              <w:rPr>
                <w:rFonts w:ascii="Arial" w:cs="Arial" w:eastAsia="Arial" w:hAnsi="Arial"/>
                <w:sz w:val="22"/>
                <w:szCs w:val="22"/>
                <w:color w:val="auto"/>
              </w:rPr>
              <w:t>Organizational and capital structure</w:t>
            </w:r>
          </w:p>
        </w:tc>
      </w:tr>
      <w:tr>
        <w:trPr>
          <w:trHeight w:val="310"/>
        </w:trPr>
        <w:tc>
          <w:tcPr>
            <w:tcW w:w="2040" w:type="dxa"/>
            <w:vAlign w:val="bottom"/>
          </w:tcPr>
          <w:p>
            <w:pPr>
              <w:ind w:left="840"/>
              <w:spacing w:after="0"/>
              <w:rPr>
                <w:sz w:val="20"/>
                <w:szCs w:val="20"/>
                <w:color w:val="auto"/>
              </w:rPr>
            </w:pPr>
            <w:r>
              <w:rPr>
                <w:rFonts w:ascii="Arial" w:cs="Arial" w:eastAsia="Arial" w:hAnsi="Arial"/>
                <w:sz w:val="22"/>
                <w:szCs w:val="22"/>
                <w:color w:val="auto"/>
              </w:rPr>
              <w:t>5.01</w:t>
            </w:r>
          </w:p>
        </w:tc>
        <w:tc>
          <w:tcPr>
            <w:tcW w:w="6000" w:type="dxa"/>
            <w:vAlign w:val="bottom"/>
          </w:tcPr>
          <w:p>
            <w:pPr>
              <w:ind w:left="660"/>
              <w:spacing w:after="0"/>
              <w:rPr>
                <w:sz w:val="20"/>
                <w:szCs w:val="20"/>
                <w:color w:val="auto"/>
              </w:rPr>
            </w:pPr>
            <w:r>
              <w:rPr>
                <w:rFonts w:ascii="Arial" w:cs="Arial" w:eastAsia="Arial" w:hAnsi="Arial"/>
                <w:sz w:val="22"/>
                <w:szCs w:val="22"/>
                <w:color w:val="auto"/>
              </w:rPr>
              <w:t>Jurisdictions of Organization and Qualification</w:t>
            </w:r>
          </w:p>
        </w:tc>
      </w:tr>
      <w:tr>
        <w:trPr>
          <w:trHeight w:val="311"/>
        </w:trPr>
        <w:tc>
          <w:tcPr>
            <w:tcW w:w="2040" w:type="dxa"/>
            <w:vAlign w:val="bottom"/>
          </w:tcPr>
          <w:p>
            <w:pPr>
              <w:ind w:left="840"/>
              <w:spacing w:after="0"/>
              <w:rPr>
                <w:sz w:val="20"/>
                <w:szCs w:val="20"/>
                <w:color w:val="auto"/>
              </w:rPr>
            </w:pPr>
            <w:r>
              <w:rPr>
                <w:rFonts w:ascii="Arial" w:cs="Arial" w:eastAsia="Arial" w:hAnsi="Arial"/>
                <w:sz w:val="22"/>
                <w:szCs w:val="22"/>
                <w:color w:val="auto"/>
              </w:rPr>
              <w:t>5.02</w:t>
            </w:r>
          </w:p>
        </w:tc>
        <w:tc>
          <w:tcPr>
            <w:tcW w:w="6000" w:type="dxa"/>
            <w:vAlign w:val="bottom"/>
          </w:tcPr>
          <w:p>
            <w:pPr>
              <w:ind w:left="660"/>
              <w:spacing w:after="0"/>
              <w:rPr>
                <w:sz w:val="20"/>
                <w:szCs w:val="20"/>
                <w:color w:val="auto"/>
              </w:rPr>
            </w:pPr>
            <w:r>
              <w:rPr>
                <w:rFonts w:ascii="Arial" w:cs="Arial" w:eastAsia="Arial" w:hAnsi="Arial"/>
                <w:sz w:val="22"/>
                <w:szCs w:val="22"/>
                <w:color w:val="auto"/>
              </w:rPr>
              <w:t>Equity Interests and Ownership</w:t>
            </w:r>
          </w:p>
        </w:tc>
      </w:tr>
      <w:tr>
        <w:trPr>
          <w:trHeight w:val="310"/>
        </w:trPr>
        <w:tc>
          <w:tcPr>
            <w:tcW w:w="2040" w:type="dxa"/>
            <w:vAlign w:val="bottom"/>
          </w:tcPr>
          <w:p>
            <w:pPr>
              <w:ind w:left="840"/>
              <w:spacing w:after="0"/>
              <w:rPr>
                <w:sz w:val="20"/>
                <w:szCs w:val="20"/>
                <w:color w:val="auto"/>
              </w:rPr>
            </w:pPr>
            <w:r>
              <w:rPr>
                <w:rFonts w:ascii="Arial" w:cs="Arial" w:eastAsia="Arial" w:hAnsi="Arial"/>
                <w:sz w:val="22"/>
                <w:szCs w:val="22"/>
                <w:color w:val="auto"/>
              </w:rPr>
              <w:t>5.05</w:t>
            </w:r>
          </w:p>
        </w:tc>
        <w:tc>
          <w:tcPr>
            <w:tcW w:w="6000" w:type="dxa"/>
            <w:vAlign w:val="bottom"/>
          </w:tcPr>
          <w:p>
            <w:pPr>
              <w:ind w:left="660"/>
              <w:spacing w:after="0"/>
              <w:rPr>
                <w:sz w:val="20"/>
                <w:szCs w:val="20"/>
                <w:color w:val="auto"/>
              </w:rPr>
            </w:pPr>
            <w:r>
              <w:rPr>
                <w:rFonts w:ascii="Arial" w:cs="Arial" w:eastAsia="Arial" w:hAnsi="Arial"/>
                <w:sz w:val="22"/>
                <w:szCs w:val="22"/>
                <w:color w:val="auto"/>
              </w:rPr>
              <w:t>Governmental Consents</w:t>
            </w:r>
          </w:p>
        </w:tc>
      </w:tr>
      <w:tr>
        <w:trPr>
          <w:trHeight w:val="311"/>
        </w:trPr>
        <w:tc>
          <w:tcPr>
            <w:tcW w:w="2040" w:type="dxa"/>
            <w:vAlign w:val="bottom"/>
          </w:tcPr>
          <w:p>
            <w:pPr>
              <w:ind w:left="840"/>
              <w:spacing w:after="0"/>
              <w:rPr>
                <w:sz w:val="20"/>
                <w:szCs w:val="20"/>
                <w:color w:val="auto"/>
              </w:rPr>
            </w:pPr>
            <w:r>
              <w:rPr>
                <w:rFonts w:ascii="Arial" w:cs="Arial" w:eastAsia="Arial" w:hAnsi="Arial"/>
                <w:sz w:val="22"/>
                <w:szCs w:val="22"/>
                <w:color w:val="auto"/>
              </w:rPr>
              <w:t>7.01</w:t>
            </w:r>
          </w:p>
        </w:tc>
        <w:tc>
          <w:tcPr>
            <w:tcW w:w="6000" w:type="dxa"/>
            <w:vAlign w:val="bottom"/>
          </w:tcPr>
          <w:p>
            <w:pPr>
              <w:ind w:left="660"/>
              <w:spacing w:after="0"/>
              <w:rPr>
                <w:sz w:val="20"/>
                <w:szCs w:val="20"/>
                <w:color w:val="auto"/>
              </w:rPr>
            </w:pPr>
            <w:r>
              <w:rPr>
                <w:rFonts w:ascii="Arial" w:cs="Arial" w:eastAsia="Arial" w:hAnsi="Arial"/>
                <w:sz w:val="22"/>
                <w:szCs w:val="22"/>
                <w:color w:val="auto"/>
              </w:rPr>
              <w:t>Certain Indebtedness</w:t>
            </w:r>
          </w:p>
        </w:tc>
      </w:tr>
      <w:tr>
        <w:trPr>
          <w:trHeight w:val="311"/>
        </w:trPr>
        <w:tc>
          <w:tcPr>
            <w:tcW w:w="2040" w:type="dxa"/>
            <w:vAlign w:val="bottom"/>
          </w:tcPr>
          <w:p>
            <w:pPr>
              <w:ind w:left="840"/>
              <w:spacing w:after="0"/>
              <w:rPr>
                <w:sz w:val="20"/>
                <w:szCs w:val="20"/>
                <w:color w:val="auto"/>
              </w:rPr>
            </w:pPr>
            <w:r>
              <w:rPr>
                <w:rFonts w:ascii="Arial" w:cs="Arial" w:eastAsia="Arial" w:hAnsi="Arial"/>
                <w:sz w:val="22"/>
                <w:szCs w:val="22"/>
                <w:color w:val="auto"/>
              </w:rPr>
              <w:t>7.02</w:t>
            </w:r>
          </w:p>
        </w:tc>
        <w:tc>
          <w:tcPr>
            <w:tcW w:w="6000" w:type="dxa"/>
            <w:vAlign w:val="bottom"/>
          </w:tcPr>
          <w:p>
            <w:pPr>
              <w:ind w:left="660"/>
              <w:spacing w:after="0"/>
              <w:rPr>
                <w:sz w:val="20"/>
                <w:szCs w:val="20"/>
                <w:color w:val="auto"/>
              </w:rPr>
            </w:pPr>
            <w:r>
              <w:rPr>
                <w:rFonts w:ascii="Arial" w:cs="Arial" w:eastAsia="Arial" w:hAnsi="Arial"/>
                <w:sz w:val="22"/>
                <w:szCs w:val="22"/>
                <w:color w:val="auto"/>
              </w:rPr>
              <w:t>Certain Liens</w:t>
            </w:r>
          </w:p>
        </w:tc>
      </w:tr>
      <w:tr>
        <w:trPr>
          <w:trHeight w:val="310"/>
        </w:trPr>
        <w:tc>
          <w:tcPr>
            <w:tcW w:w="2040" w:type="dxa"/>
            <w:vAlign w:val="bottom"/>
          </w:tcPr>
          <w:p>
            <w:pPr>
              <w:ind w:left="840"/>
              <w:spacing w:after="0"/>
              <w:rPr>
                <w:sz w:val="20"/>
                <w:szCs w:val="20"/>
                <w:color w:val="auto"/>
              </w:rPr>
            </w:pPr>
            <w:r>
              <w:rPr>
                <w:rFonts w:ascii="Arial" w:cs="Arial" w:eastAsia="Arial" w:hAnsi="Arial"/>
                <w:sz w:val="22"/>
                <w:szCs w:val="22"/>
                <w:color w:val="auto"/>
              </w:rPr>
              <w:t>7.05</w:t>
            </w:r>
          </w:p>
        </w:tc>
        <w:tc>
          <w:tcPr>
            <w:tcW w:w="6000" w:type="dxa"/>
            <w:vAlign w:val="bottom"/>
          </w:tcPr>
          <w:p>
            <w:pPr>
              <w:ind w:left="660"/>
              <w:spacing w:after="0"/>
              <w:rPr>
                <w:sz w:val="20"/>
                <w:szCs w:val="20"/>
                <w:color w:val="auto"/>
              </w:rPr>
            </w:pPr>
            <w:r>
              <w:rPr>
                <w:rFonts w:ascii="Arial" w:cs="Arial" w:eastAsia="Arial" w:hAnsi="Arial"/>
                <w:sz w:val="22"/>
                <w:szCs w:val="22"/>
                <w:color w:val="auto"/>
              </w:rPr>
              <w:t>Certain Restrictions on Subsidiary Distributions</w:t>
            </w:r>
          </w:p>
        </w:tc>
      </w:tr>
      <w:tr>
        <w:trPr>
          <w:trHeight w:val="311"/>
        </w:trPr>
        <w:tc>
          <w:tcPr>
            <w:tcW w:w="2040" w:type="dxa"/>
            <w:vAlign w:val="bottom"/>
          </w:tcPr>
          <w:p>
            <w:pPr>
              <w:ind w:left="840"/>
              <w:spacing w:after="0"/>
              <w:rPr>
                <w:sz w:val="20"/>
                <w:szCs w:val="20"/>
                <w:color w:val="auto"/>
              </w:rPr>
            </w:pPr>
            <w:r>
              <w:rPr>
                <w:rFonts w:ascii="Arial" w:cs="Arial" w:eastAsia="Arial" w:hAnsi="Arial"/>
                <w:sz w:val="22"/>
                <w:szCs w:val="22"/>
                <w:color w:val="auto"/>
              </w:rPr>
              <w:t>7.06</w:t>
            </w:r>
          </w:p>
        </w:tc>
        <w:tc>
          <w:tcPr>
            <w:tcW w:w="6000" w:type="dxa"/>
            <w:vAlign w:val="bottom"/>
          </w:tcPr>
          <w:p>
            <w:pPr>
              <w:ind w:left="660"/>
              <w:spacing w:after="0"/>
              <w:rPr>
                <w:sz w:val="20"/>
                <w:szCs w:val="20"/>
                <w:color w:val="auto"/>
              </w:rPr>
            </w:pPr>
            <w:r>
              <w:rPr>
                <w:rFonts w:ascii="Arial" w:cs="Arial" w:eastAsia="Arial" w:hAnsi="Arial"/>
                <w:sz w:val="22"/>
                <w:szCs w:val="22"/>
                <w:color w:val="auto"/>
              </w:rPr>
              <w:t>Certain Investments</w:t>
            </w:r>
          </w:p>
        </w:tc>
      </w:tr>
      <w:tr>
        <w:trPr>
          <w:trHeight w:val="310"/>
        </w:trPr>
        <w:tc>
          <w:tcPr>
            <w:tcW w:w="2040" w:type="dxa"/>
            <w:vAlign w:val="bottom"/>
          </w:tcPr>
          <w:p>
            <w:pPr>
              <w:ind w:left="840"/>
              <w:spacing w:after="0"/>
              <w:rPr>
                <w:sz w:val="20"/>
                <w:szCs w:val="20"/>
                <w:color w:val="auto"/>
              </w:rPr>
            </w:pPr>
            <w:r>
              <w:rPr>
                <w:rFonts w:ascii="Arial" w:cs="Arial" w:eastAsia="Arial" w:hAnsi="Arial"/>
                <w:sz w:val="22"/>
                <w:szCs w:val="22"/>
                <w:color w:val="auto"/>
              </w:rPr>
              <w:t>7.11</w:t>
            </w:r>
          </w:p>
        </w:tc>
        <w:tc>
          <w:tcPr>
            <w:tcW w:w="6000" w:type="dxa"/>
            <w:vAlign w:val="bottom"/>
          </w:tcPr>
          <w:p>
            <w:pPr>
              <w:ind w:left="660"/>
              <w:spacing w:after="0"/>
              <w:rPr>
                <w:sz w:val="20"/>
                <w:szCs w:val="20"/>
                <w:color w:val="auto"/>
              </w:rPr>
            </w:pPr>
            <w:r>
              <w:rPr>
                <w:rFonts w:ascii="Arial" w:cs="Arial" w:eastAsia="Arial" w:hAnsi="Arial"/>
                <w:sz w:val="22"/>
                <w:szCs w:val="22"/>
                <w:color w:val="auto"/>
              </w:rPr>
              <w:t>Certain Affiliate Transactions</w:t>
            </w:r>
          </w:p>
        </w:tc>
      </w:tr>
      <w:tr>
        <w:trPr>
          <w:trHeight w:val="311"/>
        </w:trPr>
        <w:tc>
          <w:tcPr>
            <w:tcW w:w="2040" w:type="dxa"/>
            <w:vAlign w:val="bottom"/>
          </w:tcPr>
          <w:p>
            <w:pPr>
              <w:ind w:left="840"/>
              <w:spacing w:after="0"/>
              <w:rPr>
                <w:sz w:val="20"/>
                <w:szCs w:val="20"/>
                <w:color w:val="auto"/>
              </w:rPr>
            </w:pPr>
            <w:r>
              <w:rPr>
                <w:rFonts w:ascii="Arial" w:cs="Arial" w:eastAsia="Arial" w:hAnsi="Arial"/>
                <w:sz w:val="22"/>
                <w:szCs w:val="22"/>
                <w:color w:val="auto"/>
              </w:rPr>
              <w:t>11.02</w:t>
            </w:r>
          </w:p>
        </w:tc>
        <w:tc>
          <w:tcPr>
            <w:tcW w:w="6000" w:type="dxa"/>
            <w:vAlign w:val="bottom"/>
          </w:tcPr>
          <w:p>
            <w:pPr>
              <w:ind w:left="660"/>
              <w:spacing w:after="0"/>
              <w:rPr>
                <w:sz w:val="20"/>
                <w:szCs w:val="20"/>
                <w:color w:val="auto"/>
              </w:rPr>
            </w:pPr>
            <w:r>
              <w:rPr>
                <w:rFonts w:ascii="Arial" w:cs="Arial" w:eastAsia="Arial" w:hAnsi="Arial"/>
                <w:sz w:val="22"/>
                <w:szCs w:val="22"/>
                <w:color w:val="auto"/>
                <w:w w:val="90"/>
              </w:rPr>
              <w:t>Administrative Agent’s Office, Certain Addresses for Notices</w:t>
            </w:r>
          </w:p>
        </w:tc>
      </w:tr>
      <w:tr>
        <w:trPr>
          <w:trHeight w:val="310"/>
        </w:trPr>
        <w:tc>
          <w:tcPr>
            <w:tcW w:w="2040" w:type="dxa"/>
            <w:vAlign w:val="bottom"/>
          </w:tcPr>
          <w:p>
            <w:pPr>
              <w:ind w:left="840"/>
              <w:spacing w:after="0"/>
              <w:rPr>
                <w:sz w:val="20"/>
                <w:szCs w:val="20"/>
                <w:color w:val="auto"/>
              </w:rPr>
            </w:pPr>
            <w:r>
              <w:rPr>
                <w:rFonts w:ascii="Arial" w:cs="Arial" w:eastAsia="Arial" w:hAnsi="Arial"/>
                <w:sz w:val="22"/>
                <w:szCs w:val="22"/>
                <w:color w:val="auto"/>
              </w:rPr>
              <w:t>11.06</w:t>
            </w:r>
          </w:p>
        </w:tc>
        <w:tc>
          <w:tcPr>
            <w:tcW w:w="6000" w:type="dxa"/>
            <w:vAlign w:val="bottom"/>
          </w:tcPr>
          <w:p>
            <w:pPr>
              <w:ind w:left="660"/>
              <w:spacing w:after="0"/>
              <w:rPr>
                <w:sz w:val="20"/>
                <w:szCs w:val="20"/>
                <w:color w:val="auto"/>
              </w:rPr>
            </w:pPr>
            <w:r>
              <w:rPr>
                <w:rFonts w:ascii="Arial" w:cs="Arial" w:eastAsia="Arial" w:hAnsi="Arial"/>
                <w:sz w:val="22"/>
                <w:szCs w:val="22"/>
                <w:color w:val="auto"/>
              </w:rPr>
              <w:t>Disqualified Institutions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119"/>
          </w:cols>
          <w:pgMar w:left="340" w:top="1440" w:right="1440" w:bottom="1440" w:gutter="0" w:footer="0" w:header="0"/>
        </w:sectPr>
      </w:pPr>
    </w:p>
    <w:bookmarkStart w:id="282" w:name="page283"/>
    <w:bookmarkEnd w:id="282"/>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Form of</w:t>
      </w:r>
    </w:p>
    <w:p>
      <w:pPr>
        <w:spacing w:after="0" w:line="328" w:lineRule="exact"/>
        <w:rPr>
          <w:sz w:val="20"/>
          <w:szCs w:val="20"/>
          <w:color w:val="auto"/>
        </w:rPr>
      </w:pPr>
    </w:p>
    <w:p>
      <w:pPr>
        <w:ind w:left="2100" w:hanging="1433"/>
        <w:spacing w:after="0"/>
        <w:tabs>
          <w:tab w:leader="none" w:pos="21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Committed Loan Notice</w:t>
      </w:r>
    </w:p>
    <w:p>
      <w:pPr>
        <w:spacing w:after="0" w:line="58"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B</w:t>
            </w:r>
          </w:p>
        </w:tc>
        <w:tc>
          <w:tcPr>
            <w:tcW w:w="3280" w:type="dxa"/>
            <w:vAlign w:val="bottom"/>
          </w:tcPr>
          <w:p>
            <w:pPr>
              <w:ind w:left="560"/>
              <w:spacing w:after="0"/>
              <w:rPr>
                <w:sz w:val="20"/>
                <w:szCs w:val="20"/>
                <w:color w:val="auto"/>
              </w:rPr>
            </w:pPr>
            <w:r>
              <w:rPr>
                <w:rFonts w:ascii="Arial" w:cs="Arial" w:eastAsia="Arial" w:hAnsi="Arial"/>
                <w:sz w:val="22"/>
                <w:szCs w:val="22"/>
                <w:color w:val="auto"/>
              </w:rPr>
              <w:t>Swing Line Loan Notice</w:t>
            </w:r>
          </w:p>
        </w:tc>
      </w:tr>
      <w:tr>
        <w:trPr>
          <w:trHeight w:val="310"/>
        </w:trPr>
        <w:tc>
          <w:tcPr>
            <w:tcW w:w="880" w:type="dxa"/>
            <w:vAlign w:val="bottom"/>
          </w:tcPr>
          <w:p>
            <w:pPr>
              <w:spacing w:after="0"/>
              <w:rPr>
                <w:sz w:val="20"/>
                <w:szCs w:val="20"/>
                <w:color w:val="auto"/>
              </w:rPr>
            </w:pPr>
            <w:r>
              <w:rPr>
                <w:rFonts w:ascii="Arial" w:cs="Arial" w:eastAsia="Arial" w:hAnsi="Arial"/>
                <w:sz w:val="22"/>
                <w:szCs w:val="22"/>
                <w:color w:val="auto"/>
              </w:rPr>
              <w:t>C-1</w:t>
            </w:r>
          </w:p>
        </w:tc>
        <w:tc>
          <w:tcPr>
            <w:tcW w:w="3280" w:type="dxa"/>
            <w:vAlign w:val="bottom"/>
          </w:tcPr>
          <w:p>
            <w:pPr>
              <w:ind w:left="560"/>
              <w:spacing w:after="0"/>
              <w:rPr>
                <w:sz w:val="20"/>
                <w:szCs w:val="20"/>
                <w:color w:val="auto"/>
              </w:rPr>
            </w:pPr>
            <w:r>
              <w:rPr>
                <w:rFonts w:ascii="Arial" w:cs="Arial" w:eastAsia="Arial" w:hAnsi="Arial"/>
                <w:sz w:val="22"/>
                <w:szCs w:val="22"/>
                <w:color w:val="auto"/>
                <w:w w:val="91"/>
              </w:rPr>
              <w:t>Form of Revolving Credit Note</w:t>
            </w:r>
          </w:p>
        </w:tc>
      </w:tr>
      <w:tr>
        <w:trPr>
          <w:trHeight w:val="311"/>
        </w:trPr>
        <w:tc>
          <w:tcPr>
            <w:tcW w:w="880" w:type="dxa"/>
            <w:vAlign w:val="bottom"/>
          </w:tcPr>
          <w:p>
            <w:pPr>
              <w:spacing w:after="0"/>
              <w:rPr>
                <w:sz w:val="20"/>
                <w:szCs w:val="20"/>
                <w:color w:val="auto"/>
              </w:rPr>
            </w:pPr>
            <w:r>
              <w:rPr>
                <w:rFonts w:ascii="Arial" w:cs="Arial" w:eastAsia="Arial" w:hAnsi="Arial"/>
                <w:sz w:val="22"/>
                <w:szCs w:val="22"/>
                <w:color w:val="auto"/>
              </w:rPr>
              <w:t>C-2</w:t>
            </w:r>
          </w:p>
        </w:tc>
        <w:tc>
          <w:tcPr>
            <w:tcW w:w="3280" w:type="dxa"/>
            <w:vAlign w:val="bottom"/>
          </w:tcPr>
          <w:p>
            <w:pPr>
              <w:ind w:left="560"/>
              <w:spacing w:after="0"/>
              <w:rPr>
                <w:sz w:val="20"/>
                <w:szCs w:val="20"/>
                <w:color w:val="auto"/>
              </w:rPr>
            </w:pPr>
            <w:r>
              <w:rPr>
                <w:rFonts w:ascii="Arial" w:cs="Arial" w:eastAsia="Arial" w:hAnsi="Arial"/>
                <w:sz w:val="22"/>
                <w:szCs w:val="22"/>
                <w:color w:val="auto"/>
              </w:rPr>
              <w:t>Form of Term A Note</w:t>
            </w:r>
          </w:p>
        </w:tc>
      </w:tr>
    </w:tbl>
    <w:p>
      <w:pPr>
        <w:spacing w:after="0" w:line="36" w:lineRule="exact"/>
        <w:rPr>
          <w:sz w:val="20"/>
          <w:szCs w:val="20"/>
          <w:color w:val="auto"/>
        </w:rPr>
      </w:pPr>
    </w:p>
    <w:p>
      <w:pPr>
        <w:ind w:left="2100" w:hanging="1433"/>
        <w:spacing w:after="0"/>
        <w:tabs>
          <w:tab w:leader="none" w:pos="210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Compliance Certificate</w:t>
      </w:r>
    </w:p>
    <w:p>
      <w:pPr>
        <w:spacing w:after="0" w:line="58"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E-1</w:t>
            </w:r>
          </w:p>
        </w:tc>
        <w:tc>
          <w:tcPr>
            <w:tcW w:w="3120" w:type="dxa"/>
            <w:vAlign w:val="bottom"/>
          </w:tcPr>
          <w:p>
            <w:pPr>
              <w:ind w:left="560"/>
              <w:spacing w:after="0"/>
              <w:rPr>
                <w:sz w:val="20"/>
                <w:szCs w:val="20"/>
                <w:color w:val="auto"/>
              </w:rPr>
            </w:pPr>
            <w:r>
              <w:rPr>
                <w:rFonts w:ascii="Arial" w:cs="Arial" w:eastAsia="Arial" w:hAnsi="Arial"/>
                <w:sz w:val="22"/>
                <w:szCs w:val="22"/>
                <w:color w:val="auto"/>
                <w:w w:val="91"/>
              </w:rPr>
              <w:t>Assignment and Assumption</w:t>
            </w:r>
          </w:p>
        </w:tc>
      </w:tr>
      <w:tr>
        <w:trPr>
          <w:trHeight w:val="311"/>
        </w:trPr>
        <w:tc>
          <w:tcPr>
            <w:tcW w:w="880" w:type="dxa"/>
            <w:vAlign w:val="bottom"/>
          </w:tcPr>
          <w:p>
            <w:pPr>
              <w:spacing w:after="0"/>
              <w:rPr>
                <w:sz w:val="20"/>
                <w:szCs w:val="20"/>
                <w:color w:val="auto"/>
              </w:rPr>
            </w:pPr>
            <w:r>
              <w:rPr>
                <w:rFonts w:ascii="Arial" w:cs="Arial" w:eastAsia="Arial" w:hAnsi="Arial"/>
                <w:sz w:val="22"/>
                <w:szCs w:val="22"/>
                <w:color w:val="auto"/>
              </w:rPr>
              <w:t>E-2</w:t>
            </w:r>
          </w:p>
        </w:tc>
        <w:tc>
          <w:tcPr>
            <w:tcW w:w="3120" w:type="dxa"/>
            <w:vAlign w:val="bottom"/>
          </w:tcPr>
          <w:p>
            <w:pPr>
              <w:ind w:left="560"/>
              <w:spacing w:after="0"/>
              <w:rPr>
                <w:sz w:val="20"/>
                <w:szCs w:val="20"/>
                <w:color w:val="auto"/>
              </w:rPr>
            </w:pPr>
            <w:r>
              <w:rPr>
                <w:rFonts w:ascii="Arial" w:cs="Arial" w:eastAsia="Arial" w:hAnsi="Arial"/>
                <w:sz w:val="22"/>
                <w:szCs w:val="22"/>
                <w:color w:val="auto"/>
                <w:w w:val="90"/>
              </w:rPr>
              <w:t>Administrative Questionnaire</w:t>
            </w:r>
          </w:p>
        </w:tc>
      </w:tr>
      <w:tr>
        <w:trPr>
          <w:trHeight w:val="310"/>
        </w:trPr>
        <w:tc>
          <w:tcPr>
            <w:tcW w:w="880" w:type="dxa"/>
            <w:vAlign w:val="bottom"/>
          </w:tcPr>
          <w:p>
            <w:pPr>
              <w:spacing w:after="0"/>
              <w:rPr>
                <w:sz w:val="20"/>
                <w:szCs w:val="20"/>
                <w:color w:val="auto"/>
              </w:rPr>
            </w:pPr>
            <w:r>
              <w:rPr>
                <w:rFonts w:ascii="Arial" w:cs="Arial" w:eastAsia="Arial" w:hAnsi="Arial"/>
                <w:sz w:val="22"/>
                <w:szCs w:val="22"/>
                <w:color w:val="auto"/>
              </w:rPr>
              <w:t>F-1</w:t>
            </w:r>
          </w:p>
        </w:tc>
        <w:tc>
          <w:tcPr>
            <w:tcW w:w="3120" w:type="dxa"/>
            <w:vAlign w:val="bottom"/>
          </w:tcPr>
          <w:p>
            <w:pPr>
              <w:ind w:left="560"/>
              <w:spacing w:after="0"/>
              <w:rPr>
                <w:sz w:val="20"/>
                <w:szCs w:val="20"/>
                <w:color w:val="auto"/>
              </w:rPr>
            </w:pPr>
            <w:r>
              <w:rPr>
                <w:rFonts w:ascii="Arial" w:cs="Arial" w:eastAsia="Arial" w:hAnsi="Arial"/>
                <w:sz w:val="22"/>
                <w:szCs w:val="22"/>
                <w:color w:val="auto"/>
              </w:rPr>
              <w:t>Closing Date Certificate</w:t>
            </w:r>
          </w:p>
        </w:tc>
      </w:tr>
      <w:tr>
        <w:trPr>
          <w:trHeight w:val="311"/>
        </w:trPr>
        <w:tc>
          <w:tcPr>
            <w:tcW w:w="880" w:type="dxa"/>
            <w:vAlign w:val="bottom"/>
          </w:tcPr>
          <w:p>
            <w:pPr>
              <w:spacing w:after="0"/>
              <w:rPr>
                <w:sz w:val="20"/>
                <w:szCs w:val="20"/>
                <w:color w:val="auto"/>
              </w:rPr>
            </w:pPr>
            <w:r>
              <w:rPr>
                <w:rFonts w:ascii="Arial" w:cs="Arial" w:eastAsia="Arial" w:hAnsi="Arial"/>
                <w:sz w:val="22"/>
                <w:szCs w:val="22"/>
                <w:color w:val="auto"/>
              </w:rPr>
              <w:t>F-2</w:t>
            </w:r>
          </w:p>
        </w:tc>
        <w:tc>
          <w:tcPr>
            <w:tcW w:w="3120" w:type="dxa"/>
            <w:vAlign w:val="bottom"/>
          </w:tcPr>
          <w:p>
            <w:pPr>
              <w:ind w:left="560"/>
              <w:spacing w:after="0"/>
              <w:rPr>
                <w:sz w:val="20"/>
                <w:szCs w:val="20"/>
                <w:color w:val="auto"/>
              </w:rPr>
            </w:pPr>
            <w:r>
              <w:rPr>
                <w:rFonts w:ascii="Arial" w:cs="Arial" w:eastAsia="Arial" w:hAnsi="Arial"/>
                <w:sz w:val="22"/>
                <w:szCs w:val="22"/>
                <w:color w:val="auto"/>
              </w:rPr>
              <w:t>Solvency Certificate</w:t>
            </w:r>
          </w:p>
        </w:tc>
      </w:tr>
    </w:tbl>
    <w:p>
      <w:pPr>
        <w:spacing w:after="0" w:line="36" w:lineRule="exact"/>
        <w:rPr>
          <w:sz w:val="20"/>
          <w:szCs w:val="20"/>
          <w:color w:val="auto"/>
        </w:rPr>
      </w:pPr>
    </w:p>
    <w:p>
      <w:pPr>
        <w:ind w:left="2100" w:hanging="1433"/>
        <w:spacing w:after="0"/>
        <w:tabs>
          <w:tab w:leader="none" w:pos="210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Counterpart Agreement</w:t>
      </w:r>
    </w:p>
    <w:p>
      <w:pPr>
        <w:spacing w:after="0" w:line="58" w:lineRule="exact"/>
        <w:rPr>
          <w:sz w:val="20"/>
          <w:szCs w:val="20"/>
          <w:color w:val="auto"/>
        </w:rPr>
      </w:pPr>
    </w:p>
    <w:p>
      <w:pPr>
        <w:ind w:left="2100" w:hanging="1433"/>
        <w:spacing w:after="0"/>
        <w:tabs>
          <w:tab w:leader="none" w:pos="21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[Reserved]</w:t>
      </w:r>
    </w:p>
    <w:p>
      <w:pPr>
        <w:spacing w:after="0" w:line="58"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I-1</w:t>
            </w:r>
          </w:p>
        </w:tc>
        <w:tc>
          <w:tcPr>
            <w:tcW w:w="1520" w:type="dxa"/>
            <w:vAlign w:val="bottom"/>
          </w:tcPr>
          <w:p>
            <w:pPr>
              <w:ind w:left="580"/>
              <w:spacing w:after="0"/>
              <w:rPr>
                <w:sz w:val="20"/>
                <w:szCs w:val="20"/>
                <w:color w:val="auto"/>
              </w:rPr>
            </w:pPr>
            <w:r>
              <w:rPr>
                <w:rFonts w:ascii="Arial" w:cs="Arial" w:eastAsia="Arial" w:hAnsi="Arial"/>
                <w:sz w:val="22"/>
                <w:szCs w:val="22"/>
                <w:color w:val="auto"/>
                <w:w w:val="86"/>
              </w:rPr>
              <w:t>[Reserved]</w:t>
            </w:r>
          </w:p>
        </w:tc>
      </w:tr>
      <w:tr>
        <w:trPr>
          <w:trHeight w:val="310"/>
        </w:trPr>
        <w:tc>
          <w:tcPr>
            <w:tcW w:w="860" w:type="dxa"/>
            <w:vAlign w:val="bottom"/>
          </w:tcPr>
          <w:p>
            <w:pPr>
              <w:spacing w:after="0"/>
              <w:rPr>
                <w:sz w:val="20"/>
                <w:szCs w:val="20"/>
                <w:color w:val="auto"/>
              </w:rPr>
            </w:pPr>
            <w:r>
              <w:rPr>
                <w:rFonts w:ascii="Arial" w:cs="Arial" w:eastAsia="Arial" w:hAnsi="Arial"/>
                <w:sz w:val="22"/>
                <w:szCs w:val="22"/>
                <w:color w:val="auto"/>
              </w:rPr>
              <w:t>I-2</w:t>
            </w:r>
          </w:p>
        </w:tc>
        <w:tc>
          <w:tcPr>
            <w:tcW w:w="1520" w:type="dxa"/>
            <w:vAlign w:val="bottom"/>
          </w:tcPr>
          <w:p>
            <w:pPr>
              <w:ind w:left="580"/>
              <w:spacing w:after="0"/>
              <w:rPr>
                <w:sz w:val="20"/>
                <w:szCs w:val="20"/>
                <w:color w:val="auto"/>
              </w:rPr>
            </w:pPr>
            <w:r>
              <w:rPr>
                <w:rFonts w:ascii="Arial" w:cs="Arial" w:eastAsia="Arial" w:hAnsi="Arial"/>
                <w:sz w:val="22"/>
                <w:szCs w:val="22"/>
                <w:color w:val="auto"/>
                <w:w w:val="86"/>
              </w:rPr>
              <w:t>[Reserved]</w:t>
            </w:r>
          </w:p>
        </w:tc>
      </w:tr>
      <w:tr>
        <w:trPr>
          <w:trHeight w:val="311"/>
        </w:trPr>
        <w:tc>
          <w:tcPr>
            <w:tcW w:w="860" w:type="dxa"/>
            <w:vAlign w:val="bottom"/>
          </w:tcPr>
          <w:p>
            <w:pPr>
              <w:spacing w:after="0"/>
              <w:rPr>
                <w:sz w:val="20"/>
                <w:szCs w:val="20"/>
                <w:color w:val="auto"/>
              </w:rPr>
            </w:pPr>
            <w:r>
              <w:rPr>
                <w:rFonts w:ascii="Arial" w:cs="Arial" w:eastAsia="Arial" w:hAnsi="Arial"/>
                <w:sz w:val="22"/>
                <w:szCs w:val="22"/>
                <w:color w:val="auto"/>
              </w:rPr>
              <w:t>J-1</w:t>
            </w:r>
          </w:p>
        </w:tc>
        <w:tc>
          <w:tcPr>
            <w:tcW w:w="1520" w:type="dxa"/>
            <w:vAlign w:val="bottom"/>
          </w:tcPr>
          <w:p>
            <w:pPr>
              <w:ind w:left="580"/>
              <w:spacing w:after="0"/>
              <w:rPr>
                <w:sz w:val="20"/>
                <w:szCs w:val="20"/>
                <w:color w:val="auto"/>
              </w:rPr>
            </w:pPr>
            <w:r>
              <w:rPr>
                <w:rFonts w:ascii="Arial" w:cs="Arial" w:eastAsia="Arial" w:hAnsi="Arial"/>
                <w:sz w:val="22"/>
                <w:szCs w:val="22"/>
                <w:color w:val="auto"/>
                <w:w w:val="86"/>
              </w:rPr>
              <w:t>[Reserved]</w:t>
            </w:r>
          </w:p>
        </w:tc>
      </w:tr>
      <w:tr>
        <w:trPr>
          <w:trHeight w:val="310"/>
        </w:trPr>
        <w:tc>
          <w:tcPr>
            <w:tcW w:w="860" w:type="dxa"/>
            <w:vAlign w:val="bottom"/>
          </w:tcPr>
          <w:p>
            <w:pPr>
              <w:spacing w:after="0"/>
              <w:rPr>
                <w:sz w:val="20"/>
                <w:szCs w:val="20"/>
                <w:color w:val="auto"/>
              </w:rPr>
            </w:pPr>
            <w:r>
              <w:rPr>
                <w:rFonts w:ascii="Arial" w:cs="Arial" w:eastAsia="Arial" w:hAnsi="Arial"/>
                <w:sz w:val="22"/>
                <w:szCs w:val="22"/>
                <w:color w:val="auto"/>
              </w:rPr>
              <w:t>J-2</w:t>
            </w:r>
          </w:p>
        </w:tc>
        <w:tc>
          <w:tcPr>
            <w:tcW w:w="1520" w:type="dxa"/>
            <w:vAlign w:val="bottom"/>
          </w:tcPr>
          <w:p>
            <w:pPr>
              <w:ind w:left="580"/>
              <w:spacing w:after="0"/>
              <w:rPr>
                <w:sz w:val="20"/>
                <w:szCs w:val="20"/>
                <w:color w:val="auto"/>
              </w:rPr>
            </w:pPr>
            <w:r>
              <w:rPr>
                <w:rFonts w:ascii="Arial" w:cs="Arial" w:eastAsia="Arial" w:hAnsi="Arial"/>
                <w:sz w:val="22"/>
                <w:szCs w:val="22"/>
                <w:color w:val="auto"/>
                <w:w w:val="86"/>
              </w:rPr>
              <w:t>[Reserved]</w:t>
            </w:r>
          </w:p>
        </w:tc>
      </w:tr>
    </w:tbl>
    <w:p>
      <w:pPr>
        <w:spacing w:after="0" w:line="36" w:lineRule="exact"/>
        <w:rPr>
          <w:sz w:val="20"/>
          <w:szCs w:val="20"/>
          <w:color w:val="auto"/>
        </w:rPr>
      </w:pPr>
    </w:p>
    <w:p>
      <w:pPr>
        <w:ind w:left="2100" w:hanging="1433"/>
        <w:spacing w:after="0"/>
        <w:tabs>
          <w:tab w:leader="none" w:pos="210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Intercompany Subordination Agreement</w:t>
      </w:r>
    </w:p>
    <w:p>
      <w:pPr>
        <w:spacing w:after="0" w:line="58"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L</w:t>
            </w:r>
          </w:p>
        </w:tc>
        <w:tc>
          <w:tcPr>
            <w:tcW w:w="4760" w:type="dxa"/>
            <w:vAlign w:val="bottom"/>
          </w:tcPr>
          <w:p>
            <w:pPr>
              <w:ind w:left="540"/>
              <w:spacing w:after="0"/>
              <w:rPr>
                <w:sz w:val="20"/>
                <w:szCs w:val="20"/>
                <w:color w:val="auto"/>
              </w:rPr>
            </w:pPr>
            <w:r>
              <w:rPr>
                <w:rFonts w:ascii="Arial" w:cs="Arial" w:eastAsia="Arial" w:hAnsi="Arial"/>
                <w:sz w:val="22"/>
                <w:szCs w:val="22"/>
                <w:color w:val="auto"/>
                <w:w w:val="89"/>
              </w:rPr>
              <w:t>Forms of Opinion of Counsel to the Loan Parties</w:t>
            </w:r>
          </w:p>
        </w:tc>
      </w:tr>
      <w:tr>
        <w:trPr>
          <w:trHeight w:val="310"/>
        </w:trPr>
        <w:tc>
          <w:tcPr>
            <w:tcW w:w="900" w:type="dxa"/>
            <w:vAlign w:val="bottom"/>
          </w:tcPr>
          <w:p>
            <w:pPr>
              <w:spacing w:after="0"/>
              <w:rPr>
                <w:sz w:val="20"/>
                <w:szCs w:val="20"/>
                <w:color w:val="auto"/>
              </w:rPr>
            </w:pPr>
            <w:r>
              <w:rPr>
                <w:rFonts w:ascii="Arial" w:cs="Arial" w:eastAsia="Arial" w:hAnsi="Arial"/>
                <w:sz w:val="22"/>
                <w:szCs w:val="22"/>
                <w:color w:val="auto"/>
              </w:rPr>
              <w:t>M-1</w:t>
            </w:r>
          </w:p>
        </w:tc>
        <w:tc>
          <w:tcPr>
            <w:tcW w:w="4760" w:type="dxa"/>
            <w:vAlign w:val="bottom"/>
          </w:tcPr>
          <w:p>
            <w:pPr>
              <w:ind w:left="540"/>
              <w:spacing w:after="0"/>
              <w:rPr>
                <w:sz w:val="20"/>
                <w:szCs w:val="20"/>
                <w:color w:val="auto"/>
              </w:rPr>
            </w:pPr>
            <w:r>
              <w:rPr>
                <w:rFonts w:ascii="Arial" w:cs="Arial" w:eastAsia="Arial" w:hAnsi="Arial"/>
                <w:sz w:val="22"/>
                <w:szCs w:val="22"/>
                <w:color w:val="auto"/>
              </w:rPr>
              <w:t>U.S. Tax Compliance Certificate</w:t>
            </w:r>
          </w:p>
        </w:tc>
      </w:tr>
      <w:tr>
        <w:trPr>
          <w:trHeight w:val="310"/>
        </w:trPr>
        <w:tc>
          <w:tcPr>
            <w:tcW w:w="900" w:type="dxa"/>
            <w:vAlign w:val="bottom"/>
          </w:tcPr>
          <w:p>
            <w:pPr>
              <w:spacing w:after="0"/>
              <w:rPr>
                <w:sz w:val="20"/>
                <w:szCs w:val="20"/>
                <w:color w:val="auto"/>
              </w:rPr>
            </w:pPr>
            <w:r>
              <w:rPr>
                <w:rFonts w:ascii="Arial" w:cs="Arial" w:eastAsia="Arial" w:hAnsi="Arial"/>
                <w:sz w:val="22"/>
                <w:szCs w:val="22"/>
                <w:color w:val="auto"/>
              </w:rPr>
              <w:t>M-2</w:t>
            </w:r>
          </w:p>
        </w:tc>
        <w:tc>
          <w:tcPr>
            <w:tcW w:w="4760" w:type="dxa"/>
            <w:vAlign w:val="bottom"/>
          </w:tcPr>
          <w:p>
            <w:pPr>
              <w:ind w:left="540"/>
              <w:spacing w:after="0"/>
              <w:rPr>
                <w:sz w:val="20"/>
                <w:szCs w:val="20"/>
                <w:color w:val="auto"/>
              </w:rPr>
            </w:pPr>
            <w:r>
              <w:rPr>
                <w:rFonts w:ascii="Arial" w:cs="Arial" w:eastAsia="Arial" w:hAnsi="Arial"/>
                <w:sz w:val="22"/>
                <w:szCs w:val="22"/>
                <w:color w:val="auto"/>
              </w:rPr>
              <w:t>U.S. Tax Compliance Certificate</w:t>
            </w:r>
          </w:p>
        </w:tc>
      </w:tr>
      <w:tr>
        <w:trPr>
          <w:trHeight w:val="310"/>
        </w:trPr>
        <w:tc>
          <w:tcPr>
            <w:tcW w:w="900" w:type="dxa"/>
            <w:vAlign w:val="bottom"/>
          </w:tcPr>
          <w:p>
            <w:pPr>
              <w:spacing w:after="0"/>
              <w:rPr>
                <w:sz w:val="20"/>
                <w:szCs w:val="20"/>
                <w:color w:val="auto"/>
              </w:rPr>
            </w:pPr>
            <w:r>
              <w:rPr>
                <w:rFonts w:ascii="Arial" w:cs="Arial" w:eastAsia="Arial" w:hAnsi="Arial"/>
                <w:sz w:val="22"/>
                <w:szCs w:val="22"/>
                <w:color w:val="auto"/>
              </w:rPr>
              <w:t>M-3</w:t>
            </w:r>
          </w:p>
        </w:tc>
        <w:tc>
          <w:tcPr>
            <w:tcW w:w="4760" w:type="dxa"/>
            <w:vAlign w:val="bottom"/>
          </w:tcPr>
          <w:p>
            <w:pPr>
              <w:ind w:left="540"/>
              <w:spacing w:after="0"/>
              <w:rPr>
                <w:sz w:val="20"/>
                <w:szCs w:val="20"/>
                <w:color w:val="auto"/>
              </w:rPr>
            </w:pPr>
            <w:r>
              <w:rPr>
                <w:rFonts w:ascii="Arial" w:cs="Arial" w:eastAsia="Arial" w:hAnsi="Arial"/>
                <w:sz w:val="22"/>
                <w:szCs w:val="22"/>
                <w:color w:val="auto"/>
              </w:rPr>
              <w:t>U.S. Tax Compliance Certificate</w:t>
            </w:r>
          </w:p>
        </w:tc>
      </w:tr>
      <w:tr>
        <w:trPr>
          <w:trHeight w:val="311"/>
        </w:trPr>
        <w:tc>
          <w:tcPr>
            <w:tcW w:w="900" w:type="dxa"/>
            <w:vAlign w:val="bottom"/>
          </w:tcPr>
          <w:p>
            <w:pPr>
              <w:spacing w:after="0"/>
              <w:rPr>
                <w:sz w:val="20"/>
                <w:szCs w:val="20"/>
                <w:color w:val="auto"/>
              </w:rPr>
            </w:pPr>
            <w:r>
              <w:rPr>
                <w:rFonts w:ascii="Arial" w:cs="Arial" w:eastAsia="Arial" w:hAnsi="Arial"/>
                <w:sz w:val="22"/>
                <w:szCs w:val="22"/>
                <w:color w:val="auto"/>
              </w:rPr>
              <w:t>M-4</w:t>
            </w:r>
          </w:p>
        </w:tc>
        <w:tc>
          <w:tcPr>
            <w:tcW w:w="4760" w:type="dxa"/>
            <w:vAlign w:val="bottom"/>
          </w:tcPr>
          <w:p>
            <w:pPr>
              <w:ind w:left="540"/>
              <w:spacing w:after="0"/>
              <w:rPr>
                <w:sz w:val="20"/>
                <w:szCs w:val="20"/>
                <w:color w:val="auto"/>
              </w:rPr>
            </w:pPr>
            <w:r>
              <w:rPr>
                <w:rFonts w:ascii="Arial" w:cs="Arial" w:eastAsia="Arial" w:hAnsi="Arial"/>
                <w:sz w:val="22"/>
                <w:szCs w:val="22"/>
                <w:color w:val="auto"/>
              </w:rPr>
              <w:t>U.S. Tax Compliance Certificate</w:t>
            </w:r>
          </w:p>
        </w:tc>
      </w:tr>
    </w:tbl>
    <w:p>
      <w:pPr>
        <w:spacing w:after="0" w:line="36" w:lineRule="exact"/>
        <w:rPr>
          <w:sz w:val="20"/>
          <w:szCs w:val="20"/>
          <w:color w:val="auto"/>
        </w:rPr>
      </w:pPr>
    </w:p>
    <w:p>
      <w:pPr>
        <w:ind w:left="2100" w:hanging="1433"/>
        <w:spacing w:after="0"/>
        <w:tabs>
          <w:tab w:leader="none" w:pos="21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[Reserved]</w:t>
      </w:r>
    </w:p>
    <w:p>
      <w:pPr>
        <w:spacing w:after="0" w:line="58" w:lineRule="exact"/>
        <w:rPr>
          <w:sz w:val="20"/>
          <w:szCs w:val="20"/>
          <w:color w:val="auto"/>
        </w:rPr>
      </w:pPr>
    </w:p>
    <w:p>
      <w:pPr>
        <w:ind w:left="2100" w:hanging="1433"/>
        <w:spacing w:after="0"/>
        <w:tabs>
          <w:tab w:leader="none" w:pos="21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[Reserved]</w:t>
      </w:r>
    </w:p>
    <w:p>
      <w:pPr>
        <w:spacing w:after="0" w:line="368" w:lineRule="exact"/>
        <w:rPr>
          <w:sz w:val="20"/>
          <w:szCs w:val="20"/>
          <w:color w:val="auto"/>
        </w:rPr>
      </w:pPr>
    </w:p>
    <w:p>
      <w:pPr>
        <w:ind w:left="2100" w:hanging="1433"/>
        <w:spacing w:after="0"/>
        <w:tabs>
          <w:tab w:leader="none" w:pos="210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Form of 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19"/>
          </w:cols>
          <w:pgMar w:left="340" w:top="1440" w:right="1440" w:bottom="1440" w:gutter="0" w:footer="0" w:header="0"/>
        </w:sectPr>
      </w:pPr>
    </w:p>
    <w:bookmarkStart w:id="283" w:name="page284"/>
    <w:bookmarkEnd w:id="283"/>
    <w:p>
      <w:pPr>
        <w:jc w:val="center"/>
        <w:spacing w:after="0"/>
        <w:rPr>
          <w:sz w:val="20"/>
          <w:szCs w:val="20"/>
          <w:color w:val="auto"/>
        </w:rPr>
      </w:pPr>
      <w:r>
        <w:rPr>
          <w:rFonts w:ascii="Arial" w:cs="Arial" w:eastAsia="Arial" w:hAnsi="Arial"/>
          <w:sz w:val="22"/>
          <w:szCs w:val="22"/>
          <w:color w:val="auto"/>
        </w:rPr>
        <w:t>CREDIT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CREDIT AGREEMENT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dated as of ___________, is entered into by and among </w:t>
      </w:r>
      <w:r>
        <w:rPr>
          <w:rFonts w:ascii="Arial" w:cs="Arial" w:eastAsia="Arial" w:hAnsi="Arial"/>
          <w:sz w:val="21"/>
          <w:szCs w:val="21"/>
          <w:b w:val="1"/>
          <w:bCs w:val="1"/>
          <w:color w:val="auto"/>
        </w:rPr>
        <w:t>LEONARDO</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color w:val="auto"/>
        </w:rPr>
        <w:t>DRS,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Borrower</w:t>
      </w:r>
      <w:r>
        <w:rPr>
          <w:rFonts w:ascii="Arial" w:cs="Arial" w:eastAsia="Arial" w:hAnsi="Arial"/>
          <w:sz w:val="21"/>
          <w:szCs w:val="21"/>
          <w:color w:val="auto"/>
        </w:rPr>
        <w:t>”), certain subsidiaries of Borrower, as Guarantors, the Lenders party hereto from</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time to time, </w:t>
      </w:r>
      <w:r>
        <w:rPr>
          <w:rFonts w:ascii="Arial" w:cs="Arial" w:eastAsia="Arial" w:hAnsi="Arial"/>
          <w:sz w:val="21"/>
          <w:szCs w:val="21"/>
          <w:b w:val="1"/>
          <w:bCs w:val="1"/>
          <w:color w:val="auto"/>
        </w:rPr>
        <w:t>BANK OF AMERICA, N.A.</w:t>
      </w:r>
      <w:r>
        <w:rPr>
          <w:rFonts w:ascii="Arial" w:cs="Arial" w:eastAsia="Arial" w:hAnsi="Arial"/>
          <w:sz w:val="21"/>
          <w:szCs w:val="21"/>
          <w:color w:val="auto"/>
        </w:rPr>
        <w:t xml:space="preserve"> (“</w:t>
      </w:r>
      <w:r>
        <w:rPr>
          <w:rFonts w:ascii="Arial" w:cs="Arial" w:eastAsia="Arial" w:hAnsi="Arial"/>
          <w:sz w:val="21"/>
          <w:szCs w:val="21"/>
          <w:u w:val="single" w:color="auto"/>
          <w:color w:val="auto"/>
        </w:rPr>
        <w:t>Bank of America</w:t>
      </w:r>
      <w:r>
        <w:rPr>
          <w:rFonts w:ascii="Arial" w:cs="Arial" w:eastAsia="Arial" w:hAnsi="Arial"/>
          <w:sz w:val="21"/>
          <w:szCs w:val="21"/>
          <w:color w:val="auto"/>
        </w:rPr>
        <w:t xml:space="preserve">”) as Administrative Agent and Swing Line Lender, Bank of America [and [___]], as L/C Issuer[s], </w:t>
      </w:r>
      <w:r>
        <w:rPr>
          <w:rFonts w:ascii="Arial" w:cs="Arial" w:eastAsia="Arial" w:hAnsi="Arial"/>
          <w:sz w:val="21"/>
          <w:szCs w:val="21"/>
          <w:b w:val="1"/>
          <w:bCs w:val="1"/>
          <w:color w:val="auto"/>
        </w:rPr>
        <w:t>GOLDMAN SACHS BANK USA</w:t>
      </w:r>
      <w:r>
        <w:rPr>
          <w:rFonts w:ascii="Arial" w:cs="Arial" w:eastAsia="Arial" w:hAnsi="Arial"/>
          <w:sz w:val="21"/>
          <w:szCs w:val="21"/>
          <w:color w:val="auto"/>
        </w:rPr>
        <w:t xml:space="preserve"> (“</w:t>
      </w:r>
      <w:r>
        <w:rPr>
          <w:rFonts w:ascii="Arial" w:cs="Arial" w:eastAsia="Arial" w:hAnsi="Arial"/>
          <w:sz w:val="21"/>
          <w:szCs w:val="21"/>
          <w:u w:val="single" w:color="auto"/>
          <w:color w:val="auto"/>
        </w:rPr>
        <w:t>Goldman Sachs”)</w:t>
      </w:r>
      <w:r>
        <w:rPr>
          <w:rFonts w:ascii="Arial" w:cs="Arial" w:eastAsia="Arial" w:hAnsi="Arial"/>
          <w:sz w:val="21"/>
          <w:szCs w:val="21"/>
          <w:color w:val="auto"/>
        </w:rPr>
        <w:t xml:space="preserve"> and JPMorgan Chase Bank, N.A., as syndication agents (in such capacity, each a “</w:t>
      </w:r>
      <w:r>
        <w:rPr>
          <w:rFonts w:ascii="Arial" w:cs="Arial" w:eastAsia="Arial" w:hAnsi="Arial"/>
          <w:sz w:val="21"/>
          <w:szCs w:val="21"/>
          <w:u w:val="single" w:color="auto"/>
          <w:color w:val="auto"/>
        </w:rPr>
        <w:t>Syndication Agent</w:t>
      </w:r>
      <w:r>
        <w:rPr>
          <w:rFonts w:ascii="Arial" w:cs="Arial" w:eastAsia="Arial" w:hAnsi="Arial"/>
          <w:sz w:val="21"/>
          <w:szCs w:val="21"/>
          <w:color w:val="auto"/>
        </w:rPr>
        <w:t>”), Goldman Sachs, BofA Securities, Inc., JPMorgan Chase Bank, N.A., Barclays Bank PLC, Citibank, N.A., London Branch , Credit Suisse Loan Funding LLC and Morgan Stanley Senior Funding Inc., as lead arrangers (in such capacity, each an “</w:t>
      </w:r>
      <w:r>
        <w:rPr>
          <w:rFonts w:ascii="Arial" w:cs="Arial" w:eastAsia="Arial" w:hAnsi="Arial"/>
          <w:sz w:val="21"/>
          <w:szCs w:val="21"/>
          <w:u w:val="single" w:color="auto"/>
          <w:color w:val="auto"/>
        </w:rPr>
        <w:t>Arranger</w:t>
      </w:r>
      <w:r>
        <w:rPr>
          <w:rFonts w:ascii="Arial" w:cs="Arial" w:eastAsia="Arial" w:hAnsi="Arial"/>
          <w:sz w:val="21"/>
          <w:szCs w:val="21"/>
          <w:color w:val="auto"/>
        </w:rPr>
        <w:t>”) and bookrunners, and Barclays Bank PLC, Citibank, N.A., London Branch, Credit Suisse Loan Funding LLC and Morgan Stanley Senior Funding Inc., as documentation agents (in such capacity, each a “</w:t>
      </w:r>
      <w:r>
        <w:rPr>
          <w:rFonts w:ascii="Arial" w:cs="Arial" w:eastAsia="Arial" w:hAnsi="Arial"/>
          <w:sz w:val="21"/>
          <w:szCs w:val="21"/>
          <w:u w:val="single" w:color="auto"/>
          <w:color w:val="auto"/>
        </w:rPr>
        <w:t>Documentation Agent</w:t>
      </w:r>
      <w:r>
        <w:rPr>
          <w:rFonts w:ascii="Arial" w:cs="Arial" w:eastAsia="Arial" w:hAnsi="Arial"/>
          <w:sz w:val="21"/>
          <w:szCs w:val="21"/>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STATEMENTS:</w:t>
      </w:r>
    </w:p>
    <w:p>
      <w:pPr>
        <w:spacing w:after="0" w:line="21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Lenders have agreed to extend certain credit facilities to Borrower, in an aggregate principal amount not to</w:t>
      </w:r>
      <w:r>
        <w:rPr>
          <w:rFonts w:ascii="Arial" w:cs="Arial" w:eastAsia="Arial" w:hAnsi="Arial"/>
          <w:sz w:val="19"/>
          <w:szCs w:val="19"/>
          <w:b w:val="1"/>
          <w:bCs w:val="1"/>
          <w:color w:val="auto"/>
        </w:rPr>
        <w:t xml:space="preserve"> </w:t>
      </w:r>
      <w:r>
        <w:rPr>
          <w:rFonts w:ascii="Arial" w:cs="Arial" w:eastAsia="Arial" w:hAnsi="Arial"/>
          <w:sz w:val="19"/>
          <w:szCs w:val="19"/>
          <w:color w:val="auto"/>
        </w:rPr>
        <w:t>exceed $300,000,000, consisting of (A) $100,000,000 aggregate principal amount of a term A loan facility, the proceeds of which will be used (i) to refinance certain existing debt of the Borrower and certain of its subsidiaries (including existing debt to the Borrower’s direct or indirect parent entities), and (ii) to pay fees, commissions and expenses in connection with the Loans and the Bridge Loans (in each case, as defined below), and (B) up to $200,000,000 aggregate principal amount of a revolving credit facility, the proceeds of which will be used for working capital and other general corporate purposes;</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L/C Issuer[s] [have] agreed to issue certain letters of credit for the account of Borrower, in an aggregate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plus any unreimbursed drawings thereunder not to exceed $75,000,000 at any time outstanding; and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Guarantors have agreed to guarantee the obligations of Borrower hereunder.</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agreements, provisions and covenants herein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agree as follows:</w:t>
      </w:r>
    </w:p>
    <w:p>
      <w:pPr>
        <w:spacing w:after="0" w:line="162" w:lineRule="exact"/>
        <w:rPr>
          <w:sz w:val="20"/>
          <w:szCs w:val="20"/>
          <w:color w:val="auto"/>
        </w:rPr>
      </w:pPr>
    </w:p>
    <w:p>
      <w:pPr>
        <w:ind w:left="2760"/>
        <w:spacing w:after="0"/>
        <w:tabs>
          <w:tab w:leader="none" w:pos="4140" w:val="left"/>
        </w:tabs>
        <w:rPr>
          <w:sz w:val="20"/>
          <w:szCs w:val="20"/>
          <w:color w:val="auto"/>
        </w:rPr>
      </w:pPr>
      <w:r>
        <w:rPr>
          <w:rFonts w:ascii="Arial" w:cs="Arial" w:eastAsia="Arial" w:hAnsi="Arial"/>
          <w:sz w:val="22"/>
          <w:szCs w:val="22"/>
          <w:b w:val="1"/>
          <w:bCs w:val="1"/>
          <w:color w:val="auto"/>
        </w:rPr>
        <w:t>ARTICLE I.</w:t>
        <w:tab/>
        <w:t>DEFINITIONS AND ACCOUNTING TERMS</w:t>
      </w:r>
    </w:p>
    <w:p>
      <w:pPr>
        <w:spacing w:after="0" w:line="22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meanings set forth below:</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Bank of America in its capacity as administrative agent under any of the Loan Documents, or any successor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8" w:right="339" w:bottom="1440" w:gutter="0" w:footer="0" w:header="0"/>
        </w:sectPr>
      </w:pPr>
    </w:p>
    <w:bookmarkStart w:id="284" w:name="page285"/>
    <w:bookmarkEnd w:id="284"/>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Office</w:t>
      </w:r>
      <w:r>
        <w:rPr>
          <w:rFonts w:ascii="Arial" w:cs="Arial" w:eastAsia="Arial" w:hAnsi="Arial"/>
          <w:sz w:val="22"/>
          <w:szCs w:val="22"/>
          <w:color w:val="auto"/>
        </w:rPr>
        <w:t xml:space="preserve">” means the Administrative Agent’s address and, as appropriate, account as set forth on </w:t>
      </w:r>
      <w:r>
        <w:rPr>
          <w:rFonts w:ascii="Arial" w:cs="Arial" w:eastAsia="Arial" w:hAnsi="Arial"/>
          <w:sz w:val="22"/>
          <w:szCs w:val="22"/>
          <w:u w:val="single" w:color="auto"/>
          <w:color w:val="auto"/>
        </w:rPr>
        <w:t>Schedule 11.02</w:t>
      </w:r>
      <w:r>
        <w:rPr>
          <w:rFonts w:ascii="Arial" w:cs="Arial" w:eastAsia="Arial" w:hAnsi="Arial"/>
          <w:sz w:val="22"/>
          <w:szCs w:val="22"/>
          <w:color w:val="auto"/>
        </w:rPr>
        <w:t>, or such other address or account as the Administrative Agent may from time to time notify to the Borrower and the Lenders.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xml:space="preserve">” means an Administrative Questionnaire in substantially the form of </w:t>
      </w:r>
      <w:r>
        <w:rPr>
          <w:rFonts w:ascii="Arial" w:cs="Arial" w:eastAsia="Arial" w:hAnsi="Arial"/>
          <w:sz w:val="22"/>
          <w:szCs w:val="22"/>
          <w:u w:val="single" w:color="auto"/>
          <w:color w:val="auto"/>
        </w:rPr>
        <w:t>Exhibit E-2</w:t>
      </w:r>
      <w:r>
        <w:rPr>
          <w:rFonts w:ascii="Arial" w:cs="Arial" w:eastAsia="Arial" w:hAnsi="Arial"/>
          <w:sz w:val="22"/>
          <w:szCs w:val="22"/>
          <w:color w:val="auto"/>
        </w:rPr>
        <w:t xml:space="preserve"> or any other form approved by the Administrative Agent.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Adverse Proceeding</w:t>
      </w:r>
      <w:r>
        <w:rPr>
          <w:rFonts w:ascii="Arial" w:cs="Arial" w:eastAsia="Arial" w:hAnsi="Arial"/>
          <w:sz w:val="21"/>
          <w:szCs w:val="21"/>
          <w:color w:val="auto"/>
        </w:rPr>
        <w:t>” means any action, suit, proceeding, hearing (in each case, whether administrative, judicial or otherwise), governmental investigation or arbitration (whether or not purportedly on behalf of the Borrower or any of its Subsidiaries) at law or in equity, or before or by any Governmental Authority, domestic or foreign (including any Environmental Claims), whether pending or, to the knowledge of the Borrower or any of its Subsidiaries, threatened against or affecting the Borrower or any of its Subsidiaries or any property of the Borrower or any of its Subsidiaries.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19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w:t>
      </w:r>
      <w:r>
        <w:rPr>
          <w:rFonts w:ascii="Arial" w:cs="Arial" w:eastAsia="Arial" w:hAnsi="Arial"/>
          <w:sz w:val="21"/>
          <w:szCs w:val="21"/>
          <w:color w:val="auto"/>
        </w:rPr>
        <w:t>” means each of the following (i) Administrative Agent, (ii) Syndication Agents, (iii) Documentation Agents, (iv) Bookrunners and (v) any other Person appointed under the Loan Documents to serve in an agent or similar capacity.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Commitments</w:t>
      </w:r>
      <w:r>
        <w:rPr>
          <w:rFonts w:ascii="Arial" w:cs="Arial" w:eastAsia="Arial" w:hAnsi="Arial"/>
          <w:sz w:val="22"/>
          <w:szCs w:val="22"/>
          <w:color w:val="auto"/>
        </w:rPr>
        <w:t>” means the Commitments of all the Lenders.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Credit Agreement.</w:t>
      </w:r>
    </w:p>
    <w:p>
      <w:pPr>
        <w:spacing w:after="0" w:line="21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u w:val="single" w:color="auto"/>
          <w:color w:val="auto"/>
        </w:rPr>
        <w:t>Applicable Fee Rate</w:t>
      </w:r>
      <w:r>
        <w:rPr>
          <w:rFonts w:ascii="Arial" w:cs="Arial" w:eastAsia="Arial" w:hAnsi="Arial"/>
          <w:sz w:val="21"/>
          <w:szCs w:val="21"/>
          <w:b w:val="1"/>
          <w:bCs w:val="1"/>
          <w:color w:val="auto"/>
        </w:rPr>
        <w:t xml:space="preserve">” </w:t>
      </w:r>
      <w:r>
        <w:rPr>
          <w:rFonts w:ascii="Arial" w:cs="Arial" w:eastAsia="Arial" w:hAnsi="Arial"/>
          <w:sz w:val="21"/>
          <w:szCs w:val="21"/>
          <w:color w:val="auto"/>
        </w:rPr>
        <w:t>means with respect to Revolving Credit Loans, (i) from the Closing Date until the first date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Borrower will have notified the Administrative Agent that both Moody’s and S&amp;P have publicly issued an updated corporate rating in respect of the Borrower (the “</w:t>
      </w:r>
      <w:r>
        <w:rPr>
          <w:rFonts w:ascii="Arial" w:cs="Arial" w:eastAsia="Arial" w:hAnsi="Arial"/>
          <w:sz w:val="21"/>
          <w:szCs w:val="21"/>
          <w:u w:val="single" w:color="auto"/>
          <w:color w:val="auto"/>
        </w:rPr>
        <w:t>Rating Update Date</w:t>
      </w:r>
      <w:r>
        <w:rPr>
          <w:rFonts w:ascii="Arial" w:cs="Arial" w:eastAsia="Arial" w:hAnsi="Arial"/>
          <w:sz w:val="21"/>
          <w:szCs w:val="21"/>
          <w:color w:val="auto"/>
        </w:rPr>
        <w:t xml:space="preserve">”), a percentage, </w:t>
      </w:r>
      <w:r>
        <w:rPr>
          <w:rFonts w:ascii="Arial" w:cs="Arial" w:eastAsia="Arial" w:hAnsi="Arial"/>
          <w:sz w:val="21"/>
          <w:szCs w:val="21"/>
          <w:i w:val="1"/>
          <w:iCs w:val="1"/>
          <w:color w:val="auto"/>
        </w:rPr>
        <w:t>per annum</w:t>
      </w:r>
      <w:r>
        <w:rPr>
          <w:rFonts w:ascii="Arial" w:cs="Arial" w:eastAsia="Arial" w:hAnsi="Arial"/>
          <w:sz w:val="21"/>
          <w:szCs w:val="21"/>
          <w:color w:val="auto"/>
        </w:rPr>
        <w:t>, determined by reference to the following table as if the Borrower’s corporate rating then in effect were the rating set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8" w:right="339" w:bottom="1440" w:gutter="0" w:footer="0" w:header="0"/>
        </w:sectPr>
      </w:pPr>
    </w:p>
    <w:bookmarkStart w:id="285" w:name="page286"/>
    <w:bookmarkEnd w:id="285"/>
    <w:p>
      <w:pPr>
        <w:jc w:val="both"/>
        <w:spacing w:after="0" w:line="263" w:lineRule="auto"/>
        <w:rPr>
          <w:sz w:val="20"/>
          <w:szCs w:val="20"/>
          <w:color w:val="auto"/>
        </w:rPr>
      </w:pPr>
      <w:r>
        <w:rPr>
          <w:rFonts w:ascii="Arial" w:cs="Arial" w:eastAsia="Arial" w:hAnsi="Arial"/>
          <w:sz w:val="22"/>
          <w:szCs w:val="22"/>
          <w:color w:val="auto"/>
        </w:rPr>
        <w:t xml:space="preserve">below for Pricing Level 2; and (ii) thereafter, a percentage, </w:t>
      </w:r>
      <w:r>
        <w:rPr>
          <w:rFonts w:ascii="Arial" w:cs="Arial" w:eastAsia="Arial" w:hAnsi="Arial"/>
          <w:sz w:val="22"/>
          <w:szCs w:val="22"/>
          <w:i w:val="1"/>
          <w:iCs w:val="1"/>
          <w:color w:val="auto"/>
        </w:rPr>
        <w:t>per annum</w:t>
      </w:r>
      <w:r>
        <w:rPr>
          <w:rFonts w:ascii="Arial" w:cs="Arial" w:eastAsia="Arial" w:hAnsi="Arial"/>
          <w:sz w:val="22"/>
          <w:szCs w:val="22"/>
          <w:color w:val="auto"/>
        </w:rPr>
        <w:t>, determined by reference to the Borrower’s corporate rating in effect from time to time as set forth below:</w:t>
      </w:r>
    </w:p>
    <w:p>
      <w:pPr>
        <w:spacing w:after="0" w:line="190" w:lineRule="exact"/>
        <w:rPr>
          <w:sz w:val="20"/>
          <w:szCs w:val="20"/>
          <w:color w:val="auto"/>
        </w:rPr>
      </w:pPr>
    </w:p>
    <w:tbl>
      <w:tblPr>
        <w:tblLayout w:type="fixed"/>
        <w:tblInd w:w="1390" w:type="dxa"/>
        <w:tblCellMar>
          <w:top w:w="0" w:type="dxa"/>
          <w:left w:w="0" w:type="dxa"/>
          <w:bottom w:w="0" w:type="dxa"/>
          <w:right w:w="0" w:type="dxa"/>
        </w:tblCellMar>
      </w:tblPr>
      <w:tr>
        <w:trPr>
          <w:trHeight w:val="256"/>
        </w:trPr>
        <w:tc>
          <w:tcPr>
            <w:tcW w:w="2040" w:type="dxa"/>
            <w:vAlign w:val="bottom"/>
            <w:tcBorders>
              <w:top w:val="single" w:sz="8" w:color="auto"/>
              <w:left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89"/>
              </w:rPr>
              <w:t>Pricing Level</w:t>
            </w:r>
          </w:p>
        </w:tc>
        <w:tc>
          <w:tcPr>
            <w:tcW w:w="3240" w:type="dxa"/>
            <w:vAlign w:val="bottom"/>
            <w:tcBorders>
              <w:top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90"/>
              </w:rPr>
              <w:t>Corporate rating of the Borrower</w:t>
            </w:r>
          </w:p>
        </w:tc>
        <w:tc>
          <w:tcPr>
            <w:tcW w:w="3240" w:type="dxa"/>
            <w:vAlign w:val="bottom"/>
            <w:tcBorders>
              <w:top w:val="single" w:sz="8" w:color="auto"/>
              <w:right w:val="single" w:sz="8" w:color="auto"/>
            </w:tcBorders>
            <w:shd w:val="clear" w:color="auto" w:fill="B6B6B6"/>
          </w:tcPr>
          <w:p>
            <w:pPr>
              <w:ind w:left="680"/>
              <w:spacing w:after="0"/>
              <w:rPr>
                <w:sz w:val="20"/>
                <w:szCs w:val="20"/>
                <w:color w:val="auto"/>
              </w:rPr>
            </w:pPr>
            <w:r>
              <w:rPr>
                <w:rFonts w:ascii="Arial" w:cs="Arial" w:eastAsia="Arial" w:hAnsi="Arial"/>
                <w:sz w:val="22"/>
                <w:szCs w:val="22"/>
                <w:b w:val="1"/>
                <w:bCs w:val="1"/>
                <w:color w:val="auto"/>
              </w:rPr>
              <w:t>Applicable Fee Rate</w:t>
            </w:r>
          </w:p>
        </w:tc>
      </w:tr>
      <w:tr>
        <w:trPr>
          <w:trHeight w:val="291"/>
        </w:trPr>
        <w:tc>
          <w:tcPr>
            <w:tcW w:w="2040" w:type="dxa"/>
            <w:vAlign w:val="bottom"/>
            <w:tcBorders>
              <w:left w:val="single" w:sz="8" w:color="auto"/>
              <w:bottom w:val="single" w:sz="8" w:color="auto"/>
              <w:right w:val="single" w:sz="8" w:color="auto"/>
            </w:tcBorders>
            <w:shd w:val="clear" w:color="auto" w:fill="B6B6B6"/>
          </w:tcPr>
          <w:p>
            <w:pPr>
              <w:spacing w:after="0"/>
              <w:rPr>
                <w:sz w:val="24"/>
                <w:szCs w:val="24"/>
                <w:color w:val="auto"/>
              </w:rPr>
            </w:pPr>
          </w:p>
        </w:tc>
        <w:tc>
          <w:tcPr>
            <w:tcW w:w="3240" w:type="dxa"/>
            <w:vAlign w:val="bottom"/>
            <w:tcBorders>
              <w:bottom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90"/>
              </w:rPr>
              <w:t>by Moody’s and S&amp;P</w:t>
            </w:r>
          </w:p>
        </w:tc>
        <w:tc>
          <w:tcPr>
            <w:tcW w:w="3240" w:type="dxa"/>
            <w:vAlign w:val="bottom"/>
            <w:tcBorders>
              <w:bottom w:val="single" w:sz="8" w:color="auto"/>
              <w:right w:val="single" w:sz="8" w:color="auto"/>
            </w:tcBorders>
            <w:shd w:val="clear" w:color="auto" w:fill="B6B6B6"/>
          </w:tcPr>
          <w:p>
            <w:pPr>
              <w:spacing w:after="0"/>
              <w:rPr>
                <w:sz w:val="24"/>
                <w:szCs w:val="24"/>
                <w:color w:val="auto"/>
              </w:rPr>
            </w:pPr>
          </w:p>
        </w:tc>
      </w:tr>
      <w:tr>
        <w:trPr>
          <w:trHeight w:val="249"/>
        </w:trPr>
        <w:tc>
          <w:tcPr>
            <w:tcW w:w="204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1"/>
              </w:rPr>
              <w:t>1</w:t>
            </w:r>
          </w:p>
        </w:tc>
        <w:tc>
          <w:tcPr>
            <w:tcW w:w="324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Equal to or higher than Ba1 (stable)</w:t>
            </w:r>
          </w:p>
        </w:tc>
        <w:tc>
          <w:tcPr>
            <w:tcW w:w="3240" w:type="dxa"/>
            <w:vAlign w:val="bottom"/>
            <w:tcBorders>
              <w:right w:val="single" w:sz="8" w:color="auto"/>
            </w:tcBorders>
          </w:tcPr>
          <w:p>
            <w:pPr>
              <w:jc w:val="right"/>
              <w:ind w:right="1192"/>
              <w:spacing w:after="0" w:line="248" w:lineRule="exact"/>
              <w:rPr>
                <w:sz w:val="20"/>
                <w:szCs w:val="20"/>
                <w:color w:val="auto"/>
              </w:rPr>
            </w:pPr>
            <w:r>
              <w:rPr>
                <w:rFonts w:ascii="Arial" w:cs="Arial" w:eastAsia="Arial" w:hAnsi="Arial"/>
                <w:sz w:val="22"/>
                <w:szCs w:val="22"/>
                <w:color w:val="auto"/>
              </w:rPr>
              <w:t>0.375%</w:t>
            </w:r>
          </w:p>
        </w:tc>
      </w:tr>
      <w:tr>
        <w:trPr>
          <w:trHeight w:val="285"/>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 BB+ (stable)</w:t>
            </w:r>
          </w:p>
        </w:tc>
        <w:tc>
          <w:tcPr>
            <w:tcW w:w="3240" w:type="dxa"/>
            <w:vAlign w:val="bottom"/>
            <w:tcBorders>
              <w:bottom w:val="single" w:sz="8" w:color="auto"/>
              <w:right w:val="single" w:sz="8" w:color="auto"/>
            </w:tcBorders>
          </w:tcPr>
          <w:p>
            <w:pPr>
              <w:spacing w:after="0"/>
              <w:rPr>
                <w:sz w:val="24"/>
                <w:szCs w:val="24"/>
                <w:color w:val="auto"/>
              </w:rPr>
            </w:pPr>
          </w:p>
        </w:tc>
      </w:tr>
      <w:tr>
        <w:trPr>
          <w:trHeight w:val="249"/>
        </w:trPr>
        <w:tc>
          <w:tcPr>
            <w:tcW w:w="204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1"/>
              </w:rPr>
              <w:t>2</w:t>
            </w:r>
          </w:p>
        </w:tc>
        <w:tc>
          <w:tcPr>
            <w:tcW w:w="324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1"/>
              </w:rPr>
              <w:t>Lower than Ba1 (stable) / BB+</w:t>
            </w:r>
          </w:p>
        </w:tc>
        <w:tc>
          <w:tcPr>
            <w:tcW w:w="3240" w:type="dxa"/>
            <w:vAlign w:val="bottom"/>
            <w:tcBorders>
              <w:right w:val="single" w:sz="8" w:color="auto"/>
            </w:tcBorders>
          </w:tcPr>
          <w:p>
            <w:pPr>
              <w:jc w:val="right"/>
              <w:ind w:right="1252"/>
              <w:spacing w:after="0" w:line="248" w:lineRule="exact"/>
              <w:rPr>
                <w:sz w:val="20"/>
                <w:szCs w:val="20"/>
                <w:color w:val="auto"/>
              </w:rPr>
            </w:pPr>
            <w:r>
              <w:rPr>
                <w:rFonts w:ascii="Arial" w:cs="Arial" w:eastAsia="Arial" w:hAnsi="Arial"/>
                <w:sz w:val="22"/>
                <w:szCs w:val="22"/>
                <w:color w:val="auto"/>
              </w:rPr>
              <w:t>0.50%</w:t>
            </w:r>
          </w:p>
        </w:tc>
      </w:tr>
      <w:tr>
        <w:trPr>
          <w:trHeight w:val="285"/>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(stable)</w:t>
            </w:r>
          </w:p>
        </w:tc>
        <w:tc>
          <w:tcPr>
            <w:tcW w:w="3240" w:type="dxa"/>
            <w:vAlign w:val="bottom"/>
            <w:tcBorders>
              <w:bottom w:val="single" w:sz="8" w:color="auto"/>
              <w:right w:val="single" w:sz="8" w:color="auto"/>
            </w:tcBorders>
          </w:tcPr>
          <w:p>
            <w:pPr>
              <w:spacing w:after="0"/>
              <w:rPr>
                <w:sz w:val="24"/>
                <w:szCs w:val="24"/>
                <w:color w:val="auto"/>
              </w:rPr>
            </w:pPr>
          </w:p>
        </w:tc>
      </w:tr>
    </w:tbl>
    <w:p>
      <w:pPr>
        <w:spacing w:after="0" w:line="30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provided that if a different corporate rating is issued by either Moody’s or S&amp;P, then the lower of such ratings shall apply (with the rating for Pricing Level 1 being the higher and the rating for Pricing Level 2 being the lower) and provided further that, in the event that either Moody’s or S&amp;P will cease to provide a corporate rating in respect of the Borrower, the Applicable Fee Rate shall be a percentage per annum determined by reference to the table above as if the Borrower’s corporate rating then in effect were the rating set out above for Pricing Level 2.</w:t>
      </w:r>
    </w:p>
    <w:p>
      <w:pPr>
        <w:spacing w:after="0" w:line="192" w:lineRule="exact"/>
        <w:rPr>
          <w:sz w:val="20"/>
          <w:szCs w:val="20"/>
          <w:color w:val="auto"/>
        </w:rPr>
      </w:pPr>
    </w:p>
    <w:p>
      <w:pPr>
        <w:jc w:val="both"/>
        <w:ind w:firstLine="638"/>
        <w:spacing w:after="0" w:line="312" w:lineRule="auto"/>
        <w:rPr>
          <w:sz w:val="20"/>
          <w:szCs w:val="20"/>
          <w:color w:val="auto"/>
        </w:rPr>
      </w:pPr>
      <w:r>
        <w:rPr>
          <w:rFonts w:ascii="Arial" w:cs="Arial" w:eastAsia="Arial" w:hAnsi="Arial"/>
          <w:sz w:val="19"/>
          <w:szCs w:val="19"/>
          <w:color w:val="auto"/>
        </w:rPr>
        <w:t>and “</w:t>
      </w:r>
      <w:r>
        <w:rPr>
          <w:rFonts w:ascii="Arial" w:cs="Arial" w:eastAsia="Arial" w:hAnsi="Arial"/>
          <w:sz w:val="19"/>
          <w:szCs w:val="19"/>
          <w:u w:val="single" w:color="auto"/>
          <w:color w:val="auto"/>
        </w:rPr>
        <w:t>Applicable Rate</w:t>
      </w:r>
      <w:r>
        <w:rPr>
          <w:rFonts w:ascii="Arial" w:cs="Arial" w:eastAsia="Arial" w:hAnsi="Arial"/>
          <w:sz w:val="19"/>
          <w:szCs w:val="19"/>
          <w:color w:val="auto"/>
        </w:rPr>
        <w:t xml:space="preserve">” means with respect to the Term A Facility and the Revolving Credit Facility, (i) from the Closing Date until the Rating Update Date, a percentage,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determined by reference to the following table as if the Borrower’s corporate rating then in effect were the rating set out below for Pricing Level 3; and (ii) thereafter, a percentage, </w:t>
      </w:r>
      <w:r>
        <w:rPr>
          <w:rFonts w:ascii="Arial" w:cs="Arial" w:eastAsia="Arial" w:hAnsi="Arial"/>
          <w:sz w:val="19"/>
          <w:szCs w:val="19"/>
          <w:i w:val="1"/>
          <w:iCs w:val="1"/>
          <w:color w:val="auto"/>
        </w:rPr>
        <w:t>per annum</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8" w:right="339"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determined by reference to the Borrower’s corporate rating in effect from time to time as set forth below:</w:t>
      </w:r>
    </w:p>
    <w:p>
      <w:pPr>
        <w:spacing w:after="0" w:line="234" w:lineRule="exact"/>
        <w:rPr>
          <w:sz w:val="20"/>
          <w:szCs w:val="20"/>
          <w:color w:val="auto"/>
        </w:rPr>
      </w:pPr>
    </w:p>
    <w:tbl>
      <w:tblPr>
        <w:tblLayout w:type="fixed"/>
        <w:tblInd w:w="670" w:type="dxa"/>
        <w:tblCellMar>
          <w:top w:w="0" w:type="dxa"/>
          <w:left w:w="0" w:type="dxa"/>
          <w:bottom w:w="0" w:type="dxa"/>
          <w:right w:w="0" w:type="dxa"/>
        </w:tblCellMar>
      </w:tblPr>
      <w:tr>
        <w:trPr>
          <w:trHeight w:val="256"/>
        </w:trPr>
        <w:tc>
          <w:tcPr>
            <w:tcW w:w="1320" w:type="dxa"/>
            <w:vAlign w:val="bottom"/>
            <w:tcBorders>
              <w:top w:val="single" w:sz="8" w:color="auto"/>
              <w:left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89"/>
              </w:rPr>
              <w:t>Pricing Level</w:t>
            </w:r>
          </w:p>
        </w:tc>
        <w:tc>
          <w:tcPr>
            <w:tcW w:w="2880" w:type="dxa"/>
            <w:vAlign w:val="bottom"/>
            <w:tcBorders>
              <w:top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90"/>
              </w:rPr>
              <w:t>Corporate rating of the</w:t>
            </w:r>
          </w:p>
        </w:tc>
        <w:tc>
          <w:tcPr>
            <w:tcW w:w="2880" w:type="dxa"/>
            <w:vAlign w:val="bottom"/>
            <w:tcBorders>
              <w:top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89"/>
              </w:rPr>
              <w:t>Applicable Rate for</w:t>
            </w:r>
          </w:p>
        </w:tc>
        <w:tc>
          <w:tcPr>
            <w:tcW w:w="2880" w:type="dxa"/>
            <w:vAlign w:val="bottom"/>
            <w:tcBorders>
              <w:top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89"/>
              </w:rPr>
              <w:t>Applicable Rate for Base Rate</w:t>
            </w:r>
          </w:p>
        </w:tc>
      </w:tr>
      <w:tr>
        <w:trPr>
          <w:trHeight w:val="243"/>
        </w:trPr>
        <w:tc>
          <w:tcPr>
            <w:tcW w:w="1320" w:type="dxa"/>
            <w:vAlign w:val="bottom"/>
            <w:tcBorders>
              <w:left w:val="single" w:sz="8" w:color="auto"/>
              <w:right w:val="single" w:sz="8" w:color="auto"/>
            </w:tcBorders>
            <w:shd w:val="clear" w:color="auto" w:fill="B6B6B6"/>
          </w:tcPr>
          <w:p>
            <w:pPr>
              <w:spacing w:after="0"/>
              <w:rPr>
                <w:sz w:val="21"/>
                <w:szCs w:val="21"/>
                <w:color w:val="auto"/>
              </w:rPr>
            </w:pPr>
          </w:p>
        </w:tc>
        <w:tc>
          <w:tcPr>
            <w:tcW w:w="2880" w:type="dxa"/>
            <w:vAlign w:val="bottom"/>
            <w:tcBorders>
              <w:right w:val="single" w:sz="8" w:color="auto"/>
            </w:tcBorders>
            <w:shd w:val="clear" w:color="auto" w:fill="B6B6B6"/>
          </w:tcPr>
          <w:p>
            <w:pPr>
              <w:jc w:val="center"/>
              <w:spacing w:after="0" w:line="243" w:lineRule="exact"/>
              <w:rPr>
                <w:sz w:val="20"/>
                <w:szCs w:val="20"/>
                <w:color w:val="auto"/>
              </w:rPr>
            </w:pPr>
            <w:r>
              <w:rPr>
                <w:rFonts w:ascii="Arial" w:cs="Arial" w:eastAsia="Arial" w:hAnsi="Arial"/>
                <w:sz w:val="22"/>
                <w:szCs w:val="22"/>
                <w:b w:val="1"/>
                <w:bCs w:val="1"/>
                <w:color w:val="auto"/>
                <w:w w:val="90"/>
              </w:rPr>
              <w:t>Borrower by Moody’s and</w:t>
            </w:r>
          </w:p>
        </w:tc>
        <w:tc>
          <w:tcPr>
            <w:tcW w:w="2880" w:type="dxa"/>
            <w:vAlign w:val="bottom"/>
            <w:tcBorders>
              <w:right w:val="single" w:sz="8" w:color="auto"/>
            </w:tcBorders>
            <w:shd w:val="clear" w:color="auto" w:fill="B6B6B6"/>
          </w:tcPr>
          <w:p>
            <w:pPr>
              <w:jc w:val="center"/>
              <w:spacing w:after="0" w:line="243" w:lineRule="exact"/>
              <w:rPr>
                <w:sz w:val="20"/>
                <w:szCs w:val="20"/>
                <w:color w:val="auto"/>
              </w:rPr>
            </w:pPr>
            <w:r>
              <w:rPr>
                <w:rFonts w:ascii="Arial" w:cs="Arial" w:eastAsia="Arial" w:hAnsi="Arial"/>
                <w:sz w:val="22"/>
                <w:szCs w:val="22"/>
                <w:b w:val="1"/>
                <w:bCs w:val="1"/>
                <w:color w:val="auto"/>
                <w:w w:val="90"/>
              </w:rPr>
              <w:t>Eurodollar Rate Loans</w:t>
            </w:r>
          </w:p>
        </w:tc>
        <w:tc>
          <w:tcPr>
            <w:tcW w:w="2880" w:type="dxa"/>
            <w:vAlign w:val="bottom"/>
            <w:tcBorders>
              <w:right w:val="single" w:sz="8" w:color="auto"/>
            </w:tcBorders>
            <w:shd w:val="clear" w:color="auto" w:fill="B6B6B6"/>
          </w:tcPr>
          <w:p>
            <w:pPr>
              <w:jc w:val="center"/>
              <w:spacing w:after="0" w:line="243" w:lineRule="exact"/>
              <w:rPr>
                <w:sz w:val="20"/>
                <w:szCs w:val="20"/>
                <w:color w:val="auto"/>
              </w:rPr>
            </w:pPr>
            <w:r>
              <w:rPr>
                <w:rFonts w:ascii="Arial" w:cs="Arial" w:eastAsia="Arial" w:hAnsi="Arial"/>
                <w:sz w:val="22"/>
                <w:szCs w:val="22"/>
                <w:b w:val="1"/>
                <w:bCs w:val="1"/>
                <w:color w:val="auto"/>
                <w:w w:val="86"/>
              </w:rPr>
              <w:t>Loans</w:t>
            </w:r>
          </w:p>
        </w:tc>
      </w:tr>
      <w:tr>
        <w:trPr>
          <w:trHeight w:val="291"/>
        </w:trPr>
        <w:tc>
          <w:tcPr>
            <w:tcW w:w="1320" w:type="dxa"/>
            <w:vAlign w:val="bottom"/>
            <w:tcBorders>
              <w:left w:val="single" w:sz="8" w:color="auto"/>
              <w:bottom w:val="single" w:sz="8" w:color="auto"/>
              <w:right w:val="single" w:sz="8" w:color="auto"/>
            </w:tcBorders>
            <w:shd w:val="clear" w:color="auto" w:fill="B6B6B6"/>
          </w:tcPr>
          <w:p>
            <w:pPr>
              <w:spacing w:after="0"/>
              <w:rPr>
                <w:sz w:val="24"/>
                <w:szCs w:val="24"/>
                <w:color w:val="auto"/>
              </w:rPr>
            </w:pPr>
          </w:p>
        </w:tc>
        <w:tc>
          <w:tcPr>
            <w:tcW w:w="2880" w:type="dxa"/>
            <w:vAlign w:val="bottom"/>
            <w:tcBorders>
              <w:bottom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97"/>
              </w:rPr>
              <w:t>S&amp;P</w:t>
            </w:r>
          </w:p>
        </w:tc>
        <w:tc>
          <w:tcPr>
            <w:tcW w:w="2880" w:type="dxa"/>
            <w:vAlign w:val="bottom"/>
            <w:tcBorders>
              <w:bottom w:val="single" w:sz="8" w:color="auto"/>
              <w:right w:val="single" w:sz="8" w:color="auto"/>
            </w:tcBorders>
            <w:shd w:val="clear" w:color="auto" w:fill="B6B6B6"/>
          </w:tcPr>
          <w:p>
            <w:pPr>
              <w:spacing w:after="0"/>
              <w:rPr>
                <w:sz w:val="24"/>
                <w:szCs w:val="24"/>
                <w:color w:val="auto"/>
              </w:rPr>
            </w:pPr>
          </w:p>
        </w:tc>
        <w:tc>
          <w:tcPr>
            <w:tcW w:w="2880" w:type="dxa"/>
            <w:vAlign w:val="bottom"/>
            <w:tcBorders>
              <w:bottom w:val="single" w:sz="8" w:color="auto"/>
              <w:right w:val="single" w:sz="8" w:color="auto"/>
            </w:tcBorders>
            <w:shd w:val="clear" w:color="auto" w:fill="B6B6B6"/>
          </w:tcPr>
          <w:p>
            <w:pPr>
              <w:spacing w:after="0"/>
              <w:rPr>
                <w:sz w:val="24"/>
                <w:szCs w:val="24"/>
                <w:color w:val="auto"/>
              </w:rPr>
            </w:pPr>
          </w:p>
        </w:tc>
      </w:tr>
      <w:tr>
        <w:trPr>
          <w:trHeight w:val="249"/>
        </w:trPr>
        <w:tc>
          <w:tcPr>
            <w:tcW w:w="132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1"/>
              </w:rPr>
              <w:t>1</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Equal to or higher than Baa2 /</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1.75%</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0.75%</w:t>
            </w:r>
          </w:p>
        </w:tc>
      </w:tr>
      <w:tr>
        <w:trPr>
          <w:trHeight w:val="285"/>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BBB</w:t>
            </w:r>
          </w:p>
        </w:tc>
        <w:tc>
          <w:tcPr>
            <w:tcW w:w="2880" w:type="dxa"/>
            <w:vAlign w:val="bottom"/>
            <w:tcBorders>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spacing w:after="0"/>
              <w:rPr>
                <w:sz w:val="24"/>
                <w:szCs w:val="24"/>
                <w:color w:val="auto"/>
              </w:rPr>
            </w:pPr>
          </w:p>
        </w:tc>
      </w:tr>
      <w:tr>
        <w:trPr>
          <w:trHeight w:val="249"/>
        </w:trPr>
        <w:tc>
          <w:tcPr>
            <w:tcW w:w="132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1"/>
              </w:rPr>
              <w:t>2</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Equal to or higher than Baa3 /</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2.00%</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1.00%</w:t>
            </w:r>
          </w:p>
        </w:tc>
      </w:tr>
      <w:tr>
        <w:trPr>
          <w:trHeight w:val="285"/>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BBB-</w:t>
            </w:r>
          </w:p>
        </w:tc>
        <w:tc>
          <w:tcPr>
            <w:tcW w:w="2880" w:type="dxa"/>
            <w:vAlign w:val="bottom"/>
            <w:tcBorders>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spacing w:after="0"/>
              <w:rPr>
                <w:sz w:val="24"/>
                <w:szCs w:val="24"/>
                <w:color w:val="auto"/>
              </w:rPr>
            </w:pPr>
          </w:p>
        </w:tc>
      </w:tr>
      <w:tr>
        <w:trPr>
          <w:trHeight w:val="249"/>
        </w:trPr>
        <w:tc>
          <w:tcPr>
            <w:tcW w:w="132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1"/>
              </w:rPr>
              <w:t>3</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Equal to or higher than Ba1</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2.25%</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1.25%</w:t>
            </w:r>
          </w:p>
        </w:tc>
      </w:tr>
      <w:tr>
        <w:trPr>
          <w:trHeight w:val="285"/>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(stable) / BB+ (stable)</w:t>
            </w:r>
          </w:p>
        </w:tc>
        <w:tc>
          <w:tcPr>
            <w:tcW w:w="2880" w:type="dxa"/>
            <w:vAlign w:val="bottom"/>
            <w:tcBorders>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spacing w:after="0"/>
              <w:rPr>
                <w:sz w:val="24"/>
                <w:szCs w:val="24"/>
                <w:color w:val="auto"/>
              </w:rPr>
            </w:pPr>
          </w:p>
        </w:tc>
      </w:tr>
      <w:tr>
        <w:trPr>
          <w:trHeight w:val="249"/>
        </w:trPr>
        <w:tc>
          <w:tcPr>
            <w:tcW w:w="132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1"/>
              </w:rPr>
              <w:t>4</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Equal to or higher than Ba2</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2.50%</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1.50%</w:t>
            </w:r>
          </w:p>
        </w:tc>
      </w:tr>
      <w:tr>
        <w:trPr>
          <w:trHeight w:val="285"/>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(stable) / BB (stable)</w:t>
            </w:r>
          </w:p>
        </w:tc>
        <w:tc>
          <w:tcPr>
            <w:tcW w:w="2880" w:type="dxa"/>
            <w:vAlign w:val="bottom"/>
            <w:tcBorders>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spacing w:after="0"/>
              <w:rPr>
                <w:sz w:val="24"/>
                <w:szCs w:val="24"/>
                <w:color w:val="auto"/>
              </w:rPr>
            </w:pPr>
          </w:p>
        </w:tc>
      </w:tr>
      <w:tr>
        <w:trPr>
          <w:trHeight w:val="249"/>
        </w:trPr>
        <w:tc>
          <w:tcPr>
            <w:tcW w:w="132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1"/>
              </w:rPr>
              <w:t>5</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1"/>
              </w:rPr>
              <w:t>Lower than Ba2 (stable) / BB</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2.75%</w:t>
            </w:r>
          </w:p>
        </w:tc>
        <w:tc>
          <w:tcPr>
            <w:tcW w:w="28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1.75%</w:t>
            </w:r>
          </w:p>
        </w:tc>
      </w:tr>
      <w:tr>
        <w:trPr>
          <w:trHeight w:val="285"/>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(stable)</w:t>
            </w:r>
          </w:p>
        </w:tc>
        <w:tc>
          <w:tcPr>
            <w:tcW w:w="2880" w:type="dxa"/>
            <w:vAlign w:val="bottom"/>
            <w:tcBorders>
              <w:bottom w:val="single" w:sz="8" w:color="auto"/>
              <w:right w:val="single" w:sz="8" w:color="auto"/>
            </w:tcBorders>
          </w:tcPr>
          <w:p>
            <w:pPr>
              <w:spacing w:after="0"/>
              <w:rPr>
                <w:sz w:val="24"/>
                <w:szCs w:val="24"/>
                <w:color w:val="auto"/>
              </w:rPr>
            </w:pPr>
          </w:p>
        </w:tc>
        <w:tc>
          <w:tcPr>
            <w:tcW w:w="2880" w:type="dxa"/>
            <w:vAlign w:val="bottom"/>
            <w:tcBorders>
              <w:bottom w:val="single" w:sz="8" w:color="auto"/>
              <w:right w:val="single" w:sz="8" w:color="auto"/>
            </w:tcBorders>
          </w:tcPr>
          <w:p>
            <w:pPr>
              <w:spacing w:after="0"/>
              <w:rPr>
                <w:sz w:val="24"/>
                <w:szCs w:val="24"/>
                <w:color w:val="auto"/>
              </w:rPr>
            </w:pPr>
          </w:p>
        </w:tc>
      </w:tr>
    </w:tbl>
    <w:p>
      <w:pPr>
        <w:spacing w:after="0" w:line="30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different corporate rating is issued by either Moody’s or S&amp;P, then the lower of such ratings shall apply (with the rating for Pricing Level 1 being the highest and the rating for Pricing Level 5 being the lowest), unless there is a split in ratings of more than one level, in which case the Pricing Level that is one Pricing Level higher than the Pricing Level for the lower rating shall apply,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in the event that either Moody’s or S&amp;P will cease to provide a corporate rating in respect of the Borrower, the Applicable Rate shall be a percentage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determined by reference to the table above as if the Borrower’s corporate rating then in effect were the rating set out above for Pricing Level 3.</w:t>
      </w:r>
    </w:p>
    <w:p>
      <w:pPr>
        <w:spacing w:after="0" w:line="1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The Borrower shall promptly notify the Administrative Agent of the public issuance by each of Moody’s and S&amp;P of the first updated corporate rating in respect of the Borrower after the Closing Date, of any subsequent change in such corporate rating, as well as in the event that either Moody’s or S&amp;P will cease to provide a corporate rating in respect of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consequent change in the Applicable Rate or the Applicable Fee Rate resulting from a change in the Borrower’s corporate rating shall not be effective until the date falling on the third Business Day after the date on which such change in the Borrower’s corporate rating is first announced by Moody’s and/or S&amp;P. Nothing in this paragraph shall limit the right of Administrative Agent or any Lender under </w:t>
      </w:r>
      <w:r>
        <w:rPr>
          <w:rFonts w:ascii="Arial" w:cs="Arial" w:eastAsia="Arial" w:hAnsi="Arial"/>
          <w:sz w:val="21"/>
          <w:szCs w:val="21"/>
          <w:u w:val="single" w:color="auto"/>
          <w:color w:val="auto"/>
        </w:rPr>
        <w:t>Section 2.08(b)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180"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as to any Person, all applicable Laws binding upon such Person or to which such a Person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28" w:right="339" w:bottom="1440" w:gutter="0" w:footer="0" w:header="0"/>
        </w:sectPr>
      </w:pPr>
    </w:p>
    <w:bookmarkStart w:id="287" w:name="page288"/>
    <w:bookmarkEnd w:id="287"/>
    <w:p>
      <w:pPr>
        <w:ind w:right="2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(a) in respect of the Term A Facility, with respect to any Term A Lender at any time, the percentage (carried out to the ninth decimal place) of the Term A Facility represented by (i) on or prior to the Closing Date, such Term A Lender’s Term A Commitment at such time, subject to adjustment as provided in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(ii) thereafter, the principal amount of such Term A Lender’s Term A Loans at such time,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If the commitment of each Revolving Credit Lender to make Revolving Credit Loans and the obligation of the L/C Issuers to make L/C Credit Extensions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and to any Lender’s status as a Defaulting Lender at the time of determination. The initial Applicable Percentage of each Lender in respect of each Facility is set forth opposite the name of such Lender on </w:t>
      </w:r>
      <w:r>
        <w:rPr>
          <w:rFonts w:ascii="Arial" w:cs="Arial" w:eastAsia="Arial" w:hAnsi="Arial"/>
          <w:sz w:val="19"/>
          <w:szCs w:val="19"/>
          <w:u w:val="single" w:color="auto"/>
          <w:color w:val="auto"/>
        </w:rPr>
        <w:t>Schedule 2.01A</w:t>
      </w:r>
      <w:r>
        <w:rPr>
          <w:rFonts w:ascii="Arial" w:cs="Arial" w:eastAsia="Arial" w:hAnsi="Arial"/>
          <w:sz w:val="19"/>
          <w:szCs w:val="19"/>
          <w:color w:val="auto"/>
        </w:rPr>
        <w:t xml:space="preserve"> or in the Assignment and Assumption pursuant to which such Lender becomes a party hereto, as applicable.</w:t>
      </w:r>
    </w:p>
    <w:p>
      <w:pPr>
        <w:spacing w:after="0" w:line="162" w:lineRule="exact"/>
        <w:rPr>
          <w:sz w:val="20"/>
          <w:szCs w:val="20"/>
          <w:color w:val="auto"/>
        </w:rPr>
      </w:pPr>
    </w:p>
    <w:p>
      <w:pPr>
        <w:ind w:right="8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Revolving Credit Percentage</w:t>
      </w:r>
      <w:r>
        <w:rPr>
          <w:rFonts w:ascii="Arial" w:cs="Arial" w:eastAsia="Arial" w:hAnsi="Arial"/>
          <w:sz w:val="19"/>
          <w:szCs w:val="19"/>
          <w:color w:val="auto"/>
        </w:rPr>
        <w:t>” means with respect to any Revolving Credit Lender at any time, such Revolving Credit Lender’s Applicable Percentage in respect of the Revolving Credit Facility at such time.</w:t>
      </w:r>
    </w:p>
    <w:p>
      <w:pPr>
        <w:spacing w:after="0" w:line="10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Appropriate Lender</w:t>
      </w:r>
      <w:r>
        <w:rPr>
          <w:rFonts w:ascii="Arial" w:cs="Arial" w:eastAsia="Arial" w:hAnsi="Arial"/>
          <w:sz w:val="19"/>
          <w:szCs w:val="19"/>
          <w:color w:val="auto"/>
        </w:rPr>
        <w:t xml:space="preserve">” means, at any time, (a) with respect to any of the Term A Facility or the Revolving Credit Facility, a Lender that has a Commitment with respect to such Facility or holds a Term A Loan or a Revolving Credit Loan, respectively, at such time, (b) with respect to the Letter of Credit Sublimit, (i) the L/C Issuers and (ii) if any Letters of Credit have been issued pursuant to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the Revolving Credit Lenders and (c) with respect to the Swing Line Sublimit, (i) the Swing Line Lender and (ii) if any Swing Line Loans are outstanding pursuant to </w:t>
      </w:r>
      <w:r>
        <w:rPr>
          <w:rFonts w:ascii="Arial" w:cs="Arial" w:eastAsia="Arial" w:hAnsi="Arial"/>
          <w:sz w:val="19"/>
          <w:szCs w:val="19"/>
          <w:u w:val="single" w:color="auto"/>
          <w:color w:val="auto"/>
        </w:rPr>
        <w:t>Section 2.04(a)</w:t>
      </w:r>
      <w:r>
        <w:rPr>
          <w:rFonts w:ascii="Arial" w:cs="Arial" w:eastAsia="Arial" w:hAnsi="Arial"/>
          <w:sz w:val="19"/>
          <w:szCs w:val="19"/>
          <w:color w:val="auto"/>
        </w:rPr>
        <w:t>, the Revolving Credit Lenders.</w:t>
      </w:r>
    </w:p>
    <w:p>
      <w:pPr>
        <w:spacing w:after="0" w:line="147"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Fund that is administered or managed by (a) a Lender, (b) an Affiliate of a Lender or (c) an entity or an Affiliate of an entity that administers or manages a Lender.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Sale</w:t>
      </w:r>
      <w:r>
        <w:rPr>
          <w:rFonts w:ascii="Arial" w:cs="Arial" w:eastAsia="Arial" w:hAnsi="Arial"/>
          <w:sz w:val="19"/>
          <w:szCs w:val="19"/>
          <w:color w:val="auto"/>
        </w:rPr>
        <w:t>” means a sale, lease or sub-lease (as lessor or sublessor), sale and leaseback, assignment, conveyance, exclusive license (as licensor or sublicensor), transfer or other disposition to, or any exchange of property with, any Person (other than the Borrower or any Guarantor), in one transaction or a series of transactions, of all or any part of the Borrower’s or any of its Subsidiaries’ businesses, assets or properties of any kind, whether real, personal, or mixed and whether tangible or intangible, whether now owned or hereafter acquired, leased or licensed, including the Equity Interests of any of the Borrower’s Subsidiaries, other than (i) inventory (or other assets) sold, leased or licensed out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00"/>
          </w:cols>
          <w:pgMar w:left="320" w:top="1428" w:right="379" w:bottom="1440" w:gutter="0" w:footer="0" w:header="0"/>
        </w:sectPr>
      </w:pPr>
    </w:p>
    <w:bookmarkStart w:id="288" w:name="page289"/>
    <w:bookmarkEnd w:id="288"/>
    <w:p>
      <w:pPr>
        <w:ind w:right="220"/>
        <w:spacing w:after="0" w:line="265" w:lineRule="auto"/>
        <w:rPr>
          <w:sz w:val="20"/>
          <w:szCs w:val="20"/>
          <w:color w:val="auto"/>
        </w:rPr>
      </w:pPr>
      <w:r>
        <w:rPr>
          <w:rFonts w:ascii="Arial" w:cs="Arial" w:eastAsia="Arial" w:hAnsi="Arial"/>
          <w:sz w:val="21"/>
          <w:szCs w:val="21"/>
          <w:color w:val="auto"/>
        </w:rPr>
        <w:t>(excluding any such sales, leases or licenses out by operations or divisions discontinued or to be discontinued), (ii) sales, leases or licenses out of other assets for aggregate consideration of less than $5,000,000 with respect to any transaction or series of related transactions and less than $20,000,000 in the aggregate during any Fiscal Year and (iii) the issuance or sale of Equity Interests in, or Indebtedness or other securities of, an Unrestricted Subsidiary.</w:t>
      </w:r>
    </w:p>
    <w:p>
      <w:pPr>
        <w:spacing w:after="0" w:line="175" w:lineRule="exact"/>
        <w:rPr>
          <w:sz w:val="20"/>
          <w:szCs w:val="20"/>
          <w:color w:val="auto"/>
        </w:rPr>
      </w:pPr>
    </w:p>
    <w:p>
      <w:pPr>
        <w:ind w:right="22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means an assignment and assumption entered into by a Lender and an Eligible Assignee (with the consent of any party whose consent is required by </w:t>
      </w:r>
      <w:r>
        <w:rPr>
          <w:rFonts w:ascii="Arial" w:cs="Arial" w:eastAsia="Arial" w:hAnsi="Arial"/>
          <w:sz w:val="21"/>
          <w:szCs w:val="21"/>
          <w:u w:val="single" w:color="auto"/>
          <w:color w:val="auto"/>
        </w:rPr>
        <w:t>Section 11.06(b)</w:t>
      </w:r>
      <w:r>
        <w:rPr>
          <w:rFonts w:ascii="Arial" w:cs="Arial" w:eastAsia="Arial" w:hAnsi="Arial"/>
          <w:sz w:val="21"/>
          <w:szCs w:val="21"/>
          <w:color w:val="auto"/>
        </w:rPr>
        <w:t xml:space="preserve">), and accepted by the Administrative Agent, in substantially the form of </w:t>
      </w:r>
      <w:r>
        <w:rPr>
          <w:rFonts w:ascii="Arial" w:cs="Arial" w:eastAsia="Arial" w:hAnsi="Arial"/>
          <w:sz w:val="21"/>
          <w:szCs w:val="21"/>
          <w:u w:val="single" w:color="auto"/>
          <w:color w:val="auto"/>
        </w:rPr>
        <w:t>Exhibit E-1</w:t>
      </w:r>
      <w:r>
        <w:rPr>
          <w:rFonts w:ascii="Arial" w:cs="Arial" w:eastAsia="Arial" w:hAnsi="Arial"/>
          <w:sz w:val="21"/>
          <w:szCs w:val="21"/>
          <w:color w:val="auto"/>
        </w:rPr>
        <w:t xml:space="preserve"> or any other form (including electronic documentation generated by use of an electronic platform) approved by the Administrative Agent and the Borrower.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Auto-Extension Letter of Credit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2.03(b)</w:t>
      </w:r>
      <w:r>
        <w:rPr>
          <w:rFonts w:ascii="Arial" w:cs="Arial" w:eastAsia="Arial" w:hAnsi="Arial"/>
          <w:sz w:val="22"/>
          <w:szCs w:val="22"/>
          <w:color w:val="auto"/>
        </w:rPr>
        <w:t>.</w:t>
      </w:r>
    </w:p>
    <w:p>
      <w:pPr>
        <w:spacing w:after="0" w:line="220"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means in respect of the Revolving Credit Facility, the period from and including the Closing Date to the earliest of (i) the Maturity Date for the Revolving Credit Facility, (ii) the date of termination of the Revolving Credit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(iii) the date of termination of the commitment of each Revolving Credit Lender to make Revolving Credit Loans and of the obligation of the L/C Issuers to make L/C Credit Extensions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and</w:t>
      </w:r>
    </w:p>
    <w:p>
      <w:pPr>
        <w:spacing w:after="0" w:line="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(iv) [</w:t>
      </w:r>
      <w:r>
        <w:rPr>
          <w:sz w:val="20"/>
          <w:szCs w:val="20"/>
          <w:color w:val="auto"/>
        </w:rPr>
        <w:tab/>
      </w:r>
      <w:r>
        <w:rPr>
          <w:rFonts w:ascii="Arial" w:cs="Arial" w:eastAsia="Arial" w:hAnsi="Arial"/>
          <w:sz w:val="19"/>
          <w:szCs w:val="19"/>
          <w:color w:val="auto"/>
        </w:rPr>
        <w:t>, 2021], if the Term Loans are not made on or before that date].</w:t>
      </w:r>
    </w:p>
    <w:p>
      <w:pPr>
        <w:spacing w:after="0" w:line="202"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of America</w:t>
      </w:r>
      <w:r>
        <w:rPr>
          <w:rFonts w:ascii="Arial" w:cs="Arial" w:eastAsia="Arial" w:hAnsi="Arial"/>
          <w:sz w:val="22"/>
          <w:szCs w:val="22"/>
          <w:color w:val="auto"/>
        </w:rPr>
        <w:t>” means Bank of America, N.A. and its successors.</w:t>
      </w:r>
    </w:p>
    <w:p>
      <w:pPr>
        <w:spacing w:after="0" w:line="22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(b) the rate of interest in effect for such day as publicly announced from time to time by Bank of America as its “prime rate”, and (c) the Eurodollar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hereof, then the Base Rate shall be the greater of clauses (a) and (b) above and shall be determined without reference to clause (c) above.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Loan</w:t>
      </w:r>
      <w:r>
        <w:rPr>
          <w:rFonts w:ascii="Arial" w:cs="Arial" w:eastAsia="Arial" w:hAnsi="Arial"/>
          <w:sz w:val="21"/>
          <w:szCs w:val="21"/>
          <w:color w:val="auto"/>
        </w:rPr>
        <w:t>” means a Revolving Credit Loan or a Term A Loan that bears interest based on the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28" w:right="339" w:bottom="1440" w:gutter="0" w:footer="0" w:header="0"/>
        </w:sectPr>
      </w:pPr>
    </w:p>
    <w:bookmarkStart w:id="289" w:name="page290"/>
    <w:bookmarkEnd w:id="289"/>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required by the Beneficial Ownership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20"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xml:space="preserve">” means each Agent, L/C Issuer, Lender, Hedge Bank and each co-agent or sub-agent appointed by the Administrative Agent from time to time pursuant to </w:t>
      </w:r>
      <w:r>
        <w:rPr>
          <w:rFonts w:ascii="Arial" w:cs="Arial" w:eastAsia="Arial" w:hAnsi="Arial"/>
          <w:sz w:val="22"/>
          <w:szCs w:val="22"/>
          <w:u w:val="single" w:color="auto"/>
          <w:color w:val="auto"/>
        </w:rPr>
        <w:t>Section 9.05</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Bookrunners</w:t>
      </w:r>
      <w:r>
        <w:rPr>
          <w:rFonts w:ascii="Arial" w:cs="Arial" w:eastAsia="Arial" w:hAnsi="Arial"/>
          <w:sz w:val="22"/>
          <w:szCs w:val="22"/>
          <w:color w:val="auto"/>
        </w:rPr>
        <w:t>” means the Arrangers, in their capacity as lead arrangers and bookrunners.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Revolving Credit Borrowing, a Swing Line Borrowing or a Term A Borrowing, as the context may require.</w:t>
      </w:r>
    </w:p>
    <w:p>
      <w:pPr>
        <w:spacing w:after="0" w:line="175"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Bridge Credit Agreement</w:t>
      </w:r>
      <w:r>
        <w:rPr>
          <w:rFonts w:ascii="Arial" w:cs="Arial" w:eastAsia="Arial" w:hAnsi="Arial"/>
          <w:sz w:val="19"/>
          <w:szCs w:val="19"/>
          <w:color w:val="auto"/>
        </w:rPr>
        <w:t>” means the bridge credit agreement, dated [as of the date hereof] among the Borrower, the Guarantors, the lenders from time to time party thereto, the Arrangers, Goldman Sachs, as administrative agent, and the other parties thereto, as it may be amended, restated, supplemented or otherwise modified from time to time.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Bridge Loans</w:t>
      </w:r>
      <w:r>
        <w:rPr>
          <w:rFonts w:ascii="Arial" w:cs="Arial" w:eastAsia="Arial" w:hAnsi="Arial"/>
          <w:sz w:val="22"/>
          <w:szCs w:val="22"/>
          <w:color w:val="auto"/>
        </w:rPr>
        <w:t>” means a “Loan” as defined under the Bridge Credit Agreement.</w:t>
      </w:r>
    </w:p>
    <w:p>
      <w:pPr>
        <w:spacing w:after="0" w:line="220" w:lineRule="exact"/>
        <w:rPr>
          <w:sz w:val="20"/>
          <w:szCs w:val="20"/>
          <w:color w:val="auto"/>
        </w:rPr>
      </w:pPr>
    </w:p>
    <w:p>
      <w:pPr>
        <w:ind w:right="14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money, currency or a credit balance in any demand or Deposit Account.</w:t>
      </w:r>
    </w:p>
    <w:p>
      <w:pPr>
        <w:spacing w:after="0" w:line="220" w:lineRule="exact"/>
        <w:rPr>
          <w:sz w:val="20"/>
          <w:szCs w:val="20"/>
          <w:color w:val="auto"/>
        </w:rPr>
      </w:pPr>
    </w:p>
    <w:p>
      <w:pPr>
        <w:ind w:right="30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 Account</w:t>
      </w:r>
      <w:r>
        <w:rPr>
          <w:rFonts w:ascii="Arial" w:cs="Arial" w:eastAsia="Arial" w:hAnsi="Arial"/>
          <w:sz w:val="19"/>
          <w:szCs w:val="19"/>
          <w:color w:val="auto"/>
        </w:rPr>
        <w:t>” means a blocked deposit account of one or more of the Loan Parties at Bank of America (or any successor Administrative Agent or another commercial bank reasonably acceptable to the Administrative Agent and the Borrower) in the name of the Administrative Agent and under the sole dominion and control of the Administrative Agent, and otherwise established in a manner reasonably satisfactory to the Administrative Agent.</w:t>
      </w:r>
    </w:p>
    <w:p>
      <w:pPr>
        <w:spacing w:after="0" w:line="142"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Collateralize</w:t>
      </w:r>
      <w:r>
        <w:rPr>
          <w:rFonts w:ascii="Arial" w:cs="Arial" w:eastAsia="Arial" w:hAnsi="Arial"/>
          <w:sz w:val="21"/>
          <w:szCs w:val="21"/>
          <w:color w:val="auto"/>
        </w:rPr>
        <w:t>” means to pledge and deposit with or deliver to the Administrative Agent, for the benefit of one or more of the L/C Issuers or Swing Line Lender (as applicable) and the Lenders, as collateral for L/C Obligations, Obligations in respect of Swing Line Loans, or obligations of Lenders to fund participations in respect of L/C Obligations or Swing Line Loans (as the context may require), cash or deposit account balances or, if the Administrative Agent, the L/C Issuers or Swing Line Lender shall agree in their sole discretion, other credit support,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28" w:right="339" w:bottom="1440" w:gutter="0" w:footer="0" w:header="0"/>
        </w:sectPr>
      </w:pPr>
    </w:p>
    <w:bookmarkStart w:id="290" w:name="page291"/>
    <w:bookmarkEnd w:id="290"/>
    <w:p>
      <w:pPr>
        <w:jc w:val="both"/>
        <w:ind w:right="300"/>
        <w:spacing w:after="0" w:line="253" w:lineRule="auto"/>
        <w:rPr>
          <w:sz w:val="20"/>
          <w:szCs w:val="20"/>
          <w:color w:val="auto"/>
        </w:rPr>
      </w:pPr>
      <w:r>
        <w:rPr>
          <w:rFonts w:ascii="Arial" w:cs="Arial" w:eastAsia="Arial" w:hAnsi="Arial"/>
          <w:sz w:val="22"/>
          <w:szCs w:val="22"/>
          <w:color w:val="auto"/>
        </w:rPr>
        <w:t>each case pursuant to documentation in form and substance reasonably satisfactory to (a) the Administrative Agent and (b) the L/C Issuers or the Swing Line Lender (as applicable). “Cash Collateral” shall have a meaning correlative to the foregoing and shall include the proceeds of such Cash Collateral and other credit support.</w:t>
      </w:r>
    </w:p>
    <w:p>
      <w:pPr>
        <w:spacing w:after="0" w:line="1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as at any date of determination, any of the following: (i) marketable securities (a) issued or directly and unconditionally guaranteed as to interest and principal by the United States Government or (b) issued by any agency of the United States the obligations of which are backed by the full faith and credit of the United States, in the case of each of subclauses (a) and (b), maturing within one year after such date; (ii)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A-2 from S&amp;P or at least P-2 from Moody’s; (iii) commercial paper maturing no more than one year from the date of creation thereof and having, at the time of the acquisition thereof, a rating of at least A-2 from S&amp;P or at least P-2 from Moody’s; (iv) certificates of deposit or bankers’ acceptances (or, in the case of Foreign Subsidiaries, the foreign equivalent) maturing within one year after such date and issued or accepted by any Lender or by any commercial bank organized under the laws of the United States of America or any state thereof or the District of Columbia that (a) is at least “adequately capitalized” (as defined in the regulations of its primary Federal banking regulator) and (b) has Tier 1 capital (as defined in such regulations) of not less than $250,000,000 (or, in the case of Foreign Subsidiaries, any local office of any commercial bank organized under the law of the relevant jurisdiction or any political subdivision thereof which has combined capital and surplus and undivided profits in excess of $250,000,000 or the foreign currency equivalent); (v) repurchase obligations for underlying securities of the types described in clauses (i) through (iv) above; and (vi) shares of any money market mutual fund that (a) has substantially all of its assets invested continuously in the types of investments referred to in clauses (i) and (ii) above, (b) has net assets of not less than $500,000,000, and (c) has one of the two highest ratings obtainable from either S&amp;P or Moody’s. In the case of any Investment by any Foreign Subsidiary of the Borrower, “Cash Equivalents” shall also include: (x) direct obligations of the sovereign nation (or any agency thereof) in which such Foreign Subsidiary is organized and is conducting business or in obligations fully and unconditionally guaranteed by such sovereign nation (or any agency thereof), in each case, maturing within a year after such date and having, at the time of the acquisition thereof, a rating equivalent to at least A-2 from S&amp;P and at least P-2 from Moody’s, (y) investments of the type and maturity described in clauses (i) through (vi) above of foreign obligors, which Investments or obligors (or the parents of such obligors) have ratings described in such clauses or equivalent ratings from comparable foreign rating agencies and (z) shares of any money market mutual or similar fund that has substantially all its assets invested continuously in the types of investments otherwise satisfying the requirements of this definition.</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Law</w:t>
      </w:r>
      <w:r>
        <w:rPr>
          <w:rFonts w:ascii="Arial" w:cs="Arial" w:eastAsia="Arial" w:hAnsi="Arial"/>
          <w:sz w:val="22"/>
          <w:szCs w:val="22"/>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28" w:right="339" w:bottom="1440" w:gutter="0" w:footer="0" w:header="0"/>
        </w:sectPr>
      </w:pPr>
    </w:p>
    <w:bookmarkStart w:id="291" w:name="page292"/>
    <w:bookmarkEnd w:id="291"/>
    <w:p>
      <w:pPr>
        <w:jc w:val="both"/>
        <w:spacing w:after="0" w:line="294" w:lineRule="auto"/>
        <w:rPr>
          <w:sz w:val="20"/>
          <w:szCs w:val="20"/>
          <w:color w:val="auto"/>
        </w:rPr>
      </w:pPr>
      <w:r>
        <w:rPr>
          <w:rFonts w:ascii="Arial" w:cs="Arial" w:eastAsia="Arial" w:hAnsi="Arial"/>
          <w:sz w:val="19"/>
          <w:szCs w:val="19"/>
          <w:color w:val="auto"/>
        </w:rPr>
        <w:t xml:space="preserve">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means, (i) any Person or “group” (within the meaning of Rules 13d-3 and 13d-5 under the Exchange Act) other than Parent shall have acquired beneficial ownership of Equity Interests representing more than 35% of the aggregate ordinary voting power for the election of directors represented by the issued and outstanding Equity Interests of the Borrower and the percentage of aggregate ordinary voting power for the election of directors so acquired is in excess of the percentage of the aggregate ordinary voting power for the election of directors represented by the Equity Interests beneficially owned by the Parent at such time; or (ii) any “change of control” or similar event under the Bridge Credit Agreement or the documentation relating to the Permanent Debt shall occur.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Acceptance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2.05(b)(i)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Payment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2.05(b)(i)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Prepayment Offer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2.05(b)(i)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when used in reference to any Loan or Borrowing, refers to whether such Loan, or the Loans comprising such Borrowing, are Revolving Credit Loans or Term A Loans and, when used in reference to any Commitment, refers to whether such Commitment is a Revolving Credit Commitment or Term A Commitment.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on which the Term Loans are made.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Certificate</w:t>
      </w:r>
      <w:r>
        <w:rPr>
          <w:rFonts w:ascii="Arial" w:cs="Arial" w:eastAsia="Arial" w:hAnsi="Arial"/>
          <w:sz w:val="22"/>
          <w:szCs w:val="22"/>
          <w:color w:val="auto"/>
        </w:rPr>
        <w:t>” means a closing date certificate substantially in the form of Exhibit F-1.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means a Term A Commitment or a Revolving Credit Commitment, as the context may require.</w:t>
      </w:r>
    </w:p>
    <w:p>
      <w:pPr>
        <w:spacing w:after="0" w:line="23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Committed Loan Notice</w:t>
      </w:r>
      <w:r>
        <w:rPr>
          <w:rFonts w:ascii="Arial" w:cs="Arial" w:eastAsia="Arial" w:hAnsi="Arial"/>
          <w:sz w:val="21"/>
          <w:szCs w:val="21"/>
          <w:color w:val="auto"/>
        </w:rPr>
        <w:t xml:space="preserve">” means a notice of (a) a Term Borrowing, (b) a Revolving Credit Borrowing, (c) a conversion of Loans from one Type to the other, or (d) a continuation of Eurodollar Rate Loans, pursuant to </w:t>
      </w:r>
      <w:r>
        <w:rPr>
          <w:rFonts w:ascii="Arial" w:cs="Arial" w:eastAsia="Arial" w:hAnsi="Arial"/>
          <w:sz w:val="21"/>
          <w:szCs w:val="21"/>
          <w:u w:val="single" w:color="auto"/>
          <w:color w:val="auto"/>
        </w:rPr>
        <w:t>Section 2.02(a)</w:t>
      </w:r>
      <w:r>
        <w:rPr>
          <w:rFonts w:ascii="Arial" w:cs="Arial" w:eastAsia="Arial" w:hAnsi="Arial"/>
          <w:sz w:val="21"/>
          <w:szCs w:val="21"/>
          <w:color w:val="auto"/>
        </w:rPr>
        <w:t xml:space="preserve">, which shall be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such other form as may be approved by the Administrative Agent, including any form on an electronic platform or electronic transmission system as shall be approved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28" w:right="339"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Administrative Agent, appropriately completed and signed by a Responsible Officer of the Borrower.</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means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Adjusted EBITDA</w:t>
      </w:r>
      <w:r>
        <w:rPr>
          <w:rFonts w:ascii="Arial" w:cs="Arial" w:eastAsia="Arial" w:hAnsi="Arial"/>
          <w:sz w:val="22"/>
          <w:szCs w:val="22"/>
          <w:color w:val="auto"/>
        </w:rPr>
        <w:t>” means, for any period, an amount determined for the Borrower and its Subsidiaries on a consolidated basis equal to:</w:t>
      </w:r>
    </w:p>
    <w:p>
      <w:pPr>
        <w:spacing w:after="0" w:line="175" w:lineRule="exact"/>
        <w:rPr>
          <w:sz w:val="20"/>
          <w:szCs w:val="20"/>
          <w:color w:val="auto"/>
        </w:rPr>
      </w:pPr>
    </w:p>
    <w:p>
      <w:pPr>
        <w:ind w:left="1560" w:hanging="256"/>
        <w:spacing w:after="0"/>
        <w:tabs>
          <w:tab w:leader="none" w:pos="15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Consolidated Net Income, </w:t>
      </w:r>
      <w:r>
        <w:rPr>
          <w:rFonts w:ascii="Arial" w:cs="Arial" w:eastAsia="Arial" w:hAnsi="Arial"/>
          <w:sz w:val="19"/>
          <w:szCs w:val="19"/>
          <w:u w:val="single" w:color="auto"/>
          <w:color w:val="auto"/>
        </w:rPr>
        <w:t>plus</w:t>
      </w:r>
      <w:r>
        <w:rPr>
          <w:rFonts w:ascii="Arial" w:cs="Arial" w:eastAsia="Arial" w:hAnsi="Arial"/>
          <w:sz w:val="19"/>
          <w:szCs w:val="19"/>
          <w:color w:val="auto"/>
        </w:rPr>
        <w:t>, to the extent reducing Consolidated Net Income, the sum, without duplication,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amounts for:</w:t>
      </w:r>
    </w:p>
    <w:p>
      <w:pPr>
        <w:spacing w:after="0" w:line="201" w:lineRule="exact"/>
        <w:rPr>
          <w:rFonts w:ascii="Arial" w:cs="Arial" w:eastAsia="Arial" w:hAnsi="Arial"/>
          <w:sz w:val="19"/>
          <w:szCs w:val="19"/>
          <w:color w:val="auto"/>
        </w:rPr>
      </w:pPr>
    </w:p>
    <w:p>
      <w:pPr>
        <w:ind w:left="2080" w:hanging="452"/>
        <w:spacing w:after="0"/>
        <w:tabs>
          <w:tab w:leader="none" w:pos="208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consolidated interest expense;</w:t>
      </w:r>
    </w:p>
    <w:p>
      <w:pPr>
        <w:spacing w:after="0" w:line="219" w:lineRule="exact"/>
        <w:rPr>
          <w:rFonts w:ascii="Arial" w:cs="Arial" w:eastAsia="Arial" w:hAnsi="Arial"/>
          <w:sz w:val="22"/>
          <w:szCs w:val="22"/>
          <w:color w:val="auto"/>
        </w:rPr>
      </w:pPr>
    </w:p>
    <w:p>
      <w:pPr>
        <w:ind w:left="2100" w:hanging="472"/>
        <w:spacing w:after="0"/>
        <w:tabs>
          <w:tab w:leader="none" w:pos="21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provisions for taxes based on income;</w:t>
      </w:r>
    </w:p>
    <w:p>
      <w:pPr>
        <w:spacing w:after="0" w:line="219" w:lineRule="exact"/>
        <w:rPr>
          <w:rFonts w:ascii="Arial" w:cs="Arial" w:eastAsia="Arial" w:hAnsi="Arial"/>
          <w:sz w:val="22"/>
          <w:szCs w:val="22"/>
          <w:color w:val="auto"/>
        </w:rPr>
      </w:pPr>
    </w:p>
    <w:p>
      <w:pPr>
        <w:ind w:left="2080" w:hanging="452"/>
        <w:spacing w:after="0"/>
        <w:tabs>
          <w:tab w:leader="none" w:pos="208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total depreciation expense;</w:t>
      </w:r>
    </w:p>
    <w:p>
      <w:pPr>
        <w:spacing w:after="0" w:line="219" w:lineRule="exact"/>
        <w:rPr>
          <w:rFonts w:ascii="Arial" w:cs="Arial" w:eastAsia="Arial" w:hAnsi="Arial"/>
          <w:sz w:val="22"/>
          <w:szCs w:val="22"/>
          <w:color w:val="auto"/>
        </w:rPr>
      </w:pPr>
    </w:p>
    <w:p>
      <w:pPr>
        <w:ind w:left="2100" w:hanging="472"/>
        <w:spacing w:after="0"/>
        <w:tabs>
          <w:tab w:leader="none" w:pos="21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total amortization expense;</w:t>
      </w:r>
    </w:p>
    <w:p>
      <w:pPr>
        <w:spacing w:after="0" w:line="219" w:lineRule="exact"/>
        <w:rPr>
          <w:rFonts w:ascii="Arial" w:cs="Arial" w:eastAsia="Arial" w:hAnsi="Arial"/>
          <w:sz w:val="22"/>
          <w:szCs w:val="22"/>
          <w:color w:val="auto"/>
        </w:rPr>
      </w:pPr>
    </w:p>
    <w:p>
      <w:pPr>
        <w:jc w:val="both"/>
        <w:ind w:left="1960" w:hanging="332"/>
        <w:spacing w:after="0" w:line="250" w:lineRule="auto"/>
        <w:tabs>
          <w:tab w:leader="none" w:pos="2369" w:val="left"/>
        </w:tabs>
        <w:numPr>
          <w:ilvl w:val="1"/>
          <w:numId w:val="171"/>
        </w:numPr>
        <w:rPr>
          <w:rFonts w:ascii="Arial" w:cs="Arial" w:eastAsia="Arial" w:hAnsi="Arial"/>
          <w:sz w:val="22"/>
          <w:szCs w:val="22"/>
          <w:color w:val="auto"/>
        </w:rPr>
      </w:pPr>
      <w:r>
        <w:rPr>
          <w:rFonts w:ascii="Arial" w:cs="Arial" w:eastAsia="Arial" w:hAnsi="Arial"/>
          <w:sz w:val="22"/>
          <w:szCs w:val="22"/>
          <w:color w:val="auto"/>
        </w:rPr>
        <w:t>other non-Cash charges, expenses or losses reducing Consolidated Net Income (including any impairment) (excluding any such non-Cash charge to the extent that it represents an accrual or reserve for potential Cash charge in any future period or amortization of a prepaid Cash charge that was paid in a prior period);</w:t>
      </w:r>
    </w:p>
    <w:p>
      <w:pPr>
        <w:spacing w:after="0" w:line="187" w:lineRule="exact"/>
        <w:rPr>
          <w:rFonts w:ascii="Arial" w:cs="Arial" w:eastAsia="Arial" w:hAnsi="Arial"/>
          <w:sz w:val="22"/>
          <w:szCs w:val="22"/>
          <w:color w:val="auto"/>
        </w:rPr>
      </w:pPr>
    </w:p>
    <w:p>
      <w:pPr>
        <w:jc w:val="both"/>
        <w:ind w:left="1960" w:hanging="332"/>
        <w:spacing w:after="0" w:line="250" w:lineRule="auto"/>
        <w:tabs>
          <w:tab w:leader="none" w:pos="2225" w:val="left"/>
        </w:tabs>
        <w:numPr>
          <w:ilvl w:val="1"/>
          <w:numId w:val="171"/>
        </w:numPr>
        <w:rPr>
          <w:rFonts w:ascii="Arial" w:cs="Arial" w:eastAsia="Arial" w:hAnsi="Arial"/>
          <w:sz w:val="22"/>
          <w:szCs w:val="22"/>
          <w:color w:val="auto"/>
        </w:rPr>
      </w:pPr>
      <w:r>
        <w:rPr>
          <w:rFonts w:ascii="Arial" w:cs="Arial" w:eastAsia="Arial" w:hAnsi="Arial"/>
          <w:sz w:val="22"/>
          <w:szCs w:val="22"/>
          <w:color w:val="auto"/>
        </w:rPr>
        <w:t xml:space="preserve">the actual amount of any restructuring charges;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that amounts added back pursuant to this subclause (f), when aggregated with amounts added back pursuant to subclause (g) below, shall not exceed 25% of Consolidated Adjusted EBITDA (calculated before giving effect to such adjustments) during such period;</w:t>
      </w:r>
    </w:p>
    <w:p>
      <w:pPr>
        <w:spacing w:after="0" w:line="187" w:lineRule="exact"/>
        <w:rPr>
          <w:rFonts w:ascii="Arial" w:cs="Arial" w:eastAsia="Arial" w:hAnsi="Arial"/>
          <w:sz w:val="22"/>
          <w:szCs w:val="22"/>
          <w:color w:val="auto"/>
        </w:rPr>
      </w:pPr>
    </w:p>
    <w:p>
      <w:pPr>
        <w:jc w:val="both"/>
        <w:ind w:left="1960" w:hanging="332"/>
        <w:spacing w:after="0" w:line="263" w:lineRule="auto"/>
        <w:tabs>
          <w:tab w:leader="none" w:pos="2222" w:val="left"/>
        </w:tabs>
        <w:numPr>
          <w:ilvl w:val="1"/>
          <w:numId w:val="171"/>
        </w:numPr>
        <w:rPr>
          <w:rFonts w:ascii="Arial" w:cs="Arial" w:eastAsia="Arial" w:hAnsi="Arial"/>
          <w:sz w:val="21"/>
          <w:szCs w:val="21"/>
          <w:color w:val="auto"/>
        </w:rPr>
      </w:pPr>
      <w:r>
        <w:rPr>
          <w:rFonts w:ascii="Arial" w:cs="Arial" w:eastAsia="Arial" w:hAnsi="Arial"/>
          <w:sz w:val="21"/>
          <w:szCs w:val="21"/>
          <w:color w:val="auto"/>
        </w:rPr>
        <w:t xml:space="preserve">the amount of net cost savings and synergies projected by the Borrower in good faith as a result of actions taken or expected to be taken in connection with acquisitions, and dispositions of assets, net of the amount of actual benefits realized during such period from such actions;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that (A) such cost savings and synergies are reasonably identifiable and factually supportable, (B) such actions are taken or expected to be taken within twelve (12) months after the consummation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28" w:right="339" w:bottom="1440" w:gutter="0" w:footer="0" w:header="0"/>
        </w:sectPr>
      </w:pPr>
    </w:p>
    <w:bookmarkStart w:id="293" w:name="page294"/>
    <w:bookmarkEnd w:id="293"/>
    <w:p>
      <w:pPr>
        <w:jc w:val="both"/>
        <w:ind w:left="1960"/>
        <w:spacing w:after="0" w:line="246" w:lineRule="auto"/>
        <w:rPr>
          <w:sz w:val="20"/>
          <w:szCs w:val="20"/>
          <w:color w:val="auto"/>
        </w:rPr>
      </w:pPr>
      <w:r>
        <w:rPr>
          <w:rFonts w:ascii="Arial" w:cs="Arial" w:eastAsia="Arial" w:hAnsi="Arial"/>
          <w:sz w:val="22"/>
          <w:szCs w:val="22"/>
          <w:color w:val="auto"/>
        </w:rPr>
        <w:t>the relevant acquisition or disposition, (C) no cost savings shall be added pursuant to this subclause (g) to the extent duplicative of any such expenses or charges added back pursuant to subclauses (e) above, or (h) below, and (D) the benefits resulting therefrom are anticipated by the Borrower to be realized within twelve (12) months of such actions having been taken, and (E) amounts added back pursuant to this subclause (g), when aggregated with amounts added back pursuant to subclause (f) above, shall not exceed 25% of Consolidated Adjusted EBITDA (calculated before giving effect to such adjustments) during such period;</w:t>
      </w:r>
    </w:p>
    <w:p>
      <w:pPr>
        <w:spacing w:after="0" w:line="196" w:lineRule="exact"/>
        <w:rPr>
          <w:sz w:val="20"/>
          <w:szCs w:val="20"/>
          <w:color w:val="auto"/>
        </w:rPr>
      </w:pPr>
    </w:p>
    <w:p>
      <w:pPr>
        <w:ind w:left="2140" w:hanging="512"/>
        <w:spacing w:after="0"/>
        <w:tabs>
          <w:tab w:leader="none" w:pos="21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all extraordinary, unusual or nonrecurring expenses, losses and charges for such period;</w:t>
      </w:r>
    </w:p>
    <w:p>
      <w:pPr>
        <w:spacing w:after="0" w:line="219" w:lineRule="exact"/>
        <w:rPr>
          <w:rFonts w:ascii="Arial" w:cs="Arial" w:eastAsia="Arial" w:hAnsi="Arial"/>
          <w:sz w:val="22"/>
          <w:szCs w:val="22"/>
          <w:color w:val="auto"/>
        </w:rPr>
      </w:pPr>
    </w:p>
    <w:p>
      <w:pPr>
        <w:ind w:left="1960" w:hanging="332"/>
        <w:spacing w:after="0" w:line="263" w:lineRule="auto"/>
        <w:tabs>
          <w:tab w:leader="none" w:pos="213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expenses, losses and charges relating to the Transactions, the Initial Public Offering or any Asset Sale, regardless of when paid;</w:t>
      </w:r>
    </w:p>
    <w:p>
      <w:pPr>
        <w:spacing w:after="0" w:line="174" w:lineRule="exact"/>
        <w:rPr>
          <w:rFonts w:ascii="Arial" w:cs="Arial" w:eastAsia="Arial" w:hAnsi="Arial"/>
          <w:sz w:val="22"/>
          <w:szCs w:val="22"/>
          <w:color w:val="auto"/>
        </w:rPr>
      </w:pPr>
    </w:p>
    <w:p>
      <w:pPr>
        <w:jc w:val="both"/>
        <w:ind w:left="1960" w:hanging="332"/>
        <w:spacing w:after="0" w:line="302" w:lineRule="auto"/>
        <w:tabs>
          <w:tab w:leader="none" w:pos="216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proceeds of business interruption insurance (whether or not received, so long as the Borrower or any Subsidiary is expected to receive the same within the next four fiscal quarters (it being understood that to the extent not actually received within such four fiscal quarter period, such proceeds shall be deducted in calculating Consolidated Adjusted EBITDA for the next four fiscal quarter period)); and</w:t>
      </w:r>
    </w:p>
    <w:p>
      <w:pPr>
        <w:spacing w:after="0" w:line="142" w:lineRule="exact"/>
        <w:rPr>
          <w:rFonts w:ascii="Arial" w:cs="Arial" w:eastAsia="Arial" w:hAnsi="Arial"/>
          <w:sz w:val="19"/>
          <w:szCs w:val="19"/>
          <w:color w:val="auto"/>
        </w:rPr>
      </w:pPr>
    </w:p>
    <w:p>
      <w:pPr>
        <w:ind w:left="1960" w:hanging="332"/>
        <w:spacing w:after="0" w:line="263" w:lineRule="auto"/>
        <w:tabs>
          <w:tab w:leader="none" w:pos="2183"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amount of any minority interest expense deducted from subsidiary income attributable to minority equity interests of third parties in any non-wholly owned subsidiary;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sum of (a) non-Cash gains increasing Consolidated Net Income for such period (excluding any such non-Cash gain to the extent it represents the reversal of an accrual or reserve for potential Cash gain in any prior period) and (b) all extraordinary, unusual or nonrecurring income or gains for such period.</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Interest Expense</w:t>
      </w:r>
      <w:r>
        <w:rPr>
          <w:rFonts w:ascii="Arial" w:cs="Arial" w:eastAsia="Arial" w:hAnsi="Arial"/>
          <w:sz w:val="19"/>
          <w:szCs w:val="19"/>
          <w:color w:val="auto"/>
        </w:rPr>
        <w:t xml:space="preserve">” means, for any period, total interest expense (including that portion attributable to Capital Leases in accordance with GAAP and capitalized interest) of the Borrower and its Subsidiaries on a consolidated basis with respect to all outstanding Indebtedness of the Borrower and its Subsidiaries, including all commissions, discounts and other fees and charges owed with respect to letters of credit and net costs under Interest Rate Agreements, but excluding, however, any amount not payable in Cash and any amounts referred to in </w:t>
      </w:r>
      <w:r>
        <w:rPr>
          <w:rFonts w:ascii="Arial" w:cs="Arial" w:eastAsia="Arial" w:hAnsi="Arial"/>
          <w:sz w:val="19"/>
          <w:szCs w:val="19"/>
          <w:u w:val="single" w:color="auto"/>
          <w:color w:val="auto"/>
        </w:rPr>
        <w:t>Section 2.09(b)</w:t>
      </w:r>
      <w:r>
        <w:rPr>
          <w:rFonts w:ascii="Arial" w:cs="Arial" w:eastAsia="Arial" w:hAnsi="Arial"/>
          <w:sz w:val="19"/>
          <w:szCs w:val="19"/>
          <w:color w:val="auto"/>
        </w:rPr>
        <w:t xml:space="preserve"> payable on or before the Closing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total cash interest income of the Borrower and its Subsidiaries on a consolidated basis for such period. Notwithstanding anything to the contrary contained herein, for purposes of determining Consolidated Net Interest Expense for any period that would otherwise start before the Closing Date, such period shall instead start on the Closing Date and Consolidated Net Interest Expense shall be an amount equal to Consolidated Net Interest Expense from the Closing Date through the last day of such period multiplied by a fraction the numerator of which is 365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28" w:right="33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denominator of which is the number of days from the Closing Date through the last day of such period.</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(i) the net income (or loss) of the Borrower and its Subsidiaries on a consolidated basis for such period taken as a single accounting period determined in conformity with GAAP,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 the income (or loss) of any Person (other than a Subsidiary of the Borrower) in which any other Person (other than the Borrower or any of its Subsidiaries) has a joint interest or any Person that is an Unrestricted Subsidiary, except to the extent of the amount of dividends or other distributions actually paid to the Borrower or any of its Subsidiaries by such Person during such period, (b) the income (or loss) of any Person or any Unrestricted Subsidiary accrued prior to the date it becomes a Subsidiary of the Borrower or is redesignated a Restricted Subsidiary, as applicable, or is merged into or consolidated with the Borrower or any of its Subsidiaries or that Person’s assets are acquired by the Borrower or any of its Subsidiaries, (c) the income of any Subsidiary of the Borrower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(d) any after-tax gains or losses attributable to Asset Sales or returned surplus assets of any Pension Plan, (e) the income (or loss) attributable to the early extinguishment of Indebtedness, and (f) (to the extent not included in clauses (a) through (e) above) any net extraordinary gains or net extraordinary losses.</w:t>
      </w:r>
    </w:p>
    <w:p>
      <w:pPr>
        <w:spacing w:after="0" w:line="166"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Net Debt</w:t>
      </w:r>
      <w:r>
        <w:rPr>
          <w:rFonts w:ascii="Arial" w:cs="Arial" w:eastAsia="Arial" w:hAnsi="Arial"/>
          <w:sz w:val="22"/>
          <w:szCs w:val="22"/>
          <w:color w:val="auto"/>
        </w:rPr>
        <w:t xml:space="preserve">” means, as of any date of determination, (a) the aggregate par value or stated face amount of all Indebtedness under clauses (i) through (iii) and (to the extent drawn and unreimbursed) (vi) of the definition thereof of the Borrower and its Subsidiaries determined on a consolidated basis in accordance with GAAP,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aggregate amount of Unrestricted Cash included in the consolidated balance sheet of the Borrower and its Subsidiaries as of such date. For clarity, Consolidated Total Net Debt does not include Indebtedness outstanding under credit card or receivables factoring programs.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85"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Counterpart Agreement</w:t>
      </w:r>
      <w:r>
        <w:rPr>
          <w:rFonts w:ascii="Arial" w:cs="Arial" w:eastAsia="Arial" w:hAnsi="Arial"/>
          <w:sz w:val="22"/>
          <w:szCs w:val="22"/>
          <w:color w:val="auto"/>
        </w:rPr>
        <w:t xml:space="preserve">” means a Counterpart Agreement substantially in the form of Exhibit G delivered by a Loan Party pursuant to </w:t>
      </w:r>
      <w:r>
        <w:rPr>
          <w:rFonts w:ascii="Arial" w:cs="Arial" w:eastAsia="Arial" w:hAnsi="Arial"/>
          <w:sz w:val="22"/>
          <w:szCs w:val="22"/>
          <w:u w:val="single" w:color="auto"/>
          <w:color w:val="auto"/>
        </w:rPr>
        <w:t>Section 6.10</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11.22(b)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Date</w:t>
      </w:r>
      <w:r>
        <w:rPr>
          <w:rFonts w:ascii="Arial" w:cs="Arial" w:eastAsia="Arial" w:hAnsi="Arial"/>
          <w:sz w:val="22"/>
          <w:szCs w:val="22"/>
          <w:color w:val="auto"/>
        </w:rPr>
        <w:t>” means the date of a Credit Extension.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means each of the following: (a) a Borrowing and (b) an L/C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28" w:right="339" w:bottom="1440" w:gutter="0" w:footer="0" w:header="0"/>
        </w:sectPr>
      </w:pPr>
    </w:p>
    <w:bookmarkStart w:id="295" w:name="page296"/>
    <w:bookmarkEnd w:id="295"/>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Cumulative Amount</w:t>
      </w:r>
      <w:r>
        <w:rPr>
          <w:rFonts w:ascii="Arial" w:cs="Arial" w:eastAsia="Arial" w:hAnsi="Arial"/>
          <w:sz w:val="22"/>
          <w:szCs w:val="22"/>
          <w:color w:val="auto"/>
        </w:rPr>
        <w:t>” means at any time (the “</w:t>
      </w:r>
      <w:r>
        <w:rPr>
          <w:rFonts w:ascii="Arial" w:cs="Arial" w:eastAsia="Arial" w:hAnsi="Arial"/>
          <w:sz w:val="22"/>
          <w:szCs w:val="22"/>
          <w:u w:val="single" w:color="auto"/>
          <w:color w:val="auto"/>
        </w:rPr>
        <w:t>Cumulative Amount Reference Time</w:t>
      </w:r>
      <w:r>
        <w:rPr>
          <w:rFonts w:ascii="Arial" w:cs="Arial" w:eastAsia="Arial" w:hAnsi="Arial"/>
          <w:sz w:val="22"/>
          <w:szCs w:val="22"/>
          <w:color w:val="auto"/>
        </w:rPr>
        <w:t>”), an amount (which shall not be less than zero) equal to:</w:t>
      </w:r>
    </w:p>
    <w:p>
      <w:pPr>
        <w:spacing w:after="0" w:line="175" w:lineRule="exact"/>
        <w:rPr>
          <w:sz w:val="20"/>
          <w:szCs w:val="20"/>
          <w:color w:val="auto"/>
        </w:rPr>
      </w:pPr>
    </w:p>
    <w:p>
      <w:pPr>
        <w:jc w:val="both"/>
        <w:ind w:firstLine="1304"/>
        <w:spacing w:after="0" w:line="253" w:lineRule="auto"/>
        <w:tabs>
          <w:tab w:leader="none" w:pos="160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50% of the Consolidated Net Income of the Borrower and its Subsidiaries for the period (taken as one accounting period) beginning on the first day of the Fiscal Quarter in which the Closing Date occurs to the end of the most recently ended Fiscal Quarter at the Cumulative Amount Reference Time; </w:t>
      </w:r>
      <w:r>
        <w:rPr>
          <w:rFonts w:ascii="Arial" w:cs="Arial" w:eastAsia="Arial" w:hAnsi="Arial"/>
          <w:sz w:val="22"/>
          <w:szCs w:val="22"/>
          <w:u w:val="single" w:color="auto"/>
          <w:color w:val="auto"/>
        </w:rPr>
        <w:t>plus</w:t>
      </w:r>
    </w:p>
    <w:p>
      <w:pPr>
        <w:spacing w:after="0" w:line="185" w:lineRule="exact"/>
        <w:rPr>
          <w:rFonts w:ascii="Arial" w:cs="Arial" w:eastAsia="Arial" w:hAnsi="Arial"/>
          <w:sz w:val="22"/>
          <w:szCs w:val="22"/>
          <w:color w:val="auto"/>
        </w:rPr>
      </w:pPr>
    </w:p>
    <w:p>
      <w:pPr>
        <w:jc w:val="both"/>
        <w:ind w:firstLine="1304"/>
        <w:spacing w:after="0" w:line="265" w:lineRule="auto"/>
        <w:tabs>
          <w:tab w:leader="none" w:pos="1617"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the amount of Net Equity Proceeds received by the Borrower from any cash capital contributions or the sale or issuance of any Equity Interests Not Otherwise Applied during the period from and including the Business Day immediately following the Closing Date through and including the Cumulative Amount Reference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(ii) excludes sales of Disqualified Equity Interests and Specified Equity Contributions; </w:t>
      </w:r>
      <w:r>
        <w:rPr>
          <w:rFonts w:ascii="Arial" w:cs="Arial" w:eastAsia="Arial" w:hAnsi="Arial"/>
          <w:sz w:val="21"/>
          <w:szCs w:val="21"/>
          <w:u w:val="single" w:color="auto"/>
          <w:color w:val="auto"/>
        </w:rPr>
        <w:t>plus</w:t>
      </w:r>
    </w:p>
    <w:p>
      <w:pPr>
        <w:spacing w:after="0" w:line="175" w:lineRule="exact"/>
        <w:rPr>
          <w:rFonts w:ascii="Arial" w:cs="Arial" w:eastAsia="Arial" w:hAnsi="Arial"/>
          <w:sz w:val="21"/>
          <w:szCs w:val="21"/>
          <w:color w:val="auto"/>
        </w:rPr>
      </w:pPr>
    </w:p>
    <w:p>
      <w:pPr>
        <w:ind w:left="1720" w:hanging="416"/>
        <w:spacing w:after="0"/>
        <w:tabs>
          <w:tab w:leader="none" w:pos="172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cumulative amount of net cash proceeds from the sale of any Investments made pursuant to </w:t>
      </w:r>
      <w:r>
        <w:rPr>
          <w:rFonts w:ascii="Arial" w:cs="Arial" w:eastAsia="Arial" w:hAnsi="Arial"/>
          <w:sz w:val="19"/>
          <w:szCs w:val="19"/>
          <w:u w:val="single" w:color="auto"/>
          <w:color w:val="auto"/>
        </w:rPr>
        <w:t>Section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7.06(i)</w:t>
      </w:r>
      <w:r>
        <w:rPr>
          <w:rFonts w:ascii="Arial" w:cs="Arial" w:eastAsia="Arial" w:hAnsi="Arial"/>
          <w:sz w:val="22"/>
          <w:szCs w:val="22"/>
          <w:color w:val="auto"/>
        </w:rPr>
        <w:t xml:space="preserve">; </w:t>
      </w:r>
      <w:r>
        <w:rPr>
          <w:rFonts w:ascii="Arial" w:cs="Arial" w:eastAsia="Arial" w:hAnsi="Arial"/>
          <w:sz w:val="22"/>
          <w:szCs w:val="22"/>
          <w:u w:val="single" w:color="auto"/>
          <w:color w:val="auto"/>
        </w:rPr>
        <w:t>plus</w:t>
      </w:r>
    </w:p>
    <w:p>
      <w:pPr>
        <w:spacing w:after="0" w:line="201" w:lineRule="exact"/>
        <w:rPr>
          <w:rFonts w:ascii="Arial" w:cs="Arial" w:eastAsia="Arial" w:hAnsi="Arial"/>
          <w:sz w:val="19"/>
          <w:szCs w:val="19"/>
          <w:color w:val="auto"/>
        </w:rPr>
      </w:pPr>
    </w:p>
    <w:p>
      <w:pPr>
        <w:jc w:val="both"/>
        <w:ind w:firstLine="1304"/>
        <w:spacing w:after="0" w:line="253" w:lineRule="auto"/>
        <w:tabs>
          <w:tab w:leader="none" w:pos="166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the cumulative amount of returns (including dividends, interest, distributions, returns of principal, repayments, income and similar amounts) received by the Borrower or any Restricted Subsidiary in cash or Cash Equivalents in respect of any Investments made pursuant to </w:t>
      </w:r>
      <w:r>
        <w:rPr>
          <w:rFonts w:ascii="Arial" w:cs="Arial" w:eastAsia="Arial" w:hAnsi="Arial"/>
          <w:sz w:val="22"/>
          <w:szCs w:val="22"/>
          <w:u w:val="single" w:color="auto"/>
          <w:color w:val="auto"/>
        </w:rPr>
        <w:t>Section 7.06(i)</w:t>
      </w:r>
      <w:r>
        <w:rPr>
          <w:rFonts w:ascii="Arial" w:cs="Arial" w:eastAsia="Arial" w:hAnsi="Arial"/>
          <w:sz w:val="22"/>
          <w:szCs w:val="22"/>
          <w:color w:val="auto"/>
        </w:rPr>
        <w:t xml:space="preserve">; </w:t>
      </w:r>
      <w:r>
        <w:rPr>
          <w:rFonts w:ascii="Arial" w:cs="Arial" w:eastAsia="Arial" w:hAnsi="Arial"/>
          <w:sz w:val="22"/>
          <w:szCs w:val="22"/>
          <w:u w:val="single" w:color="auto"/>
          <w:color w:val="auto"/>
        </w:rPr>
        <w:t>plus</w:t>
      </w:r>
    </w:p>
    <w:p>
      <w:pPr>
        <w:spacing w:after="0" w:line="185" w:lineRule="exact"/>
        <w:rPr>
          <w:rFonts w:ascii="Arial" w:cs="Arial" w:eastAsia="Arial" w:hAnsi="Arial"/>
          <w:sz w:val="22"/>
          <w:szCs w:val="22"/>
          <w:color w:val="auto"/>
        </w:rPr>
      </w:pPr>
    </w:p>
    <w:p>
      <w:pPr>
        <w:jc w:val="both"/>
        <w:ind w:firstLine="1304"/>
        <w:spacing w:after="0" w:line="260" w:lineRule="auto"/>
        <w:tabs>
          <w:tab w:leader="none" w:pos="1609"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in the event any Unrestricted Subsidiary has been redesignated as a Restricted Subsidiary or has been merged, consolidated or amalgamated with or into, or transfers or conveys its assets to, or is liquidated into, the Borrower or any of its Restricted Subsidiaries, the lesser of (x) the fair market value of the Investments of the Borrower or the applicable Restricted Subsidiary made with the Cumulative Amount in such Unrestricted Subsidiary at the time of such redesignation, merger or consolidation (or of the assets transferred or conveyed, as applicable) and (y) the fair market value of the original Investments by the Borrower or the applicable Restricted Subsidiary made with the Cumulative Amount in such Unrestricted Subsidiary, in each case, as determined by the Borrower in good faith; </w:t>
      </w:r>
      <w:r>
        <w:rPr>
          <w:rFonts w:ascii="Arial" w:cs="Arial" w:eastAsia="Arial" w:hAnsi="Arial"/>
          <w:sz w:val="21"/>
          <w:szCs w:val="21"/>
          <w:u w:val="single" w:color="auto"/>
          <w:color w:val="auto"/>
        </w:rPr>
        <w:t>minus</w:t>
      </w:r>
    </w:p>
    <w:p>
      <w:pPr>
        <w:spacing w:after="0" w:line="180" w:lineRule="exact"/>
        <w:rPr>
          <w:rFonts w:ascii="Arial" w:cs="Arial" w:eastAsia="Arial" w:hAnsi="Arial"/>
          <w:sz w:val="21"/>
          <w:szCs w:val="21"/>
          <w:color w:val="auto"/>
        </w:rPr>
      </w:pPr>
    </w:p>
    <w:p>
      <w:pPr>
        <w:jc w:val="both"/>
        <w:ind w:firstLine="1304"/>
        <w:spacing w:after="0" w:line="250" w:lineRule="auto"/>
        <w:tabs>
          <w:tab w:leader="none" w:pos="167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the aggregate amount of any Investments made pursuant to </w:t>
      </w:r>
      <w:r>
        <w:rPr>
          <w:rFonts w:ascii="Arial" w:cs="Arial" w:eastAsia="Arial" w:hAnsi="Arial"/>
          <w:sz w:val="22"/>
          <w:szCs w:val="22"/>
          <w:u w:val="single" w:color="auto"/>
          <w:color w:val="auto"/>
        </w:rPr>
        <w:t>Section 7.6(i)</w:t>
      </w:r>
      <w:r>
        <w:rPr>
          <w:rFonts w:ascii="Arial" w:cs="Arial" w:eastAsia="Arial" w:hAnsi="Arial"/>
          <w:sz w:val="22"/>
          <w:szCs w:val="22"/>
          <w:color w:val="auto"/>
        </w:rPr>
        <w:t xml:space="preserve"> and any Restricted Junior Payment made pursuant to </w:t>
      </w:r>
      <w:r>
        <w:rPr>
          <w:rFonts w:ascii="Arial" w:cs="Arial" w:eastAsia="Arial" w:hAnsi="Arial"/>
          <w:sz w:val="22"/>
          <w:szCs w:val="22"/>
          <w:u w:val="single" w:color="auto"/>
          <w:color w:val="auto"/>
        </w:rPr>
        <w:t>Section 7.4(c)</w:t>
      </w:r>
      <w:r>
        <w:rPr>
          <w:rFonts w:ascii="Arial" w:cs="Arial" w:eastAsia="Arial" w:hAnsi="Arial"/>
          <w:sz w:val="22"/>
          <w:szCs w:val="22"/>
          <w:color w:val="auto"/>
        </w:rPr>
        <w:t xml:space="preserve"> , in each case, during the period commencing on the Closing Date and ending on or prior to the Cumulative Amount Reference Time (and, for purposes of this clause (vi), without taking account of the intended usage of the Cumulative Amount at such Cumulative Amount Reference Time).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an Event of Default or that, with the giving of any notice, the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28" w:right="339" w:bottom="1440" w:gutter="0" w:footer="0" w:header="0"/>
        </w:sectPr>
      </w:pPr>
    </w:p>
    <w:bookmarkStart w:id="296" w:name="page297"/>
    <w:bookmarkEnd w:id="296"/>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Borrower, each L/C Issuer, the Swing Line Lender and each other Lender promptly following such determination.</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Account</w:t>
      </w:r>
      <w:r>
        <w:rPr>
          <w:rFonts w:ascii="Arial" w:cs="Arial" w:eastAsia="Arial" w:hAnsi="Arial"/>
          <w:sz w:val="22"/>
          <w:szCs w:val="22"/>
          <w:color w:val="auto"/>
        </w:rPr>
        <w:t>” means a demand, time, savings, passbook or like account with a bank, savings and loan association, credit union or like organization, other than an account evidenced by a negotiable certificate of deposit.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Non-Cash Consideration</w:t>
      </w:r>
      <w:r>
        <w:rPr>
          <w:rFonts w:ascii="Arial" w:cs="Arial" w:eastAsia="Arial" w:hAnsi="Arial"/>
          <w:sz w:val="22"/>
          <w:szCs w:val="22"/>
          <w:color w:val="auto"/>
        </w:rPr>
        <w:t xml:space="preserve">” means the fair market value of non-cash consideration received in connection with an Asset Sale pursuant to </w:t>
      </w:r>
      <w:r>
        <w:rPr>
          <w:rFonts w:ascii="Arial" w:cs="Arial" w:eastAsia="Arial" w:hAnsi="Arial"/>
          <w:sz w:val="22"/>
          <w:szCs w:val="22"/>
          <w:u w:val="single" w:color="auto"/>
          <w:color w:val="auto"/>
        </w:rPr>
        <w:t>Section 7.8(c)</w:t>
      </w:r>
      <w:r>
        <w:rPr>
          <w:rFonts w:ascii="Arial" w:cs="Arial" w:eastAsia="Arial" w:hAnsi="Arial"/>
          <w:sz w:val="22"/>
          <w:szCs w:val="22"/>
          <w:color w:val="auto"/>
        </w:rPr>
        <w:t xml:space="preserve">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28" w:right="339" w:bottom="1440" w:gutter="0" w:footer="0" w:header="0"/>
        </w:sectPr>
      </w:pPr>
    </w:p>
    <w:bookmarkStart w:id="297" w:name="page298"/>
    <w:bookmarkEnd w:id="297"/>
    <w:p>
      <w:pPr>
        <w:spacing w:after="0" w:line="263" w:lineRule="auto"/>
        <w:rPr>
          <w:sz w:val="20"/>
          <w:szCs w:val="20"/>
          <w:color w:val="auto"/>
        </w:rPr>
      </w:pPr>
      <w:r>
        <w:rPr>
          <w:rFonts w:ascii="Arial" w:cs="Arial" w:eastAsia="Arial" w:hAnsi="Arial"/>
          <w:sz w:val="22"/>
          <w:szCs w:val="22"/>
          <w:color w:val="auto"/>
        </w:rPr>
        <w:t>designated as Designated Non-Cash Consideration pursuant to a certificate of a Responsible Officer of the Borrower, setting forth the basis of such valuation.</w:t>
      </w:r>
    </w:p>
    <w:p>
      <w:pPr>
        <w:spacing w:after="0" w:line="175"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means any Equity Interest which, by its terms (or by the terms of any security or other Equity Interests into which it is convertible or for which it is exchangeable), or upon the happening of any event or condition</w:t>
      </w:r>
    </w:p>
    <w:p>
      <w:pPr>
        <w:spacing w:after="0" w:line="1" w:lineRule="exact"/>
        <w:rPr>
          <w:sz w:val="20"/>
          <w:szCs w:val="20"/>
          <w:color w:val="auto"/>
        </w:rPr>
      </w:pPr>
    </w:p>
    <w:p>
      <w:pPr>
        <w:jc w:val="both"/>
        <w:ind w:firstLine="8"/>
        <w:spacing w:after="0" w:line="287" w:lineRule="auto"/>
        <w:tabs>
          <w:tab w:leader="none" w:pos="29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matures or is mandatorily redeemable (other than solely for Equity Interests which are not otherwise Disqualified Equity Interests), pursuant to a sinking fund obligation or otherwise, (ii) is redeemable at the option of the holder thereof (other than solely for Equity Interests which are not otherwise Disqualified Equity Interests), in whole or in part, or (iii) is or becomes convertible into or exchangeable for Indebtedness or any other Equity Interests that would constitute Disqualified Equity Interests, in each case, prior to the date that is 91 days after the Latest Maturity Date except, in the case of clauses (i) and (ii), if as a result of a change of control or asset sale, so long as any rights of the holders thereof upon the occurrence of such a change of control or asset sale event are subject to the prior payment in full of all Obligations, the cancellation or expiration of (without any pending drawing on) all Letters of Credit and the termination of the Commitments.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Institution</w:t>
      </w:r>
      <w:r>
        <w:rPr>
          <w:rFonts w:ascii="Arial" w:cs="Arial" w:eastAsia="Arial" w:hAnsi="Arial"/>
          <w:sz w:val="22"/>
          <w:szCs w:val="22"/>
          <w:color w:val="auto"/>
        </w:rPr>
        <w:t xml:space="preserve">” means, on any date, any Person set forth on </w:t>
      </w:r>
      <w:r>
        <w:rPr>
          <w:rFonts w:ascii="Arial" w:cs="Arial" w:eastAsia="Arial" w:hAnsi="Arial"/>
          <w:sz w:val="22"/>
          <w:szCs w:val="22"/>
          <w:u w:val="single" w:color="auto"/>
          <w:color w:val="auto"/>
        </w:rPr>
        <w:t>Schedule 11.06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Division</w:t>
      </w:r>
      <w:r>
        <w:rPr>
          <w:rFonts w:ascii="Arial" w:cs="Arial" w:eastAsia="Arial" w:hAnsi="Arial"/>
          <w:sz w:val="22"/>
          <w:szCs w:val="22"/>
          <w:color w:val="auto"/>
        </w:rPr>
        <w:t>” means the division of the assets, liabilities and/or obligations of a Person (the “</w:t>
      </w:r>
      <w:r>
        <w:rPr>
          <w:rFonts w:ascii="Arial" w:cs="Arial" w:eastAsia="Arial" w:hAnsi="Arial"/>
          <w:sz w:val="22"/>
          <w:szCs w:val="22"/>
          <w:u w:val="single" w:color="auto"/>
          <w:color w:val="auto"/>
        </w:rPr>
        <w:t>Dividing Person</w:t>
      </w:r>
      <w:r>
        <w:rPr>
          <w:rFonts w:ascii="Arial" w:cs="Arial" w:eastAsia="Arial" w:hAnsi="Arial"/>
          <w:sz w:val="22"/>
          <w:szCs w:val="22"/>
          <w:color w:val="auto"/>
        </w:rPr>
        <w:t>”) among two or more Persons (whether pursuant to a “plan of division” or similar arrangement), which may or may not include the Dividing Person and pursuant to which the Dividing Person may or may not survive.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Documentation Agent</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lawful money of the United States.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that is organized under the laws of any political subdivision of the United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DQ List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11.06(l)(iv)</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28" w:right="339" w:bottom="1440" w:gutter="0" w:footer="0" w:header="0"/>
        </w:sectPr>
      </w:pPr>
    </w:p>
    <w:bookmarkStart w:id="298" w:name="page299"/>
    <w:bookmarkEnd w:id="298"/>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Assignee</w:t>
      </w:r>
      <w:r>
        <w:rPr>
          <w:rFonts w:ascii="Arial" w:cs="Arial" w:eastAsia="Arial" w:hAnsi="Arial"/>
          <w:sz w:val="22"/>
          <w:szCs w:val="22"/>
          <w:color w:val="auto"/>
        </w:rPr>
        <w:t xml:space="preserve">” means any Person that meets the requirements to be an assignee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w:t>
      </w:r>
      <w:r>
        <w:rPr>
          <w:rFonts w:ascii="Arial" w:cs="Arial" w:eastAsia="Arial" w:hAnsi="Arial"/>
          <w:sz w:val="22"/>
          <w:szCs w:val="22"/>
          <w:color w:val="auto"/>
        </w:rPr>
        <w:t xml:space="preserve"> (subject to such consents, if any, as may be required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 xml:space="preserve">). For the avoidance of doubt, any Disqualified Institution is subject to </w:t>
      </w:r>
      <w:r>
        <w:rPr>
          <w:rFonts w:ascii="Arial" w:cs="Arial" w:eastAsia="Arial" w:hAnsi="Arial"/>
          <w:sz w:val="22"/>
          <w:szCs w:val="22"/>
          <w:u w:val="single" w:color="auto"/>
          <w:color w:val="auto"/>
        </w:rPr>
        <w:t>Section 11.06(l)</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any and all current or future foreign or domestic, federal or state (or any subdivision of either of them), statutes, ordinances, orders, rules, regulations, judgments,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any manner applicable to the Borrower or any of its Subsidiaries or any Facility.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Claim</w:t>
      </w:r>
      <w:r>
        <w:rPr>
          <w:rFonts w:ascii="Arial" w:cs="Arial" w:eastAsia="Arial" w:hAnsi="Arial"/>
          <w:sz w:val="21"/>
          <w:szCs w:val="21"/>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28" w:right="339" w:bottom="1440" w:gutter="0" w:footer="0" w:header="0"/>
        </w:sectPr>
      </w:pPr>
    </w:p>
    <w:bookmarkStart w:id="299" w:name="page300"/>
    <w:bookmarkEnd w:id="299"/>
    <w:p>
      <w:pPr>
        <w:jc w:val="both"/>
        <w:spacing w:after="0" w:line="248" w:lineRule="auto"/>
        <w:rPr>
          <w:sz w:val="20"/>
          <w:szCs w:val="20"/>
          <w:color w:val="auto"/>
        </w:rPr>
      </w:pPr>
      <w:r>
        <w:rPr>
          <w:rFonts w:ascii="Arial" w:cs="Arial" w:eastAsia="Arial" w:hAnsi="Arial"/>
          <w:sz w:val="22"/>
          <w:szCs w:val="22"/>
          <w:color w:val="auto"/>
        </w:rPr>
        <w:t>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w:t>
      </w:r>
      <w:r>
        <w:rPr>
          <w:rFonts w:ascii="Arial" w:cs="Arial" w:eastAsia="Arial" w:hAnsi="Arial"/>
          <w:sz w:val="22"/>
          <w:szCs w:val="22"/>
          <w:color w:val="auto"/>
        </w:rPr>
        <w:t>” means:</w:t>
      </w:r>
    </w:p>
    <w:p>
      <w:pPr>
        <w:spacing w:after="0" w:line="220" w:lineRule="exact"/>
        <w:rPr>
          <w:sz w:val="20"/>
          <w:szCs w:val="20"/>
          <w:color w:val="auto"/>
        </w:rPr>
      </w:pPr>
    </w:p>
    <w:p>
      <w:pPr>
        <w:jc w:val="both"/>
        <w:ind w:firstLine="656"/>
        <w:spacing w:after="0" w:line="246" w:lineRule="auto"/>
        <w:tabs>
          <w:tab w:leader="none" w:pos="1172" w:val="left"/>
        </w:tabs>
        <w:numPr>
          <w:ilvl w:val="0"/>
          <w:numId w:val="175"/>
        </w:numPr>
        <w:rPr>
          <w:rFonts w:ascii="Arial" w:cs="Arial" w:eastAsia="Arial" w:hAnsi="Arial"/>
          <w:sz w:val="22"/>
          <w:szCs w:val="22"/>
          <w:color w:val="auto"/>
        </w:rPr>
      </w:pPr>
      <w:r>
        <w:rPr>
          <w:rFonts w:ascii="Arial" w:cs="Arial" w:eastAsia="Arial" w:hAnsi="Arial"/>
          <w:sz w:val="22"/>
          <w:szCs w:val="22"/>
          <w:color w:val="auto"/>
        </w:rPr>
        <w:t>for any Interest Period with respect to a Eurodollar Rate Loan, the rate per annum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22"/>
          <w:szCs w:val="22"/>
          <w:u w:val="single" w:color="auto"/>
          <w:color w:val="auto"/>
        </w:rPr>
        <w:t>LIBOR</w:t>
      </w:r>
      <w:r>
        <w:rPr>
          <w:rFonts w:ascii="Arial" w:cs="Arial" w:eastAsia="Arial" w:hAnsi="Arial"/>
          <w:sz w:val="22"/>
          <w:szCs w:val="22"/>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w:t>
      </w:r>
    </w:p>
    <w:p>
      <w:pPr>
        <w:spacing w:after="0" w:line="196" w:lineRule="exact"/>
        <w:rPr>
          <w:rFonts w:ascii="Arial" w:cs="Arial" w:eastAsia="Arial" w:hAnsi="Arial"/>
          <w:sz w:val="22"/>
          <w:szCs w:val="22"/>
          <w:color w:val="auto"/>
        </w:rPr>
      </w:pPr>
    </w:p>
    <w:p>
      <w:pPr>
        <w:jc w:val="both"/>
        <w:ind w:firstLine="656"/>
        <w:spacing w:after="0" w:line="253" w:lineRule="auto"/>
        <w:tabs>
          <w:tab w:leader="none" w:pos="114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for any interest calculation with respect to a Base Rate Loan on any date, the rate per annum equal to LIBOR, at or about 11:00 a.m., London time determined two London Banking Days prior to such date for U.S. Dollar deposits with a term of one month commencing that day; and</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if the Eurodollar Rate shall be less than zero, such rate shall be deemed zero for purposes of this Agreement.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 Loan</w:t>
      </w:r>
      <w:r>
        <w:rPr>
          <w:rFonts w:ascii="Arial" w:cs="Arial" w:eastAsia="Arial" w:hAnsi="Arial"/>
          <w:sz w:val="22"/>
          <w:szCs w:val="22"/>
          <w:color w:val="auto"/>
        </w:rPr>
        <w:t>” means a Revolving Credit Loan or a Term A Loan that bears interest at a rate based on clause (a) of the definition of the Eurodollar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means each of the conditions or events set forth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Swap Obligation</w:t>
      </w:r>
      <w:r>
        <w:rPr>
          <w:rFonts w:ascii="Arial" w:cs="Arial" w:eastAsia="Arial" w:hAnsi="Arial"/>
          <w:sz w:val="21"/>
          <w:szCs w:val="21"/>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21"/>
          <w:szCs w:val="21"/>
          <w:u w:val="single" w:color="auto"/>
          <w:color w:val="auto"/>
        </w:rPr>
        <w:t>Section 10.12</w:t>
      </w:r>
      <w:r>
        <w:rPr>
          <w:rFonts w:ascii="Arial" w:cs="Arial" w:eastAsia="Arial" w:hAnsi="Arial"/>
          <w:sz w:val="21"/>
          <w:szCs w:val="21"/>
          <w:color w:val="auto"/>
        </w:rPr>
        <w:t xml:space="preserve">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28" w:right="339" w:bottom="1440" w:gutter="0" w:footer="0" w:header="0"/>
        </w:sectPr>
      </w:pPr>
    </w:p>
    <w:bookmarkStart w:id="300" w:name="page301"/>
    <w:bookmarkEnd w:id="300"/>
    <w:p>
      <w:pPr>
        <w:jc w:val="both"/>
        <w:spacing w:after="0" w:line="253" w:lineRule="auto"/>
        <w:rPr>
          <w:sz w:val="20"/>
          <w:szCs w:val="20"/>
          <w:color w:val="auto"/>
        </w:rPr>
      </w:pPr>
      <w:r>
        <w:rPr>
          <w:rFonts w:ascii="Arial" w:cs="Arial" w:eastAsia="Arial" w:hAnsi="Arial"/>
          <w:sz w:val="22"/>
          <w:szCs w:val="22"/>
          <w:color w:val="auto"/>
        </w:rPr>
        <w:t>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3.01(a)(ii), (a)(iii)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3.01(g)</w:t>
      </w:r>
      <w:r>
        <w:rPr>
          <w:rFonts w:ascii="Arial" w:cs="Arial" w:eastAsia="Arial" w:hAnsi="Arial"/>
          <w:sz w:val="19"/>
          <w:szCs w:val="19"/>
          <w:color w:val="auto"/>
        </w:rPr>
        <w:t xml:space="preserve"> </w:t>
      </w:r>
      <w:r>
        <w:rPr>
          <w:rFonts w:ascii="Arial" w:cs="Arial" w:eastAsia="Arial" w:hAnsi="Arial"/>
          <w:sz w:val="19"/>
          <w:szCs w:val="19"/>
          <w:i w:val="1"/>
          <w:iCs w:val="1"/>
          <w:color w:val="auto"/>
        </w:rPr>
        <w:t>(Status of Lenders; Tax Documentation)</w:t>
      </w:r>
      <w:r>
        <w:rPr>
          <w:rFonts w:ascii="Arial" w:cs="Arial" w:eastAsia="Arial" w:hAnsi="Arial"/>
          <w:sz w:val="19"/>
          <w:szCs w:val="19"/>
          <w:color w:val="auto"/>
        </w:rPr>
        <w:t xml:space="preserve"> and (d) any withholding Taxes imposed pursuant to FATCA.</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Indebtedness</w:t>
      </w:r>
      <w:r>
        <w:rPr>
          <w:rFonts w:ascii="Arial" w:cs="Arial" w:eastAsia="Arial" w:hAnsi="Arial"/>
          <w:sz w:val="22"/>
          <w:szCs w:val="22"/>
          <w:color w:val="auto"/>
        </w:rPr>
        <w:t>” means Indebtedness and other obligations under that certain agreement dated as of [___] between Borrower and [___], as amended prior to the Closing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means the Term A Facility or the Revolving Credit Facility, as the context may require.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FASB ASC</w:t>
      </w:r>
      <w:r>
        <w:rPr>
          <w:rFonts w:ascii="Arial" w:cs="Arial" w:eastAsia="Arial" w:hAnsi="Arial"/>
          <w:sz w:val="22"/>
          <w:szCs w:val="22"/>
          <w:color w:val="auto"/>
        </w:rPr>
        <w:t>” means the Accounting Standards Codification of the Financial Accounting Standards Board.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Rate as so determined would be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28" w:right="339" w:bottom="1440" w:gutter="0" w:footer="0" w:header="0"/>
        </w:sectPr>
      </w:pPr>
    </w:p>
    <w:bookmarkStart w:id="301" w:name="page302"/>
    <w:bookmarkEnd w:id="301"/>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any Fee Letter entered into between any Arrangers or the Administrative Agent, as the case may be, on the one side, and the Borrower, on the other side, setting out certain fees payable by the Borrower in connection with the transactions contemplated by this Agreement and/or the Bridge Credit Agreement, as amended, restated, supplemented or otherwise modified from time to time.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means, with respect to any Person, the Chief Financial Officer, principal accounting officer, Treasurer, Assistant Treasurer or Controller of such Person (and, in the case of the Borrower, shall also mean each person performing similar duties as the foregoing).</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 Certification</w:t>
      </w:r>
      <w:r>
        <w:rPr>
          <w:rFonts w:ascii="Arial" w:cs="Arial" w:eastAsia="Arial" w:hAnsi="Arial"/>
          <w:sz w:val="22"/>
          <w:szCs w:val="22"/>
          <w:color w:val="auto"/>
        </w:rPr>
        <w:t>” means, with respect to the financial statements for which such certification is required, the certification of a Financial Officer of the Borrower that such financial statements fairly present, in all material respects, the financial condition of the Borrower and its Subsidiaries on a consolidated basis as at the dates indicated and the results of their operations and their cash flows for the periods indicated, subject to changes resulting from audit and normal year-end adjustments.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Plan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 fiscal quarter of any Fiscal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the fiscal year of the Borrower and its Subsidiaries ending on December 31 of each calendar year.</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if the Borrower is a U.S. Person, a Lender that is not a U.S. Person, and (b) if the Borrower is not a U.S. Person, a Lender that is resident or organized under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not a Domestic Subsidiary.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FRB</w:t>
      </w:r>
      <w:r>
        <w:rPr>
          <w:rFonts w:ascii="Arial" w:cs="Arial" w:eastAsia="Arial" w:hAnsi="Arial"/>
          <w:sz w:val="22"/>
          <w:szCs w:val="22"/>
          <w:color w:val="auto"/>
        </w:rPr>
        <w:t>” means the Board of Governors of the Federal Reserve System of the United States.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Fronting Exposure</w:t>
      </w:r>
      <w:r>
        <w:rPr>
          <w:rFonts w:ascii="Arial" w:cs="Arial" w:eastAsia="Arial" w:hAnsi="Arial"/>
          <w:sz w:val="22"/>
          <w:szCs w:val="22"/>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28" w:right="339" w:bottom="1440" w:gutter="0" w:footer="0" w:header="0"/>
        </w:sectPr>
      </w:pPr>
    </w:p>
    <w:bookmarkStart w:id="302" w:name="page303"/>
    <w:bookmarkEnd w:id="302"/>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w:t>
      </w:r>
      <w:r>
        <w:rPr>
          <w:rFonts w:ascii="Arial" w:cs="Arial" w:eastAsia="Arial" w:hAnsi="Arial"/>
          <w:sz w:val="21"/>
          <w:szCs w:val="21"/>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means, subject to </w:t>
      </w:r>
      <w:r>
        <w:rPr>
          <w:rFonts w:ascii="Arial" w:cs="Arial" w:eastAsia="Arial" w:hAnsi="Arial"/>
          <w:sz w:val="22"/>
          <w:szCs w:val="22"/>
          <w:u w:val="single" w:color="auto"/>
          <w:color w:val="auto"/>
        </w:rPr>
        <w:t>Section 1.03</w:t>
      </w:r>
      <w:r>
        <w:rPr>
          <w:rFonts w:ascii="Arial" w:cs="Arial" w:eastAsia="Arial" w:hAnsi="Arial"/>
          <w:sz w:val="22"/>
          <w:szCs w:val="22"/>
          <w:color w:val="auto"/>
        </w:rPr>
        <w:t>,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means each Domestic Subsidiary of the Borrower.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means the Guaranty by each Guarantor set forth in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 Activity</w:t>
      </w:r>
      <w:r>
        <w:rPr>
          <w:rFonts w:ascii="Arial" w:cs="Arial" w:eastAsia="Arial" w:hAnsi="Arial"/>
          <w:sz w:val="22"/>
          <w:szCs w:val="22"/>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92" w:lineRule="exact"/>
        <w:rPr>
          <w:sz w:val="20"/>
          <w:szCs w:val="20"/>
          <w:color w:val="auto"/>
        </w:rPr>
      </w:pPr>
    </w:p>
    <w:p>
      <w:pPr>
        <w:ind w:right="100" w:firstLine="648"/>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Agreement</w:t>
      </w:r>
      <w:r>
        <w:rPr>
          <w:rFonts w:ascii="Arial" w:cs="Arial" w:eastAsia="Arial" w:hAnsi="Arial"/>
          <w:sz w:val="21"/>
          <w:szCs w:val="21"/>
          <w:color w:val="auto"/>
        </w:rPr>
        <w:t>” means any interest rate or currency Swap Contract permitted hereunder and which is entered into by and between any Loan Party and any Hedge Bank for the purpose of hedging the interest rate or currency exposure associated with the Borrower’ and its Subsidiaries’ operations (and not for speculative purposes).</w:t>
      </w:r>
    </w:p>
    <w:p>
      <w:pPr>
        <w:spacing w:after="0" w:line="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Bank</w:t>
      </w:r>
      <w:r>
        <w:rPr>
          <w:rFonts w:ascii="Arial" w:cs="Arial" w:eastAsia="Arial" w:hAnsi="Arial"/>
          <w:sz w:val="22"/>
          <w:szCs w:val="22"/>
          <w:color w:val="auto"/>
        </w:rPr>
        <w:t>” means any Person that, at the time it enters into a Hedge Agreement, is a Lender or an Affiliate of a Lender, in its capacity as a party to such Hedge Agreement.</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Historical Financial Statements</w:t>
      </w:r>
      <w:r>
        <w:rPr>
          <w:rFonts w:ascii="Arial" w:cs="Arial" w:eastAsia="Arial" w:hAnsi="Arial"/>
          <w:sz w:val="21"/>
          <w:szCs w:val="21"/>
          <w:color w:val="auto"/>
        </w:rPr>
        <w:t>” means as of the Closing Date, (i) audited consolidated financial statements of the Borrower and its Subsidiaries, for each of the three (3) most recent Fiscal Years ended at least sixty days prior to the Closing Date, consisting of balance sheets and the related statements of income, stockholders’ equity and cash flows for such Fiscal Years, and (ii) the unaudited consolidated financial statements of the Borrower and its subsidiaries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28" w:right="339" w:bottom="1440" w:gutter="0" w:footer="0" w:header="0"/>
        </w:sectPr>
      </w:pPr>
    </w:p>
    <w:bookmarkStart w:id="303" w:name="page304"/>
    <w:bookmarkEnd w:id="303"/>
    <w:p>
      <w:pPr>
        <w:jc w:val="both"/>
        <w:spacing w:after="0" w:line="292" w:lineRule="auto"/>
        <w:rPr>
          <w:sz w:val="20"/>
          <w:szCs w:val="20"/>
          <w:color w:val="auto"/>
        </w:rPr>
      </w:pPr>
      <w:r>
        <w:rPr>
          <w:rFonts w:ascii="Arial" w:cs="Arial" w:eastAsia="Arial" w:hAnsi="Arial"/>
          <w:sz w:val="19"/>
          <w:szCs w:val="19"/>
          <w:color w:val="auto"/>
        </w:rPr>
        <w:t>Fiscal Quarter (other than the fourth Fiscal Quarter) ended after the date of the most recent audited financial statements delivered pursuant to clause (i) above (and corresponding periods of any prior year) and at least forty-five days prior to the Closing Date, consisting of a balance sheet and the related consolidated statements of income, stockholders’ equity and cash flows for the three, six or nine month period, as applicable, ending on such date and, in each case (a) prepared in accordance with GAAP and (b) certified by the chief financial officer of Borrower that they fairly present, in all material respects, the financial condition of Borrower and its Subsidiaries as at the dates indicated and the results of their operations and their cash flows for the periods indicated, subject to changes resulting from audit and normal year-end adjustments.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3.03(a)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as applied to any Person, without duplication, (i) all indebtedness for borrowed money; (ii) that portion of obligations with respect to Capital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including any earn-out obligations (excluding any such obligations incurred under ERISA), which purchase price is (a) due more than six months from the date of incurrence of the obligation in respect thereof or (b) evidenced by a note or similar written instrument;</w:t>
      </w:r>
    </w:p>
    <w:p>
      <w:pPr>
        <w:jc w:val="both"/>
        <w:ind w:firstLine="8"/>
        <w:spacing w:after="0" w:line="284" w:lineRule="auto"/>
        <w:tabs>
          <w:tab w:leader="none" w:pos="34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all indebtedness secured by any Lien on any property or asset owned or held by that Person regardless of whether the indebtedness secured thereby shall have been assumed by that Person or is nonrecourse to the credit of that Person; (vi) the face amount of any letter of credit issued for the account of that Person or as to which that Person is otherwise liable for reimbursement of drawings; (vii) Disqualified Equity Interests; (viii) the discounting with recourse or sale with recourse by such Person of the obligation of another; (ix) any liability of such Person for Indebtedness described in the other clauses of this definition of another Person through any agreement (contingent or otherwise) (a) to purchase, repurchase or otherwise acquire such Indebtedness or any security therefor, or to provide funds for the payment or discharge of such Indebtedness (whether in the form of loans, advances, stock purchases, capital contributions or otherwise) or (b) to maintain the solvency or any balance sheet item, level of income or financial condition of another if, in the case of any agreement described under subclauses (a) or (b) of this clause (x), the primary purpose or intent thereof is as described in clause (ix) above; and (x) all obligations of such Person in respect of any exchange traded or over the counter derivative transaction, including under any Interest Rate Agreement or Currency Agreement, in each case, whether entered into for hedging or speculative purposes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no event shall obligations under any Hedge Agreement be deemed “Indebtedness” for any purpose under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unless such obligations relate to a derivatives transaction which has been terminated.</w:t>
      </w:r>
    </w:p>
    <w:p>
      <w:pPr>
        <w:spacing w:after="0" w:line="16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28" w:right="339" w:bottom="1440" w:gutter="0" w:footer="0" w:header="0"/>
        </w:sectPr>
      </w:pPr>
    </w:p>
    <w:bookmarkStart w:id="304" w:name="page305"/>
    <w:bookmarkEnd w:id="304"/>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Public Offering</w:t>
      </w:r>
      <w:r>
        <w:rPr>
          <w:rFonts w:ascii="Arial" w:cs="Arial" w:eastAsia="Arial" w:hAnsi="Arial"/>
          <w:sz w:val="19"/>
          <w:szCs w:val="19"/>
          <w:color w:val="auto"/>
        </w:rPr>
        <w:t>” means the initial underwritten secondary public offering of the common stock of the Borrower by the selling stockholder, Leonardo US Holding Inc., a wholly owned subsidiary of the Parent, pursuant to an effective registration statement filed with the U.S. Securities and Exchange Commission in accordance with the Securities Act.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5.25</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Intercompany Subordination Agreement</w:t>
      </w:r>
      <w:r>
        <w:rPr>
          <w:rFonts w:ascii="Arial" w:cs="Arial" w:eastAsia="Arial" w:hAnsi="Arial"/>
          <w:sz w:val="21"/>
          <w:szCs w:val="21"/>
          <w:color w:val="auto"/>
        </w:rPr>
        <w:t>” means the Intercompany Subordination Agreement among the Loan Parties, the other Subsidiaries party thereto and the Administrative Agent, substantially in the form of Exhibit K.</w:t>
      </w:r>
    </w:p>
    <w:p>
      <w:pPr>
        <w:spacing w:after="0" w:line="15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Interest Period for a Eurodollar Rate Loan exceeds three months, the respective dates that fall every three months after the beginning of such Interest Period shall also be Interest Payment Dates; and (b) as to any Base Rate Loan or Swing Line Loan, the last Business Day of each March, June, September and December and the Maturity Date of the Facility under which such Loan was made (with Swing Line Loans being deemed made under the Revolving Credit Facility for purposes of this definition).</w:t>
      </w:r>
    </w:p>
    <w:p>
      <w:pPr>
        <w:spacing w:after="0" w:line="14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Committed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33" w:lineRule="exact"/>
        <w:rPr>
          <w:sz w:val="20"/>
          <w:szCs w:val="20"/>
          <w:color w:val="auto"/>
        </w:rPr>
      </w:pPr>
    </w:p>
    <w:p>
      <w:pPr>
        <w:jc w:val="both"/>
        <w:ind w:left="660" w:firstLine="644"/>
        <w:spacing w:after="0" w:line="271" w:lineRule="auto"/>
        <w:tabs>
          <w:tab w:leader="none" w:pos="1737" w:val="left"/>
        </w:tabs>
        <w:numPr>
          <w:ilvl w:val="0"/>
          <w:numId w:val="177"/>
        </w:numPr>
        <w:rPr>
          <w:rFonts w:ascii="Arial" w:cs="Arial" w:eastAsia="Arial" w:hAnsi="Arial"/>
          <w:sz w:val="21"/>
          <w:szCs w:val="21"/>
          <w:color w:val="auto"/>
        </w:rPr>
      </w:pPr>
      <w:r>
        <w:rPr>
          <w:rFonts w:ascii="Arial" w:cs="Arial" w:eastAsia="Arial" w:hAnsi="Arial"/>
          <w:sz w:val="21"/>
          <w:szCs w:val="21"/>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67" w:lineRule="exact"/>
        <w:rPr>
          <w:rFonts w:ascii="Arial" w:cs="Arial" w:eastAsia="Arial" w:hAnsi="Arial"/>
          <w:sz w:val="21"/>
          <w:szCs w:val="21"/>
          <w:color w:val="auto"/>
        </w:rPr>
      </w:pPr>
    </w:p>
    <w:p>
      <w:pPr>
        <w:jc w:val="both"/>
        <w:ind w:left="660" w:right="20" w:firstLine="644"/>
        <w:spacing w:after="0" w:line="312" w:lineRule="auto"/>
        <w:tabs>
          <w:tab w:leader="none" w:pos="1832"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33" w:lineRule="exact"/>
        <w:rPr>
          <w:rFonts w:ascii="Arial" w:cs="Arial" w:eastAsia="Arial" w:hAnsi="Arial"/>
          <w:sz w:val="19"/>
          <w:szCs w:val="19"/>
          <w:color w:val="auto"/>
        </w:rPr>
      </w:pPr>
    </w:p>
    <w:p>
      <w:pPr>
        <w:ind w:left="1840" w:hanging="536"/>
        <w:spacing w:after="0"/>
        <w:tabs>
          <w:tab w:leader="none" w:pos="18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no Interest Period shall extend beyond the Maturity Date.</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(i) any direct or indirect purchase or other acquisition by the Borrower or any of its Subsidiaries of, or of a beneficial interest in, any of the Securities of any other Person (other than a Guarantor); (ii) any direct or indirect redemption, retirement, purchase or other acquisition for value, by any Subsidiary of the Borrower from any Person (other than the Borrower or any Guarantor), of any Equity Interests of such Person; (iii) any direct or indirect loan, advance (other than advances to employees for moving, entertainment and travel expenses, drawing accounts and similar expenditures in the ordinary course of business) or capital contributions by the Borrower or any of its Subsidiaries to any other Person (other than the Borrower or any Guarantor), including all indebtedness and accounts receivable from that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28" w:right="339" w:bottom="1440" w:gutter="0" w:footer="0" w:header="0"/>
        </w:sectPr>
      </w:pPr>
    </w:p>
    <w:bookmarkStart w:id="305" w:name="page306"/>
    <w:bookmarkEnd w:id="305"/>
    <w:p>
      <w:pPr>
        <w:jc w:val="both"/>
        <w:spacing w:after="0" w:line="288" w:lineRule="auto"/>
        <w:rPr>
          <w:sz w:val="20"/>
          <w:szCs w:val="20"/>
          <w:color w:val="auto"/>
        </w:rPr>
      </w:pPr>
      <w:r>
        <w:rPr>
          <w:rFonts w:ascii="Arial" w:cs="Arial" w:eastAsia="Arial" w:hAnsi="Arial"/>
          <w:sz w:val="19"/>
          <w:szCs w:val="19"/>
          <w:color w:val="auto"/>
        </w:rPr>
        <w:t>Person that are not current assets or did not arise from sales to that other Person in the ordinary course of business and (iv) all investments consisting of any exchange traded or over the counter derivative transaction, including any Swap Contract, whether entered into for hedging or speculative purposes or otherwise. The amount of any Investment of the type described in clauses (i),</w:t>
      </w:r>
    </w:p>
    <w:p>
      <w:pPr>
        <w:spacing w:after="0" w:line="1" w:lineRule="exact"/>
        <w:rPr>
          <w:sz w:val="20"/>
          <w:szCs w:val="20"/>
          <w:color w:val="auto"/>
        </w:rPr>
      </w:pPr>
    </w:p>
    <w:p>
      <w:pPr>
        <w:jc w:val="both"/>
        <w:ind w:firstLine="8"/>
        <w:spacing w:after="0" w:line="244" w:lineRule="auto"/>
        <w:tabs>
          <w:tab w:leader="none" w:pos="35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and (iii) shall be the original cost of such Investment plus the cost of all additions thereto, without any adjustments for increases or decreases in value, or write-ups, write-downs or write-offs with respect to such Investment, minus the amount of any repayments of principal in the case of Investments in the form of loans and any return of capital or return on Investment in the case of equity Investments (whether as a distribution, dividend, redemption or sale but not in excess of the amount of the initial Investment).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ISP</w:t>
      </w:r>
      <w:r>
        <w:rPr>
          <w:rFonts w:ascii="Arial" w:cs="Arial" w:eastAsia="Arial" w:hAnsi="Arial"/>
          <w:sz w:val="22"/>
          <w:szCs w:val="22"/>
          <w:color w:val="auto"/>
        </w:rPr>
        <w:t>” means the International Standby Practices, International Chamber of Commerce Publication No. 590 (or such later version thereof as may be in effect at the applicable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Documents</w:t>
      </w:r>
      <w:r>
        <w:rPr>
          <w:rFonts w:ascii="Arial" w:cs="Arial" w:eastAsia="Arial" w:hAnsi="Arial"/>
          <w:sz w:val="22"/>
          <w:szCs w:val="22"/>
          <w:color w:val="auto"/>
        </w:rPr>
        <w:t>” means with respect to any Letter of Credit, the Letter of Credit Application, and any other document, agreement and instrument entered into by any L/C Issuer and the Borrower (or any Subsidiary) or in favor of such L/C Issuer and relating to such Letter of Credit.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xml:space="preserve">” means a joint venture, partnership or other similar arrangement, whether in corporate, partnership or other legal form; </w:t>
      </w:r>
      <w:r>
        <w:rPr>
          <w:rFonts w:ascii="Arial" w:cs="Arial" w:eastAsia="Arial" w:hAnsi="Arial"/>
          <w:sz w:val="22"/>
          <w:szCs w:val="22"/>
          <w:u w:val="single" w:color="auto"/>
          <w:color w:val="auto"/>
        </w:rPr>
        <w:t>provided</w:t>
      </w:r>
      <w:r>
        <w:rPr>
          <w:rFonts w:ascii="Arial" w:cs="Arial" w:eastAsia="Arial" w:hAnsi="Arial"/>
          <w:sz w:val="22"/>
          <w:szCs w:val="22"/>
          <w:color w:val="auto"/>
        </w:rPr>
        <w:t>, in no event shall any corporate Subsidiary of any Person be considered to be a Joint Venture to which such Person is a party.</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Latest Maturity Date</w:t>
      </w:r>
      <w:r>
        <w:rPr>
          <w:rFonts w:ascii="Arial" w:cs="Arial" w:eastAsia="Arial" w:hAnsi="Arial"/>
          <w:sz w:val="22"/>
          <w:szCs w:val="22"/>
          <w:color w:val="auto"/>
        </w:rPr>
        <w:t>” means, at any date of determination, the latest maturity or expiration date applicable to any Loan or Commitment hereunder at such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Laws</w:t>
      </w:r>
      <w:r>
        <w:rPr>
          <w:rFonts w:ascii="Arial" w:cs="Arial" w:eastAsia="Arial" w:hAnsi="Arial"/>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Advance</w:t>
      </w:r>
      <w:r>
        <w:rPr>
          <w:rFonts w:ascii="Arial" w:cs="Arial" w:eastAsia="Arial" w:hAnsi="Arial"/>
          <w:sz w:val="22"/>
          <w:szCs w:val="22"/>
          <w:color w:val="auto"/>
        </w:rPr>
        <w:t>” means, with respect to each Revolving Credit Lender, such Lender’s funding of its participation in any L/C Borrowing in accordance with its Applicable Revolving Credit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28" w:right="339" w:bottom="1440" w:gutter="0" w:footer="0" w:header="0"/>
        </w:sectPr>
      </w:pPr>
    </w:p>
    <w:bookmarkStart w:id="306" w:name="page307"/>
    <w:bookmarkEnd w:id="306"/>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Borrowing</w:t>
      </w:r>
      <w:r>
        <w:rPr>
          <w:rFonts w:ascii="Arial" w:cs="Arial" w:eastAsia="Arial" w:hAnsi="Arial"/>
          <w:sz w:val="22"/>
          <w:szCs w:val="22"/>
          <w:color w:val="auto"/>
        </w:rPr>
        <w:t>” means an extension of credit resulting from a drawing under any Letter of Credit which has not been reimbursed on the date when made or refinanced as a Revolving Credit Borrowing.</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xml:space="preserve">” means, with respect to each L/C Issuer, the commitment of such L/C Issuer to issue Letters of Credit hereunder. The initial amount of each L/C Issuer’s L/C Commitment is set forth on </w:t>
      </w:r>
      <w:r>
        <w:rPr>
          <w:rFonts w:ascii="Arial" w:cs="Arial" w:eastAsia="Arial" w:hAnsi="Arial"/>
          <w:sz w:val="22"/>
          <w:szCs w:val="22"/>
          <w:u w:val="single" w:color="auto"/>
          <w:color w:val="auto"/>
        </w:rPr>
        <w:t>Schedule 2.01C</w:t>
      </w:r>
      <w:r>
        <w:rPr>
          <w:rFonts w:ascii="Arial" w:cs="Arial" w:eastAsia="Arial" w:hAnsi="Arial"/>
          <w:sz w:val="22"/>
          <w:szCs w:val="22"/>
          <w:color w:val="auto"/>
        </w:rPr>
        <w:t>, or if an L/C Issuer has entered into an Assignment and Assumption or has otherwise assumed an L/C Commitment after the Closing Date, the amount set forth for such L/C Issuer as its LL/C Commitment in the Register maintained by the Administrative Agent. The L/C Commitment of an L/C Issuer may be modified from time to time by agreement between such L/C Issuer and the Borrower, and notified to the Administrative Agent.</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Credit Extension</w:t>
      </w:r>
      <w:r>
        <w:rPr>
          <w:rFonts w:ascii="Arial" w:cs="Arial" w:eastAsia="Arial" w:hAnsi="Arial"/>
          <w:sz w:val="22"/>
          <w:szCs w:val="22"/>
          <w:color w:val="auto"/>
        </w:rPr>
        <w:t>” means, with respect to any Letter of Credit, the issuance thereof or extension of the expiry date thereof, or the increase of the amount thereof.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Issuer</w:t>
      </w:r>
      <w:r>
        <w:rPr>
          <w:rFonts w:ascii="Arial" w:cs="Arial" w:eastAsia="Arial" w:hAnsi="Arial"/>
          <w:sz w:val="19"/>
          <w:szCs w:val="19"/>
          <w:color w:val="auto"/>
        </w:rPr>
        <w:t>” means [each of] Bank of America, [and [________________]], in its capacity as issuer of Letters of Credit</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hereunder, each other Lender (if any) as the Borrower may from time to time select as an L/C Issuer hereunder pursuant to </w:t>
      </w:r>
      <w:r>
        <w:rPr>
          <w:rFonts w:ascii="Arial" w:cs="Arial" w:eastAsia="Arial" w:hAnsi="Arial"/>
          <w:sz w:val="21"/>
          <w:szCs w:val="21"/>
          <w:u w:val="single" w:color="auto"/>
          <w:color w:val="auto"/>
        </w:rPr>
        <w:t>Section 2.03(n)</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2.03(p)</w:t>
      </w:r>
      <w:r>
        <w:rPr>
          <w:rFonts w:ascii="Arial" w:cs="Arial" w:eastAsia="Arial" w:hAnsi="Arial"/>
          <w:sz w:val="21"/>
          <w:szCs w:val="21"/>
          <w:color w:val="auto"/>
        </w:rPr>
        <w:t xml:space="preserve">, and any Lender appointed by the Borrower (with the consent of the Administrative Agent) as L/C Issuer as a replacement for any L/C Issuer who is at the time of such appointment a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Lender has agreed to be an L/C Issuer. Any L/C Issuer may, in its discretion, arrange for one or more Letters of Credit to be issued by Affiliates of such L/C Issuer, in which case the term “L/C Issuer” shall include any such Affiliate with respect to Letters of Credit issued by such Affiliate. Each reference herein to the “L/C Issuer” in connection with a Letter of Credit or other matter shall be deemed to be a reference to the relevant L/C Issuer with respect thereto.</w:t>
      </w:r>
    </w:p>
    <w:p>
      <w:pPr>
        <w:spacing w:after="0" w:line="18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Obligations</w:t>
      </w:r>
      <w:r>
        <w:rPr>
          <w:rFonts w:ascii="Arial" w:cs="Arial" w:eastAsia="Arial" w:hAnsi="Arial"/>
          <w:sz w:val="19"/>
          <w:szCs w:val="19"/>
          <w:color w:val="auto"/>
        </w:rPr>
        <w:t xml:space="preserve">” means, as at any date of determination, the aggregate amount available to be drawn under all outstanding Letters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has the meaning specified in the introductory paragraph hereto and, as the context requires, includes the Swing Line Lender.</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28" w:right="339" w:bottom="1440" w:gutter="0" w:footer="0" w:header="0"/>
        </w:sectPr>
      </w:pPr>
    </w:p>
    <w:bookmarkStart w:id="307" w:name="page308"/>
    <w:bookmarkEnd w:id="307"/>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w:t>
      </w:r>
      <w:r>
        <w:rPr>
          <w:rFonts w:ascii="Arial" w:cs="Arial" w:eastAsia="Arial" w:hAnsi="Arial"/>
          <w:sz w:val="21"/>
          <w:szCs w:val="21"/>
          <w:color w:val="auto"/>
        </w:rPr>
        <w:t>” means any letter of credit issued hereunder, providing for the payment of cash upon the honoring of a presentation thereunder. A Letter of Credit may be a commercial letter of credit or a standby letter of credit.</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the applicable L/C Issuer.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2.03(j)</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means an amount equal to $75,000,000. The Letter of Credit Sublimit is part of, and not in addition to, the Revolving Credit Facility.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has the meaning specified in the definition of Eurodollar Rate.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Replacement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3.03(c)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Screen Rate</w:t>
      </w:r>
      <w:r>
        <w:rPr>
          <w:rFonts w:ascii="Arial" w:cs="Arial" w:eastAsia="Arial" w:hAnsi="Arial"/>
          <w:sz w:val="22"/>
          <w:szCs w:val="22"/>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Successor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3.03(c)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Successor Rate Conforming Changes</w:t>
      </w:r>
      <w:r>
        <w:rPr>
          <w:rFonts w:ascii="Arial" w:cs="Arial" w:eastAsia="Arial" w:hAnsi="Arial"/>
          <w:sz w:val="19"/>
          <w:szCs w:val="19"/>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 and any other Loan Document).</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means (i) any lien, mortgage, pledge, assignment, security interest, charge or encumbrance of any kind (including any conditional sale or other title retention agreement, and any lease or license in the nature thereof) and any option, trust or other preferential arrangement having the practical effect of any of the foregoing and (ii) in the case of Securities (other than Securities representing an interest in a Joint Venture that is not a Subsidiary), any purchase option, call or similar right of a third party with respect to such Securities;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an operating lease or an agreement to sell be deemed to constitute a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28" w:right="339" w:bottom="1440" w:gutter="0" w:footer="0" w:header="0"/>
        </w:sectPr>
      </w:pPr>
    </w:p>
    <w:bookmarkStart w:id="308" w:name="page309"/>
    <w:bookmarkEnd w:id="308"/>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means an extension of credit by a Lender to the Borrower under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in the form of a Term Loan, a Revolving Credit Loan or a Swing Line Loan.</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means this Agreement, including schedules and exhibits hereto, each Note, each Issuer Document, any agreement creating or perfecting rights in Cash Collateral pursuant to the provisions of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of this Agreement and any amendments, modifications or supplements hereto or to any other Loan Document or waivers hereof or to any other Loan Document.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the Borrower and each Guarantor.</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Banking Day</w:t>
      </w:r>
      <w:r>
        <w:rPr>
          <w:rFonts w:ascii="Arial" w:cs="Arial" w:eastAsia="Arial" w:hAnsi="Arial"/>
          <w:sz w:val="22"/>
          <w:szCs w:val="22"/>
          <w:color w:val="auto"/>
        </w:rPr>
        <w:t>” means any day on which dealings in Dollar deposits are conducted by and between banks in the London interbank eurodollar market.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as defined in Regulation U.</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(i) the business, operations, properties, assets or financial condition of the Borrower and its Subsidiaries taken as a whole; (ii) the ability of the Loan Parties to perform the Obligations; or</w:t>
      </w:r>
    </w:p>
    <w:p>
      <w:pPr>
        <w:spacing w:after="0" w:line="1" w:lineRule="exact"/>
        <w:rPr>
          <w:sz w:val="20"/>
          <w:szCs w:val="20"/>
          <w:color w:val="auto"/>
        </w:rPr>
      </w:pPr>
    </w:p>
    <w:p>
      <w:pPr>
        <w:ind w:firstLine="8"/>
        <w:spacing w:after="0" w:line="323" w:lineRule="auto"/>
        <w:tabs>
          <w:tab w:leader="none" w:pos="419"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legality, validity, binding effect or enforceability of the Loan Documents; or (iv) the rights, remedies and benefits available to, or conferred upon, any Agent, any Lender, Issuing Bank or any other Beneficiary under the Loan Documents.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with respect to the Term A Facility and the Revolving Credit Facility, the earlier of (a) the 5-year anniversary of the Closing Date, and (b) the date on which the Term A Facility or the Revolving Credit Facility shall become due and payable in full hereunder, whether by acceleration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each case, if such date is not a Business Day, the Maturity Date shall be the next preceding Business Day.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Collateral Amount</w:t>
      </w:r>
      <w:r>
        <w:rPr>
          <w:rFonts w:ascii="Arial" w:cs="Arial" w:eastAsia="Arial" w:hAnsi="Arial"/>
          <w:sz w:val="22"/>
          <w:szCs w:val="22"/>
          <w:color w:val="auto"/>
        </w:rPr>
        <w:t>” means, at any time, (i) with respect to Cash Collateral consisting of cash or deposit account balances, an amount equal to 103% of the Fronting Exposure of all L/C Issuers with respect to Letters of Credit issued and outstanding at such time and (ii) otherwise, an amount determined by the Administrative Agent and the L/C Issuers in their sole discretion.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8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Multiple Employer Plan</w:t>
      </w:r>
      <w:r>
        <w:rPr>
          <w:rFonts w:ascii="Arial" w:cs="Arial" w:eastAsia="Arial" w:hAnsi="Arial"/>
          <w:sz w:val="19"/>
          <w:szCs w:val="19"/>
          <w:color w:val="auto"/>
        </w:rPr>
        <w:t>” means a Plan which has two or more contributing sponsors (including the Borrower or any ERISA Affiliate) at least two of whom are not under common control, as such a plan is described in Section 4064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28" w:right="339" w:bottom="1440" w:gutter="0" w:footer="0" w:header="0"/>
        </w:sectPr>
      </w:pPr>
    </w:p>
    <w:bookmarkStart w:id="309" w:name="page310"/>
    <w:bookmarkEnd w:id="309"/>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Narrative Report</w:t>
      </w:r>
      <w:r>
        <w:rPr>
          <w:rFonts w:ascii="Arial" w:cs="Arial" w:eastAsia="Arial" w:hAnsi="Arial"/>
          <w:sz w:val="22"/>
          <w:szCs w:val="22"/>
          <w:color w:val="auto"/>
        </w:rPr>
        <w:t>” means, with respect to the financial statements for which such narrative report is required, a narrative report describing the operations of the Borrower and its Subsidiaries for the applicable month, Fiscal Quarter or Fiscal Year and for the period from the beginning of the then current Fiscal Year to the end of such period to which such financial statements relate.</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Equity Proceeds</w:t>
      </w:r>
      <w:r>
        <w:rPr>
          <w:rFonts w:ascii="Arial" w:cs="Arial" w:eastAsia="Arial" w:hAnsi="Arial"/>
          <w:sz w:val="19"/>
          <w:szCs w:val="19"/>
          <w:color w:val="auto"/>
        </w:rPr>
        <w:t>” means an amount equal to any Cash proceeds from a capital contribution to, or the issuance of any Equity Interests of, the Borrower or any of its Subsidiaries, net of underwriting discounts and commissions and other reasonable costs and expenses associated therewith, including reasonable legal fees and expenses.</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Interest Coverage Ratio</w:t>
      </w:r>
      <w:r>
        <w:rPr>
          <w:rFonts w:ascii="Arial" w:cs="Arial" w:eastAsia="Arial" w:hAnsi="Arial"/>
          <w:sz w:val="22"/>
          <w:szCs w:val="22"/>
          <w:color w:val="auto"/>
        </w:rPr>
        <w:t>” means the ratio as of the last day of any Fiscal Quarter of (i) Consolidated Adjusted EBITDA for the four-Fiscal Quarter period ending on the same date to (ii) Consolidated Net Interest Expense for such four-Fiscal Quarter period.</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Mark-to-Market Exposure</w:t>
      </w:r>
      <w:r>
        <w:rPr>
          <w:rFonts w:ascii="Arial" w:cs="Arial" w:eastAsia="Arial" w:hAnsi="Arial"/>
          <w:sz w:val="19"/>
          <w:szCs w:val="19"/>
          <w:color w:val="auto"/>
        </w:rPr>
        <w:t>” of a Person means, as of any date of determination, the excess (if any) of all unrealized losses over all unrealized profits of such Person arising from Hedge Agreements or other Indebtedness of the type described in clause (xi) of the definition thereof. As used in this definition, “unrealized losses” means the fair market value of the cost to such Person of replacing such Hedge Agreement or such other Indebtedness as of the date of determination (assuming the Hedge Agreement or such other Indebtedness were to be terminated as of that date), and “unrealized profits” means the fair market value of the gain to such Person of replacing such Hedge Agreement or such other Indebtedness as of the date of determination (assuming such Hedge Agreement or such other Indebtedness were to be terminated as of that date).</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and (b) has been approved by the Required Lenders.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each Lender that is not a Defaulting Lender at such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Non-Extension Notice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Non-Guarantor Basket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7.06(d)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 Otherwise Applied</w:t>
      </w:r>
      <w:r>
        <w:rPr>
          <w:rFonts w:ascii="Arial" w:cs="Arial" w:eastAsia="Arial" w:hAnsi="Arial"/>
          <w:sz w:val="22"/>
          <w:szCs w:val="22"/>
          <w:color w:val="auto"/>
        </w:rPr>
        <w:t>” means, with reference to any Net Equity Proceeds of any cash capital contributions or Net Equity Proceeds from the sale or issuance of any common Equity Interests or any other transaction or event, or the Cumulative Amount that is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 (including any application of Specified Equity Contributions pursuant to Section 8.04).</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Term A Note or a Revolving Credit Note,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28" w:right="339" w:bottom="1440" w:gutter="0" w:footer="0" w:header="0"/>
        </w:sectPr>
      </w:pPr>
    </w:p>
    <w:bookmarkStart w:id="310" w:name="page311"/>
    <w:bookmarkEnd w:id="310"/>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Loan Prepayment</w:t>
      </w:r>
      <w:r>
        <w:rPr>
          <w:rFonts w:ascii="Arial" w:cs="Arial" w:eastAsia="Arial" w:hAnsi="Arial"/>
          <w:sz w:val="22"/>
          <w:szCs w:val="22"/>
          <w:color w:val="auto"/>
        </w:rPr>
        <w:t xml:space="preserve">” means a notice of prepayment with respect to a Loan, which shall be substantially in the form of </w:t>
      </w:r>
      <w:r>
        <w:rPr>
          <w:rFonts w:ascii="Arial" w:cs="Arial" w:eastAsia="Arial" w:hAnsi="Arial"/>
          <w:sz w:val="22"/>
          <w:szCs w:val="22"/>
          <w:u w:val="single" w:color="auto"/>
          <w:color w:val="auto"/>
        </w:rPr>
        <w:t>Exhibit Q</w:t>
      </w:r>
      <w:r>
        <w:rPr>
          <w:rFonts w:ascii="Arial" w:cs="Arial" w:eastAsia="Arial" w:hAnsi="Arial"/>
          <w:sz w:val="22"/>
          <w:szCs w:val="22"/>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xml:space="preserve">” means all advances to, and debts, liabilities, obligations, covenants and duties of, any Loan Party arising under any Loan Document or otherwise with respect to any Loan, Letter of Credit, or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without limiting the foregoing, the Obligations include the obligation to pay principal, interest, Letter of Credit commissions, charges, expenses, fees, indemnities and other amounts payable by any Loan Party under any Loan Document;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Obligations shall exclude any Excluded Swap Obligations.</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means (i) with respect to any corporation or company, its certificate, memorandum or articles of incorporation, organization or association, as amended, and its by-laws, as amended, (ii) with respect to any limited partnership, its certificate or declaration of limited partnership, as amended, and its partnership agreement, as amended, (iii) with respect to any general partnership, its partnership agreement, as amended, and (iv) with respect to any limited liability company, its certificate or articles of formation or organization, as amended, and its limited liability company or operating agreement, as amended. In the event any term or condition of this Agreement or any other Loan Document requires any Organizational Document to be certified by a secretary of state or similar Governmental Authority, the reference to any such Organizational Document shall only be to a document of a type customarily certified by such Governmental Authority.</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28" w:right="339" w:bottom="1440" w:gutter="0" w:footer="0" w:header="0"/>
        </w:sectPr>
      </w:pPr>
    </w:p>
    <w:bookmarkStart w:id="311" w:name="page312"/>
    <w:bookmarkEnd w:id="311"/>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Outstanding Amount</w:t>
      </w:r>
      <w:r>
        <w:rPr>
          <w:rFonts w:ascii="Arial" w:cs="Arial" w:eastAsia="Arial" w:hAnsi="Arial"/>
          <w:sz w:val="21"/>
          <w:szCs w:val="21"/>
          <w:color w:val="auto"/>
        </w:rPr>
        <w:t>” means (a) with respect to Term Loans, Revolving Credit Loans and Swing Line Loans on any date, the aggregate outstanding principal amount thereof after giving effect to any borrowings and prepayments or repayments of Term Loans,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Leonardo S.p.A., a joint stock company (</w:t>
      </w:r>
      <w:r>
        <w:rPr>
          <w:rFonts w:ascii="Arial" w:cs="Arial" w:eastAsia="Arial" w:hAnsi="Arial"/>
          <w:sz w:val="19"/>
          <w:szCs w:val="19"/>
          <w:i w:val="1"/>
          <w:iCs w:val="1"/>
          <w:color w:val="auto"/>
        </w:rPr>
        <w:t>società per azioni</w:t>
      </w:r>
      <w:r>
        <w:rPr>
          <w:rFonts w:ascii="Arial" w:cs="Arial" w:eastAsia="Arial" w:hAnsi="Arial"/>
          <w:sz w:val="19"/>
          <w:szCs w:val="19"/>
          <w:color w:val="auto"/>
        </w:rPr>
        <w:t>) organized under the laws of the Republic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4.01(q)</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Funding Rules</w:t>
      </w:r>
      <w:r>
        <w:rPr>
          <w:rFonts w:ascii="Arial" w:cs="Arial" w:eastAsia="Arial" w:hAnsi="Arial"/>
          <w:sz w:val="19"/>
          <w:szCs w:val="19"/>
          <w:color w:val="auto"/>
        </w:rPr>
        <w:t>” means the rules of the Code and ERISA regarding minimum funding standards with respect to Pension Plans and set forth in Sections 412, 430, 431, 432 and 436 of the Code and Sections 302, 303, 304 and 305 of ERISA.</w:t>
      </w:r>
    </w:p>
    <w:p>
      <w:pPr>
        <w:spacing w:after="0" w:line="1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Plan</w:t>
      </w:r>
      <w:r>
        <w:rPr>
          <w:rFonts w:ascii="Arial" w:cs="Arial" w:eastAsia="Arial" w:hAnsi="Arial"/>
          <w:sz w:val="22"/>
          <w:szCs w:val="22"/>
          <w:color w:val="auto"/>
        </w:rPr>
        <w:t>”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Permanent Debt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4.01(g)</w:t>
      </w:r>
      <w:r>
        <w:rPr>
          <w:rFonts w:ascii="Arial" w:cs="Arial" w:eastAsia="Arial" w:hAnsi="Arial"/>
          <w:sz w:val="22"/>
          <w:szCs w:val="22"/>
          <w:color w:val="auto"/>
        </w:rPr>
        <w:t>.</w:t>
      </w:r>
    </w:p>
    <w:p>
      <w:pPr>
        <w:spacing w:after="0" w:line="220"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xml:space="preserve">” means any acquisition, directly or indirectly, by Borrower or any of its wholly-owned Subsidiaries, whether by purchase, merger or otherwise, of all or substantially all of the assets of, all of the Equity Interests of, or a business line or unit or a division of, any Person; </w:t>
      </w:r>
      <w:r>
        <w:rPr>
          <w:rFonts w:ascii="Arial" w:cs="Arial" w:eastAsia="Arial" w:hAnsi="Arial"/>
          <w:sz w:val="22"/>
          <w:szCs w:val="22"/>
          <w:u w:val="single" w:color="auto"/>
          <w:color w:val="auto"/>
        </w:rPr>
        <w:t>provided</w:t>
      </w:r>
      <w:r>
        <w:rPr>
          <w:rFonts w:ascii="Arial" w:cs="Arial" w:eastAsia="Arial" w:hAnsi="Arial"/>
          <w:sz w:val="22"/>
          <w:szCs w:val="22"/>
          <w:color w:val="auto"/>
        </w:rPr>
        <w:t>,</w:t>
      </w:r>
    </w:p>
    <w:p>
      <w:pPr>
        <w:spacing w:after="0" w:line="185" w:lineRule="exact"/>
        <w:rPr>
          <w:sz w:val="20"/>
          <w:szCs w:val="20"/>
          <w:color w:val="auto"/>
        </w:rPr>
      </w:pPr>
    </w:p>
    <w:p>
      <w:pPr>
        <w:ind w:left="1960" w:hanging="656"/>
        <w:spacing w:after="0" w:line="263" w:lineRule="auto"/>
        <w:tabs>
          <w:tab w:leader="none" w:pos="1773"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immediately prior to, and after giving effect thereto, no Default or Event of Default shall have occurred and be continuing or would result therefrom;</w:t>
      </w:r>
    </w:p>
    <w:p>
      <w:pPr>
        <w:spacing w:after="0" w:line="174" w:lineRule="exact"/>
        <w:rPr>
          <w:rFonts w:ascii="Arial" w:cs="Arial" w:eastAsia="Arial" w:hAnsi="Arial"/>
          <w:sz w:val="22"/>
          <w:szCs w:val="22"/>
          <w:color w:val="auto"/>
        </w:rPr>
      </w:pPr>
    </w:p>
    <w:p>
      <w:pPr>
        <w:ind w:left="1960" w:hanging="656"/>
        <w:spacing w:after="0" w:line="287" w:lineRule="auto"/>
        <w:tabs>
          <w:tab w:leader="none" w:pos="179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all transactions in connection therewith shall be consummated, in all material respects, in accordance with all Applicable Laws and in conformity with all applicable Governmental Authorizations;</w:t>
      </w:r>
    </w:p>
    <w:p>
      <w:pPr>
        <w:spacing w:after="0" w:line="151" w:lineRule="exact"/>
        <w:rPr>
          <w:rFonts w:ascii="Arial" w:cs="Arial" w:eastAsia="Arial" w:hAnsi="Arial"/>
          <w:sz w:val="21"/>
          <w:szCs w:val="21"/>
          <w:color w:val="auto"/>
        </w:rPr>
      </w:pPr>
    </w:p>
    <w:p>
      <w:pPr>
        <w:ind w:left="1960" w:right="20" w:hanging="656"/>
        <w:spacing w:after="0" w:line="263" w:lineRule="auto"/>
        <w:tabs>
          <w:tab w:leader="none" w:pos="185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the Borrower and its Subsidiaries shall be in compliance with the financial covenants set forth in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on a pro forma basis after giving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28" w:right="339" w:bottom="1440" w:gutter="0" w:footer="0" w:header="0"/>
        </w:sectPr>
      </w:pPr>
    </w:p>
    <w:bookmarkStart w:id="312" w:name="page313"/>
    <w:bookmarkEnd w:id="312"/>
    <w:p>
      <w:pPr>
        <w:jc w:val="center"/>
        <w:ind w:right="160"/>
        <w:spacing w:after="0"/>
        <w:rPr>
          <w:sz w:val="20"/>
          <w:szCs w:val="20"/>
          <w:color w:val="auto"/>
        </w:rPr>
      </w:pPr>
      <w:r>
        <w:rPr>
          <w:rFonts w:ascii="Arial" w:cs="Arial" w:eastAsia="Arial" w:hAnsi="Arial"/>
          <w:sz w:val="22"/>
          <w:szCs w:val="22"/>
          <w:color w:val="auto"/>
        </w:rPr>
        <w:t>to such acquisition as of the last day of the Fiscal Quarter most recently ended; and</w:t>
      </w:r>
    </w:p>
    <w:p>
      <w:pPr>
        <w:spacing w:after="0" w:line="220" w:lineRule="exact"/>
        <w:rPr>
          <w:sz w:val="20"/>
          <w:szCs w:val="20"/>
          <w:color w:val="auto"/>
        </w:rPr>
      </w:pPr>
    </w:p>
    <w:p>
      <w:pPr>
        <w:jc w:val="both"/>
        <w:ind w:left="1960" w:hanging="656"/>
        <w:spacing w:after="0" w:line="253" w:lineRule="auto"/>
        <w:tabs>
          <w:tab w:leader="none" w:pos="191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any Person or assets or division as acquired in accordance herewith shall be in same business or lines of business in which Borrower and/or its Subsidiaries are engaged as of the Closing Date or similar or related businesses.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6.01(l)</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Pre-Adjustment Successor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3.03(c)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 Lenders</w:t>
      </w:r>
      <w:r>
        <w:rPr>
          <w:rFonts w:ascii="Arial" w:cs="Arial" w:eastAsia="Arial" w:hAnsi="Arial"/>
          <w:sz w:val="22"/>
          <w:szCs w:val="22"/>
          <w:color w:val="auto"/>
        </w:rPr>
        <w:t>” means Lenders that have advised the Administrative Agent in writing that they wish to receive Private-Side Information.</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Private-Side Information</w:t>
      </w:r>
      <w:r>
        <w:rPr>
          <w:rFonts w:ascii="Arial" w:cs="Arial" w:eastAsia="Arial" w:hAnsi="Arial"/>
          <w:sz w:val="22"/>
          <w:szCs w:val="22"/>
          <w:color w:val="auto"/>
        </w:rPr>
        <w:t>” means any information with respect to the Borrower and its Subsidiaries that is not Public-Side Information.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b w:val="1"/>
          <w:bCs w:val="1"/>
          <w:color w:val="auto"/>
        </w:rPr>
        <w: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5.08</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means Lenders that have advised the Administrative Agent in writing that they do not wish to receive Private-Side Information.</w:t>
      </w:r>
    </w:p>
    <w:p>
      <w:pPr>
        <w:spacing w:after="0" w:line="175"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Public-Side Information</w:t>
      </w:r>
      <w:r>
        <w:rPr>
          <w:rFonts w:ascii="Arial" w:cs="Arial" w:eastAsia="Arial" w:hAnsi="Arial"/>
          <w:sz w:val="22"/>
          <w:szCs w:val="22"/>
          <w:color w:val="auto"/>
        </w:rPr>
        <w:t>” means information that is not material non-public information (for purposes of United States federal, state or other applicable securities laws).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shall mean, at any time, each Loan Party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means Equity Interests other than Disqualified Equity Interests.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Estate Asset</w:t>
      </w:r>
      <w:r>
        <w:rPr>
          <w:rFonts w:ascii="Arial" w:cs="Arial" w:eastAsia="Arial" w:hAnsi="Arial"/>
          <w:sz w:val="22"/>
          <w:szCs w:val="22"/>
          <w:color w:val="auto"/>
        </w:rPr>
        <w:t>” means, at any time of determination, any interest (fee, leasehold or otherwise) then owned by any Loan Party in any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28" w:right="339" w:bottom="1440" w:gutter="0" w:footer="0" w:header="0"/>
        </w:sectPr>
      </w:pPr>
    </w:p>
    <w:bookmarkStart w:id="313" w:name="page314"/>
    <w:bookmarkEnd w:id="313"/>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w:t>
      </w:r>
      <w:r>
        <w:rPr>
          <w:rFonts w:ascii="Arial" w:cs="Arial" w:eastAsia="Arial" w:hAnsi="Arial"/>
          <w:sz w:val="22"/>
          <w:szCs w:val="22"/>
          <w:color w:val="auto"/>
        </w:rPr>
        <w:t>” means any real property (including all buildings, fixtures or other improvements located thereon) now, hereafter or heretofore owned, leased, operated or used by the Borrower or any of its Subsidiaries or any of their respective predecessors or Affiliates.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the Administrative Agent, any Lender, any L/C Issuer or any other recipient of any payment to be made by or on account of any obligation of any Loan Party 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Reduction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2.05(b)(ix)</w:t>
      </w:r>
      <w:r>
        <w:rPr>
          <w:rFonts w:ascii="Arial" w:cs="Arial" w:eastAsia="Arial" w:hAnsi="Arial"/>
          <w:sz w:val="22"/>
          <w:szCs w:val="22"/>
          <w:color w:val="auto"/>
        </w:rPr>
        <w: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Refinance</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in the definition of “</w:t>
      </w:r>
      <w:r>
        <w:rPr>
          <w:rFonts w:ascii="Arial" w:cs="Arial" w:eastAsia="Arial" w:hAnsi="Arial"/>
          <w:sz w:val="22"/>
          <w:szCs w:val="22"/>
          <w:u w:val="single" w:color="auto"/>
          <w:color w:val="auto"/>
        </w:rPr>
        <w:t>Refinancing Indebtedness</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means any Indebtedness issued in exchange for, or the net proceeds of which are used to extend, refinance, renew, replace, defease or refund (collectively, to “</w:t>
      </w:r>
      <w:r>
        <w:rPr>
          <w:rFonts w:ascii="Arial" w:cs="Arial" w:eastAsia="Arial" w:hAnsi="Arial"/>
          <w:sz w:val="19"/>
          <w:szCs w:val="19"/>
          <w:u w:val="single" w:color="auto"/>
          <w:color w:val="auto"/>
        </w:rPr>
        <w:t>Refinance</w:t>
      </w:r>
      <w:r>
        <w:rPr>
          <w:rFonts w:ascii="Arial" w:cs="Arial" w:eastAsia="Arial" w:hAnsi="Arial"/>
          <w:sz w:val="19"/>
          <w:szCs w:val="19"/>
          <w:color w:val="auto"/>
        </w:rPr>
        <w:t xml:space="preserve">”) the Indebtedness being Refinanced (or previous refinancings thereof constituting Refinancing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principal amount (or accreted value, if applicable) of such Refinancing Indebtedness does not exceed the principal amount (or accreted value, if applicable) of the Indebtedness so Refinanced (plus the amount of unpaid accrued or capitalized interest and premiums thereon (including tender premiums), underwriting discounts, original issue discount, defeasance costs, fees (including upfront fees, underwriting fees, legal fees, accounting and audit fees and other similar or customary fees), commissions and expenses), (b) the weighted-average life to maturity of such Refinancing Indebtedness is greater than or equal to the weighted-average life to maturity of the Indebtedness being Refinanced, (c) if the Indebtedness being Refinanced is subordinated in right of payment to the Obligations, such Refinancing Indebtedness shall be subordinated in right of payment to such Obligations on terms at least as favorable taken as a whole to the Lenders as those contained in the documentation governing the Indebtedness being Refinanced (as determined in good faith and certified in writing to the Administrative Agent by a Responsible Officer of the Borrower); and (d) no Refinancing Indebtedness shall have different obligors, greater guarantees or substantially different collateral than, the Indebtedness being Refinanced (except to the extent that less collateral is granted to the holders of the Refinancing Indebtedness).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FRB, as in effect from time to time and all official rulings and interpretations thereunder or thereof.</w:t>
      </w:r>
    </w:p>
    <w:p>
      <w:pPr>
        <w:spacing w:after="0" w:line="175" w:lineRule="exact"/>
        <w:rPr>
          <w:sz w:val="20"/>
          <w:szCs w:val="20"/>
          <w:color w:val="auto"/>
        </w:rPr>
      </w:pPr>
    </w:p>
    <w:p>
      <w:pPr>
        <w:jc w:val="both"/>
        <w:ind w:firstLine="63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Adjustment</w:t>
      </w:r>
      <w:r>
        <w:rPr>
          <w:rFonts w:ascii="Arial" w:cs="Arial" w:eastAsia="Arial" w:hAnsi="Arial"/>
          <w:sz w:val="21"/>
          <w:szCs w:val="21"/>
          <w:color w:val="auto"/>
        </w:rPr>
        <w:t>” means, in determining any LIBOR Successor Rate, the first relevant available alternative set forth in the order below that can be determined by the Administrative Agent applicable to such LIBOR Successor Rate:</w:t>
      </w:r>
    </w:p>
    <w:p>
      <w:pPr>
        <w:spacing w:after="0" w:line="151" w:lineRule="exact"/>
        <w:rPr>
          <w:sz w:val="20"/>
          <w:szCs w:val="20"/>
          <w:color w:val="auto"/>
        </w:rPr>
      </w:pPr>
    </w:p>
    <w:p>
      <w:pPr>
        <w:jc w:val="both"/>
        <w:ind w:left="660" w:firstLine="634"/>
        <w:spacing w:after="0" w:line="265" w:lineRule="auto"/>
        <w:tabs>
          <w:tab w:leader="none" w:pos="1949"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(x) is published on an information service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28" w:right="339" w:bottom="1440" w:gutter="0" w:footer="0" w:header="0"/>
        </w:sectPr>
      </w:pPr>
    </w:p>
    <w:bookmarkStart w:id="314" w:name="page315"/>
    <w:bookmarkEnd w:id="314"/>
    <w:p>
      <w:pPr>
        <w:jc w:val="both"/>
        <w:ind w:left="660"/>
        <w:spacing w:after="0" w:line="253" w:lineRule="auto"/>
        <w:rPr>
          <w:sz w:val="20"/>
          <w:szCs w:val="20"/>
          <w:color w:val="auto"/>
        </w:rPr>
      </w:pPr>
      <w:r>
        <w:rPr>
          <w:rFonts w:ascii="Arial" w:cs="Arial" w:eastAsia="Arial" w:hAnsi="Arial"/>
          <w:sz w:val="22"/>
          <w:szCs w:val="22"/>
          <w:color w:val="auto"/>
        </w:rPr>
        <w:t>selected by the Administrative Agent from time to time in its reasonable discretion or (y) solely with respect to Term SOFR, if not currently published, which was previously so recommended for Term SOFR and published on an information service acceptable to the Administrative Agent; or</w:t>
      </w:r>
    </w:p>
    <w:p>
      <w:pPr>
        <w:spacing w:after="0" w:line="185" w:lineRule="exact"/>
        <w:rPr>
          <w:sz w:val="20"/>
          <w:szCs w:val="20"/>
          <w:color w:val="auto"/>
        </w:rPr>
      </w:pPr>
    </w:p>
    <w:p>
      <w:pPr>
        <w:jc w:val="both"/>
        <w:ind w:left="660" w:firstLine="634"/>
        <w:spacing w:after="0" w:line="253" w:lineRule="auto"/>
        <w:tabs>
          <w:tab w:leader="none" w:pos="1833"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Documents</w:t>
      </w:r>
      <w:r>
        <w:rPr>
          <w:rFonts w:ascii="Arial" w:cs="Arial" w:eastAsia="Arial" w:hAnsi="Arial"/>
          <w:sz w:val="22"/>
          <w:szCs w:val="22"/>
          <w:color w:val="auto"/>
        </w:rPr>
        <w:t>” means the Bridge Credit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w:t>
      </w:r>
      <w:r>
        <w:rPr>
          <w:rFonts w:ascii="Arial" w:cs="Arial" w:eastAsia="Arial" w:hAnsi="Arial"/>
          <w:sz w:val="21"/>
          <w:szCs w:val="21"/>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xml:space="preserve"> means the Federal Reserve Board and/or the Federal Reserve Bank of New York, or a committee officially endorsed or convened by the Federal Reserve Board and/or the Federal Reserve Bank of New York.</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any of the events set forth in Section 4043(c) of ERISA, other than events for which the 30 day notice period has been waived.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Class Lenders</w:t>
      </w:r>
      <w:r>
        <w:rPr>
          <w:rFonts w:ascii="Arial" w:cs="Arial" w:eastAsia="Arial" w:hAnsi="Arial"/>
          <w:sz w:val="22"/>
          <w:szCs w:val="22"/>
          <w:color w:val="auto"/>
        </w:rPr>
        <w:t>” means, at any time with respect to any Class of Loans or Commitments, Lenders having Total Credit Exposures with respect to such Class representing more than 50% of the Total Credit Exposures of all Lenders of such Class. The Total Credit Exposure of any Defaulting Lender with respect to such Class shall be disregarded in determining Required Class Lenders at any time.</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the applicable L/C Issuer, as the case may be, in making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28" w:right="339" w:bottom="1440" w:gutter="0" w:footer="0" w:header="0"/>
        </w:sectPr>
      </w:pPr>
    </w:p>
    <w:bookmarkStart w:id="315" w:name="page316"/>
    <w:bookmarkEnd w:id="315"/>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Revolving Lenders</w:t>
      </w:r>
      <w:r>
        <w:rPr>
          <w:rFonts w:ascii="Arial" w:cs="Arial" w:eastAsia="Arial" w:hAnsi="Arial"/>
          <w:sz w:val="19"/>
          <w:szCs w:val="19"/>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Term A Lenders</w:t>
      </w:r>
      <w:r>
        <w:rPr>
          <w:rFonts w:ascii="Arial" w:cs="Arial" w:eastAsia="Arial" w:hAnsi="Arial"/>
          <w:sz w:val="22"/>
          <w:szCs w:val="22"/>
          <w:color w:val="auto"/>
        </w:rPr>
        <w:t xml:space="preserve">” means, as of any date of determination, Term A Lenders holding more than 50% of the Term A Facility on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portion of the Term A Facility held by any Defaulting Lender shall be excluded for purposes of making a determination of Required Term A Lenders.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Rescindable Amount</w:t>
      </w:r>
      <w:r>
        <w:rPr>
          <w:rFonts w:ascii="Arial" w:cs="Arial" w:eastAsia="Arial" w:hAnsi="Arial"/>
          <w:sz w:val="22"/>
          <w:szCs w:val="22"/>
          <w:color w:val="auto"/>
        </w:rPr>
        <w:t xml:space="preserve">” has the meaning specified in Section </w:t>
      </w:r>
      <w:r>
        <w:rPr>
          <w:rFonts w:ascii="Arial" w:cs="Arial" w:eastAsia="Arial" w:hAnsi="Arial"/>
          <w:sz w:val="22"/>
          <w:szCs w:val="22"/>
          <w:u w:val="single" w:color="auto"/>
          <w:color w:val="auto"/>
        </w:rPr>
        <w:t>2.12 (b)(ii)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xml:space="preserve">” means the chief executive officer, president, chief financial officer, treasurer, assistant treasurer, controller or any vice president of a Loan Party, and solely for purposes of the delivery of incumbency certificates pursuant to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the secretary or any assistant secretary of a Loan Party and, solely for purposes of notices given to </w:t>
      </w:r>
      <w:r>
        <w:rPr>
          <w:rFonts w:ascii="Arial" w:cs="Arial" w:eastAsia="Arial" w:hAnsi="Arial"/>
          <w:sz w:val="21"/>
          <w:szCs w:val="21"/>
          <w:u w:val="single" w:color="auto"/>
          <w:color w:val="auto"/>
        </w:rPr>
        <w:t>Article II</w:t>
      </w:r>
      <w:r>
        <w:rPr>
          <w:rFonts w:ascii="Arial" w:cs="Arial" w:eastAsia="Arial" w:hAnsi="Arial"/>
          <w:sz w:val="21"/>
          <w:szCs w:val="21"/>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Junior Payment</w:t>
      </w:r>
      <w:r>
        <w:rPr>
          <w:rFonts w:ascii="Arial" w:cs="Arial" w:eastAsia="Arial" w:hAnsi="Arial"/>
          <w:sz w:val="21"/>
          <w:szCs w:val="21"/>
          <w:color w:val="auto"/>
        </w:rPr>
        <w:t>” means (i) any dividend or other distribution, direct or indirect, on account of any shares of any class of stock of Borrower or any of its Subsidiaries (or any direct or indirect parent of Borrower) now or hereafter outstanding, except a dividend payable solely in shares of that class of stock to the holders of that class; (ii) any redemption, retirement, sinking fund or similar payment, purchase or other acquisition for value, direct or indirect, of any shares of any class of stock of Borrower or any of its respective Subsidiaries (or any direct or indirect parent of Borrower) now or hereafter outstanding; (iii) any payment made to retire, or to obtain the surrender of, any outstanding warrants, options or other rights to acquire shares of any class of stock of Borrower or any of its Subsidiaries (or any direct or indirect parent of Borrower) now or hereafter outstanding; and (iv) any payment or prepayment of principal of, premium, if any, or interest on, or redemption, purchase, retirement, defeasance (including in-substance or legal defeasance), sinking fund or similar payment with respect to, any Subordinated Indebtedness.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xml:space="preserve">” means any subsidiary of the Borrower other than an Unrestricted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occurrence of any Unrestricted Subsidiary ceasing to be an Unrestricted Subsidiary, such subsidiary shall be included in the definition of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28" w:right="339" w:bottom="1440" w:gutter="0" w:footer="0" w:header="0"/>
        </w:sectPr>
      </w:pPr>
    </w:p>
    <w:bookmarkStart w:id="316" w:name="page317"/>
    <w:bookmarkEnd w:id="316"/>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Borrowing</w:t>
      </w:r>
      <w:r>
        <w:rPr>
          <w:rFonts w:ascii="Arial" w:cs="Arial" w:eastAsia="Arial" w:hAnsi="Arial"/>
          <w:sz w:val="22"/>
          <w:szCs w:val="22"/>
          <w:color w:val="auto"/>
        </w:rPr>
        <w:t xml:space="preserve">” means a borrowing consisting of simultaneous Revolving Credit Loans of the same Type and, in the case of Eurodollar Rate Loans, having the same Interest Period made by each of the Revolving Credit Lenders pursuant to </w:t>
      </w:r>
      <w:r>
        <w:rPr>
          <w:rFonts w:ascii="Arial" w:cs="Arial" w:eastAsia="Arial" w:hAnsi="Arial"/>
          <w:sz w:val="22"/>
          <w:szCs w:val="22"/>
          <w:u w:val="single" w:color="auto"/>
          <w:color w:val="auto"/>
        </w:rPr>
        <w:t>Section 2.01(c)</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Commitment</w:t>
      </w:r>
      <w:r>
        <w:rPr>
          <w:rFonts w:ascii="Arial" w:cs="Arial" w:eastAsia="Arial" w:hAnsi="Arial"/>
          <w:sz w:val="21"/>
          <w:szCs w:val="21"/>
          <w:color w:val="auto"/>
        </w:rPr>
        <w:t xml:space="preserve">” means, as to each Revolving Credit Lender, its obligation to (a) make Revolving Credit Loans to the Borrower pursuant to </w:t>
      </w:r>
      <w:r>
        <w:rPr>
          <w:rFonts w:ascii="Arial" w:cs="Arial" w:eastAsia="Arial" w:hAnsi="Arial"/>
          <w:sz w:val="21"/>
          <w:szCs w:val="21"/>
          <w:u w:val="single" w:color="auto"/>
          <w:color w:val="auto"/>
        </w:rPr>
        <w:t>Section 2.01(c)</w:t>
      </w:r>
      <w:r>
        <w:rPr>
          <w:rFonts w:ascii="Arial" w:cs="Arial" w:eastAsia="Arial" w:hAnsi="Arial"/>
          <w:sz w:val="21"/>
          <w:szCs w:val="21"/>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21"/>
          <w:szCs w:val="21"/>
          <w:u w:val="single" w:color="auto"/>
          <w:color w:val="auto"/>
        </w:rPr>
        <w:t>Schedule 2.01A</w:t>
      </w:r>
      <w:r>
        <w:rPr>
          <w:rFonts w:ascii="Arial" w:cs="Arial" w:eastAsia="Arial" w:hAnsi="Arial"/>
          <w:sz w:val="21"/>
          <w:szCs w:val="21"/>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7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as to any Lender at any time, the aggregate principal amount at such time of its outstanding Revolving Credit Loans and such Lender’s participation in L/C Obligations and Swing Line Loans at such time.</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Facility</w:t>
      </w:r>
      <w:r>
        <w:rPr>
          <w:rFonts w:ascii="Arial" w:cs="Arial" w:eastAsia="Arial" w:hAnsi="Arial"/>
          <w:sz w:val="22"/>
          <w:szCs w:val="22"/>
          <w:color w:val="auto"/>
        </w:rPr>
        <w:t>” means, at any time, the aggregate amount of the Revolving Credit Lenders’ Revolving Credit Commitments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Lender</w:t>
      </w:r>
      <w:r>
        <w:rPr>
          <w:rFonts w:ascii="Arial" w:cs="Arial" w:eastAsia="Arial" w:hAnsi="Arial"/>
          <w:sz w:val="21"/>
          <w:szCs w:val="21"/>
          <w:color w:val="auto"/>
        </w:rPr>
        <w:t>” means, at any time, any Lender that has a Revolving Credit Commitment at such time.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Note</w:t>
      </w:r>
      <w:r>
        <w:rPr>
          <w:rFonts w:ascii="Arial" w:cs="Arial" w:eastAsia="Arial" w:hAnsi="Arial"/>
          <w:sz w:val="22"/>
          <w:szCs w:val="22"/>
          <w:color w:val="auto"/>
        </w:rPr>
        <w:t xml:space="preserve">” means a promissory note made by the Borrower in favor of a Revolving Credit Lender evidencing Revolving Credit Loans or Swing Line Loans, as the case may be, made by such Revolving Credit Lender, substantially in the form of </w:t>
      </w:r>
      <w:r>
        <w:rPr>
          <w:rFonts w:ascii="Arial" w:cs="Arial" w:eastAsia="Arial" w:hAnsi="Arial"/>
          <w:sz w:val="22"/>
          <w:szCs w:val="22"/>
          <w:u w:val="single" w:color="auto"/>
          <w:color w:val="auto"/>
        </w:rPr>
        <w:t>Exhibit C-1</w:t>
      </w:r>
      <w:r>
        <w:rPr>
          <w:rFonts w:ascii="Arial" w:cs="Arial" w:eastAsia="Arial" w:hAnsi="Arial"/>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5.26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S&amp;P’s Global Ratings, a division of S&amp;P Global, Inc., and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w:t>
      </w:r>
      <w:r>
        <w:rPr>
          <w:rFonts w:ascii="Arial" w:cs="Arial" w:eastAsia="Arial" w:hAnsi="Arial"/>
          <w:sz w:val="21"/>
          <w:szCs w:val="21"/>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from time to time, and any successor statute.</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SOFR</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Business Day means the secured overnight financing rate published for such day by the</w:t>
      </w:r>
      <w:r>
        <w:rPr>
          <w:rFonts w:ascii="Arial" w:cs="Arial" w:eastAsia="Arial" w:hAnsi="Arial"/>
          <w:sz w:val="22"/>
          <w:szCs w:val="22"/>
          <w:b w:val="1"/>
          <w:bCs w:val="1"/>
          <w:color w:val="auto"/>
        </w:rPr>
        <w:t xml:space="preserve"> </w:t>
      </w:r>
      <w:r>
        <w:rPr>
          <w:rFonts w:ascii="Arial" w:cs="Arial" w:eastAsia="Arial" w:hAnsi="Arial"/>
          <w:sz w:val="22"/>
          <w:szCs w:val="22"/>
          <w:color w:val="auto"/>
        </w:rPr>
        <w:t>Federal Reserve Bank of New York, as the administrator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28" w:right="339" w:bottom="1440" w:gutter="0" w:footer="0" w:header="0"/>
        </w:sectPr>
      </w:pPr>
    </w:p>
    <w:bookmarkStart w:id="317" w:name="page318"/>
    <w:bookmarkEnd w:id="317"/>
    <w:p>
      <w:pPr>
        <w:jc w:val="both"/>
        <w:spacing w:after="0" w:line="253" w:lineRule="auto"/>
        <w:rPr>
          <w:sz w:val="20"/>
          <w:szCs w:val="20"/>
          <w:color w:val="auto"/>
        </w:rPr>
      </w:pPr>
      <w:r>
        <w:rPr>
          <w:rFonts w:ascii="Arial" w:cs="Arial" w:eastAsia="Arial" w:hAnsi="Arial"/>
          <w:sz w:val="22"/>
          <w:szCs w:val="22"/>
          <w:color w:val="auto"/>
        </w:rPr>
        <w:t>benchmark (or a successor administrator) on the Federal Reserve Bank of New York’s website (or any successor source) at approximately 8:00 a.m. (New York City time) on the immediately succeeding Business Day and, in each case, that has been selected or recommended by the Relevant Governmental Body.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Solvency Certificate</w:t>
      </w:r>
      <w:r>
        <w:rPr>
          <w:rFonts w:ascii="Arial" w:cs="Arial" w:eastAsia="Arial" w:hAnsi="Arial"/>
          <w:sz w:val="19"/>
          <w:szCs w:val="19"/>
          <w:color w:val="auto"/>
        </w:rPr>
        <w:t xml:space="preserve">” means a certificate of a Financial Officer of the Borrower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Loan Party</w:t>
      </w:r>
      <w:r>
        <w:rPr>
          <w:rFonts w:ascii="Arial" w:cs="Arial" w:eastAsia="Arial" w:hAnsi="Arial"/>
          <w:sz w:val="22"/>
          <w:szCs w:val="22"/>
          <w:color w:val="auto"/>
        </w:rPr>
        <w:t xml:space="preserve">” means any Loan Party that is not an “eligible contract participant” under the Commodity Exchange Act (determined prior to giving effect to </w:t>
      </w:r>
      <w:r>
        <w:rPr>
          <w:rFonts w:ascii="Arial" w:cs="Arial" w:eastAsia="Arial" w:hAnsi="Arial"/>
          <w:sz w:val="22"/>
          <w:szCs w:val="22"/>
          <w:u w:val="single" w:color="auto"/>
          <w:color w:val="auto"/>
        </w:rPr>
        <w:t>Section 11.11</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means any Indebtedness (other than any intercompany Indebtedness owing to direct and indirect parent companies of the Borrower or the Borrower or any Subsidiary not prohibited under this Agreement) expressly subordinated in right of payment to the Obligations.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in determining the percentage of ownership interests of any Person controlled by another Person, no ownership interest in the nature of a “qualifying share” of the former Person shall be deemed to be outstanding.</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unless the context otherwise requires, a Restricted Subsidiary of Borrower. For purposes of Sections 5.02, 5.11, 5.12, 5.20, 5.24, 5.25, 6.01(b)-(e), 6.03, 6.08 and 7.08(ii) only, references to Subsidiaries shall be deemed also to be references to Unrestricted Subsidiaries.</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28" w:right="339" w:bottom="1440" w:gutter="0" w:footer="0" w:header="0"/>
        </w:sectPr>
      </w:pPr>
    </w:p>
    <w:bookmarkStart w:id="318" w:name="page319"/>
    <w:bookmarkEnd w:id="318"/>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Master Agreement</w:t>
      </w:r>
      <w:r>
        <w:rPr>
          <w:rFonts w:ascii="Arial" w:cs="Arial" w:eastAsia="Arial" w:hAnsi="Arial"/>
          <w:sz w:val="22"/>
          <w:szCs w:val="22"/>
          <w:color w:val="auto"/>
        </w:rPr>
        <w:t>”), including any such obligations or liabilities under any Master Agreement.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Obligations</w:t>
      </w:r>
      <w:r>
        <w:rPr>
          <w:rFonts w:ascii="Arial" w:cs="Arial" w:eastAsia="Arial" w:hAnsi="Arial"/>
          <w:sz w:val="21"/>
          <w:szCs w:val="21"/>
          <w:color w:val="auto"/>
        </w:rPr>
        <w:t>” means with respect to any Guarantor any obligation to pay or perform under any agreement, contract or transaction that constitutes a “swap” within the meaning of Section 1a(47) of the Commodity Exchange Act.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Borrowing</w:t>
      </w:r>
      <w:r>
        <w:rPr>
          <w:rFonts w:ascii="Arial" w:cs="Arial" w:eastAsia="Arial" w:hAnsi="Arial"/>
          <w:sz w:val="22"/>
          <w:szCs w:val="22"/>
          <w:color w:val="auto"/>
        </w:rPr>
        <w:t xml:space="preserve">” means a borrowing of a Swing Line Loan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Commitment</w:t>
      </w:r>
      <w:r>
        <w:rPr>
          <w:rFonts w:ascii="Arial" w:cs="Arial" w:eastAsia="Arial" w:hAnsi="Arial"/>
          <w:sz w:val="22"/>
          <w:szCs w:val="22"/>
          <w:color w:val="auto"/>
        </w:rPr>
        <w:t xml:space="preserve">” means as to any Lender (a) the amount set forth opposite such Lender’s name on Schedule 2.01B hereof or (b) if such Lender has entered into an Assignment and Assumption or has otherwise assumed a Swing Line Commitment after the Closing Date, the amount set forth for such Lender as its Swing Line Commitment in the Register maintained by the Administrative Agent pursuant to </w:t>
      </w:r>
      <w:r>
        <w:rPr>
          <w:rFonts w:ascii="Arial" w:cs="Arial" w:eastAsia="Arial" w:hAnsi="Arial"/>
          <w:sz w:val="22"/>
          <w:szCs w:val="22"/>
          <w:u w:val="single" w:color="auto"/>
          <w:color w:val="auto"/>
        </w:rPr>
        <w:t>Section 11.06(c)</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 means Bank of America in its capacity as provider of Swing Line Loans, or any successor swing line lender 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 Notice</w:t>
      </w:r>
      <w:r>
        <w:rPr>
          <w:rFonts w:ascii="Arial" w:cs="Arial" w:eastAsia="Arial" w:hAnsi="Arial"/>
          <w:sz w:val="22"/>
          <w:szCs w:val="22"/>
          <w:color w:val="auto"/>
        </w:rPr>
        <w:t xml:space="preserve">” means a notice of a Swing Line Borrowing pursuant to </w:t>
      </w:r>
      <w:r>
        <w:rPr>
          <w:rFonts w:ascii="Arial" w:cs="Arial" w:eastAsia="Arial" w:hAnsi="Arial"/>
          <w:sz w:val="22"/>
          <w:szCs w:val="22"/>
          <w:u w:val="single" w:color="auto"/>
          <w:color w:val="auto"/>
        </w:rPr>
        <w:t>Section 2.04(b)</w:t>
      </w:r>
      <w:r>
        <w:rPr>
          <w:rFonts w:ascii="Arial" w:cs="Arial" w:eastAsia="Arial" w:hAnsi="Arial"/>
          <w:sz w:val="22"/>
          <w:szCs w:val="22"/>
          <w:color w:val="auto"/>
        </w:rPr>
        <w:t xml:space="preserve">, which shall be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Sublimit</w:t>
      </w:r>
      <w:r>
        <w:rPr>
          <w:rFonts w:ascii="Arial" w:cs="Arial" w:eastAsia="Arial" w:hAnsi="Arial"/>
          <w:sz w:val="22"/>
          <w:szCs w:val="22"/>
          <w:color w:val="auto"/>
        </w:rPr>
        <w:t>” means an amount equal to the lesser of (a) $15,000,000 and (b) the Revolving Credit Facility. The Swing Line Sublimit is part of, and not in addition to, the Revolving Credit Facility.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Syndication Agent</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in the nature of tax imposed by any Governmental Authority, including any interest, additions to tax or penalties applicable thereto.</w:t>
      </w:r>
    </w:p>
    <w:p>
      <w:pPr>
        <w:spacing w:after="0" w:line="18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A Borrowing</w:t>
      </w:r>
      <w:r>
        <w:rPr>
          <w:rFonts w:ascii="Arial" w:cs="Arial" w:eastAsia="Arial" w:hAnsi="Arial"/>
          <w:sz w:val="19"/>
          <w:szCs w:val="19"/>
          <w:color w:val="auto"/>
        </w:rPr>
        <w:t xml:space="preserve">” means a borrowing consisting of simultaneous Term A Loans of the same Type and, in the case of Eurodollar Rate Loans, having the same Interest Period made by each of the Term A Lenders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A Commitment</w:t>
      </w:r>
      <w:r>
        <w:rPr>
          <w:rFonts w:ascii="Arial" w:cs="Arial" w:eastAsia="Arial" w:hAnsi="Arial"/>
          <w:sz w:val="21"/>
          <w:szCs w:val="21"/>
          <w:color w:val="auto"/>
        </w:rPr>
        <w:t xml:space="preserve">” means, as to each Term A Lender, its obligation to make Term A Loans to the Borrower pursuant to </w:t>
      </w:r>
      <w:r>
        <w:rPr>
          <w:rFonts w:ascii="Arial" w:cs="Arial" w:eastAsia="Arial" w:hAnsi="Arial"/>
          <w:sz w:val="21"/>
          <w:szCs w:val="21"/>
          <w:u w:val="single" w:color="auto"/>
          <w:color w:val="auto"/>
        </w:rPr>
        <w:t>Section 2.01(a)</w:t>
      </w:r>
      <w:r>
        <w:rPr>
          <w:rFonts w:ascii="Arial" w:cs="Arial" w:eastAsia="Arial" w:hAnsi="Arial"/>
          <w:sz w:val="21"/>
          <w:szCs w:val="21"/>
          <w:color w:val="auto"/>
        </w:rPr>
        <w:t xml:space="preserve"> in an aggregate principal amount at any one time outstanding not to exceed the amount set forth opposite such Term A Lender’s name on </w:t>
      </w:r>
      <w:r>
        <w:rPr>
          <w:rFonts w:ascii="Arial" w:cs="Arial" w:eastAsia="Arial" w:hAnsi="Arial"/>
          <w:sz w:val="21"/>
          <w:szCs w:val="21"/>
          <w:u w:val="single" w:color="auto"/>
          <w:color w:val="auto"/>
        </w:rPr>
        <w:t>Schedule 2.01A</w:t>
      </w:r>
      <w:r>
        <w:rPr>
          <w:rFonts w:ascii="Arial" w:cs="Arial" w:eastAsia="Arial" w:hAnsi="Arial"/>
          <w:sz w:val="21"/>
          <w:szCs w:val="21"/>
          <w:color w:val="auto"/>
        </w:rPr>
        <w:t xml:space="preserve"> under the caption “Term A Commitment” or opposite such caption in the Assignment and Assumption pursuant to which such Term A Lender becomes a party hereto,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28" w:right="339" w:bottom="1440" w:gutter="0" w:footer="0" w:header="0"/>
        </w:sectPr>
      </w:pPr>
    </w:p>
    <w:bookmarkStart w:id="319" w:name="page320"/>
    <w:bookmarkEnd w:id="319"/>
    <w:p>
      <w:pPr>
        <w:spacing w:after="0"/>
        <w:rPr>
          <w:sz w:val="20"/>
          <w:szCs w:val="20"/>
          <w:color w:val="auto"/>
        </w:rPr>
      </w:pPr>
      <w:r>
        <w:rPr>
          <w:rFonts w:ascii="Arial" w:cs="Arial" w:eastAsia="Arial" w:hAnsi="Arial"/>
          <w:sz w:val="22"/>
          <w:szCs w:val="22"/>
          <w:color w:val="auto"/>
        </w:rPr>
        <w:t>applicable, as such amount may be adjusted from time to time in accordance with this Agreement.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A Facility</w:t>
      </w:r>
      <w:r>
        <w:rPr>
          <w:rFonts w:ascii="Arial" w:cs="Arial" w:eastAsia="Arial" w:hAnsi="Arial"/>
          <w:sz w:val="22"/>
          <w:szCs w:val="22"/>
          <w:color w:val="auto"/>
        </w:rPr>
        <w:t>” means, at any time, the aggregate principal amount of the Term A Loans of all Term A Lenders outstanding at such time.</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A Lender</w:t>
      </w:r>
      <w:r>
        <w:rPr>
          <w:rFonts w:ascii="Arial" w:cs="Arial" w:eastAsia="Arial" w:hAnsi="Arial"/>
          <w:sz w:val="21"/>
          <w:szCs w:val="21"/>
          <w:color w:val="auto"/>
        </w:rPr>
        <w:t>” means (a) at any time on or prior to the Closing Date, any Lender that has a Term A Commitment at such time and (b) at any time after the Closing Date, any Lender that holds Term A Loans at such time.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A Loan</w:t>
      </w:r>
      <w:r>
        <w:rPr>
          <w:rFonts w:ascii="Arial" w:cs="Arial" w:eastAsia="Arial" w:hAnsi="Arial"/>
          <w:sz w:val="22"/>
          <w:szCs w:val="22"/>
          <w:color w:val="auto"/>
        </w:rPr>
        <w:t>” means an advance made by any Term A Lender under the Term A Facility.</w:t>
      </w:r>
    </w:p>
    <w:p>
      <w:pPr>
        <w:spacing w:after="0" w:line="220" w:lineRule="exact"/>
        <w:rPr>
          <w:sz w:val="20"/>
          <w:szCs w:val="20"/>
          <w:color w:val="auto"/>
        </w:rPr>
      </w:pPr>
    </w:p>
    <w:p>
      <w:pPr>
        <w:jc w:val="both"/>
        <w:ind w:right="4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A Loan Exposure</w:t>
      </w:r>
      <w:r>
        <w:rPr>
          <w:rFonts w:ascii="Arial" w:cs="Arial" w:eastAsia="Arial" w:hAnsi="Arial"/>
          <w:sz w:val="22"/>
          <w:szCs w:val="22"/>
          <w:color w:val="auto"/>
        </w:rPr>
        <w:t>” means, as to any Lender at any time, the aggregate Outstanding Amount at such time of its Term A Loans; provided that at any time prior to the making of the Term A Loans, the Term A Loan Exposure of any Lender shall be equal to such Lender’s Term A Commitment.</w:t>
      </w:r>
    </w:p>
    <w:p>
      <w:pPr>
        <w:spacing w:after="0" w:line="21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A Note</w:t>
      </w:r>
      <w:r>
        <w:rPr>
          <w:rFonts w:ascii="Arial" w:cs="Arial" w:eastAsia="Arial" w:hAnsi="Arial"/>
          <w:sz w:val="22"/>
          <w:szCs w:val="22"/>
          <w:color w:val="auto"/>
        </w:rPr>
        <w:t xml:space="preserve">” means a promissory note made by the Borrower in favor of a Term A Lender evidencing Term A Loans made by such Term A Lender, substantially in the form of </w:t>
      </w:r>
      <w:r>
        <w:rPr>
          <w:rFonts w:ascii="Arial" w:cs="Arial" w:eastAsia="Arial" w:hAnsi="Arial"/>
          <w:sz w:val="22"/>
          <w:szCs w:val="22"/>
          <w:u w:val="single" w:color="auto"/>
          <w:color w:val="auto"/>
        </w:rPr>
        <w:t>Exhibit C-2</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Borrowing</w:t>
      </w:r>
      <w:r>
        <w:rPr>
          <w:rFonts w:ascii="Arial" w:cs="Arial" w:eastAsia="Arial" w:hAnsi="Arial"/>
          <w:sz w:val="22"/>
          <w:szCs w:val="22"/>
          <w:color w:val="auto"/>
        </w:rPr>
        <w:t>” means a Term A Borrowing.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Facility</w:t>
      </w:r>
      <w:r>
        <w:rPr>
          <w:rFonts w:ascii="Arial" w:cs="Arial" w:eastAsia="Arial" w:hAnsi="Arial"/>
          <w:sz w:val="22"/>
          <w:szCs w:val="22"/>
          <w:color w:val="auto"/>
        </w:rPr>
        <w:t>” means, at any time, the Term A Facility.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means a Term A Loan.</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Credit Exposure</w:t>
      </w:r>
      <w:r>
        <w:rPr>
          <w:rFonts w:ascii="Arial" w:cs="Arial" w:eastAsia="Arial" w:hAnsi="Arial"/>
          <w:sz w:val="22"/>
          <w:szCs w:val="22"/>
          <w:color w:val="auto"/>
        </w:rPr>
        <w:t>” means, as to any Lender at any time, (a) in respect of the Revolving Credit Facility, the unused Revolving Credit Commitments and Revolving Credit Exposure of such Lender at such time and (b) in respect of the Term A Facility, the Term A Loan Exposure of such Lender at such time.</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Net Leverage Ratio</w:t>
      </w:r>
      <w:r>
        <w:rPr>
          <w:rFonts w:ascii="Arial" w:cs="Arial" w:eastAsia="Arial" w:hAnsi="Arial"/>
          <w:sz w:val="21"/>
          <w:szCs w:val="21"/>
          <w:color w:val="auto"/>
        </w:rPr>
        <w:t>” means the ratio as of the last day of any Fiscal Quarter of (i) Consolidated Total Net Debt as of such day to (ii) Consolidated Adjusted EBITDA for the four-Fiscal Quarter period ending on such date.</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Outstandings</w:t>
      </w:r>
      <w:r>
        <w:rPr>
          <w:rFonts w:ascii="Arial" w:cs="Arial" w:eastAsia="Arial" w:hAnsi="Arial"/>
          <w:sz w:val="22"/>
          <w:szCs w:val="22"/>
          <w:color w:val="auto"/>
        </w:rPr>
        <w:t>” means the aggregate Outstanding Amount of all Revolving Credit Loans, Swing Line Loans and L/C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28" w:right="339" w:bottom="1440" w:gutter="0" w:footer="0" w:header="0"/>
        </w:sectPr>
      </w:pPr>
    </w:p>
    <w:bookmarkStart w:id="320" w:name="page321"/>
    <w:bookmarkEnd w:id="32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Outstandings</w:t>
      </w:r>
      <w:r>
        <w:rPr>
          <w:rFonts w:ascii="Arial" w:cs="Arial" w:eastAsia="Arial" w:hAnsi="Arial"/>
          <w:sz w:val="22"/>
          <w:szCs w:val="22"/>
          <w:color w:val="auto"/>
        </w:rPr>
        <w:t>” means the aggregate Outstanding Amount of all Loans and all L/C Obligations.</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means, collectively, (i) the repayment of the Existing Indebtedness, (b) the borrowing of the Term Facility,</w:t>
      </w:r>
      <w:r>
        <w:rPr>
          <w:rFonts w:ascii="Arial" w:cs="Arial" w:eastAsia="Arial" w:hAnsi="Arial"/>
          <w:sz w:val="22"/>
          <w:szCs w:val="22"/>
          <w:b w:val="1"/>
          <w:bCs w:val="1"/>
          <w:color w:val="auto"/>
        </w:rPr>
        <w:t xml:space="preserve"> </w:t>
      </w:r>
      <w:r>
        <w:rPr>
          <w:rFonts w:ascii="Arial" w:cs="Arial" w:eastAsia="Arial" w:hAnsi="Arial"/>
          <w:sz w:val="22"/>
          <w:szCs w:val="22"/>
          <w:color w:val="auto"/>
        </w:rPr>
        <w:t>the Bridge Loans and any Revolving Credit Facility to be made on the Closing Date and (c) the other transactions contemplated by the Loan Documents and the Related Documents.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with respect to a Loan, its character as a Base Rate Loan or a Eurodollar Rate Loan.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(or any similar or equivalent legislation) as in effect from time to time in any applicable jurisdiction.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UCP</w:t>
      </w:r>
      <w:r>
        <w:rPr>
          <w:rFonts w:ascii="Arial" w:cs="Arial" w:eastAsia="Arial" w:hAnsi="Arial"/>
          <w:sz w:val="22"/>
          <w:szCs w:val="22"/>
          <w:color w:val="auto"/>
        </w:rPr>
        <w:t>” means the Uniform Customs and Practice for Documentary Credits, International Chamber of Commerce Publication No. 600 (or such later version thereof as may be in effect at the applicable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Unreimbursed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2.03(f)</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w:t>
      </w:r>
      <w:r>
        <w:rPr>
          <w:rFonts w:ascii="Arial" w:cs="Arial" w:eastAsia="Arial" w:hAnsi="Arial"/>
          <w:sz w:val="19"/>
          <w:szCs w:val="19"/>
          <w:color w:val="auto"/>
        </w:rPr>
        <w:t xml:space="preserve">” means the aggregate amount of cash and Cash Equivalents held in accounts on the consolidated balance sheet of Borrower and its Subsidiaries to the extent that the use of such Cash and Cash Equivalents for application to payment of the Obligations or other Indebtedness is not prohibited by law or any contract or other agreement and such Cash and Cash Equivalents are free and clear of all Liens (other than Liens described in </w:t>
      </w:r>
      <w:r>
        <w:rPr>
          <w:rFonts w:ascii="Arial" w:cs="Arial" w:eastAsia="Arial" w:hAnsi="Arial"/>
          <w:sz w:val="19"/>
          <w:szCs w:val="19"/>
          <w:u w:val="single" w:color="auto"/>
          <w:color w:val="auto"/>
        </w:rPr>
        <w:t>Section 7.2(p)</w:t>
      </w:r>
      <w:r>
        <w:rPr>
          <w:rFonts w:ascii="Arial" w:cs="Arial" w:eastAsia="Arial" w:hAnsi="Arial"/>
          <w:sz w:val="19"/>
          <w:szCs w:val="19"/>
          <w:color w:val="auto"/>
        </w:rPr>
        <w:t>).</w:t>
      </w:r>
    </w:p>
    <w:p>
      <w:pPr>
        <w:spacing w:after="0" w:line="1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means any subsidiary of Borrower designated by the Borrower as an Unrestricted Subsidiary pursuant to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subsequent to the date hereof. Borrower may designate any subsidiary of Borrower (including any existing subsidiary and any newly acquired or newly formed subsidiary) to be an Unrestricted Subsidiary unless such subsidiary or any of its subsidiaries owns any Equity Interests or Indebtedness of, or owns or holds any Lien on any property of, Borrower or any subsidiary of Borrower (other than any subsidiary of the subsidiary to be so designated);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Borrower or any Restricted Subsidiary.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 Reporting Period</w:t>
      </w:r>
      <w:r>
        <w:rPr>
          <w:rFonts w:ascii="Arial" w:cs="Arial" w:eastAsia="Arial" w:hAnsi="Arial"/>
          <w:sz w:val="19"/>
          <w:szCs w:val="19"/>
          <w:color w:val="auto"/>
        </w:rPr>
        <w:t>” means any Fiscal Quarter or Fiscal Year if, as of the end of such period, either</w:t>
      </w:r>
    </w:p>
    <w:p>
      <w:pPr>
        <w:spacing w:after="0" w:line="56" w:lineRule="exact"/>
        <w:rPr>
          <w:sz w:val="20"/>
          <w:szCs w:val="20"/>
          <w:color w:val="auto"/>
        </w:rPr>
      </w:pPr>
    </w:p>
    <w:p>
      <w:pPr>
        <w:jc w:val="both"/>
        <w:ind w:firstLine="8"/>
        <w:spacing w:after="0" w:line="245" w:lineRule="auto"/>
        <w:tabs>
          <w:tab w:leader="none" w:pos="30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combined revenues of the Unrestricted Subsidiaries exceed 15% of the combined revenues of the Borrower and its consolidated Subsidiaries for the four Fiscal Quarter period then ended, or (ii) the aggregate amount of the assets of the Unrestricted Subsidiaries as recorded on the balance sheet of the Borrower and its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28" w:right="339" w:bottom="1440" w:gutter="0" w:footer="0" w:header="0"/>
        </w:sectPr>
      </w:pPr>
    </w:p>
    <w:bookmarkStart w:id="321" w:name="page322"/>
    <w:bookmarkEnd w:id="321"/>
    <w:p>
      <w:pPr>
        <w:jc w:val="both"/>
        <w:ind w:right="20"/>
        <w:spacing w:after="0" w:line="263" w:lineRule="auto"/>
        <w:rPr>
          <w:sz w:val="20"/>
          <w:szCs w:val="20"/>
          <w:color w:val="auto"/>
        </w:rPr>
      </w:pPr>
      <w:r>
        <w:rPr>
          <w:rFonts w:ascii="Arial" w:cs="Arial" w:eastAsia="Arial" w:hAnsi="Arial"/>
          <w:sz w:val="22"/>
          <w:szCs w:val="22"/>
          <w:color w:val="auto"/>
        </w:rPr>
        <w:t>Subsidiaries exceeds 15% of the aggregate amount of the assets of the Borrower and its consolidated Subsidiaries on such balance sheet.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Person</w:t>
      </w:r>
      <w:r>
        <w:rPr>
          <w:rFonts w:ascii="Arial" w:cs="Arial" w:eastAsia="Arial" w:hAnsi="Arial"/>
          <w:sz w:val="21"/>
          <w:szCs w:val="21"/>
          <w:color w:val="auto"/>
        </w:rPr>
        <w:t>” means any Person that is a “United States Person” as defined in Section 7701(a)(30) of the Code.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3.01(g)(ii)(B)(3)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the Borrower and the Administrative Agent.</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Other Interpretive Provisions</w:t>
      </w:r>
      <w:r>
        <w:rPr>
          <w:rFonts w:ascii="Arial" w:cs="Arial" w:eastAsia="Arial" w:hAnsi="Arial"/>
          <w:sz w:val="22"/>
          <w:szCs w:val="22"/>
          <w:color w:val="auto"/>
        </w:rPr>
        <w:t>. With reference to this Agreement and each other Loan Document, unless otherwise specified herein or in such other Loan Document:</w:t>
      </w:r>
    </w:p>
    <w:p>
      <w:pPr>
        <w:spacing w:after="0" w:line="175" w:lineRule="exact"/>
        <w:rPr>
          <w:sz w:val="20"/>
          <w:szCs w:val="20"/>
          <w:color w:val="auto"/>
        </w:rPr>
      </w:pPr>
    </w:p>
    <w:p>
      <w:pPr>
        <w:jc w:val="both"/>
        <w:ind w:firstLine="656"/>
        <w:spacing w:after="0" w:line="284" w:lineRule="auto"/>
        <w:tabs>
          <w:tab w:leader="none" w:pos="1139" w:val="left"/>
        </w:tabs>
        <w:numPr>
          <w:ilvl w:val="1"/>
          <w:numId w:val="185"/>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3" w:lineRule="exact"/>
        <w:rPr>
          <w:rFonts w:ascii="Arial" w:cs="Arial" w:eastAsia="Arial" w:hAnsi="Arial"/>
          <w:sz w:val="19"/>
          <w:szCs w:val="19"/>
          <w:color w:val="auto"/>
        </w:rPr>
      </w:pPr>
    </w:p>
    <w:p>
      <w:pPr>
        <w:jc w:val="both"/>
        <w:ind w:firstLine="8"/>
        <w:spacing w:after="0" w:line="256" w:lineRule="auto"/>
        <w:tabs>
          <w:tab w:leader="none" w:pos="361" w:val="left"/>
        </w:tabs>
        <w:numPr>
          <w:ilvl w:val="0"/>
          <w:numId w:val="186"/>
        </w:numPr>
        <w:rPr>
          <w:rFonts w:ascii="Arial" w:cs="Arial" w:eastAsia="Arial" w:hAnsi="Arial"/>
          <w:sz w:val="21"/>
          <w:szCs w:val="21"/>
          <w:color w:val="auto"/>
        </w:rPr>
      </w:pPr>
      <w:r>
        <w:rPr>
          <w:rFonts w:ascii="Arial" w:cs="Arial" w:eastAsia="Arial" w:hAnsi="Arial"/>
          <w:sz w:val="21"/>
          <w:szCs w:val="21"/>
          <w:color w:val="auto"/>
        </w:rPr>
        <w:t>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Arial" w:cs="Arial" w:eastAsia="Arial" w:hAnsi="Arial"/>
          <w:sz w:val="21"/>
          <w:szCs w:val="21"/>
          <w:u w:val="single" w:color="auto"/>
          <w:color w:val="auto"/>
        </w:rPr>
        <w:t>asset</w:t>
      </w:r>
      <w:r>
        <w:rPr>
          <w:rFonts w:ascii="Arial" w:cs="Arial" w:eastAsia="Arial" w:hAnsi="Arial"/>
          <w:sz w:val="21"/>
          <w:szCs w:val="21"/>
          <w:color w:val="auto"/>
        </w:rPr>
        <w:t>” and “</w:t>
      </w:r>
      <w:r>
        <w:rPr>
          <w:rFonts w:ascii="Arial" w:cs="Arial" w:eastAsia="Arial" w:hAnsi="Arial"/>
          <w:sz w:val="21"/>
          <w:szCs w:val="21"/>
          <w:u w:val="single" w:color="auto"/>
          <w:color w:val="auto"/>
        </w:rPr>
        <w:t>property</w:t>
      </w:r>
      <w:r>
        <w:rPr>
          <w:rFonts w:ascii="Arial" w:cs="Arial" w:eastAsia="Arial" w:hAnsi="Arial"/>
          <w:sz w:val="21"/>
          <w:szCs w:val="21"/>
          <w:color w:val="auto"/>
        </w:rPr>
        <w:t>” shall be construed to have the same meaning and effect and to refer to any and all tangible and intangible assets and properties, including cash, securities, accounts and contract rights.</w:t>
      </w:r>
    </w:p>
    <w:p>
      <w:pPr>
        <w:spacing w:after="0" w:line="187" w:lineRule="exact"/>
        <w:rPr>
          <w:rFonts w:ascii="Arial" w:cs="Arial" w:eastAsia="Arial" w:hAnsi="Arial"/>
          <w:sz w:val="21"/>
          <w:szCs w:val="21"/>
          <w:color w:val="auto"/>
        </w:rPr>
      </w:pPr>
    </w:p>
    <w:p>
      <w:pPr>
        <w:ind w:firstLine="656"/>
        <w:spacing w:after="0" w:line="343" w:lineRule="auto"/>
        <w:tabs>
          <w:tab w:leader="none" w:pos="1155" w:val="left"/>
        </w:tabs>
        <w:numPr>
          <w:ilvl w:val="1"/>
          <w:numId w:val="186"/>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28" w:right="339" w:bottom="1440" w:gutter="0" w:footer="0" w:header="0"/>
        </w:sectPr>
      </w:pPr>
    </w:p>
    <w:bookmarkStart w:id="322" w:name="page323"/>
    <w:bookmarkEnd w:id="322"/>
    <w:p>
      <w:pPr>
        <w:ind w:right="20" w:firstLine="656"/>
        <w:spacing w:after="0" w:line="263" w:lineRule="auto"/>
        <w:tabs>
          <w:tab w:leader="none" w:pos="114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74" w:lineRule="exact"/>
        <w:rPr>
          <w:rFonts w:ascii="Arial" w:cs="Arial" w:eastAsia="Arial" w:hAnsi="Arial"/>
          <w:sz w:val="22"/>
          <w:szCs w:val="22"/>
          <w:color w:val="auto"/>
        </w:rPr>
      </w:pPr>
    </w:p>
    <w:p>
      <w:pPr>
        <w:jc w:val="both"/>
        <w:ind w:firstLine="656"/>
        <w:spacing w:after="0" w:line="246" w:lineRule="auto"/>
        <w:tabs>
          <w:tab w:leader="none" w:pos="111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Accounting Terms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Generally</w:t>
      </w:r>
      <w:r>
        <w:rPr>
          <w:rFonts w:ascii="Arial" w:cs="Arial" w:eastAsia="Arial" w:hAnsi="Arial"/>
          <w:sz w:val="22"/>
          <w:szCs w:val="22"/>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on financial liabilities shall be disregarded.</w:t>
      </w:r>
    </w:p>
    <w:p>
      <w:pPr>
        <w:spacing w:after="0" w:line="194" w:lineRule="exact"/>
        <w:rPr>
          <w:sz w:val="20"/>
          <w:szCs w:val="20"/>
          <w:color w:val="auto"/>
        </w:rPr>
      </w:pPr>
    </w:p>
    <w:p>
      <w:pPr>
        <w:jc w:val="both"/>
        <w:ind w:firstLine="656"/>
        <w:spacing w:after="0" w:line="290" w:lineRule="auto"/>
        <w:tabs>
          <w:tab w:leader="none" w:pos="1224"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the Borrower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until so amended, (A) such ratio or requirement shall continue to be computed in accordance with GAAP as in effect prior to such change therein and (B) the Borrower shall provide to the Administrative Agent and the Lenders together with any financial statements delivered pursuant to Section 6.01(b) or (C) an internally-prepared reconciliation between such financial statements and any financial information required for the computation of such ratio or requirement in accordance with GAAP as in effect prior to such change therein.</w:t>
      </w:r>
    </w:p>
    <w:p>
      <w:pPr>
        <w:spacing w:after="0" w:line="155" w:lineRule="exact"/>
        <w:rPr>
          <w:rFonts w:ascii="Arial" w:cs="Arial" w:eastAsia="Arial" w:hAnsi="Arial"/>
          <w:sz w:val="19"/>
          <w:szCs w:val="19"/>
          <w:color w:val="auto"/>
        </w:rPr>
      </w:pPr>
    </w:p>
    <w:p>
      <w:pPr>
        <w:jc w:val="both"/>
        <w:ind w:firstLine="656"/>
        <w:spacing w:after="0" w:line="294" w:lineRule="auto"/>
        <w:tabs>
          <w:tab w:leader="none" w:pos="113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or in the definition of “Capital Lease,”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any lease that would have been treated as an operating lease under GAAP as in effect on December 31, 2015 shall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28" w:right="339" w:bottom="1440" w:gutter="0" w:footer="0" w:header="0"/>
        </w:sectPr>
      </w:pPr>
    </w:p>
    <w:bookmarkStart w:id="323" w:name="page324"/>
    <w:bookmarkEnd w:id="323"/>
    <w:p>
      <w:pPr>
        <w:spacing w:after="0" w:line="263" w:lineRule="auto"/>
        <w:rPr>
          <w:sz w:val="20"/>
          <w:szCs w:val="20"/>
          <w:color w:val="auto"/>
        </w:rPr>
      </w:pPr>
      <w:r>
        <w:rPr>
          <w:rFonts w:ascii="Arial" w:cs="Arial" w:eastAsia="Arial" w:hAnsi="Arial"/>
          <w:sz w:val="22"/>
          <w:szCs w:val="22"/>
          <w:color w:val="auto"/>
        </w:rPr>
        <w:t>to be considered an operating lease, and all calculations and deliverables under this Agreement or any other Loan Document shall be made or delivered, as applicable, in accordance therewith.</w:t>
      </w:r>
    </w:p>
    <w:p>
      <w:pPr>
        <w:spacing w:after="0" w:line="175" w:lineRule="exact"/>
        <w:rPr>
          <w:sz w:val="20"/>
          <w:szCs w:val="20"/>
          <w:color w:val="auto"/>
        </w:rPr>
      </w:pPr>
    </w:p>
    <w:p>
      <w:pPr>
        <w:jc w:val="both"/>
        <w:ind w:firstLine="656"/>
        <w:spacing w:after="0" w:line="253" w:lineRule="auto"/>
        <w:tabs>
          <w:tab w:leader="none" w:pos="1195" w:val="left"/>
        </w:tabs>
        <w:numPr>
          <w:ilvl w:val="0"/>
          <w:numId w:val="189"/>
        </w:numPr>
        <w:rPr>
          <w:rFonts w:ascii="Arial" w:cs="Arial" w:eastAsia="Arial" w:hAnsi="Arial"/>
          <w:sz w:val="22"/>
          <w:szCs w:val="22"/>
          <w:color w:val="auto"/>
        </w:rPr>
      </w:pPr>
      <w:r>
        <w:rPr>
          <w:rFonts w:ascii="Arial" w:cs="Arial" w:eastAsia="Arial" w:hAnsi="Arial"/>
          <w:sz w:val="22"/>
          <w:szCs w:val="22"/>
          <w:color w:val="auto"/>
        </w:rPr>
        <w:t>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Rounding</w:t>
      </w:r>
      <w:r>
        <w:rPr>
          <w:rFonts w:ascii="Arial" w:cs="Arial" w:eastAsia="Arial" w:hAnsi="Arial"/>
          <w:sz w:val="22"/>
          <w:szCs w:val="22"/>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Times of Day</w:t>
      </w:r>
      <w:r>
        <w:rPr>
          <w:rFonts w:ascii="Arial" w:cs="Arial" w:eastAsia="Arial" w:hAnsi="Arial"/>
          <w:sz w:val="22"/>
          <w:szCs w:val="22"/>
          <w:color w:val="auto"/>
        </w:rPr>
        <w:t>. Unless otherwise specified, all references herein to times of day shall be references to Eastern time (daylight or standard, as applicable).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Letter of Credit Amounts</w:t>
      </w:r>
      <w:r>
        <w:rPr>
          <w:rFonts w:ascii="Arial" w:cs="Arial" w:eastAsia="Arial" w:hAnsi="Arial"/>
          <w:sz w:val="19"/>
          <w:szCs w:val="19"/>
          <w:color w:val="auto"/>
        </w:rPr>
        <w:t>. Unless otherwise specified herein, the amount of a Letter of Credit at any time shall be deemed to be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u w:val="single" w:color="auto"/>
          <w:color w:val="auto"/>
        </w:rPr>
        <w:t>Currency Equivalents Generally</w:t>
      </w:r>
      <w:r>
        <w:rPr>
          <w:rFonts w:ascii="Arial" w:cs="Arial" w:eastAsia="Arial" w:hAnsi="Arial"/>
          <w:sz w:val="21"/>
          <w:szCs w:val="21"/>
          <w:color w:val="auto"/>
        </w:rPr>
        <w:t xml:space="preserve">. Any amount specified in this Agreement (other than in </w:t>
      </w:r>
      <w:r>
        <w:rPr>
          <w:rFonts w:ascii="Arial" w:cs="Arial" w:eastAsia="Arial" w:hAnsi="Arial"/>
          <w:sz w:val="21"/>
          <w:szCs w:val="21"/>
          <w:u w:val="single" w:color="auto"/>
          <w:color w:val="auto"/>
        </w:rPr>
        <w:t>Articles 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w:t>
      </w:r>
      <w:r>
        <w:rPr>
          <w:rFonts w:ascii="Arial" w:cs="Arial" w:eastAsia="Arial" w:hAnsi="Arial"/>
          <w:sz w:val="21"/>
          <w:szCs w:val="21"/>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21"/>
          <w:szCs w:val="21"/>
          <w:u w:val="single" w:color="auto"/>
          <w:color w:val="auto"/>
        </w:rPr>
        <w:t>Section 1.07</w:t>
      </w:r>
      <w:r>
        <w:rPr>
          <w:rFonts w:ascii="Arial" w:cs="Arial" w:eastAsia="Arial" w:hAnsi="Arial"/>
          <w:sz w:val="21"/>
          <w:szCs w:val="21"/>
          <w:color w:val="auto"/>
        </w:rPr>
        <w:t>, the “</w:t>
      </w:r>
      <w:r>
        <w:rPr>
          <w:rFonts w:ascii="Arial" w:cs="Arial" w:eastAsia="Arial" w:hAnsi="Arial"/>
          <w:sz w:val="21"/>
          <w:szCs w:val="21"/>
          <w:u w:val="single" w:color="auto"/>
          <w:color w:val="auto"/>
        </w:rPr>
        <w:t>Spot Rate</w:t>
      </w:r>
      <w:r>
        <w:rPr>
          <w:rFonts w:ascii="Arial" w:cs="Arial" w:eastAsia="Arial" w:hAnsi="Arial"/>
          <w:sz w:val="21"/>
          <w:szCs w:val="21"/>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Interest Rates</w:t>
      </w:r>
      <w:r>
        <w:rPr>
          <w:rFonts w:ascii="Arial" w:cs="Arial" w:eastAsia="Arial" w:hAnsi="Arial"/>
          <w:sz w:val="22"/>
          <w:szCs w:val="22"/>
          <w:color w:val="auto"/>
        </w:rPr>
        <w:t>. The Administrative Agent does not warrant, nor accept responsibility, nor shall the Administrative Agent have any liability with respect to the administration, submission or any other matter related to the rates in the definition of “Eurodollar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28" w:right="339" w:bottom="1440" w:gutter="0" w:footer="0" w:header="0"/>
        </w:sectPr>
      </w:pPr>
    </w:p>
    <w:bookmarkStart w:id="324" w:name="page325"/>
    <w:bookmarkEnd w:id="324"/>
    <w:p>
      <w:pPr>
        <w:jc w:val="center"/>
        <w:spacing w:after="0"/>
        <w:tabs>
          <w:tab w:leader="none" w:pos="180" w:val="left"/>
        </w:tabs>
        <w:rPr>
          <w:sz w:val="20"/>
          <w:szCs w:val="20"/>
          <w:color w:val="auto"/>
        </w:rPr>
      </w:pPr>
      <w:r>
        <w:rPr>
          <w:rFonts w:ascii="Arial" w:cs="Arial" w:eastAsia="Arial" w:hAnsi="Arial"/>
          <w:sz w:val="22"/>
          <w:szCs w:val="22"/>
          <w:b w:val="1"/>
          <w:bCs w:val="1"/>
          <w:color w:val="auto"/>
        </w:rPr>
        <w:t>ARTICLE II.</w:t>
        <w:tab/>
        <w:t>THE COMMITMENTS AND CREDIT EXTENSIONS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2.01 </w:t>
      </w:r>
      <w:r>
        <w:rPr>
          <w:rFonts w:ascii="Arial" w:cs="Arial" w:eastAsia="Arial" w:hAnsi="Arial"/>
          <w:sz w:val="22"/>
          <w:szCs w:val="22"/>
          <w:u w:val="single" w:color="auto"/>
          <w:color w:val="auto"/>
        </w:rPr>
        <w:t>The Loans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The Term A Borrowing</w:t>
      </w:r>
      <w:r>
        <w:rPr>
          <w:rFonts w:ascii="Arial" w:cs="Arial" w:eastAsia="Arial" w:hAnsi="Arial"/>
          <w:sz w:val="22"/>
          <w:szCs w:val="22"/>
          <w:color w:val="auto"/>
        </w:rPr>
        <w:t xml:space="preserve">. Subject to the terms and conditions set forth herein, each Term A Lender severally agrees to make a single loan to the Borrower on the Closing Date in an amount not to exceed such Term A Lender’s Term A Commitment of the Term A Facility. The Term A Borrowing shall consist of Term A Loans made simultaneously by the Term A Lenders in accordance with their respective Applicable Percentage of the Term A Facility. Amounts borrowed under this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and repaid or prepaid may not be reborrowed. Term A Loans may be Base Rate Loans or Eurodollar Rate Loans, as further provided herein.</w:t>
      </w:r>
    </w:p>
    <w:p>
      <w:pPr>
        <w:spacing w:after="0" w:line="193" w:lineRule="exact"/>
        <w:rPr>
          <w:sz w:val="20"/>
          <w:szCs w:val="20"/>
          <w:color w:val="auto"/>
        </w:rPr>
      </w:pPr>
    </w:p>
    <w:p>
      <w:pPr>
        <w:ind w:left="1120" w:hanging="464"/>
        <w:spacing w:after="0"/>
        <w:tabs>
          <w:tab w:leader="none" w:pos="1120"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jc w:val="both"/>
        <w:ind w:firstLine="656"/>
        <w:spacing w:after="0" w:line="259" w:lineRule="auto"/>
        <w:tabs>
          <w:tab w:leader="none" w:pos="1225" w:val="left"/>
        </w:tabs>
        <w:numPr>
          <w:ilvl w:val="0"/>
          <w:numId w:val="190"/>
        </w:numPr>
        <w:rPr>
          <w:rFonts w:ascii="Arial" w:cs="Arial" w:eastAsia="Arial" w:hAnsi="Arial"/>
          <w:sz w:val="21"/>
          <w:szCs w:val="21"/>
          <w:color w:val="auto"/>
        </w:rPr>
      </w:pPr>
      <w:r>
        <w:rPr>
          <w:rFonts w:ascii="Arial" w:cs="Arial" w:eastAsia="Arial" w:hAnsi="Arial"/>
          <w:sz w:val="21"/>
          <w:szCs w:val="21"/>
          <w:u w:val="single" w:color="auto"/>
          <w:color w:val="auto"/>
        </w:rPr>
        <w:t>The Revolving Credit Borrowings</w:t>
      </w:r>
      <w:r>
        <w:rPr>
          <w:rFonts w:ascii="Arial" w:cs="Arial" w:eastAsia="Arial" w:hAnsi="Arial"/>
          <w:sz w:val="21"/>
          <w:szCs w:val="21"/>
          <w:color w:val="auto"/>
        </w:rPr>
        <w:t>. Subject to the terms and conditions set forth herein, each Revolving Credit Lender severally agrees to make loans (each such loan, a “</w:t>
      </w:r>
      <w:r>
        <w:rPr>
          <w:rFonts w:ascii="Arial" w:cs="Arial" w:eastAsia="Arial" w:hAnsi="Arial"/>
          <w:sz w:val="21"/>
          <w:szCs w:val="21"/>
          <w:u w:val="single" w:color="auto"/>
          <w:color w:val="auto"/>
        </w:rPr>
        <w:t>Revolving Credit Loan</w:t>
      </w:r>
      <w:r>
        <w:rPr>
          <w:rFonts w:ascii="Arial" w:cs="Arial" w:eastAsia="Arial" w:hAnsi="Arial"/>
          <w:sz w:val="21"/>
          <w:szCs w:val="21"/>
          <w:color w:val="auto"/>
        </w:rPr>
        <w:t xml:space="preserve">”) to the Borrower from time to time, on any Business Day during the Availability Period, in an aggregate amount not to exceed at any time outstanding the amount of such Lender’s Revolving Credit Commitment; provided, however, that after giving effect to any Revolving Credit Borrowing, (i) the Total Revolving Credit Outstandings shall not exceed the Revolving Credit Facility, and (ii) the Revolving Credit Exposure shall not exceed such Revolving Credit Lender’s Revolving Credit Commitment. Within the limits of each Revolving Credit Lender’s Revolving Credit Commitment, and subject to the other terms and conditions hereof, the Borrower may borrow under this </w:t>
      </w:r>
      <w:r>
        <w:rPr>
          <w:rFonts w:ascii="Arial" w:cs="Arial" w:eastAsia="Arial" w:hAnsi="Arial"/>
          <w:sz w:val="21"/>
          <w:szCs w:val="21"/>
          <w:u w:val="single" w:color="auto"/>
          <w:color w:val="auto"/>
        </w:rPr>
        <w:t>Section 2.01(c)</w:t>
      </w:r>
      <w:r>
        <w:rPr>
          <w:rFonts w:ascii="Arial" w:cs="Arial" w:eastAsia="Arial" w:hAnsi="Arial"/>
          <w:sz w:val="21"/>
          <w:szCs w:val="21"/>
          <w:color w:val="auto"/>
        </w:rPr>
        <w:t xml:space="preserve">, prepay under </w:t>
      </w:r>
      <w:r>
        <w:rPr>
          <w:rFonts w:ascii="Arial" w:cs="Arial" w:eastAsia="Arial" w:hAnsi="Arial"/>
          <w:sz w:val="21"/>
          <w:szCs w:val="21"/>
          <w:u w:val="single" w:color="auto"/>
          <w:color w:val="auto"/>
        </w:rPr>
        <w:t>Section 2.05</w:t>
      </w:r>
      <w:r>
        <w:rPr>
          <w:rFonts w:ascii="Arial" w:cs="Arial" w:eastAsia="Arial" w:hAnsi="Arial"/>
          <w:sz w:val="21"/>
          <w:szCs w:val="21"/>
          <w:color w:val="auto"/>
        </w:rPr>
        <w:t xml:space="preserve">, and reborrow under this </w:t>
      </w:r>
      <w:r>
        <w:rPr>
          <w:rFonts w:ascii="Arial" w:cs="Arial" w:eastAsia="Arial" w:hAnsi="Arial"/>
          <w:sz w:val="21"/>
          <w:szCs w:val="21"/>
          <w:u w:val="single" w:color="auto"/>
          <w:color w:val="auto"/>
        </w:rPr>
        <w:t>Section 2.01(c)</w:t>
      </w:r>
      <w:r>
        <w:rPr>
          <w:rFonts w:ascii="Arial" w:cs="Arial" w:eastAsia="Arial" w:hAnsi="Arial"/>
          <w:sz w:val="21"/>
          <w:szCs w:val="21"/>
          <w:color w:val="auto"/>
        </w:rPr>
        <w:t>. Revolving Credit Loans may be Base Rate Loans or Eurodollar Rate Loans, as further provided herein.</w:t>
      </w:r>
    </w:p>
    <w:p>
      <w:pPr>
        <w:spacing w:after="0" w:line="17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u w:val="single" w:color="auto"/>
          <w:color w:val="auto"/>
        </w:rPr>
        <w:t>Borrowings, Conversions and Continuations of Loans</w:t>
      </w:r>
      <w:r>
        <w:rPr>
          <w:rFonts w:ascii="Arial" w:cs="Arial" w:eastAsia="Arial" w:hAnsi="Arial"/>
          <w:sz w:val="19"/>
          <w:szCs w:val="19"/>
          <w:color w:val="auto"/>
        </w:rPr>
        <w:t>. (a) Each Term A Borrowing, each Revolving Credit Borrowing, each conversion of Term Loans or Revolving Credit Loans from one Type to the other, and each continuation of Eurodollar Rate Loans shall be made upon the Borrower’s irrevocable notice to the Administrative Agent, which may be given by (A) telephone, or (B) a Committed Loan Notice; provided that any telephonic notice must be confirmed immediately by delivery to the Administrative Agent of a Committed Loan Notice. Each such Committed Loan Notice must be received by the Administrative Agent not later than (i) 12:00 p.m. three Business Days prior to the requested date of any Borrowing of, conversion to or continuation of Eurodollar Rate Loans or of any conversion of Eurodollar Rate Loans to Base Rate Loans, and</w:t>
      </w:r>
    </w:p>
    <w:p>
      <w:pPr>
        <w:spacing w:after="0" w:line="4" w:lineRule="exact"/>
        <w:rPr>
          <w:sz w:val="20"/>
          <w:szCs w:val="20"/>
          <w:color w:val="auto"/>
        </w:rPr>
      </w:pPr>
    </w:p>
    <w:p>
      <w:pPr>
        <w:jc w:val="both"/>
        <w:ind w:firstLine="8"/>
        <w:spacing w:after="0" w:line="257" w:lineRule="auto"/>
        <w:tabs>
          <w:tab w:leader="none" w:pos="325" w:val="left"/>
        </w:tabs>
        <w:numPr>
          <w:ilvl w:val="0"/>
          <w:numId w:val="191"/>
        </w:numPr>
        <w:rPr>
          <w:rFonts w:ascii="Arial" w:cs="Arial" w:eastAsia="Arial" w:hAnsi="Arial"/>
          <w:sz w:val="21"/>
          <w:szCs w:val="21"/>
          <w:color w:val="auto"/>
        </w:rPr>
      </w:pPr>
      <w:r>
        <w:rPr>
          <w:rFonts w:ascii="Arial" w:cs="Arial" w:eastAsia="Arial" w:hAnsi="Arial"/>
          <w:sz w:val="21"/>
          <w:szCs w:val="21"/>
          <w:color w:val="auto"/>
        </w:rPr>
        <w:t xml:space="preserve">11:00 a.m. on the requested date of any Borrowing of Base Rate Loans. Each Borrowing of, conversion to or continuation of Eurodollar Rate Loans shall be in a principal amount of $2,000,000 or a whole multiple of $500,000 in excess thereof. Except as provided in </w:t>
      </w:r>
      <w:r>
        <w:rPr>
          <w:rFonts w:ascii="Arial" w:cs="Arial" w:eastAsia="Arial" w:hAnsi="Arial"/>
          <w:sz w:val="21"/>
          <w:szCs w:val="21"/>
          <w:u w:val="single" w:color="auto"/>
          <w:color w:val="auto"/>
        </w:rPr>
        <w:t>Sections 2.03(c)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2.04(c)</w:t>
      </w:r>
      <w:r>
        <w:rPr>
          <w:rFonts w:ascii="Arial" w:cs="Arial" w:eastAsia="Arial" w:hAnsi="Arial"/>
          <w:sz w:val="21"/>
          <w:szCs w:val="21"/>
          <w:color w:val="auto"/>
        </w:rPr>
        <w:t>, each Borrowing of or conversion to Base Rate Loans shall be in a principal amount of $500,000 or a whole multiple of $100,000 in excess thereof. Each Committed Loan Notice shall specify (i) whether the Borrower is requesting a Term A Borrowing, a Revolving Credit Borrowing, a conversion of Term Loans or Revolving Credit Loans from one Type to the other, or a continuation of Eurodollar Rate Loans, (ii) the requested date of the Borrowing, conversion or continuation, as the case may be (which shall be a Business Day), (iii) the principal amount of Loans to be borrowed, converted or continued, (iv) the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22" w:right="339" w:bottom="1440" w:gutter="0" w:footer="0" w:header="0"/>
        </w:sectPr>
      </w:pPr>
    </w:p>
    <w:bookmarkStart w:id="325" w:name="page326"/>
    <w:bookmarkEnd w:id="325"/>
    <w:p>
      <w:pPr>
        <w:jc w:val="both"/>
        <w:spacing w:after="0" w:line="290" w:lineRule="auto"/>
        <w:rPr>
          <w:sz w:val="20"/>
          <w:szCs w:val="20"/>
          <w:color w:val="auto"/>
        </w:rPr>
      </w:pPr>
      <w:r>
        <w:rPr>
          <w:rFonts w:ascii="Arial" w:cs="Arial" w:eastAsia="Arial" w:hAnsi="Arial"/>
          <w:sz w:val="19"/>
          <w:szCs w:val="19"/>
          <w:color w:val="auto"/>
        </w:rPr>
        <w:t>of Loans to be borrowed or to which existing Term Loans or Revolving Credit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 Notwithstanding anything to the contrary herein, a Swing Line Loan may not be converted to a Eurodollar Rate Loan.</w:t>
      </w:r>
    </w:p>
    <w:p>
      <w:pPr>
        <w:spacing w:after="0" w:line="156" w:lineRule="exact"/>
        <w:rPr>
          <w:sz w:val="20"/>
          <w:szCs w:val="20"/>
          <w:color w:val="auto"/>
        </w:rPr>
      </w:pPr>
    </w:p>
    <w:p>
      <w:pPr>
        <w:jc w:val="both"/>
        <w:ind w:firstLine="656"/>
        <w:spacing w:after="0" w:line="286" w:lineRule="auto"/>
        <w:tabs>
          <w:tab w:leader="none" w:pos="115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Following receipt of a Committed Loan Notice, the Administrative Agent shall promptly notify each Lender of the amount of its Applicable Percentage under the applicable Facility of the applicable Term A Loans or Revolving Credit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Each Appropriate Lender shall make the amount of its Loan available to the Administrative Agent in immediately available funds at the Administrative Agent’s Office not later than 2:00 p.m. on the Business Day specified in the applicable Committed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to be made on the Closing Date,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on the date a Committed Loan Notice with respect to a Revolving Credit Borrowing is given by the Borrower, there are L/C Borrowings outstanding, then the proceeds of such Revolving Credit Borrowing,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to the payment in full of any such L/C Borrowings, and </w:t>
      </w:r>
      <w:r>
        <w:rPr>
          <w:rFonts w:ascii="Arial" w:cs="Arial" w:eastAsia="Arial" w:hAnsi="Arial"/>
          <w:sz w:val="19"/>
          <w:szCs w:val="19"/>
          <w:u w:val="single" w:color="auto"/>
          <w:color w:val="auto"/>
        </w:rPr>
        <w:t>second</w:t>
      </w:r>
      <w:r>
        <w:rPr>
          <w:rFonts w:ascii="Arial" w:cs="Arial" w:eastAsia="Arial" w:hAnsi="Arial"/>
          <w:sz w:val="19"/>
          <w:szCs w:val="19"/>
          <w:color w:val="auto"/>
        </w:rPr>
        <w:t>, shall be made available to the Borrower as provided above.</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right="20" w:firstLine="656"/>
        <w:spacing w:after="0" w:line="253" w:lineRule="auto"/>
        <w:tabs>
          <w:tab w:leader="none" w:pos="1127" w:val="left"/>
        </w:tabs>
        <w:numPr>
          <w:ilvl w:val="0"/>
          <w:numId w:val="192"/>
        </w:numPr>
        <w:rPr>
          <w:rFonts w:ascii="Arial" w:cs="Arial" w:eastAsia="Arial" w:hAnsi="Arial"/>
          <w:sz w:val="22"/>
          <w:szCs w:val="22"/>
          <w:color w:val="auto"/>
        </w:rPr>
      </w:pPr>
      <w:r>
        <w:rPr>
          <w:rFonts w:ascii="Arial" w:cs="Arial" w:eastAsia="Arial" w:hAnsi="Arial"/>
          <w:sz w:val="22"/>
          <w:szCs w:val="22"/>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5" w:lineRule="exact"/>
        <w:rPr>
          <w:rFonts w:ascii="Arial" w:cs="Arial" w:eastAsia="Arial" w:hAnsi="Arial"/>
          <w:sz w:val="22"/>
          <w:szCs w:val="22"/>
          <w:color w:val="auto"/>
        </w:rPr>
      </w:pPr>
    </w:p>
    <w:p>
      <w:pPr>
        <w:ind w:firstLine="656"/>
        <w:spacing w:after="0" w:line="263" w:lineRule="auto"/>
        <w:tabs>
          <w:tab w:leader="none" w:pos="114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Administrative Agent shall promptly notify the Borrower and the Lenders of the interest rate applicable to any Interest Period for Eurodollar Rate Loans upon determination of such interest rate.</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137"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After giving effect to all Term A Borrowings, all conversions of Term A Loans from one Type to the other, and all continuations of Term A Loans as the same Type, there shall not be more than two Interest Periods in effect in respect of the Term A Facility. After giving effect to all Revolving Credit Borrowings, all conversions of Revolving Credit Loans from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28" w:right="339" w:bottom="1440" w:gutter="0" w:footer="0" w:header="0"/>
        </w:sectPr>
      </w:pPr>
    </w:p>
    <w:bookmarkStart w:id="326" w:name="page327"/>
    <w:bookmarkEnd w:id="326"/>
    <w:p>
      <w:pPr>
        <w:ind w:right="20"/>
        <w:spacing w:after="0" w:line="263" w:lineRule="auto"/>
        <w:rPr>
          <w:sz w:val="20"/>
          <w:szCs w:val="20"/>
          <w:color w:val="auto"/>
        </w:rPr>
      </w:pPr>
      <w:r>
        <w:rPr>
          <w:rFonts w:ascii="Arial" w:cs="Arial" w:eastAsia="Arial" w:hAnsi="Arial"/>
          <w:sz w:val="22"/>
          <w:szCs w:val="22"/>
          <w:color w:val="auto"/>
        </w:rPr>
        <w:t>Type to the other, and all continuations of Revolving Credit Loans as the same Type, there shall not be more than eight Interest Periods in effect in respect of the Revolving Credit Facility.</w:t>
      </w:r>
    </w:p>
    <w:p>
      <w:pPr>
        <w:spacing w:after="0" w:line="175" w:lineRule="exact"/>
        <w:rPr>
          <w:sz w:val="20"/>
          <w:szCs w:val="20"/>
          <w:color w:val="auto"/>
        </w:rPr>
      </w:pPr>
    </w:p>
    <w:p>
      <w:pPr>
        <w:jc w:val="both"/>
        <w:ind w:firstLine="656"/>
        <w:spacing w:after="0" w:line="250" w:lineRule="auto"/>
        <w:tabs>
          <w:tab w:leader="none" w:pos="1185" w:val="left"/>
        </w:tabs>
        <w:numPr>
          <w:ilvl w:val="0"/>
          <w:numId w:val="19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2.03 </w:t>
      </w:r>
      <w:r>
        <w:rPr>
          <w:rFonts w:ascii="Arial" w:cs="Arial" w:eastAsia="Arial" w:hAnsi="Arial"/>
          <w:sz w:val="22"/>
          <w:szCs w:val="22"/>
          <w:u w:val="single" w:color="auto"/>
          <w:color w:val="auto"/>
        </w:rPr>
        <w:t>Letters of Credit</w:t>
      </w:r>
      <w:r>
        <w:rPr>
          <w:rFonts w:ascii="Arial" w:cs="Arial" w:eastAsia="Arial" w:hAnsi="Arial"/>
          <w:sz w:val="22"/>
          <w:szCs w:val="22"/>
          <w:color w:val="auto"/>
        </w:rPr>
        <w:t xml:space="preserve">. (a) </w:t>
      </w: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w:t>
      </w:r>
      <w:r>
        <w:rPr>
          <w:rFonts w:ascii="Arial" w:cs="Arial" w:eastAsia="Arial" w:hAnsi="Arial"/>
          <w:sz w:val="22"/>
          <w:szCs w:val="22"/>
          <w:u w:val="single" w:color="auto"/>
          <w:color w:val="auto"/>
        </w:rPr>
        <w:t>The Letter of Credit Commitment</w:t>
      </w:r>
      <w:r>
        <w:rPr>
          <w:rFonts w:ascii="Arial" w:cs="Arial" w:eastAsia="Arial" w:hAnsi="Arial"/>
          <w:sz w:val="22"/>
          <w:szCs w:val="22"/>
          <w:color w:val="auto"/>
        </w:rPr>
        <w:t xml:space="preserve">. (i) Subject to the terms and conditions set forth herein, in addition to the Loans provided for in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the Borrower may request that any L/C Issuer, in reliance on the agreements of the Revolving Credit Lenders set forth in this </w:t>
      </w:r>
      <w:r>
        <w:rPr>
          <w:rFonts w:ascii="Arial" w:cs="Arial" w:eastAsia="Arial" w:hAnsi="Arial"/>
          <w:sz w:val="22"/>
          <w:szCs w:val="22"/>
          <w:u w:val="single" w:color="auto"/>
          <w:color w:val="auto"/>
        </w:rPr>
        <w:t>Section 2.03</w:t>
      </w:r>
      <w:r>
        <w:rPr>
          <w:rFonts w:ascii="Arial" w:cs="Arial" w:eastAsia="Arial" w:hAnsi="Arial"/>
          <w:sz w:val="22"/>
          <w:szCs w:val="22"/>
          <w:color w:val="auto"/>
        </w:rPr>
        <w:t>, issue, at any time and from time to time during the Availability Period, Letters of Credit denominated in Dollars for its own account in such form as is acceptable to such L/C Issuer in its reasonable determination. Letters of Credit issued hereunder shall constitute utilization of the Revolving Credit Commitments.</w:t>
      </w:r>
    </w:p>
    <w:p>
      <w:pPr>
        <w:spacing w:after="0" w:line="193" w:lineRule="exact"/>
        <w:rPr>
          <w:sz w:val="20"/>
          <w:szCs w:val="20"/>
          <w:color w:val="auto"/>
        </w:rPr>
      </w:pPr>
    </w:p>
    <w:p>
      <w:pPr>
        <w:jc w:val="both"/>
        <w:ind w:firstLine="656"/>
        <w:spacing w:after="0" w:line="285" w:lineRule="auto"/>
        <w:tabs>
          <w:tab w:leader="none" w:pos="115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Extension.</w:t>
      </w:r>
      <w:r>
        <w:rPr>
          <w:rFonts w:ascii="Arial" w:cs="Arial" w:eastAsia="Arial" w:hAnsi="Arial"/>
          <w:sz w:val="19"/>
          <w:szCs w:val="19"/>
          <w:color w:val="auto"/>
        </w:rPr>
        <w:t xml:space="preserve"> 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applicable L/C Issuer) to an L/C Issuer selected by it and to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Borrower also shall submit a letter of credit application and reimbursement agreement on such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an L/C Issuer relating to any Letter of Credit, the terms and conditions of this Agreement shall control.</w:t>
      </w:r>
    </w:p>
    <w:p>
      <w:pPr>
        <w:spacing w:after="0" w:line="16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the Borrower so requests in any applicable Letter of Credit Application (or the amendment of an outstanding Letter of Credit), the applicable L/C Issuer may, in its sole discretion, agree to issue a Letter of Credit that has automatic extension provisions (each, an “</w:t>
      </w:r>
      <w:r>
        <w:rPr>
          <w:rFonts w:ascii="Arial" w:cs="Arial" w:eastAsia="Arial" w:hAnsi="Arial"/>
          <w:sz w:val="21"/>
          <w:szCs w:val="21"/>
          <w:u w:val="single" w:color="auto"/>
          <w:color w:val="auto"/>
        </w:rPr>
        <w:t>Auto-Extension Letter of Credit</w:t>
      </w:r>
      <w:r>
        <w:rPr>
          <w:rFonts w:ascii="Arial" w:cs="Arial" w:eastAsia="Arial" w:hAnsi="Arial"/>
          <w:sz w:val="21"/>
          <w:szCs w:val="21"/>
          <w:color w:val="auto"/>
        </w:rPr>
        <w:t>”); provided that any such Auto-Extension Letter of Credit shall permit such L/C Issuer to prevent any such extension at least once in each twelve-month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28" w:right="339" w:bottom="1440" w:gutter="0" w:footer="0" w:header="0"/>
        </w:sectPr>
      </w:pPr>
    </w:p>
    <w:bookmarkStart w:id="327" w:name="page328"/>
    <w:bookmarkEnd w:id="327"/>
    <w:p>
      <w:pPr>
        <w:jc w:val="both"/>
        <w:spacing w:after="0" w:line="286" w:lineRule="auto"/>
        <w:rPr>
          <w:sz w:val="20"/>
          <w:szCs w:val="20"/>
          <w:color w:val="auto"/>
        </w:rPr>
      </w:pPr>
      <w:r>
        <w:rPr>
          <w:rFonts w:ascii="Arial" w:cs="Arial" w:eastAsia="Arial" w:hAnsi="Arial"/>
          <w:sz w:val="19"/>
          <w:szCs w:val="19"/>
          <w:color w:val="auto"/>
        </w:rPr>
        <w:t>(commencing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by the Borrower and the applicable L/C Issuer at the time such Letter of Credit is issued. Unless otherwise directed by the applicable L/C Issuer, the Borrower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expiration date not later than the date permitted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2.03(d)</w:t>
      </w:r>
      <w:r>
        <w:rPr>
          <w:rFonts w:ascii="Arial" w:cs="Arial" w:eastAsia="Arial" w:hAnsi="Arial"/>
          <w:sz w:val="19"/>
          <w:szCs w:val="19"/>
          <w:color w:val="auto"/>
        </w:rPr>
        <w:t xml:space="preserve">; provided, that such L/C Issuer shall not (i) permit any such extension if (A) such L/C Issuer has determined that it would not be permitted, or would have no obligation, at such time to issue such Letter of Credit in its extended form under the terms hereof (except that the expiration date may be extended to a date that is no more than one year from the then-current expiration date) or (B) it has received notice (which may be in writing or by telephone (if promptly confirmed in writing)) on or before the day that is seven Business Days before the Non-Extension Notice Date from the Administrative Agent that the Required Revolving Lenders have elected not to permit such extension or (ii) be obligated to permit such extension if it has received notice (which may be in writing or by telephone (if promptly confirmed in writing)) on or before the day that is seven Business Days before the Non-Extension Notice Date from the Administrative Agent, any Revolving Credit Lender or the Borrower that one or more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 and in each such case directing such L/C Issuer not to permit such extension.</w:t>
      </w:r>
    </w:p>
    <w:p>
      <w:pPr>
        <w:spacing w:after="0" w:line="200" w:lineRule="exact"/>
        <w:rPr>
          <w:sz w:val="20"/>
          <w:szCs w:val="20"/>
          <w:color w:val="auto"/>
        </w:rPr>
      </w:pPr>
    </w:p>
    <w:p>
      <w:pPr>
        <w:spacing w:after="0" w:line="215" w:lineRule="exact"/>
        <w:rPr>
          <w:sz w:val="20"/>
          <w:szCs w:val="20"/>
          <w:color w:val="auto"/>
        </w:rPr>
      </w:pPr>
    </w:p>
    <w:p>
      <w:pPr>
        <w:jc w:val="both"/>
        <w:ind w:firstLine="656"/>
        <w:spacing w:after="0" w:line="260" w:lineRule="auto"/>
        <w:tabs>
          <w:tab w:leader="none" w:pos="1293"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Limitations on Amounts, Issuance and Amendment</w:t>
      </w:r>
      <w:r>
        <w:rPr>
          <w:rFonts w:ascii="Arial" w:cs="Arial" w:eastAsia="Arial" w:hAnsi="Arial"/>
          <w:sz w:val="21"/>
          <w:szCs w:val="21"/>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(i) the aggregate amount of the outstanding Letters of Credit issued by any L/C Issuer shall not exceed its L/C Commitment, (ii) the aggregate L/C Obligations shall not exceed the L/C Sublimit, (iii) the Revolving Credit Exposure of any Lender shall not exceed its Revolving Credit Commitment and (iv) the sum of the total Revolving Credit Exposures shall not exceed the total Revolving Credit Commitments.</w:t>
      </w:r>
    </w:p>
    <w:p>
      <w:pPr>
        <w:spacing w:after="0" w:line="180" w:lineRule="exact"/>
        <w:rPr>
          <w:sz w:val="20"/>
          <w:szCs w:val="20"/>
          <w:color w:val="auto"/>
        </w:rPr>
      </w:pPr>
    </w:p>
    <w:p>
      <w:pPr>
        <w:ind w:left="1080" w:hanging="424"/>
        <w:spacing w:after="0"/>
        <w:tabs>
          <w:tab w:leader="none" w:pos="10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No L/C Issuer shall not be under any obligation to issue any Letter of Credit if:</w:t>
      </w:r>
    </w:p>
    <w:p>
      <w:pPr>
        <w:spacing w:after="0" w:line="219" w:lineRule="exact"/>
        <w:rPr>
          <w:rFonts w:ascii="Arial" w:cs="Arial" w:eastAsia="Arial" w:hAnsi="Arial"/>
          <w:sz w:val="22"/>
          <w:szCs w:val="22"/>
          <w:color w:val="auto"/>
        </w:rPr>
      </w:pPr>
    </w:p>
    <w:p>
      <w:pPr>
        <w:jc w:val="both"/>
        <w:ind w:left="1300" w:firstLine="652"/>
        <w:spacing w:after="0" w:line="246" w:lineRule="auto"/>
        <w:tabs>
          <w:tab w:leader="none" w:pos="2303"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28" w:right="339" w:bottom="1440" w:gutter="0" w:footer="0" w:header="0"/>
        </w:sectPr>
      </w:pPr>
    </w:p>
    <w:bookmarkStart w:id="328" w:name="page329"/>
    <w:bookmarkEnd w:id="328"/>
    <w:p>
      <w:pPr>
        <w:ind w:left="1300"/>
        <w:spacing w:after="0" w:line="263" w:lineRule="auto"/>
        <w:rPr>
          <w:sz w:val="20"/>
          <w:szCs w:val="20"/>
          <w:color w:val="auto"/>
        </w:rPr>
      </w:pPr>
      <w:r>
        <w:rPr>
          <w:rFonts w:ascii="Arial" w:cs="Arial" w:eastAsia="Arial" w:hAnsi="Arial"/>
          <w:sz w:val="22"/>
          <w:szCs w:val="22"/>
          <w:color w:val="auto"/>
        </w:rPr>
        <w:t>cost or expense which was not applicable on the Closing Date and which such L/C Issuer in good faith deems material to it;</w:t>
      </w:r>
    </w:p>
    <w:p>
      <w:pPr>
        <w:spacing w:after="0" w:line="175" w:lineRule="exact"/>
        <w:rPr>
          <w:sz w:val="20"/>
          <w:szCs w:val="20"/>
          <w:color w:val="auto"/>
        </w:rPr>
      </w:pPr>
    </w:p>
    <w:p>
      <w:pPr>
        <w:ind w:left="1300" w:firstLine="652"/>
        <w:spacing w:after="0" w:line="263" w:lineRule="auto"/>
        <w:tabs>
          <w:tab w:leader="none" w:pos="2299"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one or more policies of such L/C Issuer applicable to letters of credit generally;</w:t>
      </w:r>
    </w:p>
    <w:p>
      <w:pPr>
        <w:spacing w:after="0" w:line="174" w:lineRule="exact"/>
        <w:rPr>
          <w:rFonts w:ascii="Arial" w:cs="Arial" w:eastAsia="Arial" w:hAnsi="Arial"/>
          <w:sz w:val="22"/>
          <w:szCs w:val="22"/>
          <w:color w:val="auto"/>
        </w:rPr>
      </w:pPr>
    </w:p>
    <w:p>
      <w:pPr>
        <w:ind w:left="1300" w:firstLine="652"/>
        <w:spacing w:after="0" w:line="263" w:lineRule="auto"/>
        <w:tabs>
          <w:tab w:leader="none" w:pos="2298" w:val="left"/>
        </w:tabs>
        <w:numPr>
          <w:ilvl w:val="1"/>
          <w:numId w:val="197"/>
        </w:numPr>
        <w:rPr>
          <w:rFonts w:ascii="Arial" w:cs="Arial" w:eastAsia="Arial" w:hAnsi="Arial"/>
          <w:sz w:val="22"/>
          <w:szCs w:val="22"/>
          <w:color w:val="auto"/>
        </w:rPr>
      </w:pPr>
      <w:r>
        <w:rPr>
          <w:rFonts w:ascii="Arial" w:cs="Arial" w:eastAsia="Arial" w:hAnsi="Arial"/>
          <w:sz w:val="22"/>
          <w:szCs w:val="22"/>
          <w:color w:val="auto"/>
        </w:rPr>
        <w:t>except as otherwise agreed by the Administrative Agent and such L/C Issuer, the Letter of Credit is in an initial stated amount less than $250,000; or</w:t>
      </w:r>
    </w:p>
    <w:p>
      <w:pPr>
        <w:spacing w:after="0" w:line="174" w:lineRule="exact"/>
        <w:rPr>
          <w:rFonts w:ascii="Arial" w:cs="Arial" w:eastAsia="Arial" w:hAnsi="Arial"/>
          <w:sz w:val="22"/>
          <w:szCs w:val="22"/>
          <w:color w:val="auto"/>
        </w:rPr>
      </w:pPr>
    </w:p>
    <w:p>
      <w:pPr>
        <w:jc w:val="both"/>
        <w:ind w:left="1300" w:firstLine="652"/>
        <w:spacing w:after="0" w:line="294" w:lineRule="auto"/>
        <w:tabs>
          <w:tab w:leader="none" w:pos="233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any Revolving Credit Lender is at that time a Defaulting Lender, unless [the][such]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r>
        <w:rPr>
          <w:rFonts w:ascii="Arial" w:cs="Arial" w:eastAsia="Arial" w:hAnsi="Arial"/>
          <w:sz w:val="19"/>
          <w:szCs w:val="19"/>
          <w:b w:val="1"/>
          <w:bCs w:val="1"/>
          <w:color w:val="auto"/>
        </w:rPr>
        <w:t>.</w:t>
      </w:r>
    </w:p>
    <w:p>
      <w:pPr>
        <w:spacing w:after="0" w:line="149" w:lineRule="exact"/>
        <w:rPr>
          <w:rFonts w:ascii="Arial" w:cs="Arial" w:eastAsia="Arial" w:hAnsi="Arial"/>
          <w:sz w:val="19"/>
          <w:szCs w:val="19"/>
          <w:color w:val="auto"/>
        </w:rPr>
      </w:pPr>
    </w:p>
    <w:p>
      <w:pPr>
        <w:jc w:val="both"/>
        <w:ind w:left="660" w:hanging="4"/>
        <w:spacing w:after="0" w:line="253" w:lineRule="auto"/>
        <w:tabs>
          <w:tab w:leader="none" w:pos="1207" w:val="left"/>
        </w:tabs>
        <w:numPr>
          <w:ilvl w:val="0"/>
          <w:numId w:val="198"/>
        </w:numPr>
        <w:rPr>
          <w:rFonts w:ascii="Arial" w:cs="Arial" w:eastAsia="Arial" w:hAnsi="Arial"/>
          <w:sz w:val="22"/>
          <w:szCs w:val="22"/>
          <w:color w:val="auto"/>
        </w:rPr>
      </w:pPr>
      <w:r>
        <w:rPr>
          <w:rFonts w:ascii="Arial" w:cs="Arial" w:eastAsia="Arial" w:hAnsi="Arial"/>
          <w:sz w:val="22"/>
          <w:szCs w:val="22"/>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185" w:lineRule="exact"/>
        <w:rPr>
          <w:rFonts w:ascii="Arial" w:cs="Arial" w:eastAsia="Arial" w:hAnsi="Arial"/>
          <w:sz w:val="22"/>
          <w:szCs w:val="22"/>
          <w:color w:val="auto"/>
        </w:rPr>
      </w:pPr>
    </w:p>
    <w:p>
      <w:pPr>
        <w:jc w:val="both"/>
        <w:ind w:left="660" w:hanging="4"/>
        <w:spacing w:after="0" w:line="253" w:lineRule="auto"/>
        <w:tabs>
          <w:tab w:leader="none" w:pos="128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Upon the issuance of any Letter of Credit or amendment to a Letter of Credit pursuant to this </w:t>
      </w:r>
      <w:r>
        <w:rPr>
          <w:rFonts w:ascii="Arial" w:cs="Arial" w:eastAsia="Arial" w:hAnsi="Arial"/>
          <w:sz w:val="22"/>
          <w:szCs w:val="22"/>
          <w:u w:val="single" w:color="auto"/>
          <w:color w:val="auto"/>
        </w:rPr>
        <w:t>Section 2.03</w:t>
      </w:r>
      <w:r>
        <w:rPr>
          <w:rFonts w:ascii="Arial" w:cs="Arial" w:eastAsia="Arial" w:hAnsi="Arial"/>
          <w:sz w:val="22"/>
          <w:szCs w:val="22"/>
          <w:color w:val="auto"/>
        </w:rPr>
        <w:t>, the applicable L/C Issuer shall promptly notify the Administrative Agent of such issuance or amendment, which notice shall be accompanied by a copy of such Letter of Credit or amendment.</w:t>
      </w:r>
    </w:p>
    <w:p>
      <w:pPr>
        <w:spacing w:after="0" w:line="185" w:lineRule="exact"/>
        <w:rPr>
          <w:rFonts w:ascii="Arial" w:cs="Arial" w:eastAsia="Arial" w:hAnsi="Arial"/>
          <w:sz w:val="22"/>
          <w:szCs w:val="22"/>
          <w:color w:val="auto"/>
        </w:rPr>
      </w:pPr>
    </w:p>
    <w:p>
      <w:pPr>
        <w:jc w:val="both"/>
        <w:ind w:left="660" w:hanging="4"/>
        <w:spacing w:after="0" w:line="253" w:lineRule="auto"/>
        <w:tabs>
          <w:tab w:leader="none" w:pos="1296"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Each L/C Issuer shall promptly furnish to the Administrative Agent any information which may be reasonably requested by it with respect to any Letters of Credit issued by such L/C Issuer under this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(including any L/C Disbursement thereunder).</w:t>
      </w:r>
    </w:p>
    <w:p>
      <w:pPr>
        <w:spacing w:after="0" w:line="185" w:lineRule="exact"/>
        <w:rPr>
          <w:sz w:val="20"/>
          <w:szCs w:val="20"/>
          <w:color w:val="auto"/>
        </w:rPr>
      </w:pPr>
    </w:p>
    <w:p>
      <w:pPr>
        <w:jc w:val="both"/>
        <w:ind w:firstLine="656"/>
        <w:spacing w:after="0" w:line="288" w:lineRule="auto"/>
        <w:tabs>
          <w:tab w:leader="none" w:pos="1197" w:val="left"/>
        </w:tabs>
        <w:numPr>
          <w:ilvl w:val="1"/>
          <w:numId w:val="199"/>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Each Letter of Credit shall have a stated expiration date no later than the earlier of (i) the date twelve months after the date of the issuance of such Letter of Credit (or, in the case of any extension of the expiration date thereof, whether automatic or by amendment, twelve months after the then-current expiration date of such Letter of Credit) and</w:t>
      </w:r>
    </w:p>
    <w:p>
      <w:pPr>
        <w:ind w:left="320" w:hanging="312"/>
        <w:spacing w:after="0"/>
        <w:tabs>
          <w:tab w:leader="none" w:pos="32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date that is five Business Days prior to the Maturity Date.</w:t>
      </w:r>
    </w:p>
    <w:p>
      <w:pPr>
        <w:spacing w:after="0" w:line="201" w:lineRule="exact"/>
        <w:rPr>
          <w:rFonts w:ascii="Arial" w:cs="Arial" w:eastAsia="Arial" w:hAnsi="Arial"/>
          <w:sz w:val="22"/>
          <w:szCs w:val="22"/>
          <w:color w:val="auto"/>
        </w:rPr>
      </w:pPr>
    </w:p>
    <w:p>
      <w:pPr>
        <w:jc w:val="both"/>
        <w:ind w:firstLine="656"/>
        <w:spacing w:after="0" w:line="263" w:lineRule="auto"/>
        <w:tabs>
          <w:tab w:leader="none" w:pos="1158" w:val="left"/>
        </w:tabs>
        <w:numPr>
          <w:ilvl w:val="1"/>
          <w:numId w:val="200"/>
        </w:numPr>
        <w:rPr>
          <w:rFonts w:ascii="Arial" w:cs="Arial" w:eastAsia="Arial" w:hAnsi="Arial"/>
          <w:sz w:val="21"/>
          <w:szCs w:val="21"/>
          <w:color w:val="auto"/>
        </w:rPr>
      </w:pPr>
      <w:r>
        <w:rPr>
          <w:rFonts w:ascii="Arial" w:cs="Arial" w:eastAsia="Arial" w:hAnsi="Arial"/>
          <w:sz w:val="21"/>
          <w:szCs w:val="21"/>
          <w:u w:val="single" w:color="auto"/>
          <w:color w:val="auto"/>
        </w:rPr>
        <w:t>Participations</w:t>
      </w:r>
      <w:r>
        <w:rPr>
          <w:rFonts w:ascii="Arial" w:cs="Arial" w:eastAsia="Arial" w:hAnsi="Arial"/>
          <w:sz w:val="21"/>
          <w:szCs w:val="21"/>
          <w:color w:val="auto"/>
        </w:rPr>
        <w:t>. By the issuance of a Letter of Credit (or an amendment to a Letter of Credit increasing the amount or extending the expiration date thereof), and without any further action on the part of the applicable L/C Issuer or the Lenders, such L/C Issuer hereby grants to each Revolving Credit Lender, and each Revolving Credit Lender hereby acquires from such L/C Issuer, a participation in such Letter of Credit equal to such Lender’s Applicable Percentage of the aggregate amount available to be drawn under such Letter of Credit. Each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28" w:right="339" w:bottom="1440" w:gutter="0" w:footer="0" w:header="0"/>
        </w:sectPr>
      </w:pPr>
    </w:p>
    <w:bookmarkStart w:id="329" w:name="page330"/>
    <w:bookmarkEnd w:id="329"/>
    <w:p>
      <w:pPr>
        <w:jc w:val="both"/>
        <w:spacing w:after="0" w:line="250" w:lineRule="auto"/>
        <w:rPr>
          <w:sz w:val="20"/>
          <w:szCs w:val="20"/>
          <w:color w:val="auto"/>
        </w:rPr>
      </w:pPr>
      <w:r>
        <w:rPr>
          <w:rFonts w:ascii="Arial" w:cs="Arial" w:eastAsia="Arial" w:hAnsi="Arial"/>
          <w:sz w:val="22"/>
          <w:szCs w:val="22"/>
          <w:color w:val="auto"/>
        </w:rPr>
        <w:t xml:space="preserve">Lender acknowledges and agrees that its obligation to acquire participations pursuant to this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Credit Commitments.</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In consideration and in furtherance of the foregoing, each Revolving Credit Lender hereby absolutely, unconditionally and irrevocably agrees to pay to the Administrative Agent, for account of the applicable L/C Issuer, such Lender’s Applicable Percentage of each L/C Disbursement made by an L/C Issuer not later than 1:00 p.m. on the Business Day specified in the notice provided by the Administrative Agent to the Revolving Credit Lenders pursuant to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xml:space="preserve">, to the payment obligations of the Revolving Credit Lenders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the Administrative Agent shall promptly pay to the applicable L/C Issuer the amounts so received by it from the Lenders. Promptly following receipt by the Administrative Agent of any payment from the Borrower pursuant to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the Administrative Agent shall distribute such payment to the applicable L/C Issuer or, to the extent that the Revolving Credit Lenders have made payments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to reimburse such L/C Issuer, then to such Lenders and such L/C Issuer as their interests may appear. Any payment made by a Lender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to reimburse an L/C Issuer for any L/C Disbursement shall not constitute a Loan and shall not relieve the Borrower of its obligation to reimburse such L/C Disbursement.</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Each Revolving Credit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as a result of an assignment in accordance with </w:t>
      </w:r>
      <w:r>
        <w:rPr>
          <w:rFonts w:ascii="Arial" w:cs="Arial" w:eastAsia="Arial" w:hAnsi="Arial"/>
          <w:sz w:val="22"/>
          <w:szCs w:val="22"/>
          <w:u w:val="single" w:color="auto"/>
          <w:color w:val="auto"/>
        </w:rPr>
        <w:t>Section 11.06</w:t>
      </w:r>
      <w:r>
        <w:rPr>
          <w:rFonts w:ascii="Arial" w:cs="Arial" w:eastAsia="Arial" w:hAnsi="Arial"/>
          <w:sz w:val="22"/>
          <w:szCs w:val="22"/>
          <w:color w:val="auto"/>
        </w:rPr>
        <w:t xml:space="preserve"> or otherwise pursuant to this Agreement.</w:t>
      </w:r>
    </w:p>
    <w:p>
      <w:pPr>
        <w:spacing w:after="0" w:line="18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[If any Revolving Credit Lender fails to make available to the Administrative Agent for the account of the applicable L/C Issuer any amount required to be paid by such Lender pursuant to the foregoing provisions of this </w:t>
      </w:r>
      <w:r>
        <w:rPr>
          <w:rFonts w:ascii="Arial" w:cs="Arial" w:eastAsia="Arial" w:hAnsi="Arial"/>
          <w:sz w:val="19"/>
          <w:szCs w:val="19"/>
          <w:u w:val="single" w:color="auto"/>
          <w:color w:val="auto"/>
        </w:rPr>
        <w:t>Section 2.03(e)</w:t>
      </w:r>
      <w:r>
        <w:rPr>
          <w:rFonts w:ascii="Arial" w:cs="Arial" w:eastAsia="Arial" w:hAnsi="Arial"/>
          <w:sz w:val="19"/>
          <w:szCs w:val="19"/>
          <w:color w:val="auto"/>
        </w:rPr>
        <w:t>,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applicable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28" w:right="339" w:bottom="1440" w:gutter="0" w:footer="0" w:header="0"/>
        </w:sectPr>
      </w:pPr>
    </w:p>
    <w:bookmarkStart w:id="330" w:name="page331"/>
    <w:bookmarkEnd w:id="330"/>
    <w:p>
      <w:pPr>
        <w:jc w:val="both"/>
        <w:spacing w:after="0" w:line="253" w:lineRule="auto"/>
        <w:rPr>
          <w:sz w:val="20"/>
          <w:szCs w:val="20"/>
          <w:color w:val="auto"/>
        </w:rPr>
      </w:pPr>
      <w:r>
        <w:rPr>
          <w:rFonts w:ascii="Arial" w:cs="Arial" w:eastAsia="Arial" w:hAnsi="Arial"/>
          <w:sz w:val="22"/>
          <w:szCs w:val="22"/>
          <w:color w:val="auto"/>
        </w:rPr>
        <w:t xml:space="preserve">Advance in respect of the relevant L/C Borrowing, as the case may be. A certificate of any L/C Issuer submitted to any Revolving Credit Lender (through the Administrative Agent) with respect to any amounts owing under this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shall be conclusive absent manifest error.]</w:t>
      </w:r>
    </w:p>
    <w:p>
      <w:pPr>
        <w:spacing w:after="0" w:line="185" w:lineRule="exact"/>
        <w:rPr>
          <w:sz w:val="20"/>
          <w:szCs w:val="20"/>
          <w:color w:val="auto"/>
        </w:rPr>
      </w:pPr>
    </w:p>
    <w:p>
      <w:pPr>
        <w:jc w:val="both"/>
        <w:ind w:firstLine="656"/>
        <w:spacing w:after="0" w:line="285" w:lineRule="auto"/>
        <w:tabs>
          <w:tab w:leader="none" w:pos="1093"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 L/C Issuer shall make any L/C Disbursement in respect of a Letter of Credit, it shall promptly notify the Administrative Agent and the Borrower pursuant to the provisions of </w:t>
      </w:r>
      <w:r>
        <w:rPr>
          <w:rFonts w:ascii="Arial" w:cs="Arial" w:eastAsia="Arial" w:hAnsi="Arial"/>
          <w:sz w:val="19"/>
          <w:szCs w:val="19"/>
          <w:u w:val="single" w:color="auto"/>
          <w:color w:val="auto"/>
        </w:rPr>
        <w:t>clause (l)</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the Borrower shall reimburse such L/C Issuer in respect of such L/C Disbursement by paying to such L/C Issuer an amount equal to such L/C Disbursement not later than 12:00 noon on (i) the Business Day that the Borrower receives notice of such L/C Disbursement, if such notice is received prior to 10:00 a.m. or (ii) the Business Day immediately following the day that the Borrower receives such notice, if such notice is not received prior to such time, provided that, if such L/C Disbursement is not less than $[1,000,000], the Borrower may, subject to the conditions to borrowing set forth herein, request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that such payment be financed with a Borrowing of Base Rate Loans or Swing Line Loan in an equivalent amount and, to the extent so financed, the Borrower’s obligation to make such payment shall be discharged and replaced by the resulting Borrowing of Base Rate Loans or Swing Line Loan. If the Borrower fails to make such payment when due, the applicable L/C Issuer shall notify the Administrative Agent, which, in turn, shall notify each Revolving Credit Lender of the applicable L/C Disbursement, the payment then due from the Borrower in respect thereof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and such Lender’s Applicable Percentage thereof. In such event, the Borrower shall be deemed to have requested a Revolving Credit Borrowing of Base Rate Loans to be disbursed on the date of payment by the applicable L/C Issuer under a Letter of Credit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aggregate Revolving Credit Commitments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Committed Loan Notice). Any notice given by any L/C Issuer or the Administrative Agent pursuant to this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may be given by telephone if immediately confirmed in writing; provided that the lack of such an immediate confirmation shall not affect the conclusiveness or binding effect of such notice.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656"/>
        <w:spacing w:after="0" w:line="253" w:lineRule="auto"/>
        <w:tabs>
          <w:tab w:leader="none" w:pos="1170"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Obligations Absolute</w:t>
      </w:r>
      <w:r>
        <w:rPr>
          <w:rFonts w:ascii="Arial" w:cs="Arial" w:eastAsia="Arial" w:hAnsi="Arial"/>
          <w:sz w:val="22"/>
          <w:szCs w:val="22"/>
          <w:color w:val="auto"/>
        </w:rPr>
        <w:t xml:space="preserve">. The Borrower’s obligation to reimburse L/C Disbursements as provided in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shall be absolute, unconditional and irrevocable, and shall be performed strictly in accordance with the terms of this Agreement under any and all circumstances whatsoever and irrespective of:</w:t>
      </w:r>
    </w:p>
    <w:p>
      <w:pPr>
        <w:spacing w:after="0" w:line="185" w:lineRule="exact"/>
        <w:rPr>
          <w:rFonts w:ascii="Arial" w:cs="Arial" w:eastAsia="Arial" w:hAnsi="Arial"/>
          <w:sz w:val="22"/>
          <w:szCs w:val="22"/>
          <w:color w:val="auto"/>
        </w:rPr>
      </w:pPr>
    </w:p>
    <w:p>
      <w:pPr>
        <w:ind w:left="660" w:firstLine="644"/>
        <w:spacing w:after="0" w:line="263" w:lineRule="auto"/>
        <w:tabs>
          <w:tab w:leader="none" w:pos="1743" w:val="left"/>
        </w:tabs>
        <w:numPr>
          <w:ilvl w:val="1"/>
          <w:numId w:val="201"/>
        </w:numPr>
        <w:rPr>
          <w:rFonts w:ascii="Arial" w:cs="Arial" w:eastAsia="Arial" w:hAnsi="Arial"/>
          <w:sz w:val="22"/>
          <w:szCs w:val="22"/>
          <w:color w:val="auto"/>
        </w:rPr>
      </w:pPr>
      <w:r>
        <w:rPr>
          <w:rFonts w:ascii="Arial" w:cs="Arial" w:eastAsia="Arial" w:hAnsi="Arial"/>
          <w:sz w:val="22"/>
          <w:szCs w:val="22"/>
          <w:color w:val="auto"/>
        </w:rPr>
        <w:t>any lack of validity or enforceability of this Agreement, any other Loan Document or any Letter of Credit, or any term or provision herein or therein;</w:t>
      </w:r>
    </w:p>
    <w:p>
      <w:pPr>
        <w:spacing w:after="0" w:line="174" w:lineRule="exact"/>
        <w:rPr>
          <w:rFonts w:ascii="Arial" w:cs="Arial" w:eastAsia="Arial" w:hAnsi="Arial"/>
          <w:sz w:val="22"/>
          <w:szCs w:val="22"/>
          <w:color w:val="auto"/>
        </w:rPr>
      </w:pPr>
    </w:p>
    <w:p>
      <w:pPr>
        <w:jc w:val="both"/>
        <w:ind w:left="660" w:firstLine="644"/>
        <w:spacing w:after="0" w:line="248" w:lineRule="auto"/>
        <w:tabs>
          <w:tab w:leader="none" w:pos="1836" w:val="left"/>
        </w:tabs>
        <w:numPr>
          <w:ilvl w:val="1"/>
          <w:numId w:val="201"/>
        </w:numPr>
        <w:rPr>
          <w:rFonts w:ascii="Arial" w:cs="Arial" w:eastAsia="Arial" w:hAnsi="Arial"/>
          <w:sz w:val="22"/>
          <w:szCs w:val="22"/>
          <w:color w:val="auto"/>
        </w:rPr>
      </w:pPr>
      <w:r>
        <w:rPr>
          <w:rFonts w:ascii="Arial" w:cs="Arial" w:eastAsia="Arial" w:hAnsi="Arial"/>
          <w:sz w:val="22"/>
          <w:szCs w:val="22"/>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28" w:right="339" w:bottom="1440" w:gutter="0" w:footer="0" w:header="0"/>
        </w:sectPr>
      </w:pPr>
    </w:p>
    <w:bookmarkStart w:id="331" w:name="page332"/>
    <w:bookmarkEnd w:id="331"/>
    <w:p>
      <w:pPr>
        <w:jc w:val="both"/>
        <w:ind w:left="660" w:firstLine="644"/>
        <w:spacing w:after="0" w:line="253" w:lineRule="auto"/>
        <w:tabs>
          <w:tab w:leader="none" w:pos="1861"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any draft, demand, certificate or other document presented under such Letter of Credit proving to be forged, fraudulent, invalid or insufficient in any respect or any statement in such draft or other document being untrue or inaccurate in any respect;</w:t>
      </w:r>
    </w:p>
    <w:p>
      <w:pPr>
        <w:spacing w:after="0" w:line="185" w:lineRule="exact"/>
        <w:rPr>
          <w:rFonts w:ascii="Arial" w:cs="Arial" w:eastAsia="Arial" w:hAnsi="Arial"/>
          <w:sz w:val="22"/>
          <w:szCs w:val="22"/>
          <w:color w:val="auto"/>
        </w:rPr>
      </w:pPr>
    </w:p>
    <w:p>
      <w:pPr>
        <w:ind w:left="660" w:firstLine="644"/>
        <w:spacing w:after="0" w:line="343" w:lineRule="auto"/>
        <w:tabs>
          <w:tab w:leader="none" w:pos="198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waiver by any L/C Issuer of any requirement that exists for such L/C Issuer’s protection and not the protection of the Borrower or any waiver by such L/C Issuer which does not in fact materially prejudice the Borrower;</w:t>
      </w:r>
    </w:p>
    <w:p>
      <w:pPr>
        <w:spacing w:after="0" w:line="104" w:lineRule="exact"/>
        <w:rPr>
          <w:rFonts w:ascii="Arial" w:cs="Arial" w:eastAsia="Arial" w:hAnsi="Arial"/>
          <w:sz w:val="19"/>
          <w:szCs w:val="19"/>
          <w:color w:val="auto"/>
        </w:rPr>
      </w:pPr>
    </w:p>
    <w:p>
      <w:pPr>
        <w:ind w:left="1780" w:hanging="476"/>
        <w:spacing w:after="0"/>
        <w:tabs>
          <w:tab w:leader="none" w:pos="178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660" w:firstLine="644"/>
        <w:spacing w:after="0" w:line="263" w:lineRule="auto"/>
        <w:tabs>
          <w:tab w:leader="none" w:pos="2022" w:val="left"/>
        </w:tabs>
        <w:numPr>
          <w:ilvl w:val="0"/>
          <w:numId w:val="202"/>
        </w:numPr>
        <w:rPr>
          <w:rFonts w:ascii="Arial" w:cs="Arial" w:eastAsia="Arial" w:hAnsi="Arial"/>
          <w:sz w:val="22"/>
          <w:szCs w:val="22"/>
          <w:color w:val="auto"/>
        </w:rPr>
      </w:pPr>
      <w:r>
        <w:rPr>
          <w:rFonts w:ascii="Arial" w:cs="Arial" w:eastAsia="Arial" w:hAnsi="Arial"/>
          <w:sz w:val="22"/>
          <w:szCs w:val="22"/>
          <w:color w:val="auto"/>
        </w:rPr>
        <w:t>payment by the applicable L/C Issuer under a Letter of Credit against presentation of a draft or other document that does not comply strictly with the terms of such Letter of Credit; or</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6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any other event or circumstance whatsoever, whether or not similar to any of the foregoing, that might, but for the provisions of this </w:t>
      </w:r>
      <w:r>
        <w:rPr>
          <w:rFonts w:ascii="Arial" w:cs="Arial" w:eastAsia="Arial" w:hAnsi="Arial"/>
          <w:sz w:val="22"/>
          <w:szCs w:val="22"/>
          <w:u w:val="single" w:color="auto"/>
          <w:color w:val="auto"/>
        </w:rPr>
        <w:t>Section 2.03</w:t>
      </w:r>
      <w:r>
        <w:rPr>
          <w:rFonts w:ascii="Arial" w:cs="Arial" w:eastAsia="Arial" w:hAnsi="Arial"/>
          <w:sz w:val="22"/>
          <w:szCs w:val="22"/>
          <w:color w:val="auto"/>
        </w:rPr>
        <w:t>, constitute a legal or equitable discharge of, or provide a right of setoff against, the Borrower’s obligations hereunder.</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 L/C Issuer from liability to the Borrower to the extent of any direct damages (as opposed to consequential damages, claims in respect of which are hereby waived by the Borrower to the extent permitted by Applicable Law) suffered by the Borrower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spacing w:after="0" w:line="200" w:lineRule="exact"/>
        <w:rPr>
          <w:sz w:val="20"/>
          <w:szCs w:val="20"/>
          <w:color w:val="auto"/>
        </w:rPr>
      </w:pPr>
    </w:p>
    <w:p>
      <w:pPr>
        <w:spacing w:after="0" w:line="215" w:lineRule="exact"/>
        <w:rPr>
          <w:sz w:val="20"/>
          <w:szCs w:val="20"/>
          <w:color w:val="auto"/>
        </w:rPr>
      </w:pPr>
    </w:p>
    <w:p>
      <w:pPr>
        <w:ind w:left="660" w:right="20" w:firstLine="644"/>
        <w:spacing w:after="0" w:line="287" w:lineRule="auto"/>
        <w:tabs>
          <w:tab w:leader="none" w:pos="1882" w:val="left"/>
        </w:tabs>
        <w:numPr>
          <w:ilvl w:val="0"/>
          <w:numId w:val="203"/>
        </w:numPr>
        <w:rPr>
          <w:rFonts w:ascii="Arial" w:cs="Arial" w:eastAsia="Arial" w:hAnsi="Arial"/>
          <w:sz w:val="21"/>
          <w:szCs w:val="21"/>
          <w:color w:val="auto"/>
        </w:rPr>
      </w:pPr>
      <w:r>
        <w:rPr>
          <w:rFonts w:ascii="Arial" w:cs="Arial" w:eastAsia="Arial" w:hAnsi="Arial"/>
          <w:sz w:val="21"/>
          <w:szCs w:val="21"/>
          <w:color w:val="auto"/>
        </w:rPr>
        <w:t>an L/C Issuer may replace a purportedly lost, stolen, or destroyed original Letter of Credit or missing amendment thereto with a certified true copy marked as such or waive a requirement for its presentation;</w:t>
      </w:r>
    </w:p>
    <w:p>
      <w:pPr>
        <w:spacing w:after="0" w:line="151" w:lineRule="exact"/>
        <w:rPr>
          <w:rFonts w:ascii="Arial" w:cs="Arial" w:eastAsia="Arial" w:hAnsi="Arial"/>
          <w:sz w:val="21"/>
          <w:szCs w:val="21"/>
          <w:color w:val="auto"/>
        </w:rPr>
      </w:pPr>
    </w:p>
    <w:p>
      <w:pPr>
        <w:ind w:left="660" w:right="100" w:firstLine="644"/>
        <w:spacing w:after="0" w:line="253" w:lineRule="auto"/>
        <w:tabs>
          <w:tab w:leader="none" w:pos="1788"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an L/C Issuer may accept documents that appear on their face to be in substantial compliance with the terms of a Letter of Credit without responsibility for further investigation, regardless of any notice or information to the contrary,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28" w:right="339" w:bottom="1440" w:gutter="0" w:footer="0" w:header="0"/>
        </w:sectPr>
      </w:pPr>
    </w:p>
    <w:bookmarkStart w:id="332" w:name="page333"/>
    <w:bookmarkEnd w:id="332"/>
    <w:p>
      <w:pPr>
        <w:ind w:left="660" w:right="100"/>
        <w:spacing w:after="0" w:line="287" w:lineRule="auto"/>
        <w:rPr>
          <w:sz w:val="20"/>
          <w:szCs w:val="20"/>
          <w:color w:val="auto"/>
        </w:rPr>
      </w:pPr>
      <w:r>
        <w:rPr>
          <w:rFonts w:ascii="Arial" w:cs="Arial" w:eastAsia="Arial" w:hAnsi="Arial"/>
          <w:sz w:val="21"/>
          <w:szCs w:val="21"/>
          <w:color w:val="auto"/>
        </w:rPr>
        <w:t>make payment upon presentation of documents that appear on their face to be in substantial compliance with the terms of such Letter of Credit and without regard to any non-documentary condition in such Letter of Credit;</w:t>
      </w:r>
    </w:p>
    <w:p>
      <w:pPr>
        <w:spacing w:after="0" w:line="151" w:lineRule="exact"/>
        <w:rPr>
          <w:sz w:val="20"/>
          <w:szCs w:val="20"/>
          <w:color w:val="auto"/>
        </w:rPr>
      </w:pPr>
    </w:p>
    <w:p>
      <w:pPr>
        <w:ind w:left="660" w:right="360" w:firstLine="644"/>
        <w:spacing w:after="0" w:line="343" w:lineRule="auto"/>
        <w:tabs>
          <w:tab w:leader="none" w:pos="1848"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an L/C Issuer shall have the right, in its sole discretion, to decline to accept such documents and to make such payment if such documents are not in strict compliance with the terms of such Letter of Credit; and</w:t>
      </w:r>
    </w:p>
    <w:p>
      <w:pPr>
        <w:spacing w:after="0" w:line="104" w:lineRule="exact"/>
        <w:rPr>
          <w:rFonts w:ascii="Arial" w:cs="Arial" w:eastAsia="Arial" w:hAnsi="Arial"/>
          <w:sz w:val="19"/>
          <w:szCs w:val="19"/>
          <w:color w:val="auto"/>
        </w:rPr>
      </w:pPr>
    </w:p>
    <w:p>
      <w:pPr>
        <w:ind w:left="660" w:right="60" w:firstLine="644"/>
        <w:spacing w:after="0" w:line="312" w:lineRule="auto"/>
        <w:tabs>
          <w:tab w:leader="none" w:pos="1836"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Without limiting the foregoing, none of the Administrative Agent, the Lenders, any L/C Issuer, or any of their Related Parties shall have any liability or responsibility by reason of (i) any presentation that includes forged or fraudulent documents or that is otherwise affected by the fraudulent, bad faith, or illegal conduct of the beneficiary or other Person, (ii) an L/C Issuer declining to take-up documents and make payment (A) against documents that are fraudulent, forged, or for other reasons by which that it is entitled not to honor or (B) following a Borrower’s waiver of discrepancies with respect to such documents or request for honor of such documents or (iii)an L/C Issuer retaining proceeds of a Letter of Credit based on an apparently applicable attachment order, blocking regulation, or third-party claim notified to such L/C Issuer.</w:t>
      </w:r>
    </w:p>
    <w:p>
      <w:pPr>
        <w:spacing w:after="0" w:line="151" w:lineRule="exact"/>
        <w:rPr>
          <w:sz w:val="20"/>
          <w:szCs w:val="20"/>
          <w:color w:val="auto"/>
        </w:rPr>
      </w:pPr>
    </w:p>
    <w:p>
      <w:pPr>
        <w:jc w:val="both"/>
        <w:ind w:firstLine="656"/>
        <w:spacing w:after="0" w:line="289" w:lineRule="auto"/>
        <w:tabs>
          <w:tab w:leader="none" w:pos="1183"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applicable L/C Issuer and the Borrower when a Letter of Credit is issued by it, (i) the rules of the ISP shall apply to each standby Letter of Credit, and (ii) the rules of the UCP shall apply to each commercial Letter of Credit. Notwithstanding the foregoing, no L/C Issuer shall be responsible to the Borrower for, and no L/C Issuer’s rights and remedies against the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56" w:lineRule="exact"/>
        <w:rPr>
          <w:rFonts w:ascii="Arial" w:cs="Arial" w:eastAsia="Arial" w:hAnsi="Arial"/>
          <w:sz w:val="19"/>
          <w:szCs w:val="19"/>
          <w:color w:val="auto"/>
        </w:rPr>
      </w:pPr>
    </w:p>
    <w:p>
      <w:pPr>
        <w:jc w:val="both"/>
        <w:ind w:firstLine="656"/>
        <w:spacing w:after="0" w:line="247" w:lineRule="auto"/>
        <w:tabs>
          <w:tab w:leader="none" w:pos="1219"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included such L/C Issuer with respect to such acts or omissions, and (B) as additionally provided herein with respect to such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28" w:right="339" w:bottom="1440" w:gutter="0" w:footer="0" w:header="0"/>
        </w:sectPr>
      </w:pPr>
    </w:p>
    <w:bookmarkStart w:id="333" w:name="page334"/>
    <w:bookmarkEnd w:id="333"/>
    <w:p>
      <w:pPr>
        <w:jc w:val="both"/>
        <w:ind w:firstLine="656"/>
        <w:spacing w:after="0" w:line="288" w:lineRule="auto"/>
        <w:tabs>
          <w:tab w:leader="none" w:pos="1095"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equal to the Applicable Rate for Revolving Loans that are Eurodollar Rate Loans,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average daily aggregate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Letter of Credit Fees shall be (i) due and payable on the first Business Day after the end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w:t>
      </w:r>
    </w:p>
    <w:p>
      <w:pPr>
        <w:spacing w:after="0" w:line="159" w:lineRule="exact"/>
        <w:rPr>
          <w:rFonts w:ascii="Arial" w:cs="Arial" w:eastAsia="Arial" w:hAnsi="Arial"/>
          <w:sz w:val="19"/>
          <w:szCs w:val="19"/>
          <w:color w:val="auto"/>
        </w:rPr>
      </w:pPr>
    </w:p>
    <w:p>
      <w:pPr>
        <w:jc w:val="both"/>
        <w:ind w:firstLine="656"/>
        <w:spacing w:after="0" w:line="286" w:lineRule="auto"/>
        <w:tabs>
          <w:tab w:leader="none" w:pos="1156"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 Issuers</w:t>
      </w:r>
      <w:r>
        <w:rPr>
          <w:rFonts w:ascii="Arial" w:cs="Arial" w:eastAsia="Arial" w:hAnsi="Arial"/>
          <w:sz w:val="19"/>
          <w:szCs w:val="19"/>
          <w:color w:val="auto"/>
        </w:rPr>
        <w:t xml:space="preserve">. The Borrower shall pay directly to the applicable L/C Issuer for its own account a fronting fee (i) with respect to each commercial Letter of Credit, at a rate per annum equal to the percentage separately agreed upon between the Borrower and such L/C Issuer, computed on the amount of such Letter of Credit, and payable upon the issuance thereof, (ii) with respect to any amendment of a commercial Letter of Credit increasing the amount of such Letter of Credit, at a rate separately agreed between the Borrower and such L/C Issuer, computed on the amount of such increase, and payable upon the effectiveness of such amendment, and (iii) with respect to each standby Letter of Credit, at the rate per annum equal to the percentage separately agreed upon between the Borrower and such L/C Issuer,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294" w:lineRule="auto"/>
        <w:tabs>
          <w:tab w:leader="none" w:pos="1068"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Borrower in writing of such demand for payment if such L/C Issuer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 of its obligation to reimburse such L/C Issuer and the Lenders with respect to any such L/C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28" w:right="339" w:bottom="1440" w:gutter="0" w:footer="0" w:header="0"/>
        </w:sectPr>
      </w:pPr>
    </w:p>
    <w:bookmarkStart w:id="334" w:name="page335"/>
    <w:bookmarkEnd w:id="334"/>
    <w:p>
      <w:pPr>
        <w:jc w:val="both"/>
        <w:ind w:firstLine="656"/>
        <w:spacing w:after="0" w:line="259" w:lineRule="auto"/>
        <w:tabs>
          <w:tab w:leader="none" w:pos="1297" w:val="left"/>
        </w:tabs>
        <w:numPr>
          <w:ilvl w:val="0"/>
          <w:numId w:val="207"/>
        </w:numPr>
        <w:rPr>
          <w:rFonts w:ascii="Arial" w:cs="Arial" w:eastAsia="Arial" w:hAnsi="Arial"/>
          <w:sz w:val="21"/>
          <w:szCs w:val="21"/>
          <w:color w:val="auto"/>
        </w:rPr>
      </w:pPr>
      <w:r>
        <w:rPr>
          <w:rFonts w:ascii="Arial" w:cs="Arial" w:eastAsia="Arial" w:hAnsi="Arial"/>
          <w:sz w:val="21"/>
          <w:szCs w:val="21"/>
          <w:u w:val="single" w:color="auto"/>
          <w:color w:val="auto"/>
        </w:rPr>
        <w:t>Interim Interest</w:t>
      </w:r>
      <w:r>
        <w:rPr>
          <w:rFonts w:ascii="Arial" w:cs="Arial" w:eastAsia="Arial" w:hAnsi="Arial"/>
          <w:sz w:val="21"/>
          <w:szCs w:val="21"/>
          <w:color w:val="auto"/>
        </w:rPr>
        <w:t xml:space="preserve">. If the L/C Issuer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Borrower fails to reimburse such L/C Disbursement when due pursuant to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then </w:t>
      </w:r>
      <w:r>
        <w:rPr>
          <w:rFonts w:ascii="Arial" w:cs="Arial" w:eastAsia="Arial" w:hAnsi="Arial"/>
          <w:sz w:val="21"/>
          <w:szCs w:val="21"/>
          <w:u w:val="single" w:color="auto"/>
          <w:color w:val="auto"/>
        </w:rPr>
        <w:t>Section 2.08(b)</w:t>
      </w:r>
      <w:r>
        <w:rPr>
          <w:rFonts w:ascii="Arial" w:cs="Arial" w:eastAsia="Arial" w:hAnsi="Arial"/>
          <w:sz w:val="21"/>
          <w:szCs w:val="21"/>
          <w:color w:val="auto"/>
        </w:rPr>
        <w:t xml:space="preserve"> shall apply. Interest accrued pursuant to this </w:t>
      </w:r>
      <w:r>
        <w:rPr>
          <w:rFonts w:ascii="Arial" w:cs="Arial" w:eastAsia="Arial" w:hAnsi="Arial"/>
          <w:sz w:val="21"/>
          <w:szCs w:val="21"/>
          <w:u w:val="single" w:color="auto"/>
          <w:color w:val="auto"/>
        </w:rPr>
        <w:t>clause (m)</w:t>
      </w:r>
      <w:r>
        <w:rPr>
          <w:rFonts w:ascii="Arial" w:cs="Arial" w:eastAsia="Arial" w:hAnsi="Arial"/>
          <w:sz w:val="21"/>
          <w:szCs w:val="21"/>
          <w:color w:val="auto"/>
        </w:rPr>
        <w:t xml:space="preserve"> shall be for account of such L/C Issuer, except that interest accrued on and after the date of payment by any Lender pursuant to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to reimburse such L/C Issuer shall be for account of such Lender to the extent of such payment.</w:t>
      </w:r>
    </w:p>
    <w:p>
      <w:pPr>
        <w:spacing w:after="0" w:line="183" w:lineRule="exact"/>
        <w:rPr>
          <w:rFonts w:ascii="Arial" w:cs="Arial" w:eastAsia="Arial" w:hAnsi="Arial"/>
          <w:sz w:val="21"/>
          <w:szCs w:val="21"/>
          <w:color w:val="auto"/>
        </w:rPr>
      </w:pPr>
    </w:p>
    <w:p>
      <w:pPr>
        <w:jc w:val="both"/>
        <w:ind w:firstLine="656"/>
        <w:spacing w:after="0" w:line="288" w:lineRule="auto"/>
        <w:tabs>
          <w:tab w:leader="none" w:pos="1210"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Replacement of any L/C Issuer</w:t>
      </w:r>
      <w:r>
        <w:rPr>
          <w:rFonts w:ascii="Arial" w:cs="Arial" w:eastAsia="Arial" w:hAnsi="Arial"/>
          <w:sz w:val="19"/>
          <w:szCs w:val="19"/>
          <w:color w:val="auto"/>
        </w:rPr>
        <w:t xml:space="preserve">. Any L/C Issuer may be replaced at any time by written agreement between the Borrower, the Administrative Agent, the replaced L/C Issuer and the successor L/C Issuer. The Administrative Agent shall notify the Lenders of any such replacement of an L/C Issuer. At the time any such replacement shall become effective, the Borrower shall pay all unpaid fees accrued for the account of the replaced L/C Issuer pursuant to </w:t>
      </w:r>
      <w:r>
        <w:rPr>
          <w:rFonts w:ascii="Arial" w:cs="Arial" w:eastAsia="Arial" w:hAnsi="Arial"/>
          <w:sz w:val="19"/>
          <w:szCs w:val="19"/>
          <w:u w:val="single" w:color="auto"/>
          <w:color w:val="auto"/>
        </w:rPr>
        <w:t>Section 2.03(j)</w:t>
      </w:r>
      <w:r>
        <w:rPr>
          <w:rFonts w:ascii="Arial" w:cs="Arial" w:eastAsia="Arial" w:hAnsi="Arial"/>
          <w:sz w:val="19"/>
          <w:szCs w:val="19"/>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59" w:lineRule="exact"/>
        <w:rPr>
          <w:rFonts w:ascii="Arial" w:cs="Arial" w:eastAsia="Arial" w:hAnsi="Arial"/>
          <w:sz w:val="19"/>
          <w:szCs w:val="19"/>
          <w:color w:val="auto"/>
        </w:rPr>
      </w:pPr>
    </w:p>
    <w:p>
      <w:pPr>
        <w:jc w:val="both"/>
        <w:ind w:firstLine="656"/>
        <w:spacing w:after="0" w:line="287" w:lineRule="auto"/>
        <w:tabs>
          <w:tab w:leader="none" w:pos="1116"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any Event of Default shall occur and be continuing, on the Business Day that the Borrower receives notice from the Administrative Agent or the Required Revolving Lenders demanding the deposit of Cash Collateral pursuant to this </w:t>
      </w:r>
      <w:r>
        <w:rPr>
          <w:rFonts w:ascii="Arial" w:cs="Arial" w:eastAsia="Arial" w:hAnsi="Arial"/>
          <w:sz w:val="19"/>
          <w:szCs w:val="19"/>
          <w:u w:val="single" w:color="auto"/>
          <w:color w:val="auto"/>
        </w:rPr>
        <w:t>clause (o)</w:t>
      </w:r>
      <w:r>
        <w:rPr>
          <w:rFonts w:ascii="Arial" w:cs="Arial" w:eastAsia="Arial" w:hAnsi="Arial"/>
          <w:sz w:val="19"/>
          <w:szCs w:val="19"/>
          <w:color w:val="auto"/>
        </w:rPr>
        <w:t>, the Borrower shall immediately deposit into an account established and maintained on the books and records of the Administrative Agent (the “</w:t>
      </w:r>
      <w:r>
        <w:rPr>
          <w:rFonts w:ascii="Arial" w:cs="Arial" w:eastAsia="Arial" w:hAnsi="Arial"/>
          <w:sz w:val="19"/>
          <w:szCs w:val="19"/>
          <w:u w:val="single" w:color="auto"/>
          <w:color w:val="auto"/>
        </w:rPr>
        <w:t>Collateral Account</w:t>
      </w:r>
      <w:r>
        <w:rPr>
          <w:rFonts w:ascii="Arial" w:cs="Arial" w:eastAsia="Arial" w:hAnsi="Arial"/>
          <w:sz w:val="19"/>
          <w:szCs w:val="19"/>
          <w:color w:val="auto"/>
        </w:rPr>
        <w:t xml:space="preserve">”) an amount in cash equal to 103% of the total L/C Obligations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9"/>
          <w:szCs w:val="19"/>
          <w:u w:val="single" w:color="auto"/>
          <w:color w:val="auto"/>
        </w:rPr>
        <w:t>clauses (f)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Such deposit shall be held by the Administrative Agent as collateral for the payment and performance of the obligations of the Borrower under this Agreement. In addition, and without limiting the foregoing or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if any L/C Obligations remain outstanding after the expiration date specified in said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the Borrower shall immediately deposit into the Collateral Account an amount in cash equal to 103% of such L/C Obligations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w:t>
      </w:r>
    </w:p>
    <w:p>
      <w:pPr>
        <w:spacing w:after="0" w:line="200" w:lineRule="exact"/>
        <w:rPr>
          <w:sz w:val="20"/>
          <w:szCs w:val="20"/>
          <w:color w:val="auto"/>
        </w:rPr>
      </w:pP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Administrative Agent shall have exclusive dominion and control, including the exclusive right of withdrawal, over the Collateral Account. Other than any interest earned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28" w:right="339" w:bottom="1440" w:gutter="0" w:footer="0" w:header="0"/>
        </w:sectPr>
      </w:pPr>
    </w:p>
    <w:bookmarkStart w:id="335" w:name="page336"/>
    <w:bookmarkEnd w:id="335"/>
    <w:p>
      <w:pPr>
        <w:jc w:val="both"/>
        <w:spacing w:after="0" w:line="290" w:lineRule="auto"/>
        <w:rPr>
          <w:sz w:val="20"/>
          <w:szCs w:val="20"/>
          <w:color w:val="auto"/>
        </w:rPr>
      </w:pPr>
      <w:r>
        <w:rPr>
          <w:rFonts w:ascii="Arial" w:cs="Arial" w:eastAsia="Arial" w:hAnsi="Arial"/>
          <w:sz w:val="19"/>
          <w:szCs w:val="19"/>
          <w:color w:val="auto"/>
        </w:rPr>
        <w:t>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56" w:lineRule="exact"/>
        <w:rPr>
          <w:sz w:val="20"/>
          <w:szCs w:val="20"/>
          <w:color w:val="auto"/>
        </w:rPr>
      </w:pPr>
    </w:p>
    <w:p>
      <w:pPr>
        <w:jc w:val="both"/>
        <w:ind w:firstLine="656"/>
        <w:spacing w:after="0" w:line="287" w:lineRule="auto"/>
        <w:tabs>
          <w:tab w:leader="none" w:pos="1116"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Designation of Additional L/C Issuers</w:t>
      </w:r>
      <w:r>
        <w:rPr>
          <w:rFonts w:ascii="Arial" w:cs="Arial" w:eastAsia="Arial" w:hAnsi="Arial"/>
          <w:sz w:val="19"/>
          <w:szCs w:val="19"/>
          <w:color w:val="auto"/>
        </w:rPr>
        <w:t xml:space="preserve">. Subject to the consent of the Administrative Agent, the Borrower may, at any time and from time to time, designate as additional L/C Issuers one or more Revolving Credit Lenders that agree in writing to serve in such capacity as provided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there shall be no more than four L/C Issuers under this Agreement. The acceptance by a Revolving Credit Lender of an appointment as an L/C Issuer hereunder shall be evidenced by an agreement, which shall set forth, among other things, the L/C Commitment assumed by, and the contact information of, such designated Revolving Credit Lender and shall be in form and substance reasonably satisfactory to the Administrative Agent, executed by the Borrower, such designated Revolving Credit Lender and the Administrative Agent. From and after the effective date of such agreement, (i) such Revolving Credit Lender shall have all the rights and obligations of an L/C Issuer under this Agreement with respect to Letters of Credit to be issued by it thereafter and (ii) references herein to the term “L/C Issuer” shall be deemed to include such Revolving Credit Lender in its capacity as an issuer of Letters of Credit hereunder, unless the context so requires. The Administrative Agent shall notify the Lenders of any designation of an additional L/C Issuer.</w:t>
      </w:r>
    </w:p>
    <w:p>
      <w:pPr>
        <w:spacing w:after="0" w:line="163" w:lineRule="exact"/>
        <w:rPr>
          <w:rFonts w:ascii="Arial" w:cs="Arial" w:eastAsia="Arial" w:hAnsi="Arial"/>
          <w:sz w:val="19"/>
          <w:szCs w:val="19"/>
          <w:color w:val="auto"/>
        </w:rPr>
      </w:pPr>
    </w:p>
    <w:p>
      <w:pPr>
        <w:ind w:firstLine="656"/>
        <w:spacing w:after="0" w:line="263" w:lineRule="auto"/>
        <w:tabs>
          <w:tab w:leader="none" w:pos="1156"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2.04 </w:t>
      </w:r>
      <w:r>
        <w:rPr>
          <w:rFonts w:ascii="Arial" w:cs="Arial" w:eastAsia="Arial" w:hAnsi="Arial"/>
          <w:sz w:val="21"/>
          <w:szCs w:val="21"/>
          <w:u w:val="single" w:color="auto"/>
          <w:color w:val="auto"/>
        </w:rPr>
        <w:t>Swing Line Loans</w:t>
      </w:r>
      <w:r>
        <w:rPr>
          <w:rFonts w:ascii="Arial" w:cs="Arial" w:eastAsia="Arial" w:hAnsi="Arial"/>
          <w:sz w:val="21"/>
          <w:szCs w:val="21"/>
          <w:color w:val="auto"/>
        </w:rPr>
        <w:t xml:space="preserve">. (a) </w:t>
      </w:r>
      <w:r>
        <w:rPr>
          <w:rFonts w:ascii="Arial" w:cs="Arial" w:eastAsia="Arial" w:hAnsi="Arial"/>
          <w:sz w:val="21"/>
          <w:szCs w:val="21"/>
          <w:u w:val="single" w:color="auto"/>
          <w:color w:val="auto"/>
        </w:rPr>
        <w:t>The Swing Line</w:t>
      </w:r>
      <w:r>
        <w:rPr>
          <w:rFonts w:ascii="Arial" w:cs="Arial" w:eastAsia="Arial" w:hAnsi="Arial"/>
          <w:sz w:val="21"/>
          <w:szCs w:val="21"/>
          <w:color w:val="auto"/>
        </w:rPr>
        <w:t xml:space="preserve">. Subject to the terms and conditions set forth herein, the Swing Line Lender, in reliance upon the agreements of the other Lenders set forth in this </w:t>
      </w:r>
      <w:r>
        <w:rPr>
          <w:rFonts w:ascii="Arial" w:cs="Arial" w:eastAsia="Arial" w:hAnsi="Arial"/>
          <w:sz w:val="21"/>
          <w:szCs w:val="21"/>
          <w:u w:val="single" w:color="auto"/>
          <w:color w:val="auto"/>
        </w:rPr>
        <w:t>Section 2.04</w:t>
      </w:r>
      <w:r>
        <w:rPr>
          <w:rFonts w:ascii="Arial" w:cs="Arial" w:eastAsia="Arial" w:hAnsi="Arial"/>
          <w:sz w:val="21"/>
          <w:szCs w:val="21"/>
          <w:color w:val="auto"/>
        </w:rPr>
        <w:t>, may in its sole discretion make loans (each such loan, a “</w:t>
      </w:r>
      <w:r>
        <w:rPr>
          <w:rFonts w:ascii="Arial" w:cs="Arial" w:eastAsia="Arial" w:hAnsi="Arial"/>
          <w:sz w:val="21"/>
          <w:szCs w:val="21"/>
          <w:u w:val="single" w:color="auto"/>
          <w:color w:val="auto"/>
        </w:rPr>
        <w:t>Swing Line Loan</w:t>
      </w:r>
      <w:r>
        <w:rPr>
          <w:rFonts w:ascii="Arial" w:cs="Arial" w:eastAsia="Arial" w:hAnsi="Arial"/>
          <w:sz w:val="21"/>
          <w:szCs w:val="21"/>
          <w:color w:val="auto"/>
        </w:rPr>
        <w:t xml:space="preserve">”) to the Borrower from time to time on any Business Day during the Availability Period in an aggregate amount not to exceed at any time outstanding the amount of the Swing Line Sublimit;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after giving effect to any Swing Line Loan, (i) the Total Revolving Credit Outstandings shall not exceed the Revolving Credit Facility at such time, and (ii) the Revolving Credit Exposure of any Revolving Credit Lender shall not exceed such Lender’s Revolving Credit Commitment, (y) the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21"/>
          <w:szCs w:val="21"/>
          <w:u w:val="single" w:color="auto"/>
          <w:color w:val="auto"/>
        </w:rPr>
        <w:t>Section 2.04</w:t>
      </w:r>
      <w:r>
        <w:rPr>
          <w:rFonts w:ascii="Arial" w:cs="Arial" w:eastAsia="Arial" w:hAnsi="Arial"/>
          <w:sz w:val="21"/>
          <w:szCs w:val="21"/>
          <w:color w:val="auto"/>
        </w:rPr>
        <w:t>, prepay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28" w:right="339" w:bottom="1440" w:gutter="0" w:footer="0" w:header="0"/>
        </w:sectPr>
      </w:pPr>
    </w:p>
    <w:bookmarkStart w:id="336" w:name="page337"/>
    <w:bookmarkEnd w:id="336"/>
    <w:p>
      <w:pPr>
        <w:jc w:val="both"/>
        <w:spacing w:after="0" w:line="248" w:lineRule="auto"/>
        <w:rPr>
          <w:sz w:val="20"/>
          <w:szCs w:val="20"/>
          <w:color w:val="auto"/>
        </w:rPr>
      </w:pP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and reborrow under this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22"/>
          <w:szCs w:val="22"/>
          <w:u w:val="single" w:color="auto"/>
          <w:color w:val="auto"/>
        </w:rPr>
        <w:t>times</w:t>
      </w:r>
      <w:r>
        <w:rPr>
          <w:rFonts w:ascii="Arial" w:cs="Arial" w:eastAsia="Arial" w:hAnsi="Arial"/>
          <w:sz w:val="22"/>
          <w:szCs w:val="22"/>
          <w:color w:val="auto"/>
        </w:rPr>
        <w:t xml:space="preserve"> the amount of such Swing Line Loan.</w:t>
      </w:r>
    </w:p>
    <w:p>
      <w:pPr>
        <w:spacing w:after="0" w:line="192" w:lineRule="exact"/>
        <w:rPr>
          <w:sz w:val="20"/>
          <w:szCs w:val="20"/>
          <w:color w:val="auto"/>
        </w:rPr>
      </w:pPr>
    </w:p>
    <w:p>
      <w:pPr>
        <w:jc w:val="both"/>
        <w:ind w:firstLine="656"/>
        <w:spacing w:after="0" w:line="286" w:lineRule="auto"/>
        <w:tabs>
          <w:tab w:leader="none" w:pos="1183"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xml:space="preserve">. Each Swing Line Borrowing shall be made upon the Borrower’s irrevocable notice to the Swing Line Lender and the Administrative Agent, which may be given by (A) telephone or (B) by a Swing Line Loan Notice; provided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$500,000 and an integral multiple of $100,000,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158" w:lineRule="exact"/>
        <w:rPr>
          <w:rFonts w:ascii="Arial" w:cs="Arial" w:eastAsia="Arial" w:hAnsi="Arial"/>
          <w:sz w:val="19"/>
          <w:szCs w:val="19"/>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Refinancing of Swing Line Loans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88" w:lineRule="auto"/>
        <w:tabs>
          <w:tab w:leader="none" w:pos="1733"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in its sole and absolute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The Swing Line Lender shall furnish the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28" w:right="339" w:bottom="1440" w:gutter="0" w:footer="0" w:header="0"/>
        </w:sectPr>
      </w:pPr>
    </w:p>
    <w:bookmarkStart w:id="337" w:name="page338"/>
    <w:bookmarkEnd w:id="337"/>
    <w:p>
      <w:pPr>
        <w:jc w:val="both"/>
        <w:spacing w:after="0" w:line="248" w:lineRule="auto"/>
        <w:rPr>
          <w:sz w:val="20"/>
          <w:szCs w:val="20"/>
          <w:color w:val="auto"/>
        </w:rPr>
      </w:pPr>
      <w:r>
        <w:rPr>
          <w:rFonts w:ascii="Arial" w:cs="Arial" w:eastAsia="Arial" w:hAnsi="Arial"/>
          <w:sz w:val="22"/>
          <w:szCs w:val="22"/>
          <w:color w:val="auto"/>
        </w:rPr>
        <w:t xml:space="preserve">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Arial" w:cs="Arial" w:eastAsia="Arial" w:hAnsi="Arial"/>
          <w:sz w:val="22"/>
          <w:szCs w:val="22"/>
          <w:u w:val="single" w:color="auto"/>
          <w:color w:val="auto"/>
        </w:rPr>
        <w:t>Section 2.04(c)(ii)</w:t>
      </w:r>
      <w:r>
        <w:rPr>
          <w:rFonts w:ascii="Arial" w:cs="Arial" w:eastAsia="Arial" w:hAnsi="Arial"/>
          <w:sz w:val="22"/>
          <w:szCs w:val="22"/>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192" w:lineRule="exact"/>
        <w:rPr>
          <w:sz w:val="20"/>
          <w:szCs w:val="20"/>
          <w:color w:val="auto"/>
        </w:rPr>
      </w:pPr>
    </w:p>
    <w:p>
      <w:pPr>
        <w:jc w:val="both"/>
        <w:ind w:firstLine="644"/>
        <w:spacing w:after="0" w:line="247" w:lineRule="auto"/>
        <w:tabs>
          <w:tab w:leader="none" w:pos="1244"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If for any reason any Swing Line Loan cannot be refinanced by such a Revolving Credit Borrowing in accordance with </w:t>
      </w:r>
      <w:r>
        <w:rPr>
          <w:rFonts w:ascii="Arial" w:cs="Arial" w:eastAsia="Arial" w:hAnsi="Arial"/>
          <w:sz w:val="22"/>
          <w:szCs w:val="22"/>
          <w:u w:val="single" w:color="auto"/>
          <w:color w:val="auto"/>
        </w:rPr>
        <w:t>Section 2.04(c)(i)</w:t>
      </w:r>
      <w:r>
        <w:rPr>
          <w:rFonts w:ascii="Arial" w:cs="Arial" w:eastAsia="Arial" w:hAnsi="Arial"/>
          <w:sz w:val="22"/>
          <w:szCs w:val="22"/>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22"/>
          <w:szCs w:val="22"/>
          <w:u w:val="single" w:color="auto"/>
          <w:color w:val="auto"/>
        </w:rPr>
        <w:t>Section 2.04(c)(i)</w:t>
      </w:r>
      <w:r>
        <w:rPr>
          <w:rFonts w:ascii="Arial" w:cs="Arial" w:eastAsia="Arial" w:hAnsi="Arial"/>
          <w:sz w:val="22"/>
          <w:szCs w:val="22"/>
          <w:color w:val="auto"/>
        </w:rPr>
        <w:t xml:space="preserve"> shall be deemed payment in respect of such participation.</w:t>
      </w:r>
    </w:p>
    <w:p>
      <w:pPr>
        <w:spacing w:after="0" w:line="192" w:lineRule="exact"/>
        <w:rPr>
          <w:rFonts w:ascii="Arial" w:cs="Arial" w:eastAsia="Arial" w:hAnsi="Arial"/>
          <w:sz w:val="22"/>
          <w:szCs w:val="22"/>
          <w:color w:val="auto"/>
        </w:rPr>
      </w:pPr>
    </w:p>
    <w:p>
      <w:pPr>
        <w:jc w:val="both"/>
        <w:ind w:firstLine="644"/>
        <w:spacing w:after="0" w:line="287" w:lineRule="auto"/>
        <w:tabs>
          <w:tab w:leader="none" w:pos="1244"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58" w:lineRule="exact"/>
        <w:rPr>
          <w:rFonts w:ascii="Arial" w:cs="Arial" w:eastAsia="Arial" w:hAnsi="Arial"/>
          <w:sz w:val="19"/>
          <w:szCs w:val="19"/>
          <w:color w:val="auto"/>
        </w:rPr>
      </w:pPr>
    </w:p>
    <w:p>
      <w:pPr>
        <w:jc w:val="both"/>
        <w:ind w:firstLine="644"/>
        <w:spacing w:after="0" w:line="259" w:lineRule="auto"/>
        <w:tabs>
          <w:tab w:leader="none" w:pos="1244" w:val="left"/>
        </w:tabs>
        <w:numPr>
          <w:ilvl w:val="0"/>
          <w:numId w:val="210"/>
        </w:numPr>
        <w:rPr>
          <w:rFonts w:ascii="Arial" w:cs="Arial" w:eastAsia="Arial" w:hAnsi="Arial"/>
          <w:sz w:val="21"/>
          <w:szCs w:val="21"/>
          <w:color w:val="auto"/>
        </w:rPr>
      </w:pPr>
      <w:r>
        <w:rPr>
          <w:rFonts w:ascii="Arial" w:cs="Arial" w:eastAsia="Arial" w:hAnsi="Arial"/>
          <w:sz w:val="21"/>
          <w:szCs w:val="21"/>
          <w:color w:val="auto"/>
        </w:rPr>
        <w:t xml:space="preserve">Each Revolving Credit Lender’s obligation to make Revolving Credit Loans or to purchase and fund risk participations in Swing Line Loans pursuant to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each Revolving Credit Lender’s obligation to make Revolving Credit Loans pursuant to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is subject to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No such funding of risk participations shall relieve or otherwise impair the obligation of the Borrower to repay Swing Line Loans, together with interest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0580"/>
          </w:cols>
          <w:pgMar w:left="980" w:top="1428" w:right="339" w:bottom="1440" w:gutter="0" w:footer="0" w:header="0"/>
        </w:sectPr>
      </w:pPr>
    </w:p>
    <w:bookmarkStart w:id="338" w:name="page339"/>
    <w:bookmarkEnd w:id="338"/>
    <w:p>
      <w:pPr>
        <w:ind w:left="1120" w:hanging="464"/>
        <w:spacing w:after="0"/>
        <w:tabs>
          <w:tab w:leader="none" w:pos="112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776"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87" w:lineRule="exact"/>
        <w:rPr>
          <w:rFonts w:ascii="Arial" w:cs="Arial" w:eastAsia="Arial" w:hAnsi="Arial"/>
          <w:sz w:val="22"/>
          <w:szCs w:val="22"/>
          <w:color w:val="auto"/>
        </w:rPr>
      </w:pPr>
    </w:p>
    <w:p>
      <w:pPr>
        <w:jc w:val="both"/>
        <w:ind w:left="660" w:firstLine="644"/>
        <w:spacing w:after="0" w:line="259" w:lineRule="auto"/>
        <w:tabs>
          <w:tab w:leader="none" w:pos="1876" w:val="left"/>
        </w:tabs>
        <w:numPr>
          <w:ilvl w:val="1"/>
          <w:numId w:val="211"/>
        </w:numPr>
        <w:rPr>
          <w:rFonts w:ascii="Arial" w:cs="Arial" w:eastAsia="Arial" w:hAnsi="Arial"/>
          <w:sz w:val="21"/>
          <w:szCs w:val="21"/>
          <w:color w:val="auto"/>
        </w:rPr>
      </w:pPr>
      <w:r>
        <w:rPr>
          <w:rFonts w:ascii="Arial" w:cs="Arial" w:eastAsia="Arial" w:hAnsi="Arial"/>
          <w:sz w:val="21"/>
          <w:szCs w:val="21"/>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83" w:lineRule="exact"/>
        <w:rPr>
          <w:rFonts w:ascii="Arial" w:cs="Arial" w:eastAsia="Arial" w:hAnsi="Arial"/>
          <w:sz w:val="21"/>
          <w:szCs w:val="21"/>
          <w:color w:val="auto"/>
        </w:rPr>
      </w:pPr>
    </w:p>
    <w:p>
      <w:pPr>
        <w:jc w:val="both"/>
        <w:ind w:firstLine="656"/>
        <w:spacing w:after="0" w:line="248" w:lineRule="auto"/>
        <w:tabs>
          <w:tab w:leader="none" w:pos="1117"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Interest for Account of Swing Line Lender</w:t>
      </w:r>
      <w:r>
        <w:rPr>
          <w:rFonts w:ascii="Arial" w:cs="Arial" w:eastAsia="Arial" w:hAnsi="Arial"/>
          <w:sz w:val="22"/>
          <w:szCs w:val="22"/>
          <w:color w:val="auto"/>
        </w:rPr>
        <w:t xml:space="preserve">. The Swing Line Lender shall be responsible for invoicing the Borrower for interest on the Swing Line Loans. Until each Revolving Credit Lender funds its Base Rate Loan or risk participation pursuant to this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91" w:lineRule="exact"/>
        <w:rPr>
          <w:rFonts w:ascii="Arial" w:cs="Arial" w:eastAsia="Arial" w:hAnsi="Arial"/>
          <w:sz w:val="22"/>
          <w:szCs w:val="22"/>
          <w:color w:val="auto"/>
        </w:rPr>
      </w:pPr>
    </w:p>
    <w:p>
      <w:pPr>
        <w:ind w:right="20" w:firstLine="656"/>
        <w:spacing w:after="0" w:line="263" w:lineRule="auto"/>
        <w:tabs>
          <w:tab w:leader="none" w:pos="1107"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Payments Directly to Swing Line Lender</w:t>
      </w:r>
      <w:r>
        <w:rPr>
          <w:rFonts w:ascii="Arial" w:cs="Arial" w:eastAsia="Arial" w:hAnsi="Arial"/>
          <w:sz w:val="22"/>
          <w:szCs w:val="22"/>
          <w:color w:val="auto"/>
        </w:rPr>
        <w:t>. The Borrower shall make all payments of principal and interest in respect of the Swing Line Loans directly to the Swing Line Lender.</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2.05</w:t>
      </w:r>
      <w:r>
        <w:rPr>
          <w:sz w:val="20"/>
          <w:szCs w:val="20"/>
          <w:color w:val="auto"/>
        </w:rPr>
        <w:tab/>
      </w:r>
      <w:r>
        <w:rPr>
          <w:rFonts w:ascii="Arial" w:cs="Arial" w:eastAsia="Arial" w:hAnsi="Arial"/>
          <w:sz w:val="18"/>
          <w:szCs w:val="18"/>
          <w:u w:val="single" w:color="auto"/>
          <w:color w:val="auto"/>
        </w:rPr>
        <w:t>Prepayments.</w:t>
      </w:r>
    </w:p>
    <w:p>
      <w:pPr>
        <w:spacing w:after="0" w:line="220" w:lineRule="exact"/>
        <w:rPr>
          <w:sz w:val="20"/>
          <w:szCs w:val="20"/>
          <w:color w:val="auto"/>
        </w:rPr>
      </w:pPr>
    </w:p>
    <w:p>
      <w:pPr>
        <w:ind w:left="1120" w:hanging="464"/>
        <w:spacing w:after="0"/>
        <w:tabs>
          <w:tab w:leader="none" w:pos="112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Optional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88" w:lineRule="auto"/>
        <w:tabs>
          <w:tab w:leader="none" w:pos="1732" w:val="left"/>
        </w:tabs>
        <w:numPr>
          <w:ilvl w:val="1"/>
          <w:numId w:val="212"/>
        </w:numPr>
        <w:rPr>
          <w:rFonts w:ascii="Arial" w:cs="Arial" w:eastAsia="Arial" w:hAnsi="Arial"/>
          <w:sz w:val="19"/>
          <w:szCs w:val="19"/>
          <w:color w:val="auto"/>
        </w:rPr>
      </w:pPr>
      <w:r>
        <w:rPr>
          <w:rFonts w:ascii="Arial" w:cs="Arial" w:eastAsia="Arial" w:hAnsi="Arial"/>
          <w:sz w:val="19"/>
          <w:szCs w:val="19"/>
          <w:color w:val="auto"/>
        </w:rPr>
        <w:t xml:space="preserve">The Borrower may, upon notice to the Administrative Agent pursuant to delivery to the Administrative Agent of a Notice of Loan Prepayment, at any time or from time to time voluntarily prepay Term Loans and Revolving Credit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notice must be received by the Administrative Agent not later than 11:00 a.m. (1) three Business Days prior to any date of prepayment of Eurodollar Rate Loans and (2) on the date of prepayment of Base Rate Loans; (B) any prepayment of Eurodollar Rate Loans shall be in a principal amount of $2,000,000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1428" w:right="339" w:bottom="1440" w:gutter="0" w:footer="0" w:header="0"/>
        </w:sectPr>
      </w:pPr>
    </w:p>
    <w:bookmarkStart w:id="339" w:name="page340"/>
    <w:bookmarkEnd w:id="339"/>
    <w:p>
      <w:pPr>
        <w:jc w:val="both"/>
        <w:ind w:left="4"/>
        <w:spacing w:after="0" w:line="287" w:lineRule="auto"/>
        <w:rPr>
          <w:sz w:val="20"/>
          <w:szCs w:val="20"/>
          <w:color w:val="auto"/>
        </w:rPr>
      </w:pPr>
      <w:r>
        <w:rPr>
          <w:rFonts w:ascii="Arial" w:cs="Arial" w:eastAsia="Arial" w:hAnsi="Arial"/>
          <w:sz w:val="19"/>
          <w:szCs w:val="19"/>
          <w:color w:val="auto"/>
        </w:rPr>
        <w:t xml:space="preserve">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provided that such prepayment may be conditioned on the occurrence of any subsequent event (including a Change of Control, refinancing transaction or Permitted Acquisition or other Investment). Any prepayment of a Eurodollar Rate Loan shall be accompanied by all accrued and unpaid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Each prepayment of the outstanding Term Loans pursuant to this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shall be applied to the principal repayment installments thereof as directed by the Borrower in the Notice of Loan Prepayment, provided that, should the borrower fail to direct the application of such prepayment, the same shall be applied to reduce the scheduled remaining installments of principal of the Term Loans on a pro rata basis. Subject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each prepayment under this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shall be paid to the Lenders in accordance with their respective Applicable Percentages in respect of each of the relevant Facilities.</w:t>
      </w:r>
    </w:p>
    <w:p>
      <w:pPr>
        <w:spacing w:after="0" w:line="159" w:lineRule="exact"/>
        <w:rPr>
          <w:sz w:val="20"/>
          <w:szCs w:val="20"/>
          <w:color w:val="auto"/>
        </w:rPr>
      </w:pPr>
    </w:p>
    <w:p>
      <w:pPr>
        <w:jc w:val="both"/>
        <w:ind w:left="4" w:firstLine="644"/>
        <w:spacing w:after="0" w:line="292" w:lineRule="auto"/>
        <w:tabs>
          <w:tab w:leader="none" w:pos="113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The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50" w:lineRule="exact"/>
        <w:rPr>
          <w:rFonts w:ascii="Arial" w:cs="Arial" w:eastAsia="Arial" w:hAnsi="Arial"/>
          <w:sz w:val="19"/>
          <w:szCs w:val="19"/>
          <w:color w:val="auto"/>
        </w:rPr>
      </w:pPr>
    </w:p>
    <w:p>
      <w:pPr>
        <w:ind w:left="464" w:hanging="464"/>
        <w:spacing w:after="0"/>
        <w:tabs>
          <w:tab w:leader="none" w:pos="464"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Mandatory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4"/>
        <w:spacing w:after="0" w:line="258" w:lineRule="auto"/>
        <w:tabs>
          <w:tab w:leader="none" w:pos="1149" w:val="left"/>
        </w:tabs>
        <w:numPr>
          <w:ilvl w:val="1"/>
          <w:numId w:val="214"/>
        </w:numPr>
        <w:rPr>
          <w:rFonts w:ascii="Arial" w:cs="Arial" w:eastAsia="Arial" w:hAnsi="Arial"/>
          <w:sz w:val="21"/>
          <w:szCs w:val="21"/>
          <w:color w:val="auto"/>
        </w:rPr>
      </w:pPr>
      <w:r>
        <w:rPr>
          <w:rFonts w:ascii="Arial" w:cs="Arial" w:eastAsia="Arial" w:hAnsi="Arial"/>
          <w:sz w:val="21"/>
          <w:szCs w:val="21"/>
          <w:color w:val="auto"/>
        </w:rPr>
        <w:t>Prior to or within 10 days following a Change of Control, the Borrower shall make an offer to prepay the entire principal amount of all Loans and L/C Borrowings, and to Cash Collateralize any remaining L/C Obligations (the “</w:t>
      </w:r>
      <w:r>
        <w:rPr>
          <w:rFonts w:ascii="Arial" w:cs="Arial" w:eastAsia="Arial" w:hAnsi="Arial"/>
          <w:sz w:val="21"/>
          <w:szCs w:val="21"/>
          <w:u w:val="single" w:color="auto"/>
          <w:color w:val="auto"/>
        </w:rPr>
        <w:t>Change of Control Prepayment Offer</w:t>
      </w:r>
      <w:r>
        <w:rPr>
          <w:rFonts w:ascii="Arial" w:cs="Arial" w:eastAsia="Arial" w:hAnsi="Arial"/>
          <w:sz w:val="21"/>
          <w:szCs w:val="21"/>
          <w:color w:val="auto"/>
        </w:rPr>
        <w:t>”) by notifying the Administrative Agent in writing of the Change of Control Prepayment Offer. Each such notice shall specify the date of such prepayment, which shall be no earlier than 15 days from the date such notice is delivered to the Administrative Agent and no later than 30 days from the date of such Change of Control (the date of such proposed payment, the “</w:t>
      </w:r>
      <w:r>
        <w:rPr>
          <w:rFonts w:ascii="Arial" w:cs="Arial" w:eastAsia="Arial" w:hAnsi="Arial"/>
          <w:sz w:val="21"/>
          <w:szCs w:val="21"/>
          <w:u w:val="single" w:color="auto"/>
          <w:color w:val="auto"/>
        </w:rPr>
        <w:t>Change of Control Payment Date</w:t>
      </w:r>
      <w:r>
        <w:rPr>
          <w:rFonts w:ascii="Arial" w:cs="Arial" w:eastAsia="Arial" w:hAnsi="Arial"/>
          <w:sz w:val="21"/>
          <w:szCs w:val="21"/>
          <w:color w:val="auto"/>
        </w:rPr>
        <w:t>”) and, if delivered prior to the occurrence of the relevant Change of Control, may state that the Change of Control Prepayment Offer be conditional on the occurrence of such Change of Control. The Administrative Agent will promptly notify each Lender of the contents of any such prepayment notice and of such Lender’s pro rata share of the prepayment. Any Lender may elect, by delivering not less than five (5) Business Days prior to the Change of Control Payment Date, a written notice to the Administrative Agent (such notice,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0584"/>
          </w:cols>
          <w:pgMar w:left="976" w:top="1428" w:right="339" w:bottom="1440" w:gutter="0" w:footer="0" w:header="0"/>
        </w:sectPr>
      </w:pPr>
    </w:p>
    <w:bookmarkStart w:id="340" w:name="page341"/>
    <w:bookmarkEnd w:id="340"/>
    <w:p>
      <w:pPr>
        <w:jc w:val="both"/>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Acceptance Notice</w:t>
      </w:r>
      <w:r>
        <w:rPr>
          <w:rFonts w:ascii="Arial" w:cs="Arial" w:eastAsia="Arial" w:hAnsi="Arial"/>
          <w:sz w:val="21"/>
          <w:szCs w:val="21"/>
          <w:color w:val="auto"/>
        </w:rPr>
        <w:t xml:space="preserve">”) that any change of control prepayment be made with respect to all or any portion of the Loans, L/C Borrowings and L/C Obligations held by such Lender pursuant to this </w:t>
      </w:r>
      <w:r>
        <w:rPr>
          <w:rFonts w:ascii="Arial" w:cs="Arial" w:eastAsia="Arial" w:hAnsi="Arial"/>
          <w:sz w:val="21"/>
          <w:szCs w:val="21"/>
          <w:u w:val="single" w:color="auto"/>
          <w:color w:val="auto"/>
        </w:rPr>
        <w:t>Section 2.05(b)</w:t>
      </w:r>
      <w:r>
        <w:rPr>
          <w:rFonts w:ascii="Arial" w:cs="Arial" w:eastAsia="Arial" w:hAnsi="Arial"/>
          <w:sz w:val="21"/>
          <w:szCs w:val="21"/>
          <w:color w:val="auto"/>
        </w:rPr>
        <w:t>, in which case the Borrower shall prepay such Loans and L/C Borrowings, and shall Cash Collateralize such L/C Obligations, on the Change of Control Payment Date. If a Lender fails to deliver a Change of Control Acceptance Notice within the time frame specified above, any such failure will be deemed a rejection of the Change of Control Prepayment Offer as to all outstanding Loans, L/C Borrowings and L/C Obligations of such Lender.</w:t>
      </w:r>
    </w:p>
    <w:p>
      <w:pPr>
        <w:spacing w:after="0" w:line="179" w:lineRule="exact"/>
        <w:rPr>
          <w:sz w:val="20"/>
          <w:szCs w:val="20"/>
          <w:color w:val="auto"/>
        </w:rPr>
      </w:pPr>
    </w:p>
    <w:p>
      <w:pPr>
        <w:ind w:left="1180" w:hanging="536"/>
        <w:spacing w:after="0"/>
        <w:tabs>
          <w:tab w:leader="none" w:pos="11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180" w:hanging="536"/>
        <w:spacing w:after="0"/>
        <w:tabs>
          <w:tab w:leader="none" w:pos="11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44"/>
        <w:spacing w:after="0" w:line="297" w:lineRule="auto"/>
        <w:tabs>
          <w:tab w:leader="none" w:pos="1209"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Upon the incurrence or issuance by the Borrower or any of its Subsidiaries of any Indebtedness (other than Indebtedness permitted to be incurred or issued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the Borrower shall prepay an aggregate principal amount of Loans equal to 100% of all Cash proceeds received therefrom on the date of receipt thereof, net of underwriting discounts and commissions and other reasonable costs and expenses associated therewith, including reasonable fees and expenses (such prepayments to be applied as set forth in clauses (vi) and (ix) below).</w:t>
      </w:r>
    </w:p>
    <w:p>
      <w:pPr>
        <w:spacing w:after="0" w:line="146" w:lineRule="exact"/>
        <w:rPr>
          <w:rFonts w:ascii="Arial" w:cs="Arial" w:eastAsia="Arial" w:hAnsi="Arial"/>
          <w:sz w:val="19"/>
          <w:szCs w:val="19"/>
          <w:color w:val="auto"/>
        </w:rPr>
      </w:pPr>
    </w:p>
    <w:p>
      <w:pPr>
        <w:ind w:left="1120" w:hanging="476"/>
        <w:spacing w:after="0"/>
        <w:tabs>
          <w:tab w:leader="none" w:pos="11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44"/>
        <w:spacing w:after="0" w:line="253" w:lineRule="auto"/>
        <w:tabs>
          <w:tab w:leader="none" w:pos="119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Each prepayment of Loans pursuant to </w:t>
      </w:r>
      <w:r>
        <w:rPr>
          <w:rFonts w:ascii="Arial" w:cs="Arial" w:eastAsia="Arial" w:hAnsi="Arial"/>
          <w:sz w:val="22"/>
          <w:szCs w:val="22"/>
          <w:u w:val="single" w:color="auto"/>
          <w:color w:val="auto"/>
        </w:rPr>
        <w:t>Section 2.05(b)(iv)</w:t>
      </w:r>
      <w:r>
        <w:rPr>
          <w:rFonts w:ascii="Arial" w:cs="Arial" w:eastAsia="Arial" w:hAnsi="Arial"/>
          <w:sz w:val="22"/>
          <w:szCs w:val="22"/>
          <w:color w:val="auto"/>
        </w:rPr>
        <w:t xml:space="preserve"> shall be applied,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the Term Facility and to the principal repayment installments thereof on a pro-rata basis and, </w:t>
      </w:r>
      <w:r>
        <w:rPr>
          <w:rFonts w:ascii="Arial" w:cs="Arial" w:eastAsia="Arial" w:hAnsi="Arial"/>
          <w:sz w:val="22"/>
          <w:szCs w:val="22"/>
          <w:u w:val="single" w:color="auto"/>
          <w:color w:val="auto"/>
        </w:rPr>
        <w:t>second</w:t>
      </w:r>
      <w:r>
        <w:rPr>
          <w:rFonts w:ascii="Arial" w:cs="Arial" w:eastAsia="Arial" w:hAnsi="Arial"/>
          <w:sz w:val="22"/>
          <w:szCs w:val="22"/>
          <w:color w:val="auto"/>
        </w:rPr>
        <w:t xml:space="preserve">, to the Revolving Credit Facility in the manner set forth in clause (ix) of this </w:t>
      </w:r>
      <w:r>
        <w:rPr>
          <w:rFonts w:ascii="Arial" w:cs="Arial" w:eastAsia="Arial" w:hAnsi="Arial"/>
          <w:sz w:val="22"/>
          <w:szCs w:val="22"/>
          <w:u w:val="single" w:color="auto"/>
          <w:color w:val="auto"/>
        </w:rPr>
        <w:t>Section 2.05(b)</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240" w:hanging="596"/>
        <w:spacing w:after="0"/>
        <w:tabs>
          <w:tab w:leader="none" w:pos="124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44"/>
        <w:spacing w:after="0" w:line="250" w:lineRule="auto"/>
        <w:tabs>
          <w:tab w:leader="none" w:pos="1305"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If for any reason the Total Revolving Credit Outstandings at any time exceed the Revolving Credit Facility at such time, the Borrower shall immediately prepay Revolving Credit Loans, Swing Line Loans and L/C Borrowings and/or Cash Collateralize the L/C Obligations (other than the L/C Borrowings) in an aggregate amount equal to such excess.</w:t>
      </w:r>
    </w:p>
    <w:p>
      <w:pPr>
        <w:spacing w:after="0" w:line="187" w:lineRule="exact"/>
        <w:rPr>
          <w:rFonts w:ascii="Arial" w:cs="Arial" w:eastAsia="Arial" w:hAnsi="Arial"/>
          <w:sz w:val="22"/>
          <w:szCs w:val="22"/>
          <w:color w:val="auto"/>
        </w:rPr>
      </w:pPr>
    </w:p>
    <w:p>
      <w:pPr>
        <w:jc w:val="both"/>
        <w:ind w:firstLine="644"/>
        <w:spacing w:after="0" w:line="259" w:lineRule="auto"/>
        <w:tabs>
          <w:tab w:leader="none" w:pos="1239" w:val="left"/>
        </w:tabs>
        <w:numPr>
          <w:ilvl w:val="0"/>
          <w:numId w:val="215"/>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2.05(b)(i)</w:t>
      </w:r>
      <w:r>
        <w:rPr>
          <w:rFonts w:ascii="Arial" w:cs="Arial" w:eastAsia="Arial" w:hAnsi="Arial"/>
          <w:sz w:val="21"/>
          <w:szCs w:val="21"/>
          <w:color w:val="auto"/>
        </w:rPr>
        <w:t xml:space="preserve">, prepayments of the Revolving Credit Facility made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2.05(b)</w:t>
      </w:r>
      <w:r>
        <w:rPr>
          <w:rFonts w:ascii="Arial" w:cs="Arial" w:eastAsia="Arial" w:hAnsi="Arial"/>
          <w:sz w:val="21"/>
          <w:szCs w:val="21"/>
          <w:color w:val="auto"/>
        </w:rPr>
        <w:t xml:space="preserve">,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shall be applied ratably to the L/C Borrowings and the Swing Line Loans,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shall be applied ratably to the outstanding Revolving Credit Loans, and, </w:t>
      </w:r>
      <w:r>
        <w:rPr>
          <w:rFonts w:ascii="Arial" w:cs="Arial" w:eastAsia="Arial" w:hAnsi="Arial"/>
          <w:sz w:val="21"/>
          <w:szCs w:val="21"/>
          <w:u w:val="single" w:color="auto"/>
          <w:color w:val="auto"/>
        </w:rPr>
        <w:t>third</w:t>
      </w:r>
      <w:r>
        <w:rPr>
          <w:rFonts w:ascii="Arial" w:cs="Arial" w:eastAsia="Arial" w:hAnsi="Arial"/>
          <w:sz w:val="21"/>
          <w:szCs w:val="21"/>
          <w:color w:val="auto"/>
        </w:rPr>
        <w:t xml:space="preserve">, shall be used to Cash Collateralize the remaining L/C Obligations; and, in the case of prepayments of the Revolving Credit Facility required pursuant to </w:t>
      </w:r>
      <w:r>
        <w:rPr>
          <w:rFonts w:ascii="Arial" w:cs="Arial" w:eastAsia="Arial" w:hAnsi="Arial"/>
          <w:sz w:val="21"/>
          <w:szCs w:val="21"/>
          <w:u w:val="single" w:color="auto"/>
          <w:color w:val="auto"/>
        </w:rPr>
        <w:t>clause (iii)</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2.05(b)</w:t>
      </w:r>
      <w:r>
        <w:rPr>
          <w:rFonts w:ascii="Arial" w:cs="Arial" w:eastAsia="Arial" w:hAnsi="Arial"/>
          <w:sz w:val="21"/>
          <w:szCs w:val="21"/>
          <w:color w:val="auto"/>
        </w:rPr>
        <w:t>, the amount remaining, if any, after the prepayment in full of all L/C Borrowings, Swing Line Loans and Revolving Credit Loans outstanding at such time and the Cash Collateralization of the remaining L/C Obligations in full (the sum of such prepayment amounts, Cash Collateralization amounts and remaining amount being, collectively, the “</w:t>
      </w:r>
      <w:r>
        <w:rPr>
          <w:rFonts w:ascii="Arial" w:cs="Arial" w:eastAsia="Arial" w:hAnsi="Arial"/>
          <w:sz w:val="21"/>
          <w:szCs w:val="21"/>
          <w:u w:val="single" w:color="auto"/>
          <w:color w:val="auto"/>
        </w:rPr>
        <w:t>Reduction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Amount</w:t>
      </w:r>
      <w:r>
        <w:rPr>
          <w:rFonts w:ascii="Arial" w:cs="Arial" w:eastAsia="Arial" w:hAnsi="Arial"/>
          <w:sz w:val="21"/>
          <w:szCs w:val="21"/>
          <w:color w:val="auto"/>
        </w:rPr>
        <w:t>”) may be retained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0580"/>
          </w:cols>
          <w:pgMar w:left="980" w:top="1428" w:right="339" w:bottom="1440" w:gutter="0" w:footer="0" w:header="0"/>
        </w:sectPr>
      </w:pPr>
    </w:p>
    <w:bookmarkStart w:id="341" w:name="page342"/>
    <w:bookmarkEnd w:id="341"/>
    <w:p>
      <w:pPr>
        <w:jc w:val="both"/>
        <w:ind w:left="660"/>
        <w:spacing w:after="0" w:line="248" w:lineRule="auto"/>
        <w:rPr>
          <w:sz w:val="20"/>
          <w:szCs w:val="20"/>
          <w:color w:val="auto"/>
        </w:rPr>
      </w:pPr>
      <w:r>
        <w:rPr>
          <w:rFonts w:ascii="Arial" w:cs="Arial" w:eastAsia="Arial" w:hAnsi="Arial"/>
          <w:sz w:val="22"/>
          <w:szCs w:val="22"/>
          <w:color w:val="auto"/>
        </w:rPr>
        <w:t xml:space="preserve">Borrower for use in the ordinary course of its business, and the Revolving Credit Facility shall be automatically and permanently reduced by the Reduction Amount as set forth in </w:t>
      </w:r>
      <w:r>
        <w:rPr>
          <w:rFonts w:ascii="Arial" w:cs="Arial" w:eastAsia="Arial" w:hAnsi="Arial"/>
          <w:sz w:val="22"/>
          <w:szCs w:val="22"/>
          <w:u w:val="single" w:color="auto"/>
          <w:color w:val="auto"/>
        </w:rPr>
        <w:t>Section 2.06(b)(ii)</w:t>
      </w:r>
      <w:r>
        <w:rPr>
          <w:rFonts w:ascii="Arial" w:cs="Arial" w:eastAsia="Arial" w:hAnsi="Arial"/>
          <w:sz w:val="22"/>
          <w:szCs w:val="22"/>
          <w:color w:val="auto"/>
        </w:rPr>
        <w:t>. Upon the drawing of any Letter of Credit that has been Cash Collateralized, the funds held as Cash Collateral shall be applied (without any further action by or notice to or from the Borrower or any other Loan Party) to reimburse the L/C Issuer or the Revolving Credit Lenders, as applicable.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2.06 </w:t>
      </w:r>
      <w:r>
        <w:rPr>
          <w:rFonts w:ascii="Arial" w:cs="Arial" w:eastAsia="Arial" w:hAnsi="Arial"/>
          <w:sz w:val="21"/>
          <w:szCs w:val="21"/>
          <w:u w:val="single" w:color="auto"/>
          <w:color w:val="auto"/>
        </w:rPr>
        <w:t>Termination or Reduction of Commitments</w:t>
      </w:r>
      <w:r>
        <w:rPr>
          <w:rFonts w:ascii="Arial" w:cs="Arial" w:eastAsia="Arial" w:hAnsi="Arial"/>
          <w:sz w:val="21"/>
          <w:szCs w:val="21"/>
          <w:color w:val="auto"/>
        </w:rPr>
        <w:t xml:space="preserve">. (a) </w:t>
      </w:r>
      <w:r>
        <w:rPr>
          <w:rFonts w:ascii="Arial" w:cs="Arial" w:eastAsia="Arial" w:hAnsi="Arial"/>
          <w:sz w:val="21"/>
          <w:szCs w:val="21"/>
          <w:u w:val="single" w:color="auto"/>
          <w:color w:val="auto"/>
        </w:rPr>
        <w:t>Optional</w:t>
      </w:r>
      <w:r>
        <w:rPr>
          <w:rFonts w:ascii="Arial" w:cs="Arial" w:eastAsia="Arial" w:hAnsi="Arial"/>
          <w:sz w:val="21"/>
          <w:szCs w:val="21"/>
          <w:color w:val="auto"/>
        </w:rPr>
        <w:t xml:space="preserve">. The Borrower may, upon notice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any such notice shall be received by the Administrative Agent not later than 11:00 a.m. five Business Days prior to the date of termination or reduction, (ii) any such partial reduction shall be in an aggregate amount of $2,000,000 or any whole multiple of $500,000 in excess thereof and (iii) the Borrower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Letter of Credit Sublimit, and provided further that any such termination or reduction may be conditioned on the occurrence of any subsequent event (including a Change of Control, refinancing transaction or Permitted Acquisition or other Investment).</w:t>
      </w:r>
    </w:p>
    <w:p>
      <w:pPr>
        <w:spacing w:after="0" w:line="189" w:lineRule="exact"/>
        <w:rPr>
          <w:sz w:val="20"/>
          <w:szCs w:val="20"/>
          <w:color w:val="auto"/>
        </w:rPr>
      </w:pPr>
    </w:p>
    <w:p>
      <w:pPr>
        <w:ind w:firstLine="656"/>
        <w:spacing w:after="0" w:line="263" w:lineRule="auto"/>
        <w:tabs>
          <w:tab w:leader="none" w:pos="1143"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Mandatory</w:t>
      </w:r>
      <w:r>
        <w:rPr>
          <w:rFonts w:ascii="Arial" w:cs="Arial" w:eastAsia="Arial" w:hAnsi="Arial"/>
          <w:sz w:val="22"/>
          <w:szCs w:val="22"/>
          <w:color w:val="auto"/>
        </w:rPr>
        <w:t>. (i) The aggregate Term A Commitments shall be automatically and permanently reduced to zero on the date of the Term A Borrowing.</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861" w:val="left"/>
        </w:tabs>
        <w:numPr>
          <w:ilvl w:val="1"/>
          <w:numId w:val="216"/>
        </w:numPr>
        <w:rPr>
          <w:rFonts w:ascii="Arial" w:cs="Arial" w:eastAsia="Arial" w:hAnsi="Arial"/>
          <w:sz w:val="22"/>
          <w:szCs w:val="22"/>
          <w:color w:val="auto"/>
        </w:rPr>
      </w:pPr>
      <w:r>
        <w:rPr>
          <w:rFonts w:ascii="Arial" w:cs="Arial" w:eastAsia="Arial" w:hAnsi="Arial"/>
          <w:sz w:val="22"/>
          <w:szCs w:val="22"/>
          <w:color w:val="auto"/>
        </w:rPr>
        <w:t xml:space="preserve">The Revolving Credit Facility shall be automatically and permanently reduced on each date on which the prepayment of Revolving Credit Loans outstanding thereunder is required to be made pursuant to </w:t>
      </w:r>
      <w:r>
        <w:rPr>
          <w:rFonts w:ascii="Arial" w:cs="Arial" w:eastAsia="Arial" w:hAnsi="Arial"/>
          <w:sz w:val="22"/>
          <w:szCs w:val="22"/>
          <w:u w:val="single" w:color="auto"/>
          <w:color w:val="auto"/>
        </w:rPr>
        <w:t>Section 2.05(b)</w:t>
      </w:r>
      <w:r>
        <w:rPr>
          <w:rFonts w:ascii="Arial" w:cs="Arial" w:eastAsia="Arial" w:hAnsi="Arial"/>
          <w:sz w:val="22"/>
          <w:szCs w:val="22"/>
          <w:color w:val="auto"/>
        </w:rPr>
        <w:t xml:space="preserve"> by an amount equal to the applicable Reduction Amount.</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89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 xml:space="preserve">If after giving effect to any reduction or termination of Revolving Credit Commitments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w:t>
      </w:r>
      <w:r>
        <w:rPr>
          <w:rFonts w:ascii="Arial" w:cs="Arial" w:eastAsia="Arial" w:hAnsi="Arial"/>
          <w:sz w:val="22"/>
          <w:szCs w:val="22"/>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239"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Application of Commitment Reductions; Payment of Fees</w:t>
      </w:r>
      <w:r>
        <w:rPr>
          <w:rFonts w:ascii="Arial" w:cs="Arial" w:eastAsia="Arial" w:hAnsi="Arial"/>
          <w:sz w:val="22"/>
          <w:szCs w:val="22"/>
          <w:color w:val="auto"/>
        </w:rPr>
        <w:t xml:space="preserve">. The Administrative Agent will promptly notify the Lenders of any termination or reduction of the Letter of Credit Sublimit, Swing Line Sublimit or the Revolving Credit Commitment under this </w:t>
      </w:r>
      <w:r>
        <w:rPr>
          <w:rFonts w:ascii="Arial" w:cs="Arial" w:eastAsia="Arial" w:hAnsi="Arial"/>
          <w:sz w:val="22"/>
          <w:szCs w:val="22"/>
          <w:u w:val="single" w:color="auto"/>
          <w:color w:val="auto"/>
        </w:rPr>
        <w:t>Section 2.06</w:t>
      </w:r>
      <w:r>
        <w:rPr>
          <w:rFonts w:ascii="Arial" w:cs="Arial" w:eastAsia="Arial" w:hAnsi="Arial"/>
          <w:sz w:val="22"/>
          <w:szCs w:val="22"/>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1428" w:right="339" w:bottom="1440" w:gutter="0" w:footer="0" w:header="0"/>
        </w:sectPr>
      </w:pPr>
    </w:p>
    <w:bookmarkStart w:id="342" w:name="page343"/>
    <w:bookmarkEnd w:id="342"/>
    <w:p>
      <w:pPr>
        <w:spacing w:after="0" w:line="263" w:lineRule="auto"/>
        <w:rPr>
          <w:sz w:val="20"/>
          <w:szCs w:val="20"/>
          <w:color w:val="auto"/>
        </w:rPr>
      </w:pPr>
      <w:r>
        <w:rPr>
          <w:rFonts w:ascii="Arial" w:cs="Arial" w:eastAsia="Arial" w:hAnsi="Arial"/>
          <w:sz w:val="22"/>
          <w:szCs w:val="22"/>
          <w:color w:val="auto"/>
        </w:rPr>
        <w:t>accrued until the effective date of any termination of the Revolving Credit Facility shall be paid on the effective date of such termination.</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2.07</w:t>
      </w:r>
      <w:r>
        <w:rPr>
          <w:sz w:val="20"/>
          <w:szCs w:val="20"/>
          <w:color w:val="auto"/>
        </w:rPr>
        <w:tab/>
      </w:r>
      <w:r>
        <w:rPr>
          <w:rFonts w:ascii="Arial" w:cs="Arial" w:eastAsia="Arial" w:hAnsi="Arial"/>
          <w:sz w:val="19"/>
          <w:szCs w:val="19"/>
          <w:u w:val="single" w:color="auto"/>
          <w:color w:val="auto"/>
        </w:rPr>
        <w:t>Repayment of Loans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312" w:lineRule="auto"/>
        <w:tabs>
          <w:tab w:leader="none" w:pos="1104"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Term A Loans</w:t>
      </w:r>
      <w:r>
        <w:rPr>
          <w:rFonts w:ascii="Arial" w:cs="Arial" w:eastAsia="Arial" w:hAnsi="Arial"/>
          <w:sz w:val="19"/>
          <w:szCs w:val="19"/>
          <w:color w:val="auto"/>
        </w:rPr>
        <w:t xml:space="preserve">. The Borrower shall repay to the Term A Lenders the aggregate principal amount of all Term A Loans outstanding on the following dates in the respective amounts set forth opposite such dates (which amounts shall be reduced as a result of the application of prepayments in accordance with the order of priority set forth in </w:t>
      </w:r>
      <w:r>
        <w:rPr>
          <w:rFonts w:ascii="Arial" w:cs="Arial" w:eastAsia="Arial" w:hAnsi="Arial"/>
          <w:sz w:val="19"/>
          <w:szCs w:val="19"/>
          <w:u w:val="single" w:color="auto"/>
          <w:color w:val="auto"/>
        </w:rPr>
        <w:t>Section 2.05</w:t>
      </w:r>
      <w:r>
        <w:rPr>
          <w:rFonts w:ascii="Arial" w:cs="Arial" w:eastAsia="Arial" w:hAnsi="Arial"/>
          <w:sz w:val="19"/>
          <w:szCs w:val="19"/>
          <w:color w:val="auto"/>
        </w:rPr>
        <w:t>):</w:t>
      </w:r>
    </w:p>
    <w:p>
      <w:pPr>
        <w:spacing w:after="0" w:line="148" w:lineRule="exact"/>
        <w:rPr>
          <w:sz w:val="20"/>
          <w:szCs w:val="20"/>
          <w:color w:val="auto"/>
        </w:rPr>
      </w:pPr>
    </w:p>
    <w:tbl>
      <w:tblPr>
        <w:tblLayout w:type="fixed"/>
        <w:tblInd w:w="2050" w:type="dxa"/>
        <w:tblCellMar>
          <w:top w:w="0" w:type="dxa"/>
          <w:left w:w="0" w:type="dxa"/>
          <w:bottom w:w="0" w:type="dxa"/>
          <w:right w:w="0" w:type="dxa"/>
        </w:tblCellMar>
      </w:tblPr>
      <w:tr>
        <w:trPr>
          <w:trHeight w:val="304"/>
        </w:trPr>
        <w:tc>
          <w:tcPr>
            <w:tcW w:w="3600" w:type="dxa"/>
            <w:vAlign w:val="bottom"/>
            <w:tcBorders>
              <w:top w:val="single" w:sz="8" w:color="auto"/>
              <w:left w:val="single" w:sz="8" w:color="auto"/>
              <w:bottom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87"/>
              </w:rPr>
              <w:t>Date</w:t>
            </w:r>
          </w:p>
        </w:tc>
        <w:tc>
          <w:tcPr>
            <w:tcW w:w="3600" w:type="dxa"/>
            <w:vAlign w:val="bottom"/>
            <w:tcBorders>
              <w:top w:val="single" w:sz="8" w:color="auto"/>
              <w:bottom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22"/>
                <w:szCs w:val="22"/>
                <w:b w:val="1"/>
                <w:bCs w:val="1"/>
                <w:color w:val="auto"/>
                <w:w w:val="91"/>
              </w:rPr>
              <w:t>Amount in USD</w:t>
            </w:r>
          </w:p>
        </w:tc>
      </w:tr>
      <w:tr>
        <w:trPr>
          <w:trHeight w:val="290"/>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2021</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1,250,000</w:t>
            </w:r>
          </w:p>
        </w:tc>
      </w:tr>
      <w:tr>
        <w:trPr>
          <w:trHeight w:val="291"/>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2021</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1,250,000</w:t>
            </w:r>
          </w:p>
        </w:tc>
      </w:tr>
      <w:tr>
        <w:trPr>
          <w:trHeight w:val="291"/>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2022</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1,250,000</w:t>
            </w:r>
          </w:p>
        </w:tc>
      </w:tr>
      <w:tr>
        <w:trPr>
          <w:trHeight w:val="290"/>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2022</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1,250,000</w:t>
            </w:r>
          </w:p>
        </w:tc>
      </w:tr>
      <w:tr>
        <w:trPr>
          <w:trHeight w:val="291"/>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2022</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290"/>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2022</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291"/>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2023</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2023</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2023</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30, 2023</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2024</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2024</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2024</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2024</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2025</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June 30, 2025</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September 30, 2025</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16,250,000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December 31, 2025</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16,250,000</w:t>
            </w:r>
          </w:p>
        </w:tc>
      </w:tr>
      <w:tr>
        <w:trPr>
          <w:trHeight w:val="30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March 31, 2026</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$16,250,000.00</w:t>
            </w:r>
          </w:p>
        </w:tc>
      </w:tr>
      <w:tr>
        <w:trPr>
          <w:trHeight w:val="276"/>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Maturity</w:t>
            </w: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16,250,000 +</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Remainder</w:t>
            </w:r>
          </w:p>
        </w:tc>
      </w:tr>
    </w:tbl>
    <w:p>
      <w:pPr>
        <w:spacing w:after="0" w:line="200" w:lineRule="exact"/>
        <w:rPr>
          <w:sz w:val="20"/>
          <w:szCs w:val="20"/>
          <w:color w:val="auto"/>
        </w:rPr>
      </w:pP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final principal repayment installment of the Term A Loans shall be repaid on the Maturity Date for the Term A Facility and in any event shall be in an amount equal to the aggregate principal amount of all Term A Loans outstanding on such date.</w:t>
      </w:r>
    </w:p>
    <w:p>
      <w:pPr>
        <w:spacing w:after="0" w:line="185" w:lineRule="exact"/>
        <w:rPr>
          <w:sz w:val="20"/>
          <w:szCs w:val="20"/>
          <w:color w:val="auto"/>
        </w:rPr>
      </w:pPr>
    </w:p>
    <w:p>
      <w:pPr>
        <w:ind w:left="1120" w:hanging="464"/>
        <w:spacing w:after="0"/>
        <w:tabs>
          <w:tab w:leader="none" w:pos="1120"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Reserved</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287" w:lineRule="auto"/>
        <w:tabs>
          <w:tab w:leader="none" w:pos="1171" w:val="left"/>
        </w:tabs>
        <w:numPr>
          <w:ilvl w:val="0"/>
          <w:numId w:val="218"/>
        </w:numPr>
        <w:rPr>
          <w:rFonts w:ascii="Arial" w:cs="Arial" w:eastAsia="Arial" w:hAnsi="Arial"/>
          <w:sz w:val="21"/>
          <w:szCs w:val="21"/>
          <w:color w:val="auto"/>
        </w:rPr>
      </w:pPr>
      <w:r>
        <w:rPr>
          <w:rFonts w:ascii="Arial" w:cs="Arial" w:eastAsia="Arial" w:hAnsi="Arial"/>
          <w:sz w:val="21"/>
          <w:szCs w:val="21"/>
          <w:u w:val="single" w:color="auto"/>
          <w:color w:val="auto"/>
        </w:rPr>
        <w:t>Revolving Credit Loans</w:t>
      </w:r>
      <w:r>
        <w:rPr>
          <w:rFonts w:ascii="Arial" w:cs="Arial" w:eastAsia="Arial" w:hAnsi="Arial"/>
          <w:sz w:val="21"/>
          <w:szCs w:val="21"/>
          <w:color w:val="auto"/>
        </w:rPr>
        <w:t>. The Borrower shall repay to the Revolving Credit Lenders on the Maturity Date for the Revolving Credit Facility the aggregate principal amount of all Revolving Credit Loans outstanding on such date.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428" w:right="339" w:bottom="1440" w:gutter="0" w:footer="0" w:header="0"/>
          <w:type w:val="continuous"/>
        </w:sectPr>
      </w:pPr>
    </w:p>
    <w:bookmarkStart w:id="343" w:name="page344"/>
    <w:bookmarkEnd w:id="343"/>
    <w:p>
      <w:pPr>
        <w:jc w:val="both"/>
        <w:ind w:firstLine="656"/>
        <w:spacing w:after="0" w:line="302" w:lineRule="auto"/>
        <w:tabs>
          <w:tab w:leader="none" w:pos="1129"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Swing Line Loans</w:t>
      </w:r>
      <w:r>
        <w:rPr>
          <w:rFonts w:ascii="Arial" w:cs="Arial" w:eastAsia="Arial" w:hAnsi="Arial"/>
          <w:sz w:val="19"/>
          <w:szCs w:val="19"/>
          <w:color w:val="auto"/>
        </w:rPr>
        <w:t>. The Borrower shall repay each Swing Line Loan on the earlier to occur of (i) the date falling ten Business Days after such Loan is made and (ii) the Maturity Date. At any time that there shall exist a Defaulting Lender, immediately upon the request of the Swing Line Lender, the Borrower shall repay the outstanding Swing Line Loans made by the Swing Line Lender in an amount sufficient to eliminate any Fronting Exposure in respect of such Swing Line Loans.</w:t>
      </w:r>
    </w:p>
    <w:p>
      <w:pPr>
        <w:spacing w:after="0" w:line="1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2.08 </w:t>
      </w:r>
      <w:r>
        <w:rPr>
          <w:rFonts w:ascii="Arial" w:cs="Arial" w:eastAsia="Arial" w:hAnsi="Arial"/>
          <w:sz w:val="21"/>
          <w:szCs w:val="21"/>
          <w:u w:val="single" w:color="auto"/>
          <w:color w:val="auto"/>
        </w:rPr>
        <w:t>Interest</w:t>
      </w:r>
      <w:r>
        <w:rPr>
          <w:rFonts w:ascii="Arial" w:cs="Arial" w:eastAsia="Arial" w:hAnsi="Arial"/>
          <w:sz w:val="21"/>
          <w:szCs w:val="21"/>
          <w:color w:val="auto"/>
        </w:rPr>
        <w:t xml:space="preserve">. (a) Subject to the provisions of </w:t>
      </w:r>
      <w:r>
        <w:rPr>
          <w:rFonts w:ascii="Arial" w:cs="Arial" w:eastAsia="Arial" w:hAnsi="Arial"/>
          <w:sz w:val="21"/>
          <w:szCs w:val="21"/>
          <w:u w:val="single" w:color="auto"/>
          <w:color w:val="auto"/>
        </w:rPr>
        <w:t>Section 2.08(b)</w:t>
      </w:r>
      <w:r>
        <w:rPr>
          <w:rFonts w:ascii="Arial" w:cs="Arial" w:eastAsia="Arial" w:hAnsi="Arial"/>
          <w:sz w:val="21"/>
          <w:szCs w:val="21"/>
          <w:color w:val="auto"/>
        </w:rPr>
        <w:t xml:space="preserve">, (i) each Eurodollar Rate Loan shall bear interest on the outstanding principal amount thereof for each Interest Period at a rate per annum equal to the Eurodollar Rate for such Interest Period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Rate; (ii) each Base Rate Loan shall bear interest on the outstanding principal amount thereof from the applicable borrowing date at a rate per annum equal to the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Rate; and (iii) each Swing Line Loan shall bear interest on the outstanding principal amount thereof from the applicable borrowing date at a rate per annum equal to the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Rate.</w:t>
      </w:r>
    </w:p>
    <w:p>
      <w:pPr>
        <w:spacing w:after="0" w:line="179" w:lineRule="exact"/>
        <w:rPr>
          <w:sz w:val="20"/>
          <w:szCs w:val="20"/>
          <w:color w:val="auto"/>
        </w:rPr>
      </w:pPr>
    </w:p>
    <w:p>
      <w:pPr>
        <w:jc w:val="both"/>
        <w:ind w:firstLine="656"/>
        <w:spacing w:after="0" w:line="287" w:lineRule="auto"/>
        <w:tabs>
          <w:tab w:leader="none" w:pos="1135"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under </w:t>
      </w:r>
      <w:r>
        <w:rPr>
          <w:rFonts w:ascii="Arial" w:cs="Arial" w:eastAsia="Arial" w:hAnsi="Arial"/>
          <w:sz w:val="19"/>
          <w:szCs w:val="19"/>
          <w:u w:val="single" w:color="auto"/>
          <w:color w:val="auto"/>
        </w:rPr>
        <w:t>Section 8.01(a), (c)</w:t>
      </w:r>
      <w:r>
        <w:rPr>
          <w:rFonts w:ascii="Arial" w:cs="Arial" w:eastAsia="Arial" w:hAnsi="Arial"/>
          <w:sz w:val="19"/>
          <w:szCs w:val="19"/>
          <w:color w:val="auto"/>
        </w:rPr>
        <w:t xml:space="preserve"> (with respect to a breach of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only),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the principal amount of all Loans outstanding and, to the extent permitted by Applicable Law, any interest payments on the Loans or any fees or other amounts owed hereunder, shall thereafter bear interest (including post-petition interest in any proceeding under Debtor Relief Laws) payable on demand at a rate that is 2% per annum in excess of the interest rate otherwise payable hereunder with respect to the applicable Loans (or, in the case of any such fees and other amounts, at a rate which is 2% per annum in excess of the interest rate otherwise payable hereunder for Base Rate Loans that are Revolving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the case of Eurodollar Rate Loans, upon the expiration of the Interest Period in effect at the time any such increase in interest rate is effective such Eurodollar Rate Loans shall thereupon become Base Rate Loans and shall thereafter bear interest payable upon demand at a rate which is 2% per annum in excess of the interest rate otherwise payable hereunder for Base Rate Loans. Payment or acceptance of the increased rates of interest provided for in this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is not a permitted alternative to timely payment and shall not constitute a waiver of any Event of Default or otherwise prejudice or limit any rights or remedies of Administrative Agent, any L/C Issuer, the Swing Line Lender or any Lender.</w:t>
      </w:r>
    </w:p>
    <w:p>
      <w:pPr>
        <w:spacing w:after="0" w:line="158" w:lineRule="exact"/>
        <w:rPr>
          <w:rFonts w:ascii="Arial" w:cs="Arial" w:eastAsia="Arial" w:hAnsi="Arial"/>
          <w:sz w:val="19"/>
          <w:szCs w:val="19"/>
          <w:color w:val="auto"/>
        </w:rPr>
      </w:pPr>
    </w:p>
    <w:p>
      <w:pPr>
        <w:jc w:val="both"/>
        <w:ind w:firstLine="656"/>
        <w:spacing w:after="0" w:line="312" w:lineRule="auto"/>
        <w:tabs>
          <w:tab w:leader="none" w:pos="1165" w:val="left"/>
        </w:tabs>
        <w:numPr>
          <w:ilvl w:val="0"/>
          <w:numId w:val="220"/>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2.09</w:t>
      </w:r>
      <w:r>
        <w:rPr>
          <w:sz w:val="20"/>
          <w:szCs w:val="20"/>
          <w:color w:val="auto"/>
        </w:rPr>
        <w:tab/>
      </w:r>
      <w:r>
        <w:rPr>
          <w:rFonts w:ascii="Arial" w:cs="Arial" w:eastAsia="Arial" w:hAnsi="Arial"/>
          <w:sz w:val="19"/>
          <w:szCs w:val="19"/>
          <w:u w:val="single" w:color="auto"/>
          <w:color w:val="auto"/>
        </w:rPr>
        <w:t>Fees</w:t>
      </w:r>
      <w:r>
        <w:rPr>
          <w:rFonts w:ascii="Arial" w:cs="Arial" w:eastAsia="Arial" w:hAnsi="Arial"/>
          <w:sz w:val="19"/>
          <w:szCs w:val="19"/>
          <w:color w:val="auto"/>
        </w:rPr>
        <w:t>. In addition to certain fees described in</w:t>
      </w:r>
      <w:r>
        <w:rPr>
          <w:rFonts w:ascii="Arial" w:cs="Arial" w:eastAsia="Arial" w:hAnsi="Arial"/>
          <w:sz w:val="19"/>
          <w:szCs w:val="19"/>
          <w:u w:val="single" w:color="auto"/>
          <w:color w:val="auto"/>
        </w:rPr>
        <w:t xml:space="preserve"> Sections 2.03(j)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(k)</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312" w:lineRule="auto"/>
        <w:tabs>
          <w:tab w:leader="none" w:pos="1185"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Borrower shall pay to the Administrative Agent for the account of each Revolving Credit Lender in accordance with its Applicable Revolving Credit Percentage, a commitment fee equal to the Applicable Fee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actual daily amount by which the Revolving Credit Facility exceeds the sum of (i) the Outstanding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28" w:right="339" w:bottom="1440" w:gutter="0" w:footer="0" w:header="0"/>
        </w:sectPr>
      </w:pPr>
    </w:p>
    <w:bookmarkStart w:id="344" w:name="page345"/>
    <w:bookmarkEnd w:id="344"/>
    <w:p>
      <w:pPr>
        <w:jc w:val="both"/>
        <w:spacing w:after="0" w:line="289" w:lineRule="auto"/>
        <w:rPr>
          <w:sz w:val="20"/>
          <w:szCs w:val="20"/>
          <w:color w:val="auto"/>
        </w:rPr>
      </w:pPr>
      <w:r>
        <w:rPr>
          <w:rFonts w:ascii="Arial" w:cs="Arial" w:eastAsia="Arial" w:hAnsi="Arial"/>
          <w:sz w:val="19"/>
          <w:szCs w:val="19"/>
          <w:color w:val="auto"/>
        </w:rPr>
        <w:t xml:space="preserve">Revolving Credit Loans and (ii) the Outstanding Amount of L/C Obligations, subject to adjustment as provided in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for the Revolving Credit Facility.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157" w:lineRule="exact"/>
        <w:rPr>
          <w:sz w:val="20"/>
          <w:szCs w:val="20"/>
          <w:color w:val="auto"/>
        </w:rPr>
      </w:pPr>
    </w:p>
    <w:p>
      <w:pPr>
        <w:ind w:firstLine="656"/>
        <w:spacing w:after="0" w:line="263" w:lineRule="auto"/>
        <w:tabs>
          <w:tab w:leader="none" w:pos="1116"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Other Fees</w:t>
      </w:r>
      <w:r>
        <w:rPr>
          <w:rFonts w:ascii="Arial" w:cs="Arial" w:eastAsia="Arial" w:hAnsi="Arial"/>
          <w:sz w:val="22"/>
          <w:szCs w:val="22"/>
          <w:color w:val="auto"/>
        </w:rPr>
        <w:t>. The Borrower shall pay to each of the Arrangers, Agents and Lenders such other fees in the amounts and at the times separately agreed upon (including all fees provided for under any Fee Letter).</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 xml:space="preserve">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shall, subject to </w:t>
      </w:r>
      <w:r>
        <w:rPr>
          <w:rFonts w:ascii="Arial" w:cs="Arial" w:eastAsia="Arial" w:hAnsi="Arial"/>
          <w:sz w:val="19"/>
          <w:szCs w:val="19"/>
          <w:u w:val="single" w:color="auto"/>
          <w:color w:val="auto"/>
        </w:rPr>
        <w:t>Section 2.12(a)</w:t>
      </w:r>
      <w:r>
        <w:rPr>
          <w:rFonts w:ascii="Arial" w:cs="Arial" w:eastAsia="Arial" w:hAnsi="Arial"/>
          <w:sz w:val="19"/>
          <w:szCs w:val="19"/>
          <w:color w:val="auto"/>
        </w:rPr>
        <w:t>, bear interest for one day. Each determination by the Administrative Agent of an interest rate or fee hereunder shall be conclusive and binding for all purposes, absent manifest error.</w:t>
      </w:r>
    </w:p>
    <w:p>
      <w:pPr>
        <w:spacing w:after="0" w:line="1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Evidence of Debt</w:t>
      </w:r>
      <w:r>
        <w:rPr>
          <w:rFonts w:ascii="Arial" w:cs="Arial" w:eastAsia="Arial" w:hAnsi="Arial"/>
          <w:sz w:val="19"/>
          <w:szCs w:val="19"/>
          <w:color w:val="auto"/>
        </w:rPr>
        <w:t xml:space="preserve">. (a) The Credit Extensions made by each Lender shall be evidenced by one or more accounts or records maintained by such Lender in the ordinary course of business. The Administrative Agent shall maintain the Register in accordance with </w:t>
      </w:r>
      <w:r>
        <w:rPr>
          <w:rFonts w:ascii="Arial" w:cs="Arial" w:eastAsia="Arial" w:hAnsi="Arial"/>
          <w:sz w:val="19"/>
          <w:szCs w:val="19"/>
          <w:u w:val="single" w:color="auto"/>
          <w:color w:val="auto"/>
        </w:rPr>
        <w:t>Section 11.06(c)</w:t>
      </w:r>
      <w:r>
        <w:rPr>
          <w:rFonts w:ascii="Arial" w:cs="Arial" w:eastAsia="Arial" w:hAnsi="Arial"/>
          <w:sz w:val="19"/>
          <w:szCs w:val="19"/>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428" w:right="339" w:bottom="1440" w:gutter="0" w:footer="0" w:header="0"/>
        </w:sectPr>
      </w:pPr>
    </w:p>
    <w:bookmarkStart w:id="345" w:name="page346"/>
    <w:bookmarkEnd w:id="345"/>
    <w:p>
      <w:pPr>
        <w:jc w:val="both"/>
        <w:ind w:firstLine="656"/>
        <w:spacing w:after="0" w:line="263" w:lineRule="auto"/>
        <w:tabs>
          <w:tab w:leader="none" w:pos="1197"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xml:space="preserve">In addition to the accounts and records referred to in </w:t>
      </w:r>
      <w:r>
        <w:rPr>
          <w:rFonts w:ascii="Arial" w:cs="Arial" w:eastAsia="Arial" w:hAnsi="Arial"/>
          <w:sz w:val="21"/>
          <w:szCs w:val="21"/>
          <w:u w:val="single" w:color="auto"/>
          <w:color w:val="auto"/>
        </w:rPr>
        <w:t>Section 2.11(a)</w:t>
      </w:r>
      <w:r>
        <w:rPr>
          <w:rFonts w:ascii="Arial" w:cs="Arial" w:eastAsia="Arial" w:hAnsi="Arial"/>
          <w:sz w:val="21"/>
          <w:szCs w:val="21"/>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u w:val="single" w:color="auto"/>
          <w:color w:val="auto"/>
        </w:rPr>
        <w:t>Payments Generally; Administrative Agent’s Clawback</w:t>
      </w:r>
      <w:r>
        <w:rPr>
          <w:rFonts w:ascii="Arial" w:cs="Arial" w:eastAsia="Arial" w:hAnsi="Arial"/>
          <w:sz w:val="21"/>
          <w:szCs w:val="21"/>
          <w:color w:val="auto"/>
        </w:rPr>
        <w:t xml:space="preserve">. (a) </w:t>
      </w:r>
      <w:r>
        <w:rPr>
          <w:rFonts w:ascii="Arial" w:cs="Arial" w:eastAsia="Arial" w:hAnsi="Arial"/>
          <w:sz w:val="21"/>
          <w:szCs w:val="21"/>
          <w:u w:val="single" w:color="auto"/>
          <w:color w:val="auto"/>
        </w:rPr>
        <w:t>General</w:t>
      </w:r>
      <w:r>
        <w:rPr>
          <w:rFonts w:ascii="Arial" w:cs="Arial" w:eastAsia="Arial" w:hAnsi="Arial"/>
          <w:sz w:val="21"/>
          <w:szCs w:val="21"/>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on computing interest or fees, as the case may be.</w:t>
      </w:r>
    </w:p>
    <w:p>
      <w:pPr>
        <w:spacing w:after="0" w:line="182" w:lineRule="exact"/>
        <w:rPr>
          <w:sz w:val="20"/>
          <w:szCs w:val="20"/>
          <w:color w:val="auto"/>
        </w:rPr>
      </w:pPr>
    </w:p>
    <w:p>
      <w:pPr>
        <w:jc w:val="both"/>
        <w:ind w:firstLine="656"/>
        <w:spacing w:after="0" w:line="285" w:lineRule="auto"/>
        <w:tabs>
          <w:tab w:leader="none" w:pos="1127"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Borrowing of Base Rate Loans, that such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428" w:right="339" w:bottom="1440" w:gutter="0" w:footer="0" w:header="0"/>
        </w:sectPr>
      </w:pPr>
    </w:p>
    <w:bookmarkStart w:id="346" w:name="page347"/>
    <w:bookmarkEnd w:id="346"/>
    <w:p>
      <w:pPr>
        <w:jc w:val="both"/>
        <w:spacing w:after="0" w:line="253" w:lineRule="auto"/>
        <w:rPr>
          <w:sz w:val="20"/>
          <w:szCs w:val="20"/>
          <w:color w:val="auto"/>
        </w:rPr>
      </w:pPr>
      <w:r>
        <w:rPr>
          <w:rFonts w:ascii="Arial" w:cs="Arial" w:eastAsia="Arial" w:hAnsi="Arial"/>
          <w:sz w:val="22"/>
          <w:szCs w:val="22"/>
          <w:color w:val="auto"/>
        </w:rPr>
        <w:t>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5" w:lineRule="exact"/>
        <w:rPr>
          <w:sz w:val="20"/>
          <w:szCs w:val="20"/>
          <w:color w:val="auto"/>
        </w:rPr>
      </w:pPr>
    </w:p>
    <w:p>
      <w:pPr>
        <w:ind w:left="1180" w:hanging="524"/>
        <w:spacing w:after="0"/>
        <w:tabs>
          <w:tab w:leader="none" w:pos="1180"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Payments by Borrower; Presumptions by Administrative Agent</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Unless the Administrative Agent shall have received notice from the Borrower prior to the date on which any payment is due to the Administrative Agent for the account of the Lenders or any L/C Issuer hereunder that the Borrower will not make such payment, the Administrative Agent may assume that the Borrower has made such payment on such date in accordance herewith and may, in reliance upon such assumption, distribute to the Lenders or the applicable L/C Issuers, as the case may be, the amount due.</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“Rescindable Amount”) :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A notice of the Administrative Agent to any Lender or the Borrower with respect to any amount owing under this </w:t>
      </w:r>
      <w:r>
        <w:rPr>
          <w:rFonts w:ascii="Arial" w:cs="Arial" w:eastAsia="Arial" w:hAnsi="Arial"/>
          <w:sz w:val="19"/>
          <w:szCs w:val="19"/>
          <w:u w:val="single" w:color="auto"/>
          <w:color w:val="auto"/>
        </w:rPr>
        <w:t>clause</w:t>
      </w:r>
    </w:p>
    <w:p>
      <w:pPr>
        <w:spacing w:after="0" w:line="56" w:lineRule="exact"/>
        <w:rPr>
          <w:sz w:val="20"/>
          <w:szCs w:val="20"/>
          <w:color w:val="auto"/>
        </w:rPr>
      </w:pPr>
    </w:p>
    <w:p>
      <w:pPr>
        <w:ind w:left="320" w:hanging="312"/>
        <w:spacing w:after="0"/>
        <w:tabs>
          <w:tab w:leader="none" w:pos="320" w:val="left"/>
        </w:tabs>
        <w:numPr>
          <w:ilvl w:val="0"/>
          <w:numId w:val="226"/>
        </w:numPr>
        <w:rPr>
          <w:rFonts w:ascii="Arial" w:cs="Arial" w:eastAsia="Arial" w:hAnsi="Arial"/>
          <w:sz w:val="22"/>
          <w:szCs w:val="22"/>
          <w:u w:val="single" w:color="auto"/>
          <w:color w:val="auto"/>
        </w:rPr>
      </w:pPr>
      <w:r>
        <w:rPr>
          <w:rFonts w:ascii="Arial" w:cs="Arial" w:eastAsia="Arial" w:hAnsi="Arial"/>
          <w:sz w:val="22"/>
          <w:szCs w:val="22"/>
          <w:color w:val="auto"/>
        </w:rPr>
        <w:t>shall be conclusive, absent manifest error.</w:t>
      </w:r>
    </w:p>
    <w:p>
      <w:pPr>
        <w:spacing w:after="0" w:line="201" w:lineRule="exact"/>
        <w:rPr>
          <w:rFonts w:ascii="Arial" w:cs="Arial" w:eastAsia="Arial" w:hAnsi="Arial"/>
          <w:sz w:val="22"/>
          <w:szCs w:val="22"/>
          <w:u w:val="single" w:color="auto"/>
          <w:color w:val="auto"/>
        </w:rPr>
      </w:pPr>
    </w:p>
    <w:p>
      <w:pPr>
        <w:jc w:val="both"/>
        <w:ind w:firstLine="656"/>
        <w:spacing w:after="0" w:line="263" w:lineRule="auto"/>
        <w:tabs>
          <w:tab w:leader="none" w:pos="1158" w:val="left"/>
        </w:tabs>
        <w:numPr>
          <w:ilvl w:val="1"/>
          <w:numId w:val="226"/>
        </w:numPr>
        <w:rPr>
          <w:rFonts w:ascii="Arial" w:cs="Arial" w:eastAsia="Arial" w:hAnsi="Arial"/>
          <w:sz w:val="21"/>
          <w:szCs w:val="21"/>
          <w:color w:val="auto"/>
        </w:rPr>
      </w:pPr>
      <w:r>
        <w:rPr>
          <w:rFonts w:ascii="Arial" w:cs="Arial" w:eastAsia="Arial" w:hAnsi="Arial"/>
          <w:sz w:val="21"/>
          <w:szCs w:val="21"/>
          <w:u w:val="single" w:color="auto"/>
          <w:color w:val="auto"/>
        </w:rPr>
        <w:t>Failure to Satisfy Conditions Precedent</w:t>
      </w:r>
      <w:r>
        <w:rPr>
          <w:rFonts w:ascii="Arial" w:cs="Arial" w:eastAsia="Arial" w:hAnsi="Arial"/>
          <w:sz w:val="21"/>
          <w:szCs w:val="21"/>
          <w:color w:val="auto"/>
        </w:rPr>
        <w:t xml:space="preserve">. If any Lender makes available to the Administrative Agent funds for any Loan to be made by such Lender as provided in the foregoing provisions of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such funds are not made available to the Borrower by the Administrative Agent because the conditions to the applicable Credit Extension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are not satisfied or waived in accordance with the terms hereof, the Administrative Agent shall return such funds (in like funds as received from such Lender) to such Lender, without interest.</w:t>
      </w:r>
    </w:p>
    <w:p>
      <w:pPr>
        <w:spacing w:after="0" w:line="175" w:lineRule="exact"/>
        <w:rPr>
          <w:rFonts w:ascii="Arial" w:cs="Arial" w:eastAsia="Arial" w:hAnsi="Arial"/>
          <w:sz w:val="21"/>
          <w:szCs w:val="21"/>
          <w:color w:val="auto"/>
        </w:rPr>
      </w:pPr>
    </w:p>
    <w:p>
      <w:pPr>
        <w:jc w:val="both"/>
        <w:ind w:firstLine="656"/>
        <w:spacing w:after="0" w:line="248" w:lineRule="auto"/>
        <w:tabs>
          <w:tab w:leader="none" w:pos="1054" w:val="left"/>
        </w:tabs>
        <w:numPr>
          <w:ilvl w:val="1"/>
          <w:numId w:val="226"/>
        </w:numPr>
        <w:rPr>
          <w:rFonts w:ascii="Arial" w:cs="Arial" w:eastAsia="Arial" w:hAnsi="Arial"/>
          <w:sz w:val="22"/>
          <w:szCs w:val="22"/>
          <w:color w:val="auto"/>
        </w:rPr>
      </w:pPr>
      <w:r>
        <w:rPr>
          <w:rFonts w:ascii="Arial" w:cs="Arial" w:eastAsia="Arial" w:hAnsi="Arial"/>
          <w:sz w:val="22"/>
          <w:szCs w:val="22"/>
          <w:u w:val="single" w:color="auto"/>
          <w:color w:val="auto"/>
        </w:rPr>
        <w:t>Obligations of Lenders Several</w:t>
      </w:r>
      <w:r>
        <w:rPr>
          <w:rFonts w:ascii="Arial" w:cs="Arial" w:eastAsia="Arial" w:hAnsi="Arial"/>
          <w:sz w:val="22"/>
          <w:szCs w:val="22"/>
          <w:color w:val="auto"/>
        </w:rPr>
        <w:t xml:space="preserve">. The obligations of the Lenders hereunder to make Term Loans and Revolving Credit Loans, to fund participations in Letters of Credit and Swing Line Loans and to make payments pursuant to </w:t>
      </w:r>
      <w:r>
        <w:rPr>
          <w:rFonts w:ascii="Arial" w:cs="Arial" w:eastAsia="Arial" w:hAnsi="Arial"/>
          <w:sz w:val="22"/>
          <w:szCs w:val="22"/>
          <w:u w:val="single" w:color="auto"/>
          <w:color w:val="auto"/>
        </w:rPr>
        <w:t>Section 11.04(c)</w:t>
      </w:r>
      <w:r>
        <w:rPr>
          <w:rFonts w:ascii="Arial" w:cs="Arial" w:eastAsia="Arial" w:hAnsi="Arial"/>
          <w:sz w:val="22"/>
          <w:szCs w:val="22"/>
          <w:color w:val="auto"/>
        </w:rPr>
        <w:t xml:space="preserve"> are several and not joint. The failure of any Lender to make any Loan, to fund any such participation or to make any payment under </w:t>
      </w:r>
      <w:r>
        <w:rPr>
          <w:rFonts w:ascii="Arial" w:cs="Arial" w:eastAsia="Arial" w:hAnsi="Arial"/>
          <w:sz w:val="22"/>
          <w:szCs w:val="22"/>
          <w:u w:val="single" w:color="auto"/>
          <w:color w:val="auto"/>
        </w:rPr>
        <w:t>Section 11.04(c)</w:t>
      </w:r>
      <w:r>
        <w:rPr>
          <w:rFonts w:ascii="Arial" w:cs="Arial" w:eastAsia="Arial" w:hAnsi="Arial"/>
          <w:sz w:val="22"/>
          <w:szCs w:val="22"/>
          <w:color w:val="auto"/>
        </w:rPr>
        <w:t xml:space="preserve"> on any date required hereunder shall not relieve any other Lender of its corresponding obligation to do so on such date, and no Lender shall be responsible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28" w:right="339" w:bottom="1440" w:gutter="0" w:footer="0" w:header="0"/>
        </w:sectPr>
      </w:pPr>
    </w:p>
    <w:bookmarkStart w:id="347" w:name="page348"/>
    <w:bookmarkEnd w:id="347"/>
    <w:p>
      <w:pPr>
        <w:ind w:right="20"/>
        <w:spacing w:after="0" w:line="263" w:lineRule="auto"/>
        <w:rPr>
          <w:sz w:val="20"/>
          <w:szCs w:val="20"/>
          <w:color w:val="auto"/>
        </w:rPr>
      </w:pPr>
      <w:r>
        <w:rPr>
          <w:rFonts w:ascii="Arial" w:cs="Arial" w:eastAsia="Arial" w:hAnsi="Arial"/>
          <w:sz w:val="22"/>
          <w:szCs w:val="22"/>
          <w:color w:val="auto"/>
        </w:rPr>
        <w:t xml:space="preserve">for the failure of any other Lender to so make its Loan, to purchase its participation or to make its payment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11.04(c)</w:t>
      </w:r>
      <w:r>
        <w:rPr>
          <w:rFonts w:ascii="Arial" w:cs="Arial" w:eastAsia="Arial" w:hAnsi="Arial"/>
          <w:sz w:val="22"/>
          <w:szCs w:val="22"/>
          <w:color w:val="auto"/>
        </w:rPr>
        <w:t>.</w:t>
      </w:r>
    </w:p>
    <w:p>
      <w:pPr>
        <w:spacing w:after="0" w:line="175" w:lineRule="exact"/>
        <w:rPr>
          <w:sz w:val="20"/>
          <w:szCs w:val="20"/>
          <w:color w:val="auto"/>
        </w:rPr>
      </w:pPr>
    </w:p>
    <w:p>
      <w:pPr>
        <w:jc w:val="both"/>
        <w:ind w:firstLine="656"/>
        <w:spacing w:after="0" w:line="253" w:lineRule="auto"/>
        <w:tabs>
          <w:tab w:leader="none" w:pos="1185"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Funding Source</w:t>
      </w:r>
      <w:r>
        <w:rPr>
          <w:rFonts w:ascii="Arial" w:cs="Arial" w:eastAsia="Arial" w:hAnsi="Arial"/>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093"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Insufficient Funds</w:t>
      </w:r>
      <w:r>
        <w:rPr>
          <w:rFonts w:ascii="Arial" w:cs="Arial" w:eastAsia="Arial" w:hAnsi="Arial"/>
          <w:sz w:val="22"/>
          <w:szCs w:val="22"/>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22"/>
          <w:szCs w:val="22"/>
          <w:u w:val="single" w:color="auto"/>
          <w:color w:val="auto"/>
        </w:rPr>
        <w:t>second</w:t>
      </w:r>
      <w:r>
        <w:rPr>
          <w:rFonts w:ascii="Arial" w:cs="Arial" w:eastAsia="Arial" w:hAnsi="Arial"/>
          <w:sz w:val="22"/>
          <w:szCs w:val="22"/>
          <w:color w:val="auto"/>
        </w:rPr>
        <w:t>, toward payment of principal and L/C Borrowings then due hereunder, ratably among the parties entitled thereto in accordance with the amounts of principal and L/C Borrowings then due to such parties.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provided that:</w:t>
      </w:r>
    </w:p>
    <w:p>
      <w:pPr>
        <w:spacing w:after="0" w:line="200" w:lineRule="exact"/>
        <w:rPr>
          <w:sz w:val="20"/>
          <w:szCs w:val="20"/>
          <w:color w:val="auto"/>
        </w:rPr>
      </w:pPr>
    </w:p>
    <w:p>
      <w:pPr>
        <w:spacing w:after="0" w:line="215" w:lineRule="exact"/>
        <w:rPr>
          <w:sz w:val="20"/>
          <w:szCs w:val="20"/>
          <w:color w:val="auto"/>
        </w:rPr>
      </w:pPr>
    </w:p>
    <w:p>
      <w:pPr>
        <w:jc w:val="both"/>
        <w:ind w:left="660" w:firstLine="644"/>
        <w:spacing w:after="0" w:line="253" w:lineRule="auto"/>
        <w:tabs>
          <w:tab w:leader="none" w:pos="1743" w:val="left"/>
        </w:tabs>
        <w:numPr>
          <w:ilvl w:val="0"/>
          <w:numId w:val="228"/>
        </w:numPr>
        <w:rPr>
          <w:rFonts w:ascii="Arial" w:cs="Arial" w:eastAsia="Arial" w:hAnsi="Arial"/>
          <w:sz w:val="22"/>
          <w:szCs w:val="22"/>
          <w:color w:val="auto"/>
        </w:rPr>
      </w:pPr>
      <w:r>
        <w:rPr>
          <w:rFonts w:ascii="Arial" w:cs="Arial" w:eastAsia="Arial" w:hAnsi="Arial"/>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822" w:val="left"/>
        </w:tabs>
        <w:numPr>
          <w:ilvl w:val="0"/>
          <w:numId w:val="228"/>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shall not be construed to apply to (x) any payment made by or on behalf of the Borrower pursuant to and in accordance with the express terms of this Agreement (including the application of funds arising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28" w:right="339" w:bottom="1440" w:gutter="0" w:footer="0" w:header="0"/>
        </w:sectPr>
      </w:pPr>
    </w:p>
    <w:bookmarkStart w:id="348" w:name="page349"/>
    <w:bookmarkEnd w:id="348"/>
    <w:p>
      <w:pPr>
        <w:jc w:val="both"/>
        <w:ind w:left="660"/>
        <w:spacing w:after="0" w:line="312" w:lineRule="auto"/>
        <w:rPr>
          <w:sz w:val="20"/>
          <w:szCs w:val="20"/>
          <w:color w:val="auto"/>
        </w:rPr>
      </w:pPr>
      <w:r>
        <w:rPr>
          <w:rFonts w:ascii="Arial" w:cs="Arial" w:eastAsia="Arial" w:hAnsi="Arial"/>
          <w:sz w:val="19"/>
          <w:szCs w:val="19"/>
          <w:color w:val="auto"/>
        </w:rPr>
        <w:t xml:space="preserve">existence of a Defaulting Lender or Disqualified Institution), (y) the application of Cash Collateral provided for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2.17(d)(iii)</w:t>
      </w:r>
      <w:r>
        <w:rPr>
          <w:rFonts w:ascii="Arial" w:cs="Arial" w:eastAsia="Arial" w:hAnsi="Arial"/>
          <w:sz w:val="19"/>
          <w:szCs w:val="19"/>
          <w:color w:val="auto"/>
        </w:rPr>
        <w:t>, or (z) any payment obtained by a Lender as consideration for the assignment of or sale of a participation in any of its Loans or subparticipations in L/C Obligations or Swing Line Loans to any assignee or participant).</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3" w:lineRule="auto"/>
        <w:tabs>
          <w:tab w:leader="none" w:pos="1239"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741" w:val="left"/>
        </w:tabs>
        <w:numPr>
          <w:ilvl w:val="1"/>
          <w:numId w:val="229"/>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Such Defaulting Lender’s right to approve or disapprove any amendment, waiver or consent with respect to this Agreement shall be restricted as set forth in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and in the definition of “Required Lenders”.</w:t>
      </w:r>
    </w:p>
    <w:p>
      <w:pPr>
        <w:spacing w:after="0" w:line="185" w:lineRule="exact"/>
        <w:rPr>
          <w:rFonts w:ascii="Arial" w:cs="Arial" w:eastAsia="Arial" w:hAnsi="Arial"/>
          <w:sz w:val="22"/>
          <w:szCs w:val="22"/>
          <w:color w:val="auto"/>
        </w:rPr>
      </w:pPr>
    </w:p>
    <w:p>
      <w:pPr>
        <w:jc w:val="both"/>
        <w:ind w:left="660" w:firstLine="644"/>
        <w:spacing w:after="0" w:line="286" w:lineRule="auto"/>
        <w:tabs>
          <w:tab w:leader="none" w:pos="1909" w:val="left"/>
        </w:tabs>
        <w:numPr>
          <w:ilvl w:val="1"/>
          <w:numId w:val="229"/>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any L/C Issuer or the Swing 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the L/C Issuers’ Fronting Exposure with respect to such Defaulting Lender in accordance with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to the payment of any amounts owing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28" w:right="339" w:bottom="1440" w:gutter="0" w:footer="0" w:header="0"/>
        </w:sectPr>
      </w:pPr>
    </w:p>
    <w:bookmarkStart w:id="349" w:name="page350"/>
    <w:bookmarkEnd w:id="349"/>
    <w:p>
      <w:pPr>
        <w:jc w:val="both"/>
        <w:spacing w:after="0" w:line="286" w:lineRule="auto"/>
        <w:rPr>
          <w:sz w:val="20"/>
          <w:szCs w:val="20"/>
          <w:color w:val="auto"/>
        </w:rPr>
      </w:pPr>
      <w:r>
        <w:rPr>
          <w:rFonts w:ascii="Arial" w:cs="Arial" w:eastAsia="Arial" w:hAnsi="Arial"/>
          <w:sz w:val="19"/>
          <w:szCs w:val="19"/>
          <w:color w:val="auto"/>
        </w:rPr>
        <w:t xml:space="preserve">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2.17(a)(ii)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15" w:lineRule="exact"/>
        <w:rPr>
          <w:sz w:val="20"/>
          <w:szCs w:val="20"/>
          <w:color w:val="auto"/>
        </w:rPr>
      </w:pPr>
    </w:p>
    <w:p>
      <w:pPr>
        <w:ind w:left="1180" w:hanging="536"/>
        <w:spacing w:after="0"/>
        <w:tabs>
          <w:tab w:leader="none" w:pos="1180"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0" w:firstLine="652"/>
        <w:spacing w:after="0" w:line="271" w:lineRule="auto"/>
        <w:tabs>
          <w:tab w:leader="none" w:pos="1915" w:val="left"/>
        </w:tabs>
        <w:numPr>
          <w:ilvl w:val="1"/>
          <w:numId w:val="230"/>
        </w:numPr>
        <w:rPr>
          <w:rFonts w:ascii="Arial" w:cs="Arial" w:eastAsia="Arial" w:hAnsi="Arial"/>
          <w:sz w:val="21"/>
          <w:szCs w:val="21"/>
          <w:color w:val="auto"/>
        </w:rPr>
      </w:pPr>
      <w:r>
        <w:rPr>
          <w:rFonts w:ascii="Arial" w:cs="Arial" w:eastAsia="Arial" w:hAnsi="Arial"/>
          <w:sz w:val="21"/>
          <w:szCs w:val="21"/>
          <w:color w:val="auto"/>
        </w:rPr>
        <w:t xml:space="preserve">No Defaulting Lender shall be entitled to receive any fee payable under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67" w:lineRule="exact"/>
        <w:rPr>
          <w:rFonts w:ascii="Arial" w:cs="Arial" w:eastAsia="Arial" w:hAnsi="Arial"/>
          <w:sz w:val="21"/>
          <w:szCs w:val="21"/>
          <w:color w:val="auto"/>
        </w:rPr>
      </w:pPr>
    </w:p>
    <w:p>
      <w:pPr>
        <w:jc w:val="both"/>
        <w:ind w:left="640" w:firstLine="652"/>
        <w:spacing w:after="0" w:line="271" w:lineRule="auto"/>
        <w:tabs>
          <w:tab w:leader="none" w:pos="1803" w:val="left"/>
        </w:tabs>
        <w:numPr>
          <w:ilvl w:val="1"/>
          <w:numId w:val="230"/>
        </w:numPr>
        <w:rPr>
          <w:rFonts w:ascii="Arial" w:cs="Arial" w:eastAsia="Arial" w:hAnsi="Arial"/>
          <w:sz w:val="21"/>
          <w:szCs w:val="21"/>
          <w:color w:val="auto"/>
        </w:rPr>
      </w:pPr>
      <w:r>
        <w:rPr>
          <w:rFonts w:ascii="Arial" w:cs="Arial" w:eastAsia="Arial" w:hAnsi="Arial"/>
          <w:sz w:val="21"/>
          <w:szCs w:val="21"/>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21"/>
          <w:szCs w:val="21"/>
          <w:u w:val="single" w:color="auto"/>
          <w:color w:val="auto"/>
        </w:rPr>
        <w:t>Section 2.16</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left="640" w:firstLine="652"/>
        <w:spacing w:after="0" w:line="260" w:lineRule="auto"/>
        <w:tabs>
          <w:tab w:leader="none" w:pos="1822" w:val="left"/>
        </w:tabs>
        <w:numPr>
          <w:ilvl w:val="1"/>
          <w:numId w:val="230"/>
        </w:numPr>
        <w:rPr>
          <w:rFonts w:ascii="Arial" w:cs="Arial" w:eastAsia="Arial" w:hAnsi="Arial"/>
          <w:sz w:val="21"/>
          <w:szCs w:val="21"/>
          <w:color w:val="auto"/>
        </w:rPr>
      </w:pPr>
      <w:r>
        <w:rPr>
          <w:rFonts w:ascii="Arial" w:cs="Arial" w:eastAsia="Arial" w:hAnsi="Arial"/>
          <w:sz w:val="21"/>
          <w:szCs w:val="21"/>
          <w:color w:val="auto"/>
        </w:rPr>
        <w:t xml:space="preserve">With respect to any fee payable under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or any Letter of Credit Fee not required to be paid to any Defaulting Lender pursuant to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21"/>
          <w:szCs w:val="21"/>
          <w:u w:val="single" w:color="auto"/>
          <w:color w:val="auto"/>
        </w:rPr>
        <w:t>clause (iv)</w:t>
      </w:r>
      <w:r>
        <w:rPr>
          <w:rFonts w:ascii="Arial" w:cs="Arial" w:eastAsia="Arial" w:hAnsi="Arial"/>
          <w:sz w:val="21"/>
          <w:szCs w:val="21"/>
          <w:color w:val="auto"/>
        </w:rPr>
        <w:t xml:space="preserve"> below, (y) pay to each L/C Issuer and the Swing Line Lender, as applicable, the amount of any such fee otherwise payable to such Defaulting Lender to the extent allocable to such L/C Issuer’s or such Swing Line Lender’s Fronting Exposure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0580"/>
          </w:cols>
          <w:pgMar w:left="980" w:top="1428" w:right="339" w:bottom="1440" w:gutter="0" w:footer="0" w:header="0"/>
        </w:sectPr>
      </w:pPr>
    </w:p>
    <w:bookmarkStart w:id="350" w:name="page351"/>
    <w:bookmarkEnd w:id="350"/>
    <w:p>
      <w:pPr>
        <w:ind w:left="1300"/>
        <w:spacing w:after="0"/>
        <w:rPr>
          <w:sz w:val="20"/>
          <w:szCs w:val="20"/>
          <w:color w:val="auto"/>
        </w:rPr>
      </w:pPr>
      <w:r>
        <w:rPr>
          <w:rFonts w:ascii="Arial" w:cs="Arial" w:eastAsia="Arial" w:hAnsi="Arial"/>
          <w:sz w:val="22"/>
          <w:szCs w:val="22"/>
          <w:color w:val="auto"/>
        </w:rPr>
        <w:t>such Defaulting Lender, and (z) not be required to pay the remaining amount of any such fee.</w:t>
      </w:r>
    </w:p>
    <w:p>
      <w:pPr>
        <w:spacing w:after="0" w:line="220" w:lineRule="exact"/>
        <w:rPr>
          <w:sz w:val="20"/>
          <w:szCs w:val="20"/>
          <w:color w:val="auto"/>
        </w:rPr>
      </w:pPr>
    </w:p>
    <w:p>
      <w:pPr>
        <w:jc w:val="both"/>
        <w:ind w:left="660" w:firstLine="644"/>
        <w:spacing w:after="0" w:line="290" w:lineRule="auto"/>
        <w:tabs>
          <w:tab w:leader="none" w:pos="1917" w:val="left"/>
        </w:tabs>
        <w:numPr>
          <w:ilvl w:val="1"/>
          <w:numId w:val="231"/>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Revolving Credit Commitment.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11.21</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5" w:lineRule="exact"/>
        <w:rPr>
          <w:rFonts w:ascii="Arial" w:cs="Arial" w:eastAsia="Arial" w:hAnsi="Arial"/>
          <w:sz w:val="19"/>
          <w:szCs w:val="19"/>
          <w:color w:val="auto"/>
        </w:rPr>
      </w:pPr>
    </w:p>
    <w:p>
      <w:pPr>
        <w:jc w:val="both"/>
        <w:ind w:left="660" w:firstLine="644"/>
        <w:spacing w:after="0" w:line="248" w:lineRule="auto"/>
        <w:tabs>
          <w:tab w:leader="none" w:pos="1911" w:val="left"/>
        </w:tabs>
        <w:numPr>
          <w:ilvl w:val="1"/>
          <w:numId w:val="231"/>
        </w:numPr>
        <w:rPr>
          <w:rFonts w:ascii="Arial" w:cs="Arial" w:eastAsia="Arial" w:hAnsi="Arial"/>
          <w:sz w:val="22"/>
          <w:szCs w:val="22"/>
          <w:color w:val="auto"/>
        </w:rPr>
      </w:pPr>
      <w:r>
        <w:rPr>
          <w:rFonts w:ascii="Arial" w:cs="Arial" w:eastAsia="Arial" w:hAnsi="Arial"/>
          <w:sz w:val="22"/>
          <w:szCs w:val="22"/>
          <w:u w:val="single" w:color="auto"/>
          <w:color w:val="auto"/>
        </w:rPr>
        <w:t>Cash Collateral, Repayment of Swing Line Loans</w:t>
      </w:r>
      <w:r>
        <w:rPr>
          <w:rFonts w:ascii="Arial" w:cs="Arial" w:eastAsia="Arial" w:hAnsi="Arial"/>
          <w:sz w:val="22"/>
          <w:szCs w:val="22"/>
          <w:color w:val="auto"/>
        </w:rPr>
        <w:t xml:space="preserve">. If the reallocation described in </w:t>
      </w:r>
      <w:r>
        <w:rPr>
          <w:rFonts w:ascii="Arial" w:cs="Arial" w:eastAsia="Arial" w:hAnsi="Arial"/>
          <w:sz w:val="22"/>
          <w:szCs w:val="22"/>
          <w:u w:val="single" w:color="auto"/>
          <w:color w:val="auto"/>
        </w:rPr>
        <w:t>clause (a)(iv)</w:t>
      </w:r>
      <w:r>
        <w:rPr>
          <w:rFonts w:ascii="Arial" w:cs="Arial" w:eastAsia="Arial" w:hAnsi="Arial"/>
          <w:sz w:val="22"/>
          <w:szCs w:val="22"/>
          <w:color w:val="auto"/>
        </w:rPr>
        <w:t xml:space="preserve"> 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firstLine="656"/>
        <w:spacing w:after="0" w:line="257" w:lineRule="auto"/>
        <w:tabs>
          <w:tab w:leader="none" w:pos="1197"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Defaulting Lender Cure</w:t>
      </w:r>
      <w:r>
        <w:rPr>
          <w:rFonts w:ascii="Arial" w:cs="Arial" w:eastAsia="Arial" w:hAnsi="Arial"/>
          <w:sz w:val="21"/>
          <w:szCs w:val="21"/>
          <w:color w:val="auto"/>
        </w:rPr>
        <w:t xml:space="preserve">. If the Borrower, the Administrative Agent, the Swing Line 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 Line Loans to be held pro rata by the Lenders in accordance with their Revolving Credit Commitments (without giving effect to </w:t>
      </w:r>
      <w:r>
        <w:rPr>
          <w:rFonts w:ascii="Arial" w:cs="Arial" w:eastAsia="Arial" w:hAnsi="Arial"/>
          <w:sz w:val="21"/>
          <w:szCs w:val="21"/>
          <w:u w:val="single" w:color="auto"/>
          <w:color w:val="auto"/>
        </w:rPr>
        <w:t>Section 2.17(a)(iv)</w:t>
      </w:r>
      <w:r>
        <w:rPr>
          <w:rFonts w:ascii="Arial" w:cs="Arial" w:eastAsia="Arial" w:hAnsi="Arial"/>
          <w:sz w:val="21"/>
          <w:szCs w:val="21"/>
          <w:color w:val="auto"/>
        </w:rPr>
        <w:t xml:space="preserve">), whereupon such Lender will cease to be a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0" w:lineRule="exact"/>
        <w:rPr>
          <w:rFonts w:ascii="Arial" w:cs="Arial" w:eastAsia="Arial" w:hAnsi="Arial"/>
          <w:sz w:val="21"/>
          <w:szCs w:val="21"/>
          <w:color w:val="auto"/>
        </w:rPr>
      </w:pPr>
    </w:p>
    <w:p>
      <w:pPr>
        <w:jc w:val="both"/>
        <w:ind w:firstLine="656"/>
        <w:spacing w:after="0" w:line="302" w:lineRule="auto"/>
        <w:tabs>
          <w:tab w:leader="none" w:pos="1171"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New Swing Line Loans/Letters of Credit</w:t>
      </w:r>
      <w:r>
        <w:rPr>
          <w:rFonts w:ascii="Arial" w:cs="Arial" w:eastAsia="Arial" w:hAnsi="Arial"/>
          <w:sz w:val="19"/>
          <w:szCs w:val="19"/>
          <w:color w:val="auto"/>
        </w:rPr>
        <w:t>. So long as any Revolving Credit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1428" w:right="339" w:bottom="1440" w:gutter="0" w:footer="0" w:header="0"/>
        </w:sectPr>
      </w:pPr>
    </w:p>
    <w:bookmarkStart w:id="351" w:name="page352"/>
    <w:bookmarkEnd w:id="351"/>
    <w:p>
      <w:pPr>
        <w:ind w:left="464" w:hanging="464"/>
        <w:spacing w:after="0"/>
        <w:tabs>
          <w:tab w:leader="none" w:pos="46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Cash Collateral.</w:t>
      </w:r>
    </w:p>
    <w:p>
      <w:pPr>
        <w:spacing w:after="0" w:line="219" w:lineRule="exact"/>
        <w:rPr>
          <w:rFonts w:ascii="Arial" w:cs="Arial" w:eastAsia="Arial" w:hAnsi="Arial"/>
          <w:sz w:val="22"/>
          <w:szCs w:val="22"/>
          <w:color w:val="auto"/>
        </w:rPr>
      </w:pPr>
    </w:p>
    <w:p>
      <w:pPr>
        <w:jc w:val="both"/>
        <w:ind w:left="4" w:firstLine="644"/>
        <w:spacing w:after="0" w:line="248" w:lineRule="auto"/>
        <w:tabs>
          <w:tab w:leader="none" w:pos="1099" w:val="left"/>
        </w:tabs>
        <w:numPr>
          <w:ilvl w:val="1"/>
          <w:numId w:val="233"/>
        </w:numPr>
        <w:rPr>
          <w:rFonts w:ascii="Arial" w:cs="Arial" w:eastAsia="Arial" w:hAnsi="Arial"/>
          <w:sz w:val="22"/>
          <w:szCs w:val="22"/>
          <w:color w:val="auto"/>
        </w:rPr>
      </w:pPr>
      <w:r>
        <w:rPr>
          <w:rFonts w:ascii="Arial" w:cs="Arial" w:eastAsia="Arial" w:hAnsi="Arial"/>
          <w:sz w:val="22"/>
          <w:szCs w:val="22"/>
          <w:u w:val="single" w:color="auto"/>
          <w:color w:val="auto"/>
        </w:rPr>
        <w:t>Obligation to Cash Collateralize.</w:t>
      </w:r>
      <w:r>
        <w:rPr>
          <w:rFonts w:ascii="Arial" w:cs="Arial" w:eastAsia="Arial" w:hAnsi="Arial"/>
          <w:sz w:val="22"/>
          <w:szCs w:val="22"/>
          <w:color w:val="auto"/>
        </w:rPr>
        <w:t xml:space="preserve"> At any time that there shall exist a Defaulting Lender, within one Business Day following the written request of the Administrative Agent or any L/C Issuer (with a copy to the Administrative Agent), the Borrower shall Cash Collateralize the L/C Issuers’ Fronting Exposure with respect to such Defaulting Lender (determined after giving effect to </w:t>
      </w:r>
      <w:r>
        <w:rPr>
          <w:rFonts w:ascii="Arial" w:cs="Arial" w:eastAsia="Arial" w:hAnsi="Arial"/>
          <w:sz w:val="22"/>
          <w:szCs w:val="22"/>
          <w:u w:val="single" w:color="auto"/>
          <w:color w:val="auto"/>
        </w:rPr>
        <w:t>Section 2.17(a)(iv)</w:t>
      </w:r>
      <w:r>
        <w:rPr>
          <w:rFonts w:ascii="Arial" w:cs="Arial" w:eastAsia="Arial" w:hAnsi="Arial"/>
          <w:sz w:val="22"/>
          <w:szCs w:val="22"/>
          <w:color w:val="auto"/>
        </w:rPr>
        <w:t xml:space="preserve"> and any Cash Collateral provided by such Defaulting Lender) in an amount not less than the Minimum Collateral Amount.</w:t>
      </w:r>
    </w:p>
    <w:p>
      <w:pPr>
        <w:spacing w:after="0" w:line="191" w:lineRule="exact"/>
        <w:rPr>
          <w:rFonts w:ascii="Arial" w:cs="Arial" w:eastAsia="Arial" w:hAnsi="Arial"/>
          <w:sz w:val="22"/>
          <w:szCs w:val="22"/>
          <w:color w:val="auto"/>
        </w:rPr>
      </w:pPr>
    </w:p>
    <w:p>
      <w:pPr>
        <w:jc w:val="both"/>
        <w:ind w:left="4" w:firstLine="644"/>
        <w:spacing w:after="0" w:line="286" w:lineRule="auto"/>
        <w:tabs>
          <w:tab w:leader="none" w:pos="1294" w:val="left"/>
        </w:tabs>
        <w:numPr>
          <w:ilvl w:val="1"/>
          <w:numId w:val="233"/>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2.16(c)</w:t>
      </w:r>
      <w:r>
        <w:rPr>
          <w:rFonts w:ascii="Arial" w:cs="Arial" w:eastAsia="Arial" w:hAnsi="Arial"/>
          <w:sz w:val="19"/>
          <w:szCs w:val="19"/>
          <w:color w:val="auto"/>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Arial" w:cs="Arial" w:eastAsia="Arial" w:hAnsi="Arial"/>
          <w:sz w:val="19"/>
          <w:szCs w:val="19"/>
          <w:u w:val="single" w:color="auto"/>
          <w:color w:val="auto"/>
        </w:rPr>
        <w:t>Section 2.17(a)(v)</w:t>
      </w:r>
      <w:r>
        <w:rPr>
          <w:rFonts w:ascii="Arial" w:cs="Arial" w:eastAsia="Arial" w:hAnsi="Arial"/>
          <w:sz w:val="19"/>
          <w:szCs w:val="19"/>
          <w:color w:val="auto"/>
        </w:rPr>
        <w:t xml:space="preserve">, after giving effect to </w:t>
      </w:r>
      <w:r>
        <w:rPr>
          <w:rFonts w:ascii="Arial" w:cs="Arial" w:eastAsia="Arial" w:hAnsi="Arial"/>
          <w:sz w:val="19"/>
          <w:szCs w:val="19"/>
          <w:u w:val="single" w:color="auto"/>
          <w:color w:val="auto"/>
        </w:rPr>
        <w:t>Section 2.17(a)(v)</w:t>
      </w:r>
      <w:r>
        <w:rPr>
          <w:rFonts w:ascii="Arial" w:cs="Arial" w:eastAsia="Arial" w:hAnsi="Arial"/>
          <w:sz w:val="19"/>
          <w:szCs w:val="19"/>
          <w:color w:val="auto"/>
        </w:rPr>
        <w:t xml:space="preserve"> and any Cash Collateral provided by the Defaulting Lender). All Cash Collateral (other than credit support not constituting funds subject to deposit) shall be maintained in a Cash Collateral Account at Bank of America. The Borrower shall pay on demand therefor from time to time all customary account opening, activity and other administrative fees and charges in connection with the maintenance and disbursement of Cash Collateral.</w:t>
      </w:r>
    </w:p>
    <w:p>
      <w:pPr>
        <w:spacing w:after="0" w:line="161" w:lineRule="exact"/>
        <w:rPr>
          <w:rFonts w:ascii="Arial" w:cs="Arial" w:eastAsia="Arial" w:hAnsi="Arial"/>
          <w:sz w:val="19"/>
          <w:szCs w:val="19"/>
          <w:color w:val="auto"/>
        </w:rPr>
      </w:pPr>
    </w:p>
    <w:p>
      <w:pPr>
        <w:jc w:val="both"/>
        <w:ind w:left="4" w:firstLine="644"/>
        <w:spacing w:after="0" w:line="261" w:lineRule="auto"/>
        <w:tabs>
          <w:tab w:leader="none" w:pos="1394" w:val="left"/>
        </w:tabs>
        <w:numPr>
          <w:ilvl w:val="1"/>
          <w:numId w:val="233"/>
        </w:numPr>
        <w:rPr>
          <w:rFonts w:ascii="Arial" w:cs="Arial" w:eastAsia="Arial" w:hAnsi="Arial"/>
          <w:sz w:val="21"/>
          <w:szCs w:val="21"/>
          <w:color w:val="auto"/>
        </w:rPr>
      </w:pPr>
      <w:r>
        <w:rPr>
          <w:rFonts w:ascii="Arial" w:cs="Arial" w:eastAsia="Arial" w:hAnsi="Arial"/>
          <w:sz w:val="21"/>
          <w:szCs w:val="21"/>
          <w:u w:val="single" w:color="auto"/>
          <w:color w:val="auto"/>
        </w:rPr>
        <w:t>Application</w:t>
      </w:r>
      <w:r>
        <w:rPr>
          <w:rFonts w:ascii="Arial" w:cs="Arial" w:eastAsia="Arial" w:hAnsi="Arial"/>
          <w:sz w:val="21"/>
          <w:szCs w:val="21"/>
          <w:color w:val="auto"/>
        </w:rPr>
        <w:t xml:space="preserve">. Notwithstanding anything to the contrary contained in this Agreement, Cash Collateral provided under any of this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Sections 2.04</w:t>
      </w:r>
      <w:r>
        <w:rPr>
          <w:rFonts w:ascii="Arial" w:cs="Arial" w:eastAsia="Arial" w:hAnsi="Arial"/>
          <w:sz w:val="21"/>
          <w:szCs w:val="21"/>
          <w:color w:val="auto"/>
        </w:rPr>
        <w:t xml:space="preserve">, </w:t>
      </w:r>
      <w:r>
        <w:rPr>
          <w:rFonts w:ascii="Arial" w:cs="Arial" w:eastAsia="Arial" w:hAnsi="Arial"/>
          <w:sz w:val="21"/>
          <w:szCs w:val="21"/>
          <w:u w:val="single" w:color="auto"/>
          <w:color w:val="auto"/>
        </w:rPr>
        <w:t>2.05</w:t>
      </w:r>
      <w:r>
        <w:rPr>
          <w:rFonts w:ascii="Arial" w:cs="Arial" w:eastAsia="Arial" w:hAnsi="Arial"/>
          <w:sz w:val="21"/>
          <w:szCs w:val="21"/>
          <w:color w:val="auto"/>
        </w:rPr>
        <w:t xml:space="preserve">, </w:t>
      </w:r>
      <w:r>
        <w:rPr>
          <w:rFonts w:ascii="Arial" w:cs="Arial" w:eastAsia="Arial" w:hAnsi="Arial"/>
          <w:sz w:val="21"/>
          <w:szCs w:val="21"/>
          <w:u w:val="single" w:color="auto"/>
          <w:color w:val="auto"/>
        </w:rPr>
        <w:t>2.06</w:t>
      </w:r>
      <w:r>
        <w:rPr>
          <w:rFonts w:ascii="Arial" w:cs="Arial" w:eastAsia="Arial" w:hAnsi="Arial"/>
          <w:sz w:val="21"/>
          <w:szCs w:val="21"/>
          <w:color w:val="auto"/>
        </w:rPr>
        <w:t xml:space="preserve">, </w:t>
      </w:r>
      <w:r>
        <w:rPr>
          <w:rFonts w:ascii="Arial" w:cs="Arial" w:eastAsia="Arial" w:hAnsi="Arial"/>
          <w:sz w:val="21"/>
          <w:szCs w:val="21"/>
          <w:u w:val="single" w:color="auto"/>
          <w:color w:val="auto"/>
        </w:rPr>
        <w:t>2.17</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8.02</w:t>
      </w:r>
      <w:r>
        <w:rPr>
          <w:rFonts w:ascii="Arial" w:cs="Arial" w:eastAsia="Arial" w:hAnsi="Arial"/>
          <w:sz w:val="21"/>
          <w:szCs w:val="21"/>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79" w:lineRule="exact"/>
        <w:rPr>
          <w:rFonts w:ascii="Arial" w:cs="Arial" w:eastAsia="Arial" w:hAnsi="Arial"/>
          <w:sz w:val="21"/>
          <w:szCs w:val="21"/>
          <w:color w:val="auto"/>
        </w:rPr>
      </w:pPr>
    </w:p>
    <w:p>
      <w:pPr>
        <w:jc w:val="both"/>
        <w:ind w:left="4" w:firstLine="644"/>
        <w:spacing w:after="0" w:line="265" w:lineRule="auto"/>
        <w:tabs>
          <w:tab w:leader="none" w:pos="1261" w:val="left"/>
        </w:tabs>
        <w:numPr>
          <w:ilvl w:val="1"/>
          <w:numId w:val="233"/>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1"/>
          <w:szCs w:val="2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0584"/>
          </w:cols>
          <w:pgMar w:left="976" w:top="1428" w:right="339" w:bottom="1440" w:gutter="0" w:footer="0" w:header="0"/>
        </w:sectPr>
      </w:pPr>
    </w:p>
    <w:bookmarkStart w:id="352" w:name="page353"/>
    <w:bookmarkEnd w:id="352"/>
    <w:p>
      <w:pPr>
        <w:jc w:val="both"/>
        <w:ind w:left="660"/>
        <w:spacing w:after="0" w:line="312" w:lineRule="auto"/>
        <w:rPr>
          <w:sz w:val="20"/>
          <w:szCs w:val="20"/>
          <w:color w:val="auto"/>
        </w:rPr>
      </w:pPr>
      <w:r>
        <w:rPr>
          <w:rFonts w:ascii="Arial" w:cs="Arial" w:eastAsia="Arial" w:hAnsi="Arial"/>
          <w:sz w:val="19"/>
          <w:szCs w:val="19"/>
          <w:u w:val="single" w:color="auto"/>
          <w:color w:val="auto"/>
        </w:rPr>
        <w:t>11.06(b)(vi)</w:t>
      </w:r>
      <w:r>
        <w:rPr>
          <w:rFonts w:ascii="Arial" w:cs="Arial" w:eastAsia="Arial" w:hAnsi="Arial"/>
          <w:sz w:val="19"/>
          <w:szCs w:val="19"/>
          <w:color w:val="auto"/>
        </w:rPr>
        <w:t xml:space="preserve">)) or (ii) the determination by the Administrative Agent and the applicable L/C Issuer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however, the Person providing Cash Collateral and the applicable L/C Issuer may agree that Cash Collateral shall not be released but instead held to support future anticipated Fronting Exposure or other obligations.</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2.18 </w:t>
      </w:r>
      <w:r>
        <w:rPr>
          <w:rFonts w:ascii="Arial" w:cs="Arial" w:eastAsia="Arial" w:hAnsi="Arial"/>
          <w:sz w:val="21"/>
          <w:szCs w:val="21"/>
          <w:u w:val="single" w:color="auto"/>
          <w:color w:val="auto"/>
        </w:rPr>
        <w:t>Use of Proceeds</w:t>
      </w:r>
      <w:r>
        <w:rPr>
          <w:rFonts w:ascii="Arial" w:cs="Arial" w:eastAsia="Arial" w:hAnsi="Arial"/>
          <w:sz w:val="21"/>
          <w:szCs w:val="21"/>
          <w:color w:val="auto"/>
        </w:rPr>
        <w:t>. The proceeds of the Term A Loan made on the Closing Date shall be applied by Borrower to repay the Existing Indebtedness and to pay fees and expenses in connection with this Agreement and the Related Documents. The proceeds of the Revolving Credit Loans and Swing Line Loans made on and/or after the Closing Date shall be applied by Borrower for working capital and general corporate purposes of Borrower and its Subsidiaries. Letters of Credit shall be used by Borrower for working capital and general corporate purposes of Borrower and its Subsidiaries.</w:t>
      </w:r>
    </w:p>
    <w:p>
      <w:pPr>
        <w:spacing w:after="0" w:line="169"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2"/>
          <w:szCs w:val="22"/>
          <w:b w:val="1"/>
          <w:bCs w:val="1"/>
          <w:color w:val="auto"/>
        </w:rPr>
        <w:t>ARTICLE III.</w:t>
        <w:tab/>
        <w:t>TAXES, YIELD PROTECTION AND ILLEGALITY</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3.01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3.01</w:t>
      </w:r>
      <w:r>
        <w:rPr>
          <w:rFonts w:ascii="Arial" w:cs="Arial" w:eastAsia="Arial" w:hAnsi="Arial"/>
          <w:sz w:val="22"/>
          <w:szCs w:val="22"/>
          <w:color w:val="auto"/>
        </w:rPr>
        <w:t>, the term “Applicable Law” includes FATCA and the term “Lender” includes any L/C Issuer.</w:t>
      </w:r>
    </w:p>
    <w:p>
      <w:pPr>
        <w:spacing w:after="0" w:line="175" w:lineRule="exact"/>
        <w:rPr>
          <w:sz w:val="20"/>
          <w:szCs w:val="20"/>
          <w:color w:val="auto"/>
        </w:rPr>
      </w:pPr>
    </w:p>
    <w:p>
      <w:pPr>
        <w:jc w:val="both"/>
        <w:ind w:firstLine="656"/>
        <w:spacing w:after="0" w:line="289" w:lineRule="auto"/>
        <w:tabs>
          <w:tab w:leader="none" w:pos="1116"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156" w:lineRule="exact"/>
        <w:rPr>
          <w:rFonts w:ascii="Arial" w:cs="Arial" w:eastAsia="Arial" w:hAnsi="Arial"/>
          <w:sz w:val="19"/>
          <w:szCs w:val="19"/>
          <w:color w:val="auto"/>
        </w:rPr>
      </w:pPr>
    </w:p>
    <w:p>
      <w:pPr>
        <w:jc w:val="both"/>
        <w:ind w:right="20" w:firstLine="656"/>
        <w:spacing w:after="0" w:line="253" w:lineRule="auto"/>
        <w:tabs>
          <w:tab w:leader="none" w:pos="1131"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Borrower</w:t>
      </w:r>
      <w:r>
        <w:rPr>
          <w:rFonts w:ascii="Arial" w:cs="Arial" w:eastAsia="Arial" w:hAnsi="Arial"/>
          <w:sz w:val="22"/>
          <w:szCs w:val="22"/>
          <w:color w:val="auto"/>
        </w:rPr>
        <w:t>. The Loan Parties shall timely pay to the relevant Governmental Authority in accordance with Applicable Law, or at the option of the Administrative Agent timely reimburse it for the payment of, any Other Taxes.</w:t>
      </w:r>
    </w:p>
    <w:p>
      <w:pPr>
        <w:spacing w:after="0" w:line="185" w:lineRule="exact"/>
        <w:rPr>
          <w:rFonts w:ascii="Arial" w:cs="Arial" w:eastAsia="Arial" w:hAnsi="Arial"/>
          <w:sz w:val="22"/>
          <w:szCs w:val="22"/>
          <w:color w:val="auto"/>
        </w:rPr>
      </w:pPr>
    </w:p>
    <w:p>
      <w:pPr>
        <w:jc w:val="both"/>
        <w:ind w:firstLine="656"/>
        <w:spacing w:after="0" w:line="292" w:lineRule="auto"/>
        <w:tabs>
          <w:tab w:leader="none" w:pos="1116"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Indemnification by Borrower</w:t>
      </w:r>
      <w:r>
        <w:rPr>
          <w:rFonts w:ascii="Arial" w:cs="Arial" w:eastAsia="Arial" w:hAnsi="Arial"/>
          <w:sz w:val="19"/>
          <w:szCs w:val="19"/>
          <w:color w:val="auto"/>
        </w:rPr>
        <w:t xml:space="preserve">. Each of the Loan Parties shall indemnify each Recipient, within 10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428" w:right="339" w:bottom="1440" w:gutter="0" w:footer="0" w:header="0"/>
        </w:sectPr>
      </w:pPr>
    </w:p>
    <w:bookmarkStart w:id="353" w:name="page354"/>
    <w:bookmarkEnd w:id="353"/>
    <w:p>
      <w:pPr>
        <w:jc w:val="both"/>
        <w:ind w:firstLine="656"/>
        <w:spacing w:after="0" w:line="287" w:lineRule="auto"/>
        <w:tabs>
          <w:tab w:leader="none" w:pos="1171"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9"/>
          <w:szCs w:val="19"/>
          <w:u w:val="single" w:color="auto"/>
          <w:color w:val="auto"/>
        </w:rPr>
        <w:t>clause (e)</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firstLine="656"/>
        <w:spacing w:after="0" w:line="302" w:lineRule="auto"/>
        <w:tabs>
          <w:tab w:leader="none" w:pos="1201"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the Borrower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42" w:lineRule="exact"/>
        <w:rPr>
          <w:rFonts w:ascii="Arial" w:cs="Arial" w:eastAsia="Arial" w:hAnsi="Arial"/>
          <w:sz w:val="19"/>
          <w:szCs w:val="19"/>
          <w:color w:val="auto"/>
        </w:rPr>
      </w:pPr>
    </w:p>
    <w:p>
      <w:pPr>
        <w:ind w:left="1120" w:hanging="464"/>
        <w:spacing w:after="0"/>
        <w:tabs>
          <w:tab w:leader="none" w:pos="1120"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Status of Lenders; Tax Documentation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87" w:lineRule="auto"/>
        <w:tabs>
          <w:tab w:leader="none" w:pos="1767" w:val="left"/>
        </w:tabs>
        <w:numPr>
          <w:ilvl w:val="1"/>
          <w:numId w:val="235"/>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3.01(g)(ii)(A)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1428" w:right="339" w:bottom="1440" w:gutter="0" w:footer="0" w:header="0"/>
        </w:sectPr>
      </w:pPr>
    </w:p>
    <w:bookmarkStart w:id="354" w:name="page355"/>
    <w:bookmarkEnd w:id="354"/>
    <w:p>
      <w:pPr>
        <w:ind w:left="660" w:hanging="476"/>
        <w:spacing w:after="0"/>
        <w:tabs>
          <w:tab w:leader="none" w:pos="66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in the event that the Borrower is a U.S. Person,</w:t>
      </w:r>
    </w:p>
    <w:p>
      <w:pPr>
        <w:spacing w:after="0" w:line="219" w:lineRule="exact"/>
        <w:rPr>
          <w:rFonts w:ascii="Arial" w:cs="Arial" w:eastAsia="Arial" w:hAnsi="Arial"/>
          <w:sz w:val="22"/>
          <w:szCs w:val="22"/>
          <w:color w:val="auto"/>
        </w:rPr>
      </w:pPr>
    </w:p>
    <w:p>
      <w:pPr>
        <w:jc w:val="both"/>
        <w:ind w:left="180" w:firstLine="652"/>
        <w:spacing w:after="0" w:line="265" w:lineRule="auto"/>
        <w:tabs>
          <w:tab w:leader="none" w:pos="1406" w:val="left"/>
        </w:tabs>
        <w:numPr>
          <w:ilvl w:val="1"/>
          <w:numId w:val="236"/>
        </w:numPr>
        <w:rPr>
          <w:rFonts w:ascii="Arial" w:cs="Arial" w:eastAsia="Arial" w:hAnsi="Arial"/>
          <w:sz w:val="21"/>
          <w:szCs w:val="21"/>
          <w:color w:val="auto"/>
        </w:rPr>
      </w:pPr>
      <w:r>
        <w:rPr>
          <w:rFonts w:ascii="Arial" w:cs="Arial" w:eastAsia="Arial" w:hAnsi="Arial"/>
          <w:sz w:val="21"/>
          <w:szCs w:val="21"/>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5" w:lineRule="exact"/>
        <w:rPr>
          <w:rFonts w:ascii="Arial" w:cs="Arial" w:eastAsia="Arial" w:hAnsi="Arial"/>
          <w:sz w:val="21"/>
          <w:szCs w:val="21"/>
          <w:color w:val="auto"/>
        </w:rPr>
      </w:pPr>
    </w:p>
    <w:p>
      <w:pPr>
        <w:jc w:val="both"/>
        <w:ind w:left="180" w:firstLine="652"/>
        <w:spacing w:after="0" w:line="302" w:lineRule="auto"/>
        <w:tabs>
          <w:tab w:leader="none" w:pos="1362" w:val="left"/>
        </w:tabs>
        <w:numPr>
          <w:ilvl w:val="1"/>
          <w:numId w:val="236"/>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2" w:lineRule="exact"/>
        <w:rPr>
          <w:rFonts w:ascii="Arial" w:cs="Arial" w:eastAsia="Arial" w:hAnsi="Arial"/>
          <w:sz w:val="19"/>
          <w:szCs w:val="19"/>
          <w:color w:val="auto"/>
        </w:rPr>
      </w:pPr>
    </w:p>
    <w:p>
      <w:pPr>
        <w:jc w:val="both"/>
        <w:ind w:left="840" w:firstLine="640"/>
        <w:spacing w:after="0" w:line="260" w:lineRule="auto"/>
        <w:tabs>
          <w:tab w:leader="none" w:pos="2041" w:val="left"/>
        </w:tabs>
        <w:numPr>
          <w:ilvl w:val="2"/>
          <w:numId w:val="236"/>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0" w:lineRule="exact"/>
        <w:rPr>
          <w:rFonts w:ascii="Arial" w:cs="Arial" w:eastAsia="Arial" w:hAnsi="Arial"/>
          <w:sz w:val="21"/>
          <w:szCs w:val="21"/>
          <w:color w:val="auto"/>
        </w:rPr>
      </w:pPr>
    </w:p>
    <w:p>
      <w:pPr>
        <w:ind w:left="1940" w:hanging="460"/>
        <w:spacing w:after="0"/>
        <w:tabs>
          <w:tab w:leader="none" w:pos="1940" w:val="left"/>
        </w:tabs>
        <w:numPr>
          <w:ilvl w:val="2"/>
          <w:numId w:val="236"/>
        </w:numPr>
        <w:rPr>
          <w:rFonts w:ascii="Arial" w:cs="Arial" w:eastAsia="Arial" w:hAnsi="Arial"/>
          <w:sz w:val="22"/>
          <w:szCs w:val="22"/>
          <w:color w:val="auto"/>
        </w:rPr>
      </w:pPr>
      <w:r>
        <w:rPr>
          <w:rFonts w:ascii="Arial" w:cs="Arial" w:eastAsia="Arial" w:hAnsi="Arial"/>
          <w:sz w:val="22"/>
          <w:szCs w:val="22"/>
          <w:color w:val="auto"/>
        </w:rPr>
        <w:t>executed copies of IRS Form W-8ECI; .</w:t>
      </w:r>
    </w:p>
    <w:p>
      <w:pPr>
        <w:spacing w:after="0" w:line="219" w:lineRule="exact"/>
        <w:rPr>
          <w:rFonts w:ascii="Arial" w:cs="Arial" w:eastAsia="Arial" w:hAnsi="Arial"/>
          <w:sz w:val="22"/>
          <w:szCs w:val="22"/>
          <w:color w:val="auto"/>
        </w:rPr>
      </w:pPr>
    </w:p>
    <w:p>
      <w:pPr>
        <w:jc w:val="both"/>
        <w:ind w:left="840" w:firstLine="640"/>
        <w:spacing w:after="0" w:line="294" w:lineRule="auto"/>
        <w:tabs>
          <w:tab w:leader="none" w:pos="2016" w:val="left"/>
        </w:tabs>
        <w:numPr>
          <w:ilvl w:val="2"/>
          <w:numId w:val="236"/>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M-1</w:t>
      </w:r>
      <w:r>
        <w:rPr>
          <w:rFonts w:ascii="Arial" w:cs="Arial" w:eastAsia="Arial" w:hAnsi="Arial"/>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executed copies of IRS Form W-8BEN-E (or W-8BEN, as applicable); or</w:t>
      </w:r>
    </w:p>
    <w:p>
      <w:pPr>
        <w:spacing w:after="0" w:line="149" w:lineRule="exact"/>
        <w:rPr>
          <w:rFonts w:ascii="Arial" w:cs="Arial" w:eastAsia="Arial" w:hAnsi="Arial"/>
          <w:sz w:val="19"/>
          <w:szCs w:val="19"/>
          <w:color w:val="auto"/>
        </w:rPr>
      </w:pPr>
    </w:p>
    <w:p>
      <w:pPr>
        <w:jc w:val="both"/>
        <w:ind w:left="840" w:firstLine="640"/>
        <w:spacing w:after="0" w:line="248" w:lineRule="auto"/>
        <w:tabs>
          <w:tab w:leader="none" w:pos="2010" w:val="left"/>
        </w:tabs>
        <w:numPr>
          <w:ilvl w:val="2"/>
          <w:numId w:val="236"/>
        </w:numPr>
        <w:rPr>
          <w:rFonts w:ascii="Arial" w:cs="Arial" w:eastAsia="Arial" w:hAnsi="Arial"/>
          <w:sz w:val="22"/>
          <w:szCs w:val="22"/>
          <w:color w:val="auto"/>
        </w:rPr>
      </w:pPr>
      <w:r>
        <w:rPr>
          <w:rFonts w:ascii="Arial" w:cs="Arial" w:eastAsia="Arial" w:hAnsi="Arial"/>
          <w:sz w:val="22"/>
          <w:szCs w:val="22"/>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22"/>
          <w:szCs w:val="22"/>
          <w:u w:val="single" w:color="auto"/>
          <w:color w:val="auto"/>
        </w:rPr>
        <w:t>Exhibit M-2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M-3</w:t>
      </w:r>
      <w:r>
        <w:rPr>
          <w:rFonts w:ascii="Arial" w:cs="Arial" w:eastAsia="Arial" w:hAnsi="Arial"/>
          <w:sz w:val="22"/>
          <w:szCs w:val="22"/>
          <w:color w:val="auto"/>
        </w:rPr>
        <w:t>, IRS Form W-9, and/or other certification documents from each beneficial owner, as applicable; provided that if the Foreign Lender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0120"/>
          </w:cols>
          <w:pgMar w:left="1440" w:top="1428" w:right="339" w:bottom="1440" w:gutter="0" w:footer="0" w:header="0"/>
        </w:sectPr>
      </w:pPr>
    </w:p>
    <w:bookmarkStart w:id="355" w:name="page356"/>
    <w:bookmarkEnd w:id="355"/>
    <w:p>
      <w:pPr>
        <w:jc w:val="both"/>
        <w:ind w:left="1960"/>
        <w:spacing w:after="0" w:line="271" w:lineRule="auto"/>
        <w:rPr>
          <w:sz w:val="20"/>
          <w:szCs w:val="20"/>
          <w:color w:val="auto"/>
        </w:rPr>
      </w:pPr>
      <w:r>
        <w:rPr>
          <w:rFonts w:ascii="Arial" w:cs="Arial" w:eastAsia="Arial" w:hAnsi="Arial"/>
          <w:sz w:val="21"/>
          <w:szCs w:val="21"/>
          <w:color w:val="auto"/>
        </w:rPr>
        <w:t xml:space="preserve">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1"/>
          <w:szCs w:val="21"/>
          <w:u w:val="single" w:color="auto"/>
          <w:color w:val="auto"/>
        </w:rPr>
        <w:t>Exhibit M-4</w:t>
      </w:r>
      <w:r>
        <w:rPr>
          <w:rFonts w:ascii="Arial" w:cs="Arial" w:eastAsia="Arial" w:hAnsi="Arial"/>
          <w:sz w:val="21"/>
          <w:szCs w:val="21"/>
          <w:color w:val="auto"/>
        </w:rPr>
        <w:t xml:space="preserve"> on behalf of each such direct and indirect partner;</w:t>
      </w:r>
    </w:p>
    <w:p>
      <w:pPr>
        <w:spacing w:after="0" w:line="167" w:lineRule="exact"/>
        <w:rPr>
          <w:sz w:val="20"/>
          <w:szCs w:val="20"/>
          <w:color w:val="auto"/>
        </w:rPr>
      </w:pPr>
    </w:p>
    <w:p>
      <w:pPr>
        <w:jc w:val="both"/>
        <w:ind w:left="1300" w:firstLine="652"/>
        <w:spacing w:after="0" w:line="292" w:lineRule="auto"/>
        <w:tabs>
          <w:tab w:leader="none" w:pos="2482" w:val="left"/>
        </w:tabs>
        <w:numPr>
          <w:ilvl w:val="2"/>
          <w:numId w:val="237"/>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0" w:lineRule="exact"/>
        <w:rPr>
          <w:rFonts w:ascii="Arial" w:cs="Arial" w:eastAsia="Arial" w:hAnsi="Arial"/>
          <w:sz w:val="19"/>
          <w:szCs w:val="19"/>
          <w:color w:val="auto"/>
        </w:rPr>
      </w:pPr>
    </w:p>
    <w:p>
      <w:pPr>
        <w:jc w:val="both"/>
        <w:ind w:left="1300" w:firstLine="652"/>
        <w:spacing w:after="0" w:line="288" w:lineRule="auto"/>
        <w:tabs>
          <w:tab w:leader="none" w:pos="2650" w:val="left"/>
        </w:tabs>
        <w:numPr>
          <w:ilvl w:val="2"/>
          <w:numId w:val="237"/>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660" w:firstLine="644"/>
        <w:spacing w:after="0" w:line="271" w:lineRule="auto"/>
        <w:tabs>
          <w:tab w:leader="none" w:pos="1936" w:val="left"/>
        </w:tabs>
        <w:numPr>
          <w:ilvl w:val="1"/>
          <w:numId w:val="238"/>
        </w:numPr>
        <w:rPr>
          <w:rFonts w:ascii="Arial" w:cs="Arial" w:eastAsia="Arial" w:hAnsi="Arial"/>
          <w:sz w:val="21"/>
          <w:szCs w:val="21"/>
          <w:color w:val="auto"/>
        </w:rPr>
      </w:pPr>
      <w:r>
        <w:rPr>
          <w:rFonts w:ascii="Arial" w:cs="Arial" w:eastAsia="Arial" w:hAnsi="Arial"/>
          <w:sz w:val="21"/>
          <w:szCs w:val="21"/>
          <w:color w:val="auto"/>
        </w:rPr>
        <w:t xml:space="preserve">Each Lender agrees that if any form or certification it previously delivered pursuant to this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67" w:lineRule="exact"/>
        <w:rPr>
          <w:rFonts w:ascii="Arial" w:cs="Arial" w:eastAsia="Arial" w:hAnsi="Arial"/>
          <w:sz w:val="21"/>
          <w:szCs w:val="21"/>
          <w:color w:val="auto"/>
        </w:rPr>
      </w:pPr>
    </w:p>
    <w:p>
      <w:pPr>
        <w:jc w:val="both"/>
        <w:ind w:firstLine="656"/>
        <w:spacing w:after="0" w:line="294" w:lineRule="auto"/>
        <w:tabs>
          <w:tab w:leader="none" w:pos="1129" w:val="left"/>
        </w:tabs>
        <w:numPr>
          <w:ilvl w:val="0"/>
          <w:numId w:val="239"/>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it shall pay to the Loan Party an amount equal to such refund (but only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1428" w:right="339" w:bottom="1440" w:gutter="0" w:footer="0" w:header="0"/>
        </w:sectPr>
      </w:pPr>
    </w:p>
    <w:bookmarkStart w:id="356" w:name="page357"/>
    <w:bookmarkEnd w:id="356"/>
    <w:p>
      <w:pPr>
        <w:jc w:val="both"/>
        <w:spacing w:after="0" w:line="257" w:lineRule="auto"/>
        <w:rPr>
          <w:sz w:val="20"/>
          <w:szCs w:val="20"/>
          <w:color w:val="auto"/>
        </w:rPr>
      </w:pPr>
      <w:r>
        <w:rPr>
          <w:rFonts w:ascii="Arial" w:cs="Arial" w:eastAsia="Arial" w:hAnsi="Arial"/>
          <w:sz w:val="21"/>
          <w:szCs w:val="21"/>
          <w:color w:val="auto"/>
        </w:rPr>
        <w:t xml:space="preserve">of indemnity payments made, or additional amounts paid, by a Loan Party under this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Arial" w:cs="Arial" w:eastAsia="Arial" w:hAnsi="Arial"/>
          <w:sz w:val="21"/>
          <w:szCs w:val="21"/>
          <w:u w:val="single" w:color="auto"/>
          <w:color w:val="auto"/>
        </w:rPr>
        <w:t>clause (h)</w:t>
      </w:r>
      <w:r>
        <w:rPr>
          <w:rFonts w:ascii="Arial" w:cs="Arial" w:eastAsia="Arial" w:hAnsi="Arial"/>
          <w:sz w:val="21"/>
          <w:szCs w:val="21"/>
          <w:color w:val="auto"/>
        </w:rPr>
        <w:t xml:space="preserve">, in no event will the applicable Recipient be required to pay any amount to the Loan Party pursuant to this </w:t>
      </w:r>
      <w:r>
        <w:rPr>
          <w:rFonts w:ascii="Arial" w:cs="Arial" w:eastAsia="Arial" w:hAnsi="Arial"/>
          <w:sz w:val="21"/>
          <w:szCs w:val="21"/>
          <w:u w:val="single" w:color="auto"/>
          <w:color w:val="auto"/>
        </w:rPr>
        <w:t>clause (h)</w:t>
      </w:r>
      <w:r>
        <w:rPr>
          <w:rFonts w:ascii="Arial" w:cs="Arial" w:eastAsia="Arial" w:hAnsi="Arial"/>
          <w:sz w:val="21"/>
          <w:szCs w:val="21"/>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available its tax returns (or any other information relating to its Taxes that it deems confidential) to any Loan Party or any other Person.</w:t>
      </w:r>
    </w:p>
    <w:p>
      <w:pPr>
        <w:spacing w:after="0" w:line="191" w:lineRule="exact"/>
        <w:rPr>
          <w:sz w:val="20"/>
          <w:szCs w:val="20"/>
          <w:color w:val="auto"/>
        </w:rPr>
      </w:pPr>
    </w:p>
    <w:p>
      <w:pPr>
        <w:jc w:val="both"/>
        <w:ind w:firstLine="656"/>
        <w:spacing w:after="0" w:line="253" w:lineRule="auto"/>
        <w:tabs>
          <w:tab w:leader="none" w:pos="1230"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Each party’s obligations under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3.02 </w:t>
      </w:r>
      <w:r>
        <w:rPr>
          <w:rFonts w:ascii="Arial" w:cs="Arial" w:eastAsia="Arial" w:hAnsi="Arial"/>
          <w:sz w:val="19"/>
          <w:szCs w:val="19"/>
          <w:u w:val="single" w:color="auto"/>
          <w:color w:val="auto"/>
        </w:rPr>
        <w:t>Illegality</w:t>
      </w:r>
      <w:r>
        <w:rPr>
          <w:rFonts w:ascii="Arial" w:cs="Arial" w:eastAsia="Arial" w:hAnsi="Arial"/>
          <w:sz w:val="19"/>
          <w:szCs w:val="19"/>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upon notice thereof by such Lender to the Borrower (through the Administrative Agent), (a) any obligation of such Lender to make or continue Eurodollar Rate Loans or to convert Base Rate Loans to Eurodollar Rate Loans shall be suspended, and (b)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(ii) if such notice asserts the illegality of such Lender determining or charging interest rates based upon the Eurodollar Rate, the Administrative Agent shall during the period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1428" w:right="339" w:bottom="1440" w:gutter="0" w:footer="0" w:header="0"/>
        </w:sectPr>
      </w:pPr>
    </w:p>
    <w:bookmarkStart w:id="357" w:name="page358"/>
    <w:bookmarkEnd w:id="357"/>
    <w:p>
      <w:pPr>
        <w:jc w:val="both"/>
        <w:spacing w:after="0" w:line="302" w:lineRule="auto"/>
        <w:rPr>
          <w:sz w:val="20"/>
          <w:szCs w:val="20"/>
          <w:color w:val="auto"/>
        </w:rPr>
      </w:pPr>
      <w:r>
        <w:rPr>
          <w:rFonts w:ascii="Arial" w:cs="Arial" w:eastAsia="Arial" w:hAnsi="Arial"/>
          <w:sz w:val="19"/>
          <w:szCs w:val="19"/>
          <w:color w:val="auto"/>
        </w:rPr>
        <w:t xml:space="preserve">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14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9"/>
          <w:szCs w:val="19"/>
          <w:u w:val="single" w:color="auto"/>
          <w:color w:val="auto"/>
        </w:rPr>
        <w:t>Inability to Determine Rates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5" w:lineRule="auto"/>
        <w:tabs>
          <w:tab w:leader="none" w:pos="119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 xml:space="preserve">If in connection with any request for a Eurodollar Rate Loan or a conversion to or continuation thereof, (i) the Administrative Agent determines that (A) Dollar deposits are not being offered to banks in the London interbank Eurodollar market for the applicable amount and Interest Period of such Eurodollar Rate Loan, or (B) (x) adequate and reasonable means do not exist for determining the Eurodollar Rate for any requested Interest Period with respect to a proposed Eurodollar Rate Loan or in connection with an existing or proposed Base Rate Loan and (y) the circumstances described in </w:t>
      </w:r>
      <w:r>
        <w:rPr>
          <w:rFonts w:ascii="Arial" w:cs="Arial" w:eastAsia="Arial" w:hAnsi="Arial"/>
          <w:sz w:val="19"/>
          <w:szCs w:val="19"/>
          <w:u w:val="single" w:color="auto"/>
          <w:color w:val="auto"/>
        </w:rPr>
        <w:t>Section 3.03(c)(i)</w:t>
      </w:r>
      <w:r>
        <w:rPr>
          <w:rFonts w:ascii="Arial" w:cs="Arial" w:eastAsia="Arial" w:hAnsi="Arial"/>
          <w:sz w:val="19"/>
          <w:szCs w:val="19"/>
          <w:color w:val="auto"/>
        </w:rPr>
        <w:t xml:space="preserve"> do not apply (in each case with respect to this clause (i), “Impacted Loans”), or (ii)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(or, in the case of a determination by the Required Lenders described in clause (ii) of </w:t>
      </w:r>
      <w:r>
        <w:rPr>
          <w:rFonts w:ascii="Arial" w:cs="Arial" w:eastAsia="Arial" w:hAnsi="Arial"/>
          <w:sz w:val="19"/>
          <w:szCs w:val="19"/>
          <w:u w:val="single" w:color="auto"/>
          <w:color w:val="auto"/>
        </w:rPr>
        <w:t>Section 3.03(a)</w:t>
      </w:r>
      <w:r>
        <w:rPr>
          <w:rFonts w:ascii="Arial" w:cs="Arial" w:eastAsia="Arial" w:hAnsi="Arial"/>
          <w:sz w:val="19"/>
          <w:szCs w:val="19"/>
          <w:color w:val="auto"/>
        </w:rPr>
        <w:t>, until the Administrative Agent upon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65" w:lineRule="exact"/>
        <w:rPr>
          <w:rFonts w:ascii="Arial" w:cs="Arial" w:eastAsia="Arial" w:hAnsi="Arial"/>
          <w:sz w:val="19"/>
          <w:szCs w:val="19"/>
          <w:color w:val="auto"/>
        </w:rPr>
      </w:pPr>
    </w:p>
    <w:p>
      <w:pPr>
        <w:jc w:val="both"/>
        <w:ind w:firstLine="656"/>
        <w:spacing w:after="0" w:line="289" w:lineRule="auto"/>
        <w:tabs>
          <w:tab w:leader="none" w:pos="1187" w:val="left"/>
        </w:tabs>
        <w:numPr>
          <w:ilvl w:val="0"/>
          <w:numId w:val="241"/>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the Administrative Agent has made the determination described in clause (i) of </w:t>
      </w:r>
      <w:r>
        <w:rPr>
          <w:rFonts w:ascii="Arial" w:cs="Arial" w:eastAsia="Arial" w:hAnsi="Arial"/>
          <w:sz w:val="19"/>
          <w:szCs w:val="19"/>
          <w:u w:val="single" w:color="auto"/>
          <w:color w:val="auto"/>
        </w:rPr>
        <w:t>Section 3.03(a)</w:t>
      </w:r>
      <w:r>
        <w:rPr>
          <w:rFonts w:ascii="Arial" w:cs="Arial" w:eastAsia="Arial" w:hAnsi="Arial"/>
          <w:sz w:val="19"/>
          <w:szCs w:val="19"/>
          <w:color w:val="auto"/>
        </w:rPr>
        <w:t xml:space="preserve">, the Administrative Agent, in consultation with the Borrower,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w:t>
      </w:r>
      <w:r>
        <w:rPr>
          <w:rFonts w:ascii="Arial" w:cs="Arial" w:eastAsia="Arial" w:hAnsi="Arial"/>
          <w:sz w:val="19"/>
          <w:szCs w:val="19"/>
          <w:u w:val="single" w:color="auto"/>
          <w:color w:val="auto"/>
        </w:rPr>
        <w:t>Section 3.03(a)</w:t>
      </w:r>
      <w:r>
        <w:rPr>
          <w:rFonts w:ascii="Arial" w:cs="Arial" w:eastAsia="Arial" w:hAnsi="Arial"/>
          <w:sz w:val="19"/>
          <w:szCs w:val="19"/>
          <w:color w:val="auto"/>
        </w:rPr>
        <w:t>, (ii) the Administrative Agent or the Required Lender</w:t>
      </w:r>
      <w:r>
        <w:rPr>
          <w:rFonts w:ascii="Arial" w:cs="Arial" w:eastAsia="Arial" w:hAnsi="Arial"/>
          <w:sz w:val="19"/>
          <w:szCs w:val="19"/>
          <w:b w:val="1"/>
          <w:bCs w:val="1"/>
          <w:color w:val="auto"/>
        </w:rPr>
        <w:t>s</w:t>
      </w:r>
      <w:r>
        <w:rPr>
          <w:rFonts w:ascii="Arial" w:cs="Arial" w:eastAsia="Arial" w:hAnsi="Arial"/>
          <w:sz w:val="19"/>
          <w:szCs w:val="19"/>
          <w:color w:val="auto"/>
        </w:rPr>
        <w:t xml:space="preserve"> 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1428" w:right="339" w:bottom="1440" w:gutter="0" w:footer="0" w:header="0"/>
        </w:sectPr>
      </w:pPr>
    </w:p>
    <w:bookmarkStart w:id="358" w:name="page359"/>
    <w:bookmarkEnd w:id="358"/>
    <w:p>
      <w:pPr>
        <w:spacing w:after="0" w:line="263" w:lineRule="auto"/>
        <w:rPr>
          <w:sz w:val="20"/>
          <w:szCs w:val="20"/>
          <w:color w:val="auto"/>
        </w:rPr>
      </w:pPr>
      <w:r>
        <w:rPr>
          <w:rFonts w:ascii="Arial" w:cs="Arial" w:eastAsia="Arial" w:hAnsi="Arial"/>
          <w:sz w:val="22"/>
          <w:szCs w:val="22"/>
          <w:color w:val="auto"/>
        </w:rPr>
        <w:t>any Governmental Authority has imposed material restrictions on the authority of such Lender to do any of the foregoing and provides the Administrative Agent and the Borrower written notice thereof.</w:t>
      </w:r>
    </w:p>
    <w:p>
      <w:pPr>
        <w:spacing w:after="0" w:line="175" w:lineRule="exact"/>
        <w:rPr>
          <w:sz w:val="20"/>
          <w:szCs w:val="20"/>
          <w:color w:val="auto"/>
        </w:rPr>
      </w:pPr>
    </w:p>
    <w:p>
      <w:pPr>
        <w:jc w:val="both"/>
        <w:ind w:firstLine="656"/>
        <w:spacing w:after="0" w:line="250" w:lineRule="auto"/>
        <w:tabs>
          <w:tab w:leader="none" w:pos="1192" w:val="left"/>
        </w:tabs>
        <w:numPr>
          <w:ilvl w:val="0"/>
          <w:numId w:val="242"/>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7" w:lineRule="exact"/>
        <w:rPr>
          <w:rFonts w:ascii="Arial" w:cs="Arial" w:eastAsia="Arial" w:hAnsi="Arial"/>
          <w:sz w:val="22"/>
          <w:szCs w:val="22"/>
          <w:color w:val="auto"/>
        </w:rPr>
      </w:pPr>
    </w:p>
    <w:p>
      <w:pPr>
        <w:jc w:val="both"/>
        <w:ind w:left="640" w:firstLine="772"/>
        <w:spacing w:after="0" w:line="253" w:lineRule="auto"/>
        <w:tabs>
          <w:tab w:leader="none" w:pos="1828"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adequate and reasonable means do not exist for ascertaining LIBOR for any Interest Period hereunder or any other tenors of LIBOR, including, without limitation, because the LIBOR Screen Rate is not available or published on a current basis and such circumstances are unlikely to be temporary; or</w:t>
      </w:r>
    </w:p>
    <w:p>
      <w:pPr>
        <w:spacing w:after="0" w:line="185" w:lineRule="exact"/>
        <w:rPr>
          <w:rFonts w:ascii="Arial" w:cs="Arial" w:eastAsia="Arial" w:hAnsi="Arial"/>
          <w:sz w:val="22"/>
          <w:szCs w:val="22"/>
          <w:color w:val="auto"/>
        </w:rPr>
      </w:pPr>
    </w:p>
    <w:p>
      <w:pPr>
        <w:jc w:val="both"/>
        <w:ind w:left="640" w:firstLine="772"/>
        <w:spacing w:after="0" w:line="297" w:lineRule="auto"/>
        <w:tabs>
          <w:tab w:leader="none" w:pos="2003" w:val="left"/>
        </w:tabs>
        <w:numPr>
          <w:ilvl w:val="1"/>
          <w:numId w:val="242"/>
        </w:numPr>
        <w:rPr>
          <w:rFonts w:ascii="Arial" w:cs="Arial" w:eastAsia="Arial" w:hAnsi="Arial"/>
          <w:sz w:val="19"/>
          <w:szCs w:val="19"/>
          <w:color w:val="auto"/>
        </w:rPr>
      </w:pPr>
      <w:r>
        <w:rPr>
          <w:rFonts w:ascii="Arial" w:cs="Arial" w:eastAsia="Arial" w:hAnsi="Arial"/>
          <w:sz w:val="19"/>
          <w:szCs w:val="19"/>
          <w:color w:val="auto"/>
        </w:rPr>
        <w:t>the administrator of the LIBOR Screen Rate or a Governmental Authority having jurisdiction over the Administrative Agent or such administrator has made a public statement identifying a specific date after which LIBOR or the LIBOR Screen Rate shall no longer be made available, or used for determining the interest rate of loans, provided that, at the time of such statement, there is no successor administrator that is satisfactory to the Administrative Agent, that will continue to provide LIBOR after such specific date (such specific date,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or</w:t>
      </w:r>
    </w:p>
    <w:p>
      <w:pPr>
        <w:spacing w:after="0" w:line="146" w:lineRule="exact"/>
        <w:rPr>
          <w:rFonts w:ascii="Arial" w:cs="Arial" w:eastAsia="Arial" w:hAnsi="Arial"/>
          <w:sz w:val="19"/>
          <w:szCs w:val="19"/>
          <w:color w:val="auto"/>
        </w:rPr>
      </w:pPr>
    </w:p>
    <w:p>
      <w:pPr>
        <w:jc w:val="both"/>
        <w:ind w:left="640" w:firstLine="772"/>
        <w:spacing w:after="0" w:line="253" w:lineRule="auto"/>
        <w:tabs>
          <w:tab w:leader="none" w:pos="2021" w:val="left"/>
        </w:tabs>
        <w:numPr>
          <w:ilvl w:val="1"/>
          <w:numId w:val="242"/>
        </w:numPr>
        <w:rPr>
          <w:rFonts w:ascii="Arial" w:cs="Arial" w:eastAsia="Arial" w:hAnsi="Arial"/>
          <w:sz w:val="22"/>
          <w:szCs w:val="22"/>
          <w:color w:val="auto"/>
        </w:rPr>
      </w:pPr>
      <w:r>
        <w:rPr>
          <w:rFonts w:ascii="Arial" w:cs="Arial" w:eastAsia="Arial" w:hAnsi="Arial"/>
          <w:sz w:val="22"/>
          <w:szCs w:val="22"/>
          <w:color w:val="auto"/>
        </w:rPr>
        <w:t>the administrator of the LIBOR Screen Rate or a Governmental Authority having jurisdiction over such administrator has made a public statement announcing that all Interest Periods and other tenors of LIBOR are no longer representative; or</w:t>
      </w:r>
    </w:p>
    <w:p>
      <w:pPr>
        <w:spacing w:after="0" w:line="185" w:lineRule="exact"/>
        <w:rPr>
          <w:rFonts w:ascii="Arial" w:cs="Arial" w:eastAsia="Arial" w:hAnsi="Arial"/>
          <w:sz w:val="22"/>
          <w:szCs w:val="22"/>
          <w:color w:val="auto"/>
        </w:rPr>
      </w:pPr>
    </w:p>
    <w:p>
      <w:pPr>
        <w:jc w:val="both"/>
        <w:ind w:left="640" w:firstLine="772"/>
        <w:spacing w:after="0" w:line="291" w:lineRule="auto"/>
        <w:tabs>
          <w:tab w:leader="none" w:pos="1942" w:val="left"/>
        </w:tabs>
        <w:numPr>
          <w:ilvl w:val="1"/>
          <w:numId w:val="242"/>
        </w:numPr>
        <w:rPr>
          <w:rFonts w:ascii="Arial" w:cs="Arial" w:eastAsia="Arial" w:hAnsi="Arial"/>
          <w:sz w:val="19"/>
          <w:szCs w:val="19"/>
          <w:color w:val="auto"/>
        </w:rPr>
      </w:pPr>
      <w:r>
        <w:rPr>
          <w:rFonts w:ascii="Arial" w:cs="Arial" w:eastAsia="Arial" w:hAnsi="Arial"/>
          <w:sz w:val="19"/>
          <w:szCs w:val="19"/>
          <w:color w:val="auto"/>
        </w:rPr>
        <w:t xml:space="preserve">syndicated loans currently being executed, or that include language similar to that contained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are being executed or amended (as applicable) to incorporate or adopt a new benchmark interest rate to replace</w:t>
      </w:r>
    </w:p>
    <w:p>
      <w:pPr>
        <w:spacing w:after="0" w:line="1"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LIBOR;</w:t>
      </w:r>
    </w:p>
    <w:p>
      <w:pPr>
        <w:spacing w:after="0" w:line="20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then, in the case of clauses (i)-(iii) above, on a date and time determined by the Administrative Agent (any such date, the “</w:t>
      </w:r>
      <w:r>
        <w:rPr>
          <w:rFonts w:ascii="Arial" w:cs="Arial" w:eastAsia="Arial" w:hAnsi="Arial"/>
          <w:sz w:val="21"/>
          <w:szCs w:val="21"/>
          <w:u w:val="single" w:color="auto"/>
          <w:color w:val="auto"/>
        </w:rPr>
        <w:t>LIBOR Replacement Date</w:t>
      </w:r>
      <w:r>
        <w:rPr>
          <w:rFonts w:ascii="Arial" w:cs="Arial" w:eastAsia="Arial" w:hAnsi="Arial"/>
          <w:sz w:val="21"/>
          <w:szCs w:val="21"/>
          <w:color w:val="auto"/>
        </w:rPr>
        <w:t>”), which date shall be at the end of an Interest Period or on the relevant interest payment date, as applicable, for interest calculated and shall occur within a reasonable period of time after the occurrence of any of the events or circumstances under clauses (i), (ii) or (iii) above and, solely with respect to clause (ii) above, no later than the Scheduled Unavailability Date, LIBOR will be replaced hereunder and under any Loan Document with, subject to the proviso below, the first available alternative set forth in the order below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21"/>
          <w:szCs w:val="21"/>
          <w:u w:val="single" w:color="auto"/>
          <w:color w:val="auto"/>
        </w:rPr>
        <w:t>LIBOR Successor Rate</w:t>
      </w:r>
      <w:r>
        <w:rPr>
          <w:rFonts w:ascii="Arial" w:cs="Arial" w:eastAsia="Arial" w:hAnsi="Arial"/>
          <w:sz w:val="21"/>
          <w:szCs w:val="21"/>
          <w:color w:val="auto"/>
        </w:rPr>
        <w:t>”; and any such rate before giving effect to the Related Adjustment, the “</w:t>
      </w:r>
      <w:r>
        <w:rPr>
          <w:rFonts w:ascii="Arial" w:cs="Arial" w:eastAsia="Arial" w:hAnsi="Arial"/>
          <w:sz w:val="21"/>
          <w:szCs w:val="21"/>
          <w:u w:val="single" w:color="auto"/>
          <w:color w:val="auto"/>
        </w:rPr>
        <w:t>Pre-Adjustment Successor Rate</w:t>
      </w:r>
      <w:r>
        <w:rPr>
          <w:rFonts w:ascii="Arial" w:cs="Arial" w:eastAsia="Arial" w:hAnsi="Arial"/>
          <w:sz w:val="21"/>
          <w:szCs w:val="21"/>
          <w:color w:val="auto"/>
        </w:rPr>
        <w:t>”):</w:t>
      </w:r>
    </w:p>
    <w:p>
      <w:pPr>
        <w:spacing w:after="0" w:line="179" w:lineRule="exact"/>
        <w:rPr>
          <w:sz w:val="20"/>
          <w:szCs w:val="20"/>
          <w:color w:val="auto"/>
        </w:rPr>
      </w:pPr>
    </w:p>
    <w:p>
      <w:pPr>
        <w:ind w:left="2420" w:hanging="468"/>
        <w:spacing w:after="0"/>
        <w:tabs>
          <w:tab w:leader="none" w:pos="242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Term SOFR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Related Adjustment;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4"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0"/>
          <w:szCs w:val="20"/>
          <w:color w:val="auto"/>
        </w:rPr>
        <w:t>84</w:t>
      </w:r>
    </w:p>
    <w:p>
      <w:pPr>
        <w:sectPr>
          <w:pgSz w:w="11900" w:h="16838" w:orient="portrait"/>
          <w:cols w:equalWidth="0" w:num="1">
            <w:col w:w="11240"/>
          </w:cols>
          <w:pgMar w:left="320" w:top="1428" w:right="339" w:bottom="1440" w:gutter="0" w:footer="0" w:header="0"/>
        </w:sectPr>
      </w:pPr>
    </w:p>
    <w:bookmarkStart w:id="359" w:name="page360"/>
    <w:bookmarkEnd w:id="359"/>
    <w:p>
      <w:pPr>
        <w:ind w:left="2480" w:hanging="528"/>
        <w:spacing w:after="0"/>
        <w:tabs>
          <w:tab w:leader="none" w:pos="248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 xml:space="preserve">SOFR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Related Adjustment;</w:t>
      </w:r>
    </w:p>
    <w:p>
      <w:pPr>
        <w:spacing w:after="0" w:line="22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and in the case of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the Borrower and Administrative Agent may amend this Agreement solely for the purpose of replacing LIBOR under this Agreement and under any other Loan Document in accordance with the definition of “LIBOR Successor Rate” and such amendment will become effective at 5:00 p.m., on the fifth Business Day after the Administrative Agent shall have notified all Lenders and the Borrower of the occurrence of the circumstances described in </w:t>
      </w:r>
      <w:r>
        <w:rPr>
          <w:rFonts w:ascii="Arial" w:cs="Arial" w:eastAsia="Arial" w:hAnsi="Arial"/>
          <w:sz w:val="19"/>
          <w:szCs w:val="19"/>
          <w:u w:val="single" w:color="auto"/>
          <w:color w:val="auto"/>
        </w:rPr>
        <w:t>clause</w:t>
      </w:r>
    </w:p>
    <w:p>
      <w:pPr>
        <w:spacing w:after="0" w:line="3" w:lineRule="exact"/>
        <w:rPr>
          <w:sz w:val="20"/>
          <w:szCs w:val="20"/>
          <w:color w:val="auto"/>
        </w:rPr>
      </w:pPr>
    </w:p>
    <w:p>
      <w:pPr>
        <w:ind w:firstLine="8"/>
        <w:spacing w:after="0" w:line="323" w:lineRule="auto"/>
        <w:tabs>
          <w:tab w:leader="none" w:pos="400" w:val="left"/>
        </w:tabs>
        <w:numPr>
          <w:ilvl w:val="0"/>
          <w:numId w:val="245"/>
        </w:numPr>
        <w:rPr>
          <w:rFonts w:ascii="Arial" w:cs="Arial" w:eastAsia="Arial" w:hAnsi="Arial"/>
          <w:sz w:val="19"/>
          <w:szCs w:val="19"/>
          <w:u w:val="single" w:color="auto"/>
          <w:color w:val="auto"/>
        </w:rPr>
      </w:pPr>
      <w:r>
        <w:rPr>
          <w:rFonts w:ascii="Arial" w:cs="Arial" w:eastAsia="Arial" w:hAnsi="Arial"/>
          <w:sz w:val="19"/>
          <w:szCs w:val="19"/>
          <w:color w:val="auto"/>
        </w:rPr>
        <w:t>above unless, prior to such time, Lenders comprising the Required Lenders have delivered to the Administrative Agent written notice that such Required Lenders object to the implementation of a LIBOR Successor Rate pursuant to such clause;</w:t>
      </w:r>
    </w:p>
    <w:p>
      <w:pPr>
        <w:spacing w:after="0" w:line="12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that Term SOFR has become available, is administratively feasible for the Administrative Agent and would have been identified as the Pre-Adjustment Successor Rate in accordance with the foregoing if it had been so available at the time that the LIBOR Successor Rate then in effect was so identified,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shall be Term SOFR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relevant Related Adjustment.</w:t>
      </w:r>
    </w:p>
    <w:p>
      <w:pPr>
        <w:spacing w:after="0" w:line="15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Administrative Agent will promptly (in one or more notices) notify the Borrower and each Lender of (x) any occurrence of any of the events, periods or circumstances under clauses (i) through (iii) above, (y) a LIBOR Replacement Date and (z) the LIBOR Successor Rate.</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Any LIBOR Successor Rate shall be applied in a manner consistent with market practice;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Notwithstanding anything else herein, if at any time any LIBOR Successor Rate as so determined would otherwise be less than zero, the LIBOR Successor Rate will be deemed to be zero for the purposes of this Agreement and the other Loan Documents.</w:t>
      </w:r>
    </w:p>
    <w:p>
      <w:pPr>
        <w:spacing w:after="0" w:line="18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amendment effected, the Administrative Agent shall post each such amendment implementing such LIBOR Successor Rate Conforming Changes to the Borrower and the Lenders reasonably promptly after such amendment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1428" w:right="339" w:bottom="1440" w:gutter="0" w:footer="0" w:header="0"/>
        </w:sectPr>
      </w:pPr>
    </w:p>
    <w:bookmarkStart w:id="360" w:name="page361"/>
    <w:bookmarkEnd w:id="360"/>
    <w:p>
      <w:pPr>
        <w:jc w:val="both"/>
        <w:ind w:firstLine="1296"/>
        <w:spacing w:after="0" w:line="253" w:lineRule="auto"/>
        <w:rPr>
          <w:sz w:val="20"/>
          <w:szCs w:val="20"/>
          <w:color w:val="auto"/>
        </w:rPr>
      </w:pPr>
      <w:r>
        <w:rPr>
          <w:rFonts w:ascii="Arial" w:cs="Arial" w:eastAsia="Arial" w:hAnsi="Arial"/>
          <w:sz w:val="22"/>
          <w:szCs w:val="22"/>
          <w:color w:val="auto"/>
        </w:rPr>
        <w:t>If the events or circumstances of the type described in 3.03(c)(i)-(iii) have occurred with respect to the LIBOR Successor Rate then in effect, then the successor rate thereto shall be determined in accordance with the definition of “LIBOR Successor Rate.”</w:t>
      </w:r>
    </w:p>
    <w:p>
      <w:pPr>
        <w:spacing w:after="0" w:line="185" w:lineRule="exact"/>
        <w:rPr>
          <w:sz w:val="20"/>
          <w:szCs w:val="20"/>
          <w:color w:val="auto"/>
        </w:rPr>
      </w:pPr>
    </w:p>
    <w:p>
      <w:pPr>
        <w:jc w:val="both"/>
        <w:ind w:firstLine="656"/>
        <w:spacing w:after="0" w:line="285" w:lineRule="auto"/>
        <w:tabs>
          <w:tab w:leader="none" w:pos="119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(i) after any such determination by the Administrative Agent or receipt by the Administrative Agent of any such notice described under </w:t>
      </w:r>
      <w:r>
        <w:rPr>
          <w:rFonts w:ascii="Arial" w:cs="Arial" w:eastAsia="Arial" w:hAnsi="Arial"/>
          <w:sz w:val="19"/>
          <w:szCs w:val="19"/>
          <w:u w:val="single" w:color="auto"/>
          <w:color w:val="auto"/>
        </w:rPr>
        <w:t>Section 3.03(c)(i)-(iii)</w:t>
      </w:r>
      <w:r>
        <w:rPr>
          <w:rFonts w:ascii="Arial" w:cs="Arial" w:eastAsia="Arial" w:hAnsi="Arial"/>
          <w:sz w:val="19"/>
          <w:szCs w:val="19"/>
          <w:color w:val="auto"/>
        </w:rPr>
        <w:t xml:space="preserve">, as applicable, if the Administrative Agent determines that none of the LIBOR Successor Rates is available on or prior to the LIBOR Replacement Date, (ii) if the events or circumstances described in </w:t>
      </w:r>
      <w:r>
        <w:rPr>
          <w:rFonts w:ascii="Arial" w:cs="Arial" w:eastAsia="Arial" w:hAnsi="Arial"/>
          <w:sz w:val="19"/>
          <w:szCs w:val="19"/>
          <w:u w:val="single" w:color="auto"/>
          <w:color w:val="auto"/>
        </w:rPr>
        <w:t>Section 3.03(c)(iv)</w:t>
      </w:r>
      <w:r>
        <w:rPr>
          <w:rFonts w:ascii="Arial" w:cs="Arial" w:eastAsia="Arial" w:hAnsi="Arial"/>
          <w:sz w:val="19"/>
          <w:szCs w:val="19"/>
          <w:color w:val="auto"/>
        </w:rPr>
        <w:t xml:space="preserve"> have occurred but none of the LIBOR Successor Rates is available, or (iii) if the events or circumstances of the type described in </w:t>
      </w:r>
      <w:r>
        <w:rPr>
          <w:rFonts w:ascii="Arial" w:cs="Arial" w:eastAsia="Arial" w:hAnsi="Arial"/>
          <w:sz w:val="19"/>
          <w:szCs w:val="19"/>
          <w:u w:val="single" w:color="auto"/>
          <w:color w:val="auto"/>
        </w:rPr>
        <w:t>Section 3.03(c)(i)-(iii)</w:t>
      </w:r>
      <w:r>
        <w:rPr>
          <w:rFonts w:ascii="Arial" w:cs="Arial" w:eastAsia="Arial" w:hAnsi="Arial"/>
          <w:sz w:val="19"/>
          <w:szCs w:val="19"/>
          <w:color w:val="auto"/>
        </w:rPr>
        <w:t xml:space="preserve"> have occurred with respect to the LIBOR Successor Rate then in effect and the Administrative Agent determines that none of the LIBOR Successor Rates is available, then in each case, the Administrative Agent and the Borrower may amend this Agreement solely for the purpose of replacing LIBOR or any then current LIBOR Successor Rate in accordance with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at the end of any Interest Period, relevant interest payment date or payment period for interest calculated, as applicable, with another alternate benchmark rate giving due consideration to any evolving or then existing convention for similar U.S. dollar denominated syndicated credit facilities for such alternative benchmarks and, in each case, including any Related Adjustments and any other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LIBOR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258" w:lineRule="auto"/>
        <w:tabs>
          <w:tab w:leader="none" w:pos="1197" w:val="left"/>
        </w:tabs>
        <w:numPr>
          <w:ilvl w:val="0"/>
          <w:numId w:val="246"/>
        </w:numPr>
        <w:rPr>
          <w:rFonts w:ascii="Arial" w:cs="Arial" w:eastAsia="Arial" w:hAnsi="Arial"/>
          <w:sz w:val="21"/>
          <w:szCs w:val="21"/>
          <w:color w:val="auto"/>
        </w:rPr>
      </w:pPr>
      <w:r>
        <w:rPr>
          <w:rFonts w:ascii="Arial" w:cs="Arial" w:eastAsia="Arial" w:hAnsi="Arial"/>
          <w:sz w:val="21"/>
          <w:szCs w:val="21"/>
          <w:color w:val="auto"/>
        </w:rPr>
        <w:t xml:space="preserve">If, at the end of any Interest Period, relevant interest payment date or payment period for interest calculated, no LIBOR Successor Rate has been determined in accordance with clauses (c) or (d) of this </w:t>
      </w:r>
      <w:r>
        <w:rPr>
          <w:rFonts w:ascii="Arial" w:cs="Arial" w:eastAsia="Arial" w:hAnsi="Arial"/>
          <w:sz w:val="21"/>
          <w:szCs w:val="21"/>
          <w:u w:val="single" w:color="auto"/>
          <w:color w:val="auto"/>
        </w:rPr>
        <w:t>Section 3.03</w:t>
      </w:r>
      <w:r>
        <w:rPr>
          <w:rFonts w:ascii="Arial" w:cs="Arial" w:eastAsia="Arial" w:hAnsi="Arial"/>
          <w:sz w:val="21"/>
          <w:szCs w:val="21"/>
          <w:color w:val="auto"/>
        </w:rPr>
        <w:t xml:space="preserve"> and the circumstances under </w:t>
      </w:r>
      <w:r>
        <w:rPr>
          <w:rFonts w:ascii="Arial" w:cs="Arial" w:eastAsia="Arial" w:hAnsi="Arial"/>
          <w:sz w:val="21"/>
          <w:szCs w:val="21"/>
          <w:u w:val="single" w:color="auto"/>
          <w:color w:val="auto"/>
        </w:rPr>
        <w:t>clauses (c)(i)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(c)(iii)</w:t>
      </w:r>
      <w:r>
        <w:rPr>
          <w:rFonts w:ascii="Arial" w:cs="Arial" w:eastAsia="Arial" w:hAnsi="Arial"/>
          <w:sz w:val="21"/>
          <w:szCs w:val="21"/>
          <w:color w:val="auto"/>
        </w:rPr>
        <w:t xml:space="preserve">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Interest Periods, interest payment dates or payment periods), and (y) the Eurodollar Rate component shall no longer be utilized in determining the Base Rate, until the LIBOR Successor Rate has been determined in accordance with </w:t>
      </w:r>
      <w:r>
        <w:rPr>
          <w:rFonts w:ascii="Arial" w:cs="Arial" w:eastAsia="Arial" w:hAnsi="Arial"/>
          <w:sz w:val="21"/>
          <w:szCs w:val="21"/>
          <w:u w:val="single" w:color="auto"/>
          <w:color w:val="auto"/>
        </w:rPr>
        <w:t>clauses (c)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w:t>
      </w:r>
      <w:r>
        <w:rPr>
          <w:rFonts w:ascii="Arial" w:cs="Arial" w:eastAsia="Arial" w:hAnsi="Arial"/>
          <w:sz w:val="21"/>
          <w:szCs w:val="21"/>
          <w:color w:val="auto"/>
        </w:rPr>
        <w:t xml:space="preserve">. Upon receipt of such notice, the Borrower may revoke any pending request for a Borrowing of, conversion to or continuation of Eurodollar Rate Loans (to the extent of the affected Eurodollar Rate Loans, Interest Periods, interest payment dates or payment periods) or, failing that, will be deemed to have converted such request into a request for a Borrowing of Base Rate Loans (subject to the foregoing </w:t>
      </w:r>
      <w:r>
        <w:rPr>
          <w:rFonts w:ascii="Arial" w:cs="Arial" w:eastAsia="Arial" w:hAnsi="Arial"/>
          <w:sz w:val="21"/>
          <w:szCs w:val="21"/>
          <w:u w:val="single" w:color="auto"/>
          <w:color w:val="auto"/>
        </w:rPr>
        <w:t>clause (y)</w:t>
      </w:r>
      <w:r>
        <w:rPr>
          <w:rFonts w:ascii="Arial" w:cs="Arial" w:eastAsia="Arial" w:hAnsi="Arial"/>
          <w:sz w:val="21"/>
          <w:szCs w:val="21"/>
          <w:color w:val="auto"/>
        </w:rPr>
        <w:t>) in the amount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1428" w:right="339" w:bottom="1440" w:gutter="0" w:footer="0" w:header="0"/>
        </w:sectPr>
      </w:pPr>
    </w:p>
    <w:bookmarkStart w:id="361" w:name="page362"/>
    <w:bookmarkEnd w:id="361"/>
    <w:p>
      <w:pPr>
        <w:ind w:left="660"/>
        <w:spacing w:after="0"/>
        <w:tabs>
          <w:tab w:leader="none" w:pos="124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19"/>
          <w:szCs w:val="19"/>
          <w:u w:val="single" w:color="auto"/>
          <w:color w:val="auto"/>
        </w:rPr>
        <w:t>Increased Costs; Reserves on Eurodollar Rate Loans</w:t>
      </w:r>
      <w:r>
        <w:rPr>
          <w:rFonts w:ascii="Arial" w:cs="Arial" w:eastAsia="Arial" w:hAnsi="Arial"/>
          <w:sz w:val="19"/>
          <w:szCs w:val="19"/>
          <w:color w:val="auto"/>
        </w:rPr>
        <w:t>.</w:t>
      </w:r>
    </w:p>
    <w:p>
      <w:pPr>
        <w:spacing w:after="0" w:line="220" w:lineRule="exact"/>
        <w:rPr>
          <w:sz w:val="20"/>
          <w:szCs w:val="20"/>
          <w:color w:val="auto"/>
        </w:rPr>
      </w:pPr>
    </w:p>
    <w:p>
      <w:pPr>
        <w:ind w:left="1120" w:hanging="464"/>
        <w:spacing w:after="0"/>
        <w:tabs>
          <w:tab w:leader="none" w:pos="1120"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19" w:lineRule="exact"/>
        <w:rPr>
          <w:rFonts w:ascii="Arial" w:cs="Arial" w:eastAsia="Arial" w:hAnsi="Arial"/>
          <w:sz w:val="22"/>
          <w:szCs w:val="22"/>
          <w:color w:val="auto"/>
        </w:rPr>
      </w:pPr>
    </w:p>
    <w:p>
      <w:pPr>
        <w:jc w:val="both"/>
        <w:ind w:left="660" w:firstLine="644"/>
        <w:spacing w:after="0" w:line="271" w:lineRule="auto"/>
        <w:tabs>
          <w:tab w:leader="none" w:pos="1734" w:val="left"/>
        </w:tabs>
        <w:numPr>
          <w:ilvl w:val="1"/>
          <w:numId w:val="247"/>
        </w:numPr>
        <w:rPr>
          <w:rFonts w:ascii="Arial" w:cs="Arial" w:eastAsia="Arial" w:hAnsi="Arial"/>
          <w:sz w:val="21"/>
          <w:szCs w:val="21"/>
          <w:color w:val="auto"/>
        </w:rPr>
      </w:pPr>
      <w:r>
        <w:rPr>
          <w:rFonts w:ascii="Arial" w:cs="Arial" w:eastAsia="Arial" w:hAnsi="Arial"/>
          <w:sz w:val="21"/>
          <w:szCs w:val="21"/>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1"/>
          <w:szCs w:val="21"/>
          <w:u w:val="single" w:color="auto"/>
          <w:color w:val="auto"/>
        </w:rPr>
        <w:t>Section 3.04(e)</w:t>
      </w:r>
      <w:r>
        <w:rPr>
          <w:rFonts w:ascii="Arial" w:cs="Arial" w:eastAsia="Arial" w:hAnsi="Arial"/>
          <w:sz w:val="21"/>
          <w:szCs w:val="21"/>
          <w:color w:val="auto"/>
        </w:rPr>
        <w:t>) or any L/C Issuer;</w:t>
      </w:r>
    </w:p>
    <w:p>
      <w:pPr>
        <w:spacing w:after="0" w:line="167" w:lineRule="exact"/>
        <w:rPr>
          <w:rFonts w:ascii="Arial" w:cs="Arial" w:eastAsia="Arial" w:hAnsi="Arial"/>
          <w:sz w:val="21"/>
          <w:szCs w:val="21"/>
          <w:color w:val="auto"/>
        </w:rPr>
      </w:pPr>
    </w:p>
    <w:p>
      <w:pPr>
        <w:jc w:val="both"/>
        <w:ind w:left="660" w:firstLine="644"/>
        <w:spacing w:after="0" w:line="312" w:lineRule="auto"/>
        <w:tabs>
          <w:tab w:leader="none" w:pos="1866" w:val="left"/>
        </w:tabs>
        <w:numPr>
          <w:ilvl w:val="1"/>
          <w:numId w:val="247"/>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1976" w:val="left"/>
        </w:tabs>
        <w:numPr>
          <w:ilvl w:val="1"/>
          <w:numId w:val="247"/>
        </w:numPr>
        <w:rPr>
          <w:rFonts w:ascii="Arial" w:cs="Arial" w:eastAsia="Arial" w:hAnsi="Arial"/>
          <w:sz w:val="22"/>
          <w:szCs w:val="22"/>
          <w:color w:val="auto"/>
        </w:rPr>
      </w:pPr>
      <w:r>
        <w:rPr>
          <w:rFonts w:ascii="Arial" w:cs="Arial" w:eastAsia="Arial" w:hAnsi="Arial"/>
          <w:sz w:val="22"/>
          <w:szCs w:val="22"/>
          <w:color w:val="auto"/>
        </w:rPr>
        <w:t>impose on any Lender or any L/C Issuer or the London interbank market any other condition, cost or expense (other than Taxes) affecting this Agreement or Eurodollar Rate Loans made by such Lender or any Letter of Credit or participation therein;</w:t>
      </w:r>
    </w:p>
    <w:p>
      <w:pPr>
        <w:spacing w:after="0" w:line="185" w:lineRule="exact"/>
        <w:rPr>
          <w:sz w:val="20"/>
          <w:szCs w:val="20"/>
          <w:color w:val="auto"/>
        </w:rPr>
      </w:pPr>
    </w:p>
    <w:p>
      <w:pPr>
        <w:jc w:val="both"/>
        <w:ind w:firstLine="13"/>
        <w:spacing w:after="0" w:line="292"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51" w:lineRule="exact"/>
        <w:rPr>
          <w:sz w:val="20"/>
          <w:szCs w:val="20"/>
          <w:color w:val="auto"/>
        </w:rPr>
      </w:pPr>
    </w:p>
    <w:p>
      <w:pPr>
        <w:jc w:val="both"/>
        <w:ind w:firstLine="656"/>
        <w:spacing w:after="0" w:line="287" w:lineRule="auto"/>
        <w:tabs>
          <w:tab w:leader="none" w:pos="1129"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xml:space="preserve">.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Borrower will pay to such Lender or such L/C Issuer, as the case may be, such additional amount or amounts as will compensate such Lender or such L/C Issuer or such Lender’s or such L/C Issuer’s holding company for any such reduction suffered. Notwithstanding any other provision herein, no Lender shall demand compensation pursuant to this </w:t>
      </w:r>
      <w:r>
        <w:rPr>
          <w:rFonts w:ascii="Arial" w:cs="Arial" w:eastAsia="Arial" w:hAnsi="Arial"/>
          <w:sz w:val="19"/>
          <w:szCs w:val="19"/>
          <w:u w:val="single" w:color="auto"/>
          <w:color w:val="auto"/>
        </w:rPr>
        <w:t>Section 3.04(b)</w:t>
      </w:r>
      <w:r>
        <w:rPr>
          <w:rFonts w:ascii="Arial" w:cs="Arial" w:eastAsia="Arial" w:hAnsi="Arial"/>
          <w:sz w:val="19"/>
          <w:szCs w:val="19"/>
          <w:color w:val="auto"/>
        </w:rPr>
        <w:t xml:space="preserve"> as a result of a Change in Law resulting from Basel III or the Dodd-Frank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1428" w:right="339" w:bottom="1440" w:gutter="0" w:footer="0" w:header="0"/>
        </w:sectPr>
      </w:pPr>
    </w:p>
    <w:bookmarkStart w:id="362" w:name="page363"/>
    <w:bookmarkEnd w:id="362"/>
    <w:p>
      <w:pPr>
        <w:jc w:val="both"/>
        <w:spacing w:after="0" w:line="253" w:lineRule="auto"/>
        <w:rPr>
          <w:sz w:val="20"/>
          <w:szCs w:val="20"/>
          <w:color w:val="auto"/>
        </w:rPr>
      </w:pPr>
      <w:r>
        <w:rPr>
          <w:rFonts w:ascii="Arial" w:cs="Arial" w:eastAsia="Arial" w:hAnsi="Arial"/>
          <w:sz w:val="22"/>
          <w:szCs w:val="22"/>
          <w:color w:val="auto"/>
        </w:rPr>
        <w:t>Wall Street Reform and Consumer Protection Act if it shall not at the time be the general policy or practice of such Lender to demand such compensation from similarly situated borrowers (to the extent that, with respect to such Change in Law, such Lender has the right to do so under its credit facilities with similarly situated borrowers).</w:t>
      </w:r>
    </w:p>
    <w:p>
      <w:pPr>
        <w:spacing w:after="0" w:line="185" w:lineRule="exact"/>
        <w:rPr>
          <w:sz w:val="20"/>
          <w:szCs w:val="20"/>
          <w:color w:val="auto"/>
        </w:rPr>
      </w:pPr>
    </w:p>
    <w:p>
      <w:pPr>
        <w:jc w:val="both"/>
        <w:ind w:firstLine="656"/>
        <w:spacing w:after="0" w:line="291" w:lineRule="auto"/>
        <w:tabs>
          <w:tab w:leader="none" w:pos="1212" w:val="left"/>
        </w:tabs>
        <w:numPr>
          <w:ilvl w:val="1"/>
          <w:numId w:val="249"/>
        </w:numPr>
        <w:rPr>
          <w:rFonts w:ascii="Arial" w:cs="Arial" w:eastAsia="Arial" w:hAnsi="Arial"/>
          <w:sz w:val="19"/>
          <w:szCs w:val="19"/>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xml:space="preserve">. A certificate of a Lender or an L/C Issuer setting forth the amount or amounts necessary to compensate such Lender or such L/C Issuer or its holding company, as the case may be, as specified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w:t>
      </w:r>
    </w:p>
    <w:p>
      <w:pPr>
        <w:spacing w:after="0" w:line="1" w:lineRule="exact"/>
        <w:rPr>
          <w:rFonts w:ascii="Arial" w:cs="Arial" w:eastAsia="Arial" w:hAnsi="Arial"/>
          <w:sz w:val="19"/>
          <w:szCs w:val="19"/>
          <w:color w:val="auto"/>
        </w:rPr>
      </w:pPr>
    </w:p>
    <w:p>
      <w:pPr>
        <w:jc w:val="both"/>
        <w:ind w:firstLine="8"/>
        <w:spacing w:after="0" w:line="245" w:lineRule="auto"/>
        <w:tabs>
          <w:tab w:leader="none" w:pos="324" w:val="left"/>
        </w:tabs>
        <w:numPr>
          <w:ilvl w:val="0"/>
          <w:numId w:val="250"/>
        </w:numPr>
        <w:rPr>
          <w:rFonts w:ascii="Arial" w:cs="Arial" w:eastAsia="Arial" w:hAnsi="Arial"/>
          <w:sz w:val="22"/>
          <w:szCs w:val="22"/>
          <w:u w:val="single" w:color="auto"/>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and delivered to the Borrower shall be conclusive absent manifest error. The Borrower shall pay such Lender or such L/C Issuer, as the case may be, the amount shown as due on any such certificate within 10 days after receipt thereof.</w:t>
      </w:r>
    </w:p>
    <w:p>
      <w:pPr>
        <w:spacing w:after="0" w:line="192" w:lineRule="exact"/>
        <w:rPr>
          <w:rFonts w:ascii="Arial" w:cs="Arial" w:eastAsia="Arial" w:hAnsi="Arial"/>
          <w:sz w:val="22"/>
          <w:szCs w:val="22"/>
          <w:u w:val="single" w:color="auto"/>
          <w:color w:val="auto"/>
        </w:rPr>
      </w:pPr>
    </w:p>
    <w:p>
      <w:pPr>
        <w:jc w:val="both"/>
        <w:ind w:firstLine="656"/>
        <w:spacing w:after="0" w:line="290" w:lineRule="auto"/>
        <w:tabs>
          <w:tab w:leader="none" w:pos="1116" w:val="left"/>
        </w:tabs>
        <w:numPr>
          <w:ilvl w:val="1"/>
          <w:numId w:val="250"/>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or any L/C Issuer to demand compensation pursuant to the foregoing provisions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shall not constitute a waiver of such Lender’s or such L/C Issuer’s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an L/C Issuer pursuant to the foregoing provisions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55" w:lineRule="exact"/>
        <w:rPr>
          <w:rFonts w:ascii="Arial" w:cs="Arial" w:eastAsia="Arial" w:hAnsi="Arial"/>
          <w:sz w:val="19"/>
          <w:szCs w:val="19"/>
          <w:color w:val="auto"/>
        </w:rPr>
      </w:pPr>
    </w:p>
    <w:p>
      <w:pPr>
        <w:jc w:val="both"/>
        <w:ind w:firstLine="656"/>
        <w:spacing w:after="0" w:line="259" w:lineRule="auto"/>
        <w:tabs>
          <w:tab w:leader="none" w:pos="1104" w:val="left"/>
        </w:tabs>
        <w:numPr>
          <w:ilvl w:val="1"/>
          <w:numId w:val="250"/>
        </w:numPr>
        <w:rPr>
          <w:rFonts w:ascii="Arial" w:cs="Arial" w:eastAsia="Arial" w:hAnsi="Arial"/>
          <w:sz w:val="21"/>
          <w:szCs w:val="21"/>
          <w:color w:val="auto"/>
        </w:rPr>
      </w:pPr>
      <w:r>
        <w:rPr>
          <w:rFonts w:ascii="Arial" w:cs="Arial" w:eastAsia="Arial" w:hAnsi="Arial"/>
          <w:sz w:val="21"/>
          <w:szCs w:val="21"/>
          <w:u w:val="single" w:color="auto"/>
          <w:color w:val="auto"/>
        </w:rPr>
        <w:t>Reserves on Eurodollar Rate Loans</w:t>
      </w:r>
      <w:r>
        <w:rPr>
          <w:rFonts w:ascii="Arial" w:cs="Arial" w:eastAsia="Arial" w:hAnsi="Arial"/>
          <w:sz w:val="21"/>
          <w:szCs w:val="21"/>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3.05 </w:t>
      </w:r>
      <w:r>
        <w:rPr>
          <w:rFonts w:ascii="Arial" w:cs="Arial" w:eastAsia="Arial" w:hAnsi="Arial"/>
          <w:sz w:val="22"/>
          <w:szCs w:val="22"/>
          <w:u w:val="single" w:color="auto"/>
          <w:color w:val="auto"/>
        </w:rPr>
        <w:t>Compensation for Losses</w:t>
      </w:r>
      <w:r>
        <w:rPr>
          <w:rFonts w:ascii="Arial" w:cs="Arial" w:eastAsia="Arial" w:hAnsi="Arial"/>
          <w:sz w:val="22"/>
          <w:szCs w:val="22"/>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85" w:lineRule="exact"/>
        <w:rPr>
          <w:sz w:val="20"/>
          <w:szCs w:val="20"/>
          <w:color w:val="auto"/>
        </w:rPr>
      </w:pPr>
    </w:p>
    <w:p>
      <w:pPr>
        <w:jc w:val="both"/>
        <w:ind w:firstLine="656"/>
        <w:spacing w:after="0" w:line="253" w:lineRule="auto"/>
        <w:tabs>
          <w:tab w:leader="none" w:pos="1132"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1428" w:right="339" w:bottom="1440" w:gutter="0" w:footer="0" w:header="0"/>
        </w:sectPr>
      </w:pPr>
    </w:p>
    <w:bookmarkStart w:id="363" w:name="page364"/>
    <w:bookmarkEnd w:id="363"/>
    <w:p>
      <w:pPr>
        <w:ind w:firstLine="656"/>
        <w:spacing w:after="0" w:line="343" w:lineRule="auto"/>
        <w:tabs>
          <w:tab w:leader="none" w:pos="115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04" w:lineRule="exact"/>
        <w:rPr>
          <w:rFonts w:ascii="Arial" w:cs="Arial" w:eastAsia="Arial" w:hAnsi="Arial"/>
          <w:sz w:val="19"/>
          <w:szCs w:val="19"/>
          <w:color w:val="auto"/>
        </w:rPr>
      </w:pPr>
    </w:p>
    <w:p>
      <w:pPr>
        <w:ind w:firstLine="656"/>
        <w:spacing w:after="0" w:line="263" w:lineRule="auto"/>
        <w:tabs>
          <w:tab w:leader="none" w:pos="1135"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any assignment of a Eurodollar Rate Loan on a day other than the last day of the Interest Period therefor as a result of a request by the Borrower pursuant to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purposes of calculating amounts payable by the Borrower to the Lenders under this </w:t>
      </w:r>
      <w:r>
        <w:rPr>
          <w:rFonts w:ascii="Arial" w:cs="Arial" w:eastAsia="Arial" w:hAnsi="Arial"/>
          <w:sz w:val="22"/>
          <w:szCs w:val="22"/>
          <w:u w:val="single" w:color="auto"/>
          <w:color w:val="auto"/>
        </w:rPr>
        <w:t>Section 3.05</w:t>
      </w:r>
      <w:r>
        <w:rPr>
          <w:rFonts w:ascii="Arial" w:cs="Arial" w:eastAsia="Arial" w:hAnsi="Arial"/>
          <w:sz w:val="22"/>
          <w:szCs w:val="22"/>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3.06 </w:t>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 xml:space="preserve">. (a) Designation of a Different Lending Office. Each Lender may make any Credit Extension to the Borrower through any Lending Office, provided that the exercise of this option shall not affect the obligation of the Borrower to repay the Credit Extension in accordance with the terms of this Agreement.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requires the Borrower to pay any Indemnified Taxes or additional amounts to any Lender, any L/C Issuer, or any Governmental Authority for the account of any Lender or any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166" w:lineRule="exact"/>
        <w:rPr>
          <w:sz w:val="20"/>
          <w:szCs w:val="20"/>
          <w:color w:val="auto"/>
        </w:rPr>
      </w:pPr>
    </w:p>
    <w:p>
      <w:pPr>
        <w:jc w:val="both"/>
        <w:ind w:firstLine="656"/>
        <w:spacing w:after="0" w:line="302" w:lineRule="auto"/>
        <w:tabs>
          <w:tab w:leader="none" w:pos="1143" w:val="left"/>
        </w:tabs>
        <w:numPr>
          <w:ilvl w:val="0"/>
          <w:numId w:val="253"/>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in each case, such Lender has declined or is unable to designate a different lending office in accordance with </w:t>
      </w:r>
      <w:r>
        <w:rPr>
          <w:rFonts w:ascii="Arial" w:cs="Arial" w:eastAsia="Arial" w:hAnsi="Arial"/>
          <w:sz w:val="19"/>
          <w:szCs w:val="19"/>
          <w:u w:val="single" w:color="auto"/>
          <w:color w:val="auto"/>
        </w:rPr>
        <w:t>Section 3.06(a)</w:t>
      </w:r>
      <w:r>
        <w:rPr>
          <w:rFonts w:ascii="Arial" w:cs="Arial" w:eastAsia="Arial" w:hAnsi="Arial"/>
          <w:sz w:val="19"/>
          <w:szCs w:val="19"/>
          <w:color w:val="auto"/>
        </w:rPr>
        <w:t xml:space="preserve">, the Borrower may replace such Lender in accordance with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240"/>
          </w:cols>
          <w:pgMar w:left="320" w:top="1428" w:right="339" w:bottom="1440" w:gutter="0" w:footer="0" w:header="0"/>
        </w:sectPr>
      </w:pPr>
    </w:p>
    <w:bookmarkStart w:id="364" w:name="page365"/>
    <w:bookmarkEnd w:id="364"/>
    <w:p>
      <w:pPr>
        <w:jc w:val="both"/>
        <w:ind w:firstLine="648"/>
        <w:spacing w:after="0" w:line="263" w:lineRule="auto"/>
        <w:rPr>
          <w:sz w:val="20"/>
          <w:szCs w:val="20"/>
          <w:color w:val="auto"/>
        </w:rPr>
      </w:pPr>
      <w:r>
        <w:rPr>
          <w:rFonts w:ascii="Arial" w:cs="Arial" w:eastAsia="Arial" w:hAnsi="Arial"/>
          <w:sz w:val="22"/>
          <w:szCs w:val="22"/>
          <w:color w:val="auto"/>
        </w:rPr>
        <w:t xml:space="preserve">3.07 </w:t>
      </w:r>
      <w:r>
        <w:rPr>
          <w:rFonts w:ascii="Arial" w:cs="Arial" w:eastAsia="Arial" w:hAnsi="Arial"/>
          <w:sz w:val="22"/>
          <w:szCs w:val="22"/>
          <w:u w:val="single" w:color="auto"/>
          <w:color w:val="auto"/>
        </w:rPr>
        <w:t>Survival</w:t>
      </w:r>
      <w:r>
        <w:rPr>
          <w:rFonts w:ascii="Arial" w:cs="Arial" w:eastAsia="Arial" w:hAnsi="Arial"/>
          <w:sz w:val="22"/>
          <w:szCs w:val="22"/>
          <w:color w:val="auto"/>
        </w:rPr>
        <w:t>. All of the Borrower’s obligations under this Article III shall survive termination of the Aggregate Commitments, repayment of all other Obligations hereunder, and resignation of the Administrative Agent.</w:t>
      </w:r>
    </w:p>
    <w:p>
      <w:pPr>
        <w:spacing w:after="0" w:line="169"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b w:val="1"/>
          <w:bCs w:val="1"/>
          <w:color w:val="auto"/>
        </w:rPr>
        <w:t>ARTICLE IV.</w:t>
      </w:r>
      <w:r>
        <w:rPr>
          <w:sz w:val="20"/>
          <w:szCs w:val="20"/>
          <w:color w:val="auto"/>
        </w:rPr>
        <w:tab/>
      </w:r>
      <w:r>
        <w:rPr>
          <w:rFonts w:ascii="Arial" w:cs="Arial" w:eastAsia="Arial" w:hAnsi="Arial"/>
          <w:sz w:val="21"/>
          <w:szCs w:val="21"/>
          <w:b w:val="1"/>
          <w:bCs w:val="1"/>
          <w:color w:val="auto"/>
        </w:rPr>
        <w:t>CONDITIONS PRECEDENT TO CREDIT EXTENSIONS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4.01 </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The obligation of each Lender or L/C Issuer, as applicable, to make a Credit Extension on the Closing Date is subject to the satisfaction, or waiver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 of the following conditions on or before the Closing Date:</w:t>
      </w:r>
    </w:p>
    <w:p>
      <w:pPr>
        <w:spacing w:after="0" w:line="185" w:lineRule="exact"/>
        <w:rPr>
          <w:sz w:val="20"/>
          <w:szCs w:val="20"/>
          <w:color w:val="auto"/>
        </w:rPr>
      </w:pPr>
    </w:p>
    <w:p>
      <w:pPr>
        <w:ind w:firstLine="656"/>
        <w:spacing w:after="0" w:line="343" w:lineRule="auto"/>
        <w:tabs>
          <w:tab w:leader="none" w:pos="1117" w:val="left"/>
        </w:tabs>
        <w:numPr>
          <w:ilvl w:val="0"/>
          <w:numId w:val="254"/>
        </w:numPr>
        <w:rPr>
          <w:rFonts w:ascii="Arial" w:cs="Arial" w:eastAsia="Arial" w:hAnsi="Arial"/>
          <w:sz w:val="19"/>
          <w:szCs w:val="19"/>
          <w:color w:val="auto"/>
        </w:rPr>
      </w:pPr>
      <w:r>
        <w:rPr>
          <w:rFonts w:ascii="Arial" w:cs="Arial" w:eastAsia="Arial" w:hAnsi="Arial"/>
          <w:sz w:val="19"/>
          <w:szCs w:val="19"/>
          <w:u w:val="single" w:color="auto"/>
          <w:color w:val="auto"/>
        </w:rPr>
        <w:t>Loan Documents</w:t>
      </w:r>
      <w:r>
        <w:rPr>
          <w:rFonts w:ascii="Arial" w:cs="Arial" w:eastAsia="Arial" w:hAnsi="Arial"/>
          <w:sz w:val="19"/>
          <w:szCs w:val="19"/>
          <w:color w:val="auto"/>
        </w:rPr>
        <w:t>. Administrative Agent and Arrangers shall have received sufficient copies of each Loan Document as Administrative Agent shall request, originally executed and delivered by each Loan Party and each other Person party thereto.</w:t>
      </w:r>
    </w:p>
    <w:p>
      <w:pPr>
        <w:spacing w:after="0" w:line="104" w:lineRule="exact"/>
        <w:rPr>
          <w:rFonts w:ascii="Arial" w:cs="Arial" w:eastAsia="Arial" w:hAnsi="Arial"/>
          <w:sz w:val="19"/>
          <w:szCs w:val="19"/>
          <w:color w:val="auto"/>
        </w:rPr>
      </w:pPr>
    </w:p>
    <w:p>
      <w:pPr>
        <w:jc w:val="both"/>
        <w:ind w:firstLine="656"/>
        <w:spacing w:after="0" w:line="257" w:lineRule="auto"/>
        <w:tabs>
          <w:tab w:leader="none" w:pos="1116" w:val="left"/>
        </w:tabs>
        <w:numPr>
          <w:ilvl w:val="0"/>
          <w:numId w:val="254"/>
        </w:numPr>
        <w:rPr>
          <w:rFonts w:ascii="Arial" w:cs="Arial" w:eastAsia="Arial" w:hAnsi="Arial"/>
          <w:sz w:val="21"/>
          <w:szCs w:val="21"/>
          <w:color w:val="auto"/>
        </w:rPr>
      </w:pPr>
      <w:r>
        <w:rPr>
          <w:rFonts w:ascii="Arial" w:cs="Arial" w:eastAsia="Arial" w:hAnsi="Arial"/>
          <w:sz w:val="21"/>
          <w:szCs w:val="21"/>
          <w:u w:val="single" w:color="auto"/>
          <w:color w:val="auto"/>
        </w:rPr>
        <w:t>Organizational Documents; Incumbency</w:t>
      </w:r>
      <w:r>
        <w:rPr>
          <w:rFonts w:ascii="Arial" w:cs="Arial" w:eastAsia="Arial" w:hAnsi="Arial"/>
          <w:sz w:val="21"/>
          <w:szCs w:val="21"/>
          <w:color w:val="auto"/>
        </w:rPr>
        <w:t>. Administrative Agent and Arrangers shall have received, in respect of each Loan Party, (i) sufficient copies of each Organizational Document as Administrative Agent shall request, and, to the extent applicable, certified as of the Closing Date or a recent date prior thereto by the appropriate Governmental Authority; (ii) signature and incumbency certificates of the officers of such Loan Party; (iii) resolutions of the Board of Directors or similar governing body of such Loan Party approving and authorizing the execution, delivery and performance of this Agreement and the other Loan Documents and the Related Documents to which it is a party or by which it or its assets may be bound as of the Closing Date, certified as of the Closing Date by its secretary or an assistant secretary as being in full force and effect without modification or amendment; (iv) a good standing certificate from the applicable Governmental Authority of such Loan Party’s jurisdiction of incorporation, organization or formation and in each jurisdiction in which it is qualified as a foreign corporation or other entity to do business, each dated the Closing Date or a recent date prior thereto; and (v) signature and incumbency certificates of one or more officers of Borrower who are authorized to execute Committed Loan Notices delivered under this Agreement, in substantially the form of Exhibit P (with such amendments or modifications as may be approved by Administrative Agent).</w:t>
      </w:r>
    </w:p>
    <w:p>
      <w:pPr>
        <w:spacing w:after="0" w:line="188" w:lineRule="exact"/>
        <w:rPr>
          <w:rFonts w:ascii="Arial" w:cs="Arial" w:eastAsia="Arial" w:hAnsi="Arial"/>
          <w:sz w:val="21"/>
          <w:szCs w:val="21"/>
          <w:color w:val="auto"/>
        </w:rPr>
      </w:pPr>
    </w:p>
    <w:p>
      <w:pPr>
        <w:ind w:right="20" w:firstLine="656"/>
        <w:spacing w:after="0" w:line="287" w:lineRule="auto"/>
        <w:tabs>
          <w:tab w:leader="none" w:pos="1306" w:val="left"/>
        </w:tabs>
        <w:numPr>
          <w:ilvl w:val="0"/>
          <w:numId w:val="254"/>
        </w:numPr>
        <w:rPr>
          <w:rFonts w:ascii="Arial" w:cs="Arial" w:eastAsia="Arial" w:hAnsi="Arial"/>
          <w:sz w:val="21"/>
          <w:szCs w:val="21"/>
          <w:color w:val="auto"/>
        </w:rPr>
      </w:pPr>
      <w:r>
        <w:rPr>
          <w:rFonts w:ascii="Arial" w:cs="Arial" w:eastAsia="Arial" w:hAnsi="Arial"/>
          <w:sz w:val="21"/>
          <w:szCs w:val="21"/>
          <w:u w:val="single" w:color="auto"/>
          <w:color w:val="auto"/>
        </w:rPr>
        <w:t>Organizational and Capital Structure</w:t>
      </w:r>
      <w:r>
        <w:rPr>
          <w:rFonts w:ascii="Arial" w:cs="Arial" w:eastAsia="Arial" w:hAnsi="Arial"/>
          <w:sz w:val="21"/>
          <w:szCs w:val="21"/>
          <w:color w:val="auto"/>
        </w:rPr>
        <w:t xml:space="preserve">. The organizational structure and capital structure of Borrower and its Subsidiaries, both before and after giving effect to the Initial Public Offering, shall be as set forth on </w:t>
      </w:r>
      <w:r>
        <w:rPr>
          <w:rFonts w:ascii="Arial" w:cs="Arial" w:eastAsia="Arial" w:hAnsi="Arial"/>
          <w:sz w:val="21"/>
          <w:szCs w:val="21"/>
          <w:u w:val="single" w:color="auto"/>
          <w:color w:val="auto"/>
        </w:rPr>
        <w:t>Schedule 4.01</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firstLine="656"/>
        <w:spacing w:after="0" w:line="263" w:lineRule="auto"/>
        <w:tabs>
          <w:tab w:leader="none" w:pos="1143"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Initial Public Offering</w:t>
      </w:r>
      <w:r>
        <w:rPr>
          <w:rFonts w:ascii="Arial" w:cs="Arial" w:eastAsia="Arial" w:hAnsi="Arial"/>
          <w:sz w:val="22"/>
          <w:szCs w:val="22"/>
          <w:color w:val="auto"/>
        </w:rPr>
        <w:t>. Administrative Agent and Arrangers shall have received evidence reasonably satisfactory to each of them of the consummation of the Initial Public Offering.</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Borrowing of the Bridge Loans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805" w:val="left"/>
        </w:tabs>
        <w:numPr>
          <w:ilvl w:val="1"/>
          <w:numId w:val="254"/>
        </w:numPr>
        <w:rPr>
          <w:rFonts w:ascii="Arial" w:cs="Arial" w:eastAsia="Arial" w:hAnsi="Arial"/>
          <w:sz w:val="22"/>
          <w:szCs w:val="22"/>
          <w:color w:val="auto"/>
        </w:rPr>
      </w:pPr>
      <w:r>
        <w:rPr>
          <w:rFonts w:ascii="Arial" w:cs="Arial" w:eastAsia="Arial" w:hAnsi="Arial"/>
          <w:sz w:val="22"/>
          <w:szCs w:val="22"/>
          <w:color w:val="auto"/>
        </w:rPr>
        <w:t>(1) all conditions to the borrowing of the Bridge Loans on the Closing Date set forth in the Bridge Credit Agreement shall have been satisfied, or the fulfillment of any such conditions shall have been waived in accordance with the terms thereof, and (2) the Bridge Loans shall be fully funded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1428" w:right="339" w:bottom="1440" w:gutter="0" w:footer="0" w:header="0"/>
        </w:sectPr>
      </w:pPr>
    </w:p>
    <w:bookmarkStart w:id="365" w:name="page366"/>
    <w:bookmarkEnd w:id="365"/>
    <w:p>
      <w:pPr>
        <w:jc w:val="both"/>
        <w:ind w:left="660" w:firstLine="644"/>
        <w:spacing w:after="0" w:line="248" w:lineRule="auto"/>
        <w:tabs>
          <w:tab w:leader="none" w:pos="179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Administrative Agent and Arrangers shall have received a fully executed or conformed copy of each Related Agreement and any documents executed in connection therewith. Each Related Agreement shall be in full force and effect, shall include terms and provisions reasonably satisfactory to Administrative Agent and no provision thereof shall have been modified or waived in any respect determined by Administrative Agent to be material, in each case without the consent of Administrative Agent.</w:t>
      </w:r>
    </w:p>
    <w:p>
      <w:pPr>
        <w:spacing w:after="0" w:line="191" w:lineRule="exact"/>
        <w:rPr>
          <w:rFonts w:ascii="Arial" w:cs="Arial" w:eastAsia="Arial" w:hAnsi="Arial"/>
          <w:sz w:val="22"/>
          <w:szCs w:val="22"/>
          <w:color w:val="auto"/>
        </w:rPr>
      </w:pPr>
    </w:p>
    <w:p>
      <w:pPr>
        <w:ind w:firstLine="656"/>
        <w:spacing w:after="0" w:line="287" w:lineRule="auto"/>
        <w:tabs>
          <w:tab w:leader="none" w:pos="1120" w:val="left"/>
        </w:tabs>
        <w:numPr>
          <w:ilvl w:val="0"/>
          <w:numId w:val="256"/>
        </w:numPr>
        <w:rPr>
          <w:rFonts w:ascii="Arial" w:cs="Arial" w:eastAsia="Arial" w:hAnsi="Arial"/>
          <w:sz w:val="21"/>
          <w:szCs w:val="21"/>
          <w:color w:val="auto"/>
        </w:rPr>
      </w:pPr>
      <w:r>
        <w:rPr>
          <w:rFonts w:ascii="Arial" w:cs="Arial" w:eastAsia="Arial" w:hAnsi="Arial"/>
          <w:sz w:val="21"/>
          <w:szCs w:val="21"/>
          <w:u w:val="single" w:color="auto"/>
          <w:color w:val="auto"/>
        </w:rPr>
        <w:t>Existing Indebtedness</w:t>
      </w:r>
      <w:r>
        <w:rPr>
          <w:rFonts w:ascii="Arial" w:cs="Arial" w:eastAsia="Arial" w:hAnsi="Arial"/>
          <w:sz w:val="21"/>
          <w:szCs w:val="21"/>
          <w:color w:val="auto"/>
        </w:rPr>
        <w:t>. On the Closing Date, the Borrower and its Subsidiaries shall have repaid in full all Existing Indebtedness (it being understood that such repayment may be funded with the proceeds of the Term Loans).</w:t>
      </w:r>
    </w:p>
    <w:p>
      <w:pPr>
        <w:spacing w:after="0" w:line="151" w:lineRule="exact"/>
        <w:rPr>
          <w:rFonts w:ascii="Arial" w:cs="Arial" w:eastAsia="Arial" w:hAnsi="Arial"/>
          <w:sz w:val="21"/>
          <w:szCs w:val="21"/>
          <w:color w:val="auto"/>
        </w:rPr>
      </w:pPr>
    </w:p>
    <w:p>
      <w:pPr>
        <w:jc w:val="both"/>
        <w:ind w:firstLine="656"/>
        <w:spacing w:after="0" w:line="250" w:lineRule="auto"/>
        <w:tabs>
          <w:tab w:leader="none" w:pos="1156"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Engagement of Financial Institution</w:t>
      </w:r>
      <w:r>
        <w:rPr>
          <w:rFonts w:ascii="Arial" w:cs="Arial" w:eastAsia="Arial" w:hAnsi="Arial"/>
          <w:sz w:val="22"/>
          <w:szCs w:val="22"/>
          <w:color w:val="auto"/>
        </w:rPr>
        <w:t>. The Borrower shall have engaged one or more investment and/or commercial banks satisfactory to the Arrangers (collectively, the “</w:t>
      </w:r>
      <w:r>
        <w:rPr>
          <w:rFonts w:ascii="Arial" w:cs="Arial" w:eastAsia="Arial" w:hAnsi="Arial"/>
          <w:sz w:val="22"/>
          <w:szCs w:val="22"/>
          <w:u w:val="single" w:color="auto"/>
          <w:color w:val="auto"/>
        </w:rPr>
        <w:t>Financial Institution</w:t>
      </w:r>
      <w:r>
        <w:rPr>
          <w:rFonts w:ascii="Arial" w:cs="Arial" w:eastAsia="Arial" w:hAnsi="Arial"/>
          <w:sz w:val="22"/>
          <w:szCs w:val="22"/>
          <w:color w:val="auto"/>
        </w:rPr>
        <w:t>”) on terms and conditions satisfactory to the Arrangers, to publicly sell or privately place one or more series or tranches of debt securities, the net proceeds of which will be used to refinance the Bridge Loans (“</w:t>
      </w:r>
      <w:r>
        <w:rPr>
          <w:rFonts w:ascii="Arial" w:cs="Arial" w:eastAsia="Arial" w:hAnsi="Arial"/>
          <w:sz w:val="22"/>
          <w:szCs w:val="22"/>
          <w:u w:val="single" w:color="auto"/>
          <w:color w:val="auto"/>
        </w:rPr>
        <w:t>Permanent Debt</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1120" w:hanging="464"/>
        <w:spacing w:after="0"/>
        <w:tabs>
          <w:tab w:leader="none" w:pos="1120"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92" w:lineRule="auto"/>
        <w:tabs>
          <w:tab w:leader="none" w:pos="1108" w:val="left"/>
        </w:tabs>
        <w:numPr>
          <w:ilvl w:val="0"/>
          <w:numId w:val="256"/>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Administrative Agent and Arrangers shall have received from the Borrower (i) the Historical Financial Statements, (ii) any audited (to the extent available) or unaudited financial statements relating to acquisitions of or substantially all of the assets of, all Equity Interests of, or a business line or unit or a division of, any Person, carried out by the Borrower or any of its Subsidiaries within the twelve months preceding the Closing Date, or which are contemplated or pending as of such date, and (iii) pro forma consolidated balance sheets of the Borrower and its Subsidiaries as at the Closing Date, reflecting the consummation of the transactions contemplated by the Loan Documents the borrowing of the Bridge Loans and the Initial Public Offering, in each case meeting the requirements of Regulation S X for Form S 1 registration statements.</w:t>
      </w:r>
    </w:p>
    <w:p>
      <w:pPr>
        <w:spacing w:after="0" w:line="150" w:lineRule="exact"/>
        <w:rPr>
          <w:rFonts w:ascii="Arial" w:cs="Arial" w:eastAsia="Arial" w:hAnsi="Arial"/>
          <w:sz w:val="19"/>
          <w:szCs w:val="19"/>
          <w:color w:val="auto"/>
        </w:rPr>
      </w:pPr>
    </w:p>
    <w:p>
      <w:pPr>
        <w:jc w:val="both"/>
        <w:ind w:firstLine="656"/>
        <w:spacing w:after="0" w:line="253" w:lineRule="auto"/>
        <w:tabs>
          <w:tab w:leader="none" w:pos="1189"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Evidence of Insurance</w:t>
      </w:r>
      <w:r>
        <w:rPr>
          <w:rFonts w:ascii="Arial" w:cs="Arial" w:eastAsia="Arial" w:hAnsi="Arial"/>
          <w:sz w:val="22"/>
          <w:szCs w:val="22"/>
          <w:color w:val="auto"/>
        </w:rPr>
        <w:t xml:space="preserve">. Administrative Agent shall have received a certificate from the applicable Loan Party’s insurance broker or other evidence reasonably satisfactory to it that all insurance required to be maintained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6.5</w:t>
      </w:r>
      <w:r>
        <w:rPr>
          <w:rFonts w:ascii="Arial" w:cs="Arial" w:eastAsia="Arial" w:hAnsi="Arial"/>
          <w:sz w:val="22"/>
          <w:szCs w:val="22"/>
          <w:color w:val="auto"/>
        </w:rPr>
        <w:t xml:space="preserve"> is in full force and effect.</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251"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Opinions of Counsel to Loan Parties</w:t>
      </w:r>
      <w:r>
        <w:rPr>
          <w:rFonts w:ascii="Arial" w:cs="Arial" w:eastAsia="Arial" w:hAnsi="Arial"/>
          <w:sz w:val="22"/>
          <w:szCs w:val="22"/>
          <w:color w:val="auto"/>
        </w:rPr>
        <w:t xml:space="preserve">. Agents, L/C Issuer and Lenders and their respective counsel shall have received an executed copy of a customary written opinion of Sullivan &amp; Cromwell LLP, New York counsel to the Loan Parties, and of other outside counsel in the jurisdiction of organization of each Loan Party that is not organized in New York, substantially in the form of </w:t>
      </w:r>
      <w:r>
        <w:rPr>
          <w:rFonts w:ascii="Arial" w:cs="Arial" w:eastAsia="Arial" w:hAnsi="Arial"/>
          <w:sz w:val="22"/>
          <w:szCs w:val="22"/>
          <w:u w:val="single" w:color="auto"/>
          <w:color w:val="auto"/>
        </w:rPr>
        <w:t>Exhibit L</w:t>
      </w:r>
      <w:r>
        <w:rPr>
          <w:rFonts w:ascii="Arial" w:cs="Arial" w:eastAsia="Arial" w:hAnsi="Arial"/>
          <w:sz w:val="22"/>
          <w:szCs w:val="22"/>
          <w:color w:val="auto"/>
        </w:rPr>
        <w:t xml:space="preserve"> (and each Loan Party hereby instructs each such counsel to deliver such opinions to Agents, L/C Issuer and Lenders).</w:t>
      </w:r>
    </w:p>
    <w:p>
      <w:pPr>
        <w:spacing w:after="0" w:line="191" w:lineRule="exact"/>
        <w:rPr>
          <w:rFonts w:ascii="Arial" w:cs="Arial" w:eastAsia="Arial" w:hAnsi="Arial"/>
          <w:sz w:val="22"/>
          <w:szCs w:val="22"/>
          <w:color w:val="auto"/>
        </w:rPr>
      </w:pPr>
    </w:p>
    <w:p>
      <w:pPr>
        <w:jc w:val="both"/>
        <w:ind w:right="20" w:firstLine="656"/>
        <w:spacing w:after="0" w:line="253" w:lineRule="auto"/>
        <w:tabs>
          <w:tab w:leader="none" w:pos="1081"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xml:space="preserve">. Borrower shall have paid to Administrative Agent and each Arranger and Lender the fees payable on or before the Closing Date referred to in </w:t>
      </w:r>
      <w:r>
        <w:rPr>
          <w:rFonts w:ascii="Arial" w:cs="Arial" w:eastAsia="Arial" w:hAnsi="Arial"/>
          <w:sz w:val="22"/>
          <w:szCs w:val="22"/>
          <w:u w:val="single" w:color="auto"/>
          <w:color w:val="auto"/>
        </w:rPr>
        <w:t>Section 2.09</w:t>
      </w:r>
      <w:r>
        <w:rPr>
          <w:rFonts w:ascii="Arial" w:cs="Arial" w:eastAsia="Arial" w:hAnsi="Arial"/>
          <w:sz w:val="22"/>
          <w:szCs w:val="22"/>
          <w:color w:val="auto"/>
        </w:rPr>
        <w:t xml:space="preserve"> and all expenses payable on the Closing Date pursuant to </w:t>
      </w:r>
      <w:r>
        <w:rPr>
          <w:rFonts w:ascii="Arial" w:cs="Arial" w:eastAsia="Arial" w:hAnsi="Arial"/>
          <w:sz w:val="22"/>
          <w:szCs w:val="22"/>
          <w:u w:val="single" w:color="auto"/>
          <w:color w:val="auto"/>
        </w:rPr>
        <w:t>Section 11.04</w:t>
      </w:r>
      <w:r>
        <w:rPr>
          <w:rFonts w:ascii="Arial" w:cs="Arial" w:eastAsia="Arial" w:hAnsi="Arial"/>
          <w:sz w:val="22"/>
          <w:szCs w:val="22"/>
          <w:color w:val="auto"/>
        </w:rPr>
        <w:t>, to the extent invoiced at least three Business Days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1428" w:right="339" w:bottom="1440" w:gutter="0" w:footer="0" w:header="0"/>
        </w:sectPr>
      </w:pPr>
    </w:p>
    <w:bookmarkStart w:id="366" w:name="page367"/>
    <w:bookmarkEnd w:id="366"/>
    <w:p>
      <w:pPr>
        <w:ind w:firstLine="656"/>
        <w:spacing w:after="0" w:line="263" w:lineRule="auto"/>
        <w:tabs>
          <w:tab w:leader="none" w:pos="1284"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Solvency Certificate; Solvency Appraisal</w:t>
      </w:r>
      <w:r>
        <w:rPr>
          <w:rFonts w:ascii="Arial" w:cs="Arial" w:eastAsia="Arial" w:hAnsi="Arial"/>
          <w:sz w:val="22"/>
          <w:szCs w:val="22"/>
          <w:color w:val="auto"/>
        </w:rPr>
        <w:t>. On the Closing Date, Administrative Agent and Arranger shall have received a Solvency Certificate from a Financial Officer of the Borrower.</w:t>
      </w:r>
    </w:p>
    <w:p>
      <w:pPr>
        <w:spacing w:after="0" w:line="174" w:lineRule="exact"/>
        <w:rPr>
          <w:rFonts w:ascii="Arial" w:cs="Arial" w:eastAsia="Arial" w:hAnsi="Arial"/>
          <w:sz w:val="22"/>
          <w:szCs w:val="22"/>
          <w:color w:val="auto"/>
        </w:rPr>
      </w:pPr>
    </w:p>
    <w:p>
      <w:pPr>
        <w:ind w:firstLine="656"/>
        <w:spacing w:after="0" w:line="263" w:lineRule="auto"/>
        <w:tabs>
          <w:tab w:leader="none" w:pos="1197"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Closing Date Certificate</w:t>
      </w:r>
      <w:r>
        <w:rPr>
          <w:rFonts w:ascii="Arial" w:cs="Arial" w:eastAsia="Arial" w:hAnsi="Arial"/>
          <w:sz w:val="22"/>
          <w:szCs w:val="22"/>
          <w:color w:val="auto"/>
        </w:rPr>
        <w:t>. The Borrower shall have delivered to Administrative Agent and Arranger an originally executed Closing Date Certificate, together with all attachments thereto.</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7940" w:type="dxa"/>
            <w:vAlign w:val="bottom"/>
            <w:gridSpan w:val="3"/>
          </w:tcPr>
          <w:p>
            <w:pPr>
              <w:spacing w:after="0"/>
              <w:rPr>
                <w:sz w:val="20"/>
                <w:szCs w:val="20"/>
                <w:color w:val="auto"/>
              </w:rPr>
            </w:pPr>
            <w:r>
              <w:rPr>
                <w:rFonts w:ascii="Arial" w:cs="Arial" w:eastAsia="Arial" w:hAnsi="Arial"/>
                <w:sz w:val="22"/>
                <w:szCs w:val="22"/>
                <w:color w:val="auto"/>
                <w:w w:val="94"/>
              </w:rPr>
              <w:t>(o)  Closing Date. Lenders shall have made the Term Loans to Borrower on or before [</w:t>
            </w:r>
          </w:p>
        </w:tc>
        <w:tc>
          <w:tcPr>
            <w:tcW w:w="1020" w:type="dxa"/>
            <w:vAlign w:val="bottom"/>
          </w:tcPr>
          <w:p>
            <w:pPr>
              <w:jc w:val="right"/>
              <w:spacing w:after="0"/>
              <w:rPr>
                <w:sz w:val="20"/>
                <w:szCs w:val="20"/>
                <w:color w:val="auto"/>
              </w:rPr>
            </w:pPr>
            <w:r>
              <w:rPr>
                <w:rFonts w:ascii="Arial" w:cs="Arial" w:eastAsia="Arial" w:hAnsi="Arial"/>
                <w:sz w:val="22"/>
                <w:szCs w:val="22"/>
                <w:color w:val="auto"/>
              </w:rPr>
              <w:t>], 2021.</w:t>
            </w:r>
          </w:p>
        </w:tc>
      </w:tr>
      <w:tr>
        <w:trPr>
          <w:trHeight w:val="20"/>
        </w:trPr>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56"/>
        <w:spacing w:after="0" w:line="253" w:lineRule="auto"/>
        <w:tabs>
          <w:tab w:leader="none" w:pos="1129"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Letter of Direction</w:t>
      </w:r>
      <w:r>
        <w:rPr>
          <w:rFonts w:ascii="Arial" w:cs="Arial" w:eastAsia="Arial" w:hAnsi="Arial"/>
          <w:sz w:val="22"/>
          <w:szCs w:val="22"/>
          <w:color w:val="auto"/>
        </w:rPr>
        <w:t>. Administrative Agent and Arrangers shall have received a duly executed letter of direction from Borrower addressed to Administrative Agent and Arrangers, on behalf of themselves and Lenders, directing the disbursement on the Closing Date of the proceeds of the Loans made on such date.</w:t>
      </w:r>
    </w:p>
    <w:p>
      <w:pPr>
        <w:spacing w:after="0" w:line="185" w:lineRule="exact"/>
        <w:rPr>
          <w:rFonts w:ascii="Arial" w:cs="Arial" w:eastAsia="Arial" w:hAnsi="Arial"/>
          <w:sz w:val="22"/>
          <w:szCs w:val="22"/>
          <w:color w:val="auto"/>
        </w:rPr>
      </w:pPr>
    </w:p>
    <w:p>
      <w:pPr>
        <w:jc w:val="both"/>
        <w:ind w:firstLine="656"/>
        <w:spacing w:after="0" w:line="261" w:lineRule="auto"/>
        <w:tabs>
          <w:tab w:leader="none" w:pos="1273" w:val="left"/>
        </w:tabs>
        <w:numPr>
          <w:ilvl w:val="0"/>
          <w:numId w:val="258"/>
        </w:numPr>
        <w:rPr>
          <w:rFonts w:ascii="Arial" w:cs="Arial" w:eastAsia="Arial" w:hAnsi="Arial"/>
          <w:sz w:val="21"/>
          <w:szCs w:val="21"/>
          <w:color w:val="auto"/>
        </w:rPr>
      </w:pPr>
      <w:r>
        <w:rPr>
          <w:rFonts w:ascii="Arial" w:cs="Arial" w:eastAsia="Arial" w:hAnsi="Arial"/>
          <w:sz w:val="21"/>
          <w:szCs w:val="21"/>
          <w:color w:val="auto"/>
        </w:rPr>
        <w:t>At least 10 days prior to the Closing Date, (x)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Arial" w:cs="Arial" w:eastAsia="Arial" w:hAnsi="Arial"/>
          <w:sz w:val="21"/>
          <w:szCs w:val="21"/>
          <w:u w:val="single" w:color="auto"/>
          <w:color w:val="auto"/>
        </w:rPr>
        <w:t>PATRIOT Act</w:t>
      </w:r>
      <w:r>
        <w:rPr>
          <w:rFonts w:ascii="Arial" w:cs="Arial" w:eastAsia="Arial" w:hAnsi="Arial"/>
          <w:sz w:val="21"/>
          <w:szCs w:val="21"/>
          <w:color w:val="auto"/>
        </w:rPr>
        <w:t>”), and (y) any Loan Party that qualifies as a “legal entity customer” under the Beneficial Ownership Regulation shall have delivered, to each Lender that so requests, a Beneficial Ownership Certification in relation to such Loan Party.</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Without limiting the generality of the provisions of the last paragraph of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for purposes of determining compliance with the conditions specified in this </w:t>
      </w:r>
      <w:r>
        <w:rPr>
          <w:rFonts w:ascii="Arial" w:cs="Arial" w:eastAsia="Arial" w:hAnsi="Arial"/>
          <w:sz w:val="21"/>
          <w:szCs w:val="21"/>
          <w:u w:val="single" w:color="auto"/>
          <w:color w:val="auto"/>
        </w:rPr>
        <w:t>Section 4.01</w:t>
      </w:r>
      <w:r>
        <w:rPr>
          <w:rFonts w:ascii="Arial" w:cs="Arial" w:eastAsia="Arial" w:hAnsi="Arial"/>
          <w:sz w:val="21"/>
          <w:szCs w:val="21"/>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19"/>
          <w:szCs w:val="19"/>
          <w:u w:val="single" w:color="auto"/>
          <w:color w:val="auto"/>
        </w:rPr>
        <w:t>Conditions to Each Credit Extension</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0" w:lineRule="auto"/>
        <w:tabs>
          <w:tab w:leader="none" w:pos="1171"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xml:space="preserve">. The obligation of each Lender to make any Loan, or any L/C Issuer to issue any Letter of Credit (or, at Borrower’s request, to amend any Letter of Credit to extend its term or increase its amount), on any Credit Date, including the Closing Date, are subject to the satisfaction, or waiver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 of the following conditions precedent:</w:t>
      </w:r>
    </w:p>
    <w:p>
      <w:pPr>
        <w:spacing w:after="0" w:line="187" w:lineRule="exact"/>
        <w:rPr>
          <w:rFonts w:ascii="Arial" w:cs="Arial" w:eastAsia="Arial" w:hAnsi="Arial"/>
          <w:sz w:val="22"/>
          <w:szCs w:val="22"/>
          <w:color w:val="auto"/>
        </w:rPr>
      </w:pPr>
    </w:p>
    <w:p>
      <w:pPr>
        <w:ind w:left="660" w:firstLine="644"/>
        <w:spacing w:after="0" w:line="263" w:lineRule="auto"/>
        <w:tabs>
          <w:tab w:leader="none" w:pos="174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Administrative Agent shall have received a fully executed and delivered Committed Loan Notice or issuance notice in respect of Letters of Credit,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1428" w:right="339" w:bottom="1440" w:gutter="0" w:footer="0" w:header="0"/>
        </w:sectPr>
      </w:pPr>
    </w:p>
    <w:bookmarkStart w:id="367" w:name="page368"/>
    <w:bookmarkEnd w:id="367"/>
    <w:p>
      <w:pPr>
        <w:ind w:left="660" w:firstLine="644"/>
        <w:spacing w:after="0" w:line="263" w:lineRule="auto"/>
        <w:tabs>
          <w:tab w:leader="none" w:pos="1827" w:val="left"/>
        </w:tabs>
        <w:numPr>
          <w:ilvl w:val="1"/>
          <w:numId w:val="260"/>
        </w:numPr>
        <w:rPr>
          <w:rFonts w:ascii="Arial" w:cs="Arial" w:eastAsia="Arial" w:hAnsi="Arial"/>
          <w:sz w:val="22"/>
          <w:szCs w:val="22"/>
          <w:color w:val="auto"/>
        </w:rPr>
      </w:pPr>
      <w:r>
        <w:rPr>
          <w:rFonts w:ascii="Arial" w:cs="Arial" w:eastAsia="Arial" w:hAnsi="Arial"/>
          <w:sz w:val="22"/>
          <w:szCs w:val="22"/>
          <w:color w:val="auto"/>
        </w:rPr>
        <w:t>after making the Credit Extensions requested on such Credit Date, the Total Revolving Credit Outstandings shall not exceed the Revolving Credit Commitments then in effect;</w:t>
      </w:r>
    </w:p>
    <w:p>
      <w:pPr>
        <w:spacing w:after="0" w:line="174" w:lineRule="exact"/>
        <w:rPr>
          <w:rFonts w:ascii="Arial" w:cs="Arial" w:eastAsia="Arial" w:hAnsi="Arial"/>
          <w:sz w:val="22"/>
          <w:szCs w:val="22"/>
          <w:color w:val="auto"/>
        </w:rPr>
      </w:pPr>
    </w:p>
    <w:p>
      <w:pPr>
        <w:jc w:val="both"/>
        <w:ind w:left="660" w:firstLine="644"/>
        <w:spacing w:after="0" w:line="294" w:lineRule="auto"/>
        <w:tabs>
          <w:tab w:leader="none" w:pos="2064" w:val="left"/>
        </w:tabs>
        <w:numPr>
          <w:ilvl w:val="1"/>
          <w:numId w:val="260"/>
        </w:numPr>
        <w:rPr>
          <w:rFonts w:ascii="Arial" w:cs="Arial" w:eastAsia="Arial" w:hAnsi="Arial"/>
          <w:sz w:val="19"/>
          <w:szCs w:val="19"/>
          <w:color w:val="auto"/>
        </w:rPr>
      </w:pPr>
      <w:r>
        <w:rPr>
          <w:rFonts w:ascii="Arial" w:cs="Arial" w:eastAsia="Arial" w:hAnsi="Arial"/>
          <w:sz w:val="19"/>
          <w:szCs w:val="19"/>
          <w:color w:val="auto"/>
        </w:rPr>
        <w:t xml:space="preserve">as of such Credit Date, the representations and warranties contained herein and in the other Loan Documents shall be true and correct in all material respects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such materiality qualifier shall not be applicable to any representations and warranties that already are qualified or modified by materiality in the text thereof;</w:t>
      </w:r>
    </w:p>
    <w:p>
      <w:pPr>
        <w:spacing w:after="0" w:line="149" w:lineRule="exact"/>
        <w:rPr>
          <w:rFonts w:ascii="Arial" w:cs="Arial" w:eastAsia="Arial" w:hAnsi="Arial"/>
          <w:sz w:val="19"/>
          <w:szCs w:val="19"/>
          <w:color w:val="auto"/>
        </w:rPr>
      </w:pPr>
    </w:p>
    <w:p>
      <w:pPr>
        <w:ind w:left="660" w:firstLine="644"/>
        <w:spacing w:after="0" w:line="287" w:lineRule="auto"/>
        <w:tabs>
          <w:tab w:leader="none" w:pos="2054" w:val="left"/>
        </w:tabs>
        <w:numPr>
          <w:ilvl w:val="1"/>
          <w:numId w:val="260"/>
        </w:numPr>
        <w:rPr>
          <w:rFonts w:ascii="Arial" w:cs="Arial" w:eastAsia="Arial" w:hAnsi="Arial"/>
          <w:sz w:val="21"/>
          <w:szCs w:val="21"/>
          <w:color w:val="auto"/>
        </w:rPr>
      </w:pPr>
      <w:r>
        <w:rPr>
          <w:rFonts w:ascii="Arial" w:cs="Arial" w:eastAsia="Arial" w:hAnsi="Arial"/>
          <w:sz w:val="21"/>
          <w:szCs w:val="21"/>
          <w:color w:val="auto"/>
        </w:rPr>
        <w:t>as of such Credit Date, no event shall have occurred and be continuing or would result from the consummation of the applicable Credit Extension that would constitute an Event of Default or a Default; and</w:t>
      </w:r>
    </w:p>
    <w:p>
      <w:pPr>
        <w:spacing w:after="0" w:line="151" w:lineRule="exact"/>
        <w:rPr>
          <w:rFonts w:ascii="Arial" w:cs="Arial" w:eastAsia="Arial" w:hAnsi="Arial"/>
          <w:sz w:val="21"/>
          <w:szCs w:val="21"/>
          <w:color w:val="auto"/>
        </w:rPr>
      </w:pPr>
    </w:p>
    <w:p>
      <w:pPr>
        <w:jc w:val="both"/>
        <w:ind w:left="660" w:firstLine="644"/>
        <w:spacing w:after="0" w:line="312" w:lineRule="auto"/>
        <w:tabs>
          <w:tab w:leader="none" w:pos="1791" w:val="left"/>
        </w:tabs>
        <w:numPr>
          <w:ilvl w:val="1"/>
          <w:numId w:val="260"/>
        </w:numPr>
        <w:rPr>
          <w:rFonts w:ascii="Arial" w:cs="Arial" w:eastAsia="Arial" w:hAnsi="Arial"/>
          <w:sz w:val="19"/>
          <w:szCs w:val="19"/>
          <w:color w:val="auto"/>
        </w:rPr>
      </w:pPr>
      <w:r>
        <w:rPr>
          <w:rFonts w:ascii="Arial" w:cs="Arial" w:eastAsia="Arial" w:hAnsi="Arial"/>
          <w:sz w:val="19"/>
          <w:szCs w:val="19"/>
          <w:color w:val="auto"/>
        </w:rPr>
        <w:t xml:space="preserve">on or before the date of issuance of any Letter of Credit, Administrative Agent and the applicable L/C Issuer shall have received all other information required under </w:t>
      </w:r>
      <w:r>
        <w:rPr>
          <w:rFonts w:ascii="Arial" w:cs="Arial" w:eastAsia="Arial" w:hAnsi="Arial"/>
          <w:sz w:val="19"/>
          <w:szCs w:val="19"/>
          <w:u w:val="single" w:color="auto"/>
          <w:color w:val="auto"/>
        </w:rPr>
        <w:t>Section 2.03(b)</w:t>
      </w:r>
      <w:r>
        <w:rPr>
          <w:rFonts w:ascii="Arial" w:cs="Arial" w:eastAsia="Arial" w:hAnsi="Arial"/>
          <w:sz w:val="19"/>
          <w:szCs w:val="19"/>
          <w:color w:val="auto"/>
        </w:rPr>
        <w:t>, and such other documents or information as the applicable L/C Issuer may reasonably require in connection with the issuance of such Letter of Credit.</w:t>
      </w:r>
    </w:p>
    <w:p>
      <w:pPr>
        <w:spacing w:after="0" w:line="133" w:lineRule="exact"/>
        <w:rPr>
          <w:rFonts w:ascii="Arial" w:cs="Arial" w:eastAsia="Arial" w:hAnsi="Arial"/>
          <w:sz w:val="19"/>
          <w:szCs w:val="19"/>
          <w:color w:val="auto"/>
        </w:rPr>
      </w:pPr>
    </w:p>
    <w:p>
      <w:pPr>
        <w:ind w:left="1120" w:hanging="464"/>
        <w:spacing w:after="0"/>
        <w:tabs>
          <w:tab w:leader="none" w:pos="1120" w:val="left"/>
        </w:tabs>
        <w:numPr>
          <w:ilvl w:val="0"/>
          <w:numId w:val="261"/>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Reserved.</w:t>
      </w:r>
      <w:r>
        <w:rPr>
          <w:rFonts w:ascii="Arial" w:cs="Arial" w:eastAsia="Arial" w:hAnsi="Arial"/>
          <w:sz w:val="22"/>
          <w:szCs w:val="22"/>
          <w:u w:val="single" w:color="auto"/>
          <w:color w:val="auto"/>
        </w:rPr>
        <w:t>]</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46" w:val="left"/>
        </w:tabs>
        <w:numPr>
          <w:ilvl w:val="0"/>
          <w:numId w:val="261"/>
        </w:numPr>
        <w:rPr>
          <w:rFonts w:ascii="Arial" w:cs="Arial" w:eastAsia="Arial" w:hAnsi="Arial"/>
          <w:sz w:val="22"/>
          <w:szCs w:val="22"/>
          <w:color w:val="auto"/>
        </w:rPr>
      </w:pPr>
      <w:r>
        <w:rPr>
          <w:rFonts w:ascii="Arial" w:cs="Arial" w:eastAsia="Arial" w:hAnsi="Arial"/>
          <w:sz w:val="22"/>
          <w:szCs w:val="22"/>
          <w:color w:val="auto"/>
        </w:rPr>
        <w:t xml:space="preserve">Each borrowing of a Loan by and issuance, extension or increase of a Letter of Credit for the account of Borrower hereunder shall constitute a representation and warranty by Borrower as of the applicable Credit Date that the conditions contained in </w:t>
      </w:r>
      <w:r>
        <w:rPr>
          <w:rFonts w:ascii="Arial" w:cs="Arial" w:eastAsia="Arial" w:hAnsi="Arial"/>
          <w:sz w:val="22"/>
          <w:szCs w:val="22"/>
          <w:u w:val="single" w:color="auto"/>
          <w:color w:val="auto"/>
        </w:rPr>
        <w:t>clauses (ii)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have been satisfied.</w:t>
      </w:r>
    </w:p>
    <w:p>
      <w:pPr>
        <w:spacing w:after="0" w:line="179"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b w:val="1"/>
          <w:bCs w:val="1"/>
          <w:color w:val="auto"/>
        </w:rPr>
        <w:t>ARTICLE V.</w:t>
      </w:r>
      <w:r>
        <w:rPr>
          <w:sz w:val="20"/>
          <w:szCs w:val="20"/>
          <w:color w:val="auto"/>
        </w:rPr>
        <w:tab/>
      </w:r>
      <w:r>
        <w:rPr>
          <w:rFonts w:ascii="Arial" w:cs="Arial" w:eastAsia="Arial" w:hAnsi="Arial"/>
          <w:sz w:val="21"/>
          <w:szCs w:val="21"/>
          <w:b w:val="1"/>
          <w:bCs w:val="1"/>
          <w:color w:val="auto"/>
        </w:rPr>
        <w:t>REPRESENTATIONS AND WARRANTIES</w:t>
      </w:r>
    </w:p>
    <w:p>
      <w:pPr>
        <w:spacing w:after="0" w:line="2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In order to induce Agents, Lenders and L/C Issuers to enter into this Agreement and to make each Credit Extension to be made thereby, each Loan Party represents and warrants to each Agent, Lender and L/C Issuer, on the Closing Date and on each Credit Date, that the following statements are true and correct:</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u w:val="single" w:color="auto"/>
          <w:color w:val="auto"/>
        </w:rPr>
        <w:t>Organization; Requisite Power and Authority; Qualification</w:t>
      </w:r>
      <w:r>
        <w:rPr>
          <w:rFonts w:ascii="Arial" w:cs="Arial" w:eastAsia="Arial" w:hAnsi="Arial"/>
          <w:sz w:val="19"/>
          <w:szCs w:val="19"/>
          <w:color w:val="auto"/>
        </w:rPr>
        <w:t xml:space="preserve">. Each of the Borrower and its Subsidiaries (a) is duly organized, validly existing and in good standing under the laws of its jurisdiction of organization as identified in </w:t>
      </w:r>
      <w:r>
        <w:rPr>
          <w:rFonts w:ascii="Arial" w:cs="Arial" w:eastAsia="Arial" w:hAnsi="Arial"/>
          <w:sz w:val="19"/>
          <w:szCs w:val="19"/>
          <w:u w:val="single" w:color="auto"/>
          <w:color w:val="auto"/>
        </w:rPr>
        <w:t>Schedule 5.01</w:t>
      </w:r>
      <w:r>
        <w:rPr>
          <w:rFonts w:ascii="Arial" w:cs="Arial" w:eastAsia="Arial" w:hAnsi="Arial"/>
          <w:sz w:val="19"/>
          <w:szCs w:val="19"/>
          <w:color w:val="auto"/>
        </w:rPr>
        <w:t>,</w:t>
      </w:r>
    </w:p>
    <w:p>
      <w:pPr>
        <w:spacing w:after="0" w:line="1" w:lineRule="exact"/>
        <w:rPr>
          <w:sz w:val="20"/>
          <w:szCs w:val="20"/>
          <w:color w:val="auto"/>
        </w:rPr>
      </w:pPr>
    </w:p>
    <w:p>
      <w:pPr>
        <w:jc w:val="both"/>
        <w:ind w:firstLine="8"/>
        <w:spacing w:after="0" w:line="244" w:lineRule="auto"/>
        <w:tabs>
          <w:tab w:leader="none" w:pos="308" w:val="left"/>
        </w:tabs>
        <w:numPr>
          <w:ilvl w:val="0"/>
          <w:numId w:val="262"/>
        </w:numPr>
        <w:rPr>
          <w:rFonts w:ascii="Arial" w:cs="Arial" w:eastAsia="Arial" w:hAnsi="Arial"/>
          <w:sz w:val="22"/>
          <w:szCs w:val="22"/>
          <w:color w:val="auto"/>
        </w:rPr>
      </w:pPr>
      <w:r>
        <w:rPr>
          <w:rFonts w:ascii="Arial" w:cs="Arial" w:eastAsia="Arial" w:hAnsi="Arial"/>
          <w:sz w:val="22"/>
          <w:szCs w:val="22"/>
          <w:color w:val="auto"/>
        </w:rPr>
        <w:t>has all requisite power and authority to own and operate its properties, to carry on its business as now conducted, to enter into the Loan Documents to which it is a party and to carry out the transactions contemplated thereby, and (c) is qualified to do business and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40"/>
          </w:cols>
          <w:pgMar w:left="320" w:top="1428" w:right="339" w:bottom="1440" w:gutter="0" w:footer="0" w:header="0"/>
        </w:sectPr>
      </w:pPr>
    </w:p>
    <w:bookmarkStart w:id="368" w:name="page369"/>
    <w:bookmarkEnd w:id="368"/>
    <w:p>
      <w:pPr>
        <w:jc w:val="both"/>
        <w:ind w:firstLine="648"/>
        <w:spacing w:after="0" w:line="246" w:lineRule="auto"/>
        <w:rPr>
          <w:sz w:val="20"/>
          <w:szCs w:val="20"/>
          <w:color w:val="auto"/>
        </w:rPr>
      </w:pPr>
      <w:r>
        <w:rPr>
          <w:rFonts w:ascii="Arial" w:cs="Arial" w:eastAsia="Arial" w:hAnsi="Arial"/>
          <w:sz w:val="22"/>
          <w:szCs w:val="22"/>
          <w:color w:val="auto"/>
        </w:rPr>
        <w:t xml:space="preserve">5.02 </w:t>
      </w:r>
      <w:r>
        <w:rPr>
          <w:rFonts w:ascii="Arial" w:cs="Arial" w:eastAsia="Arial" w:hAnsi="Arial"/>
          <w:sz w:val="22"/>
          <w:szCs w:val="22"/>
          <w:u w:val="single" w:color="auto"/>
          <w:color w:val="auto"/>
        </w:rPr>
        <w:t>Equity Interests and Ownership</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5.02</w:t>
      </w:r>
      <w:r>
        <w:rPr>
          <w:rFonts w:ascii="Arial" w:cs="Arial" w:eastAsia="Arial" w:hAnsi="Arial"/>
          <w:sz w:val="22"/>
          <w:szCs w:val="22"/>
          <w:color w:val="auto"/>
        </w:rPr>
        <w:t xml:space="preserve">, as of the date hereof, there is no existing option, warrant, call, right, commitment or other agreement to which the Borrower or any of its Subsidiaries is a party requiring, and there is no membership interest or other Equity Interests of any Subsidiary of the Borrower outstanding which upon conversion or exchange would require, the issuance by any Subsidiary of the Borrower of any additional membership interests or other Equity Interests of any Subsidiary of the Borrower or other Securities convertible into, exchangeable for or evidencing the right to subscribe for or purchase, a membership interest or other Equity Interests of any Subsidiary of the Borrower.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5.02</w:t>
      </w:r>
      <w:r>
        <w:rPr>
          <w:rFonts w:ascii="Arial" w:cs="Arial" w:eastAsia="Arial" w:hAnsi="Arial"/>
          <w:sz w:val="22"/>
          <w:szCs w:val="22"/>
          <w:color w:val="auto"/>
        </w:rPr>
        <w:t xml:space="preserve"> correctly sets forth the ownership interest of the Borrower and each of its Subsidiaries in their respective Subsidiaries as of the Closing Date.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5.03 </w:t>
      </w:r>
      <w:r>
        <w:rPr>
          <w:rFonts w:ascii="Arial" w:cs="Arial" w:eastAsia="Arial" w:hAnsi="Arial"/>
          <w:sz w:val="22"/>
          <w:szCs w:val="22"/>
          <w:u w:val="single" w:color="auto"/>
          <w:color w:val="auto"/>
        </w:rPr>
        <w:t>Due Authorization</w:t>
      </w:r>
      <w:r>
        <w:rPr>
          <w:rFonts w:ascii="Arial" w:cs="Arial" w:eastAsia="Arial" w:hAnsi="Arial"/>
          <w:sz w:val="22"/>
          <w:szCs w:val="22"/>
          <w:color w:val="auto"/>
        </w:rPr>
        <w:t>. The execution, delivery and performance of the Loan Documents have been duly authorized by all necessary action on the part of each Loan Party that is a party thereto.</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5.04 </w:t>
      </w:r>
      <w:r>
        <w:rPr>
          <w:rFonts w:ascii="Arial" w:cs="Arial" w:eastAsia="Arial" w:hAnsi="Arial"/>
          <w:sz w:val="19"/>
          <w:szCs w:val="19"/>
          <w:u w:val="single" w:color="auto"/>
          <w:color w:val="auto"/>
        </w:rPr>
        <w:t>No Conflict</w:t>
      </w:r>
      <w:r>
        <w:rPr>
          <w:rFonts w:ascii="Arial" w:cs="Arial" w:eastAsia="Arial" w:hAnsi="Arial"/>
          <w:sz w:val="19"/>
          <w:szCs w:val="19"/>
          <w:color w:val="auto"/>
        </w:rPr>
        <w:t>. The execution, delivery and performance by Loan Parties of the Loan Documents to which they are parties and the consummation of the transactions contemplated by the Loan Documents do not and will not (a) violate (i) any provision of any law or any governmental rule or regulation applicable to the Borrower or any of its Subsidiaries, (ii) any of the Organizational Documents of such Loan Party, or (iii) any order, judgment or decree of any court or other agency of government binding on the Borrower or any of its Subsidiaries; (b) conflict with, result in a breach of or constitute (with due notice or lapse of time or both) a default under any Contractual Obligation the Borrower or any of its Subsidiaries; or (c) result in or require the creation or imposition of any Lien upon any of the properties or assets of the Borrower or any of its Subsidiaries, except for any violation set forth in clause (a)(i), any conflict, breach or default set forth in clause (b) or any imposition of a Lien referred to in clause (c) which could not reasonably be expected to have, individually or in the aggregate, a Material Adverse Effect.</w:t>
      </w:r>
    </w:p>
    <w:p>
      <w:pPr>
        <w:spacing w:after="0" w:line="15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5.05 </w:t>
      </w:r>
      <w:r>
        <w:rPr>
          <w:rFonts w:ascii="Arial" w:cs="Arial" w:eastAsia="Arial" w:hAnsi="Arial"/>
          <w:sz w:val="21"/>
          <w:szCs w:val="21"/>
          <w:u w:val="single" w:color="auto"/>
          <w:color w:val="auto"/>
        </w:rPr>
        <w:t>Governmental Consents</w:t>
      </w:r>
      <w:r>
        <w:rPr>
          <w:rFonts w:ascii="Arial" w:cs="Arial" w:eastAsia="Arial" w:hAnsi="Arial"/>
          <w:sz w:val="21"/>
          <w:szCs w:val="21"/>
          <w:color w:val="auto"/>
        </w:rPr>
        <w:t xml:space="preserve">. The execution, delivery and performance by Loan Parties of the Loan Documents to which they are parties and the consummation of the transactions contemplated by the Loan Documents do not and will not require any registration with, consent or approval of, or notice to, or other action to, with or by, any Governmental Authority, except for (a) such as have been made or obtained and are in full force and effect, (b) such other actions, registrations, consents and approvals with respect to which the failure to be obtained or made would not reasonably be expected to have a Material Adverse Effect [and (c) filings or other actions listed on </w:t>
      </w:r>
      <w:r>
        <w:rPr>
          <w:rFonts w:ascii="Arial" w:cs="Arial" w:eastAsia="Arial" w:hAnsi="Arial"/>
          <w:sz w:val="21"/>
          <w:szCs w:val="21"/>
          <w:u w:val="single" w:color="auto"/>
          <w:color w:val="auto"/>
        </w:rPr>
        <w:t>Schedule 5.05</w:t>
      </w:r>
      <w:r>
        <w:rPr>
          <w:rFonts w:ascii="Arial" w:cs="Arial" w:eastAsia="Arial" w:hAnsi="Arial"/>
          <w:sz w:val="21"/>
          <w:szCs w:val="21"/>
          <w:color w:val="auto"/>
        </w:rPr>
        <w:t>].</w:t>
      </w:r>
    </w:p>
    <w:p>
      <w:pPr>
        <w:spacing w:after="0" w:line="17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5.06 </w:t>
      </w:r>
      <w:r>
        <w:rPr>
          <w:rFonts w:ascii="Arial" w:cs="Arial" w:eastAsia="Arial" w:hAnsi="Arial"/>
          <w:sz w:val="21"/>
          <w:szCs w:val="21"/>
          <w:u w:val="single" w:color="auto"/>
          <w:color w:val="auto"/>
        </w:rPr>
        <w:t>Binding Obligation</w:t>
      </w:r>
      <w:r>
        <w:rPr>
          <w:rFonts w:ascii="Arial" w:cs="Arial" w:eastAsia="Arial" w:hAnsi="Arial"/>
          <w:sz w:val="21"/>
          <w:szCs w:val="21"/>
          <w:color w:val="auto"/>
        </w:rPr>
        <w:t>. Each Loan Document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5.07 </w:t>
      </w:r>
      <w:r>
        <w:rPr>
          <w:rFonts w:ascii="Arial" w:cs="Arial" w:eastAsia="Arial" w:hAnsi="Arial"/>
          <w:sz w:val="22"/>
          <w:szCs w:val="22"/>
          <w:u w:val="single" w:color="auto"/>
          <w:color w:val="auto"/>
        </w:rPr>
        <w:t>Historical Financial Statements</w:t>
      </w:r>
      <w:r>
        <w:rPr>
          <w:rFonts w:ascii="Arial" w:cs="Arial" w:eastAsia="Arial" w:hAnsi="Arial"/>
          <w:sz w:val="22"/>
          <w:szCs w:val="22"/>
          <w:color w:val="auto"/>
        </w:rPr>
        <w:t>. The Historical Financial Statements were prepared in conformity with GAAP and fairly present, in all material respects,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240"/>
          </w:cols>
          <w:pgMar w:left="320" w:top="1428" w:right="339" w:bottom="1440" w:gutter="0" w:footer="0" w:header="0"/>
        </w:sectPr>
      </w:pPr>
    </w:p>
    <w:bookmarkStart w:id="369" w:name="page370"/>
    <w:bookmarkEnd w:id="369"/>
    <w:p>
      <w:pPr>
        <w:jc w:val="both"/>
        <w:spacing w:after="0" w:line="292" w:lineRule="auto"/>
        <w:rPr>
          <w:sz w:val="20"/>
          <w:szCs w:val="20"/>
          <w:color w:val="auto"/>
        </w:rPr>
      </w:pPr>
      <w:r>
        <w:rPr>
          <w:rFonts w:ascii="Arial" w:cs="Arial" w:eastAsia="Arial" w:hAnsi="Arial"/>
          <w:sz w:val="19"/>
          <w:szCs w:val="19"/>
          <w:color w:val="auto"/>
        </w:rPr>
        <w:t>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 As of the Closing Date, neither the Borrower nor any of its Subsidiaries has any contingent liability or liability for Taxes, long term lease or unusual forward or long term commitment that is not reflected in the Historical Financial Statements or disclosed in the notes thereto and which in any such case is material in relation to the business, operations, properties, assets or financial condition of the Borrower and its Subsidiaries taken as a whole.</w:t>
      </w:r>
    </w:p>
    <w:p>
      <w:pPr>
        <w:spacing w:after="0" w:line="15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5.08 </w:t>
      </w:r>
      <w:r>
        <w:rPr>
          <w:rFonts w:ascii="Arial" w:cs="Arial" w:eastAsia="Arial" w:hAnsi="Arial"/>
          <w:sz w:val="22"/>
          <w:szCs w:val="22"/>
          <w:u w:val="single" w:color="auto"/>
          <w:color w:val="auto"/>
        </w:rPr>
        <w:t>Projections</w:t>
      </w:r>
      <w:r>
        <w:rPr>
          <w:rFonts w:ascii="Arial" w:cs="Arial" w:eastAsia="Arial" w:hAnsi="Arial"/>
          <w:sz w:val="22"/>
          <w:szCs w:val="22"/>
          <w:color w:val="auto"/>
        </w:rPr>
        <w:t>. The projections of the Borrower and its Subsidiaries for the period of Fiscal Year 2020 through and including Fiscal Year 2025 furnished by or on behalf of the Borrower to the Arrangers (the “</w:t>
      </w:r>
      <w:r>
        <w:rPr>
          <w:rFonts w:ascii="Arial" w:cs="Arial" w:eastAsia="Arial" w:hAnsi="Arial"/>
          <w:sz w:val="22"/>
          <w:szCs w:val="22"/>
          <w:u w:val="single" w:color="auto"/>
          <w:color w:val="auto"/>
        </w:rPr>
        <w:t>Projections</w:t>
      </w:r>
      <w:r>
        <w:rPr>
          <w:rFonts w:ascii="Arial" w:cs="Arial" w:eastAsia="Arial" w:hAnsi="Arial"/>
          <w:sz w:val="22"/>
          <w:szCs w:val="22"/>
          <w:color w:val="auto"/>
        </w:rPr>
        <w:t>”) have been prepared in good faith based on assumptions believed by the management of the Borrower to be reasonable at the time made, at the time such Projections were furnished and on the Closing Date (it being understood that Projections are not to be viewed as facts and that actual results during the period or periods covered by the Projections may differ from such Projections and such differences may be material).</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5.09 </w:t>
      </w: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December 31, 2020, no event, circumstance or change has occurred that has had, either in any case or in the aggregate, a Material Adverse Effect.</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Adverse Proceedings, Etc</w:t>
      </w:r>
      <w:r>
        <w:rPr>
          <w:rFonts w:ascii="Arial" w:cs="Arial" w:eastAsia="Arial" w:hAnsi="Arial"/>
          <w:sz w:val="22"/>
          <w:szCs w:val="22"/>
          <w:color w:val="auto"/>
        </w:rPr>
        <w:t>. There are no Adverse Proceedings, individually or in the aggregate, that could reasonably be expected to have a Material Adverse Effect. Neither the Borrower nor any of its Subsidiaries (a) is in violation of any Applicable Laws (including Environmental Laws) that, individually or in the aggregate, could reasonably be expected to have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have a Material Adverse Effect.</w:t>
      </w:r>
    </w:p>
    <w:p>
      <w:pPr>
        <w:spacing w:after="0" w:line="19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Payment of Taxes</w:t>
      </w:r>
      <w:r>
        <w:rPr>
          <w:rFonts w:ascii="Arial" w:cs="Arial" w:eastAsia="Arial" w:hAnsi="Arial"/>
          <w:sz w:val="19"/>
          <w:szCs w:val="19"/>
          <w:color w:val="auto"/>
        </w:rPr>
        <w:t xml:space="preserve">. Except as otherwise permitted under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all Tax returns and reports of the Borrower and its Subsidiaries required to be filed by any of them have been timely filed, and all Taxes shown on such tax returns to be due and payable and all assessments, fees and other governmental charges upon the Borrower and its Subsidiaries and upon their respective properties, assets, income, businesses and franchises which are due and payable have been paid when due and payable. There is no proposed Tax assessment against the Borrower or any of its Subsidiaries which is not being actively contested by the Borrower or such Subsidiary in good faith and by appropriate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such reserves or other appropriate provisions, if any, as shall be required in conformity with GAAP shall have been made or provided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240"/>
          </w:cols>
          <w:pgMar w:left="320" w:top="1428" w:right="339" w:bottom="1440" w:gutter="0" w:footer="0" w:header="0"/>
        </w:sectPr>
      </w:pPr>
    </w:p>
    <w:bookmarkStart w:id="370" w:name="page371"/>
    <w:bookmarkEnd w:id="370"/>
    <w:p>
      <w:pPr>
        <w:jc w:val="both"/>
        <w:ind w:firstLine="648"/>
        <w:spacing w:after="0" w:line="259" w:lineRule="auto"/>
        <w:rPr>
          <w:sz w:val="20"/>
          <w:szCs w:val="20"/>
          <w:color w:val="auto"/>
        </w:rPr>
      </w:pPr>
      <w:r>
        <w:rPr>
          <w:rFonts w:ascii="Arial" w:cs="Arial" w:eastAsia="Arial" w:hAnsi="Arial"/>
          <w:sz w:val="21"/>
          <w:szCs w:val="21"/>
          <w:color w:val="auto"/>
        </w:rPr>
        <w:t xml:space="preserve">5.13 </w:t>
      </w:r>
      <w:r>
        <w:rPr>
          <w:rFonts w:ascii="Arial" w:cs="Arial" w:eastAsia="Arial" w:hAnsi="Arial"/>
          <w:sz w:val="21"/>
          <w:szCs w:val="21"/>
          <w:u w:val="single" w:color="auto"/>
          <w:color w:val="auto"/>
        </w:rPr>
        <w:t>Properties</w:t>
      </w:r>
      <w:r>
        <w:rPr>
          <w:rFonts w:ascii="Arial" w:cs="Arial" w:eastAsia="Arial" w:hAnsi="Arial"/>
          <w:sz w:val="21"/>
          <w:szCs w:val="21"/>
          <w:color w:val="auto"/>
        </w:rPr>
        <w:t xml:space="preserve">. Each of the Borrower and its Subsidiaries has (i) good, sufficient and legal title to (in the case of fee interests in Real Property), (ii) valid leasehold interests in (in the case of leasehold interests in real or personal property), (iii) valid licensed rights in (in the case of licensed interests in intellectual property) and (iv) good title to (in the case of all other personal property), all of their respective properties and assets reflected in their respective Historical Financial Statements referred to in </w:t>
      </w:r>
      <w:r>
        <w:rPr>
          <w:rFonts w:ascii="Arial" w:cs="Arial" w:eastAsia="Arial" w:hAnsi="Arial"/>
          <w:sz w:val="21"/>
          <w:szCs w:val="21"/>
          <w:u w:val="single" w:color="auto"/>
          <w:color w:val="auto"/>
        </w:rPr>
        <w:t>Section 5.07</w:t>
      </w:r>
      <w:r>
        <w:rPr>
          <w:rFonts w:ascii="Arial" w:cs="Arial" w:eastAsia="Arial" w:hAnsi="Arial"/>
          <w:sz w:val="21"/>
          <w:szCs w:val="21"/>
          <w:color w:val="auto"/>
        </w:rPr>
        <w:t xml:space="preserve"> and in the most recent financial statements delivered pursuant to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in each case except for assets disposed of since the date of such financial statements in the ordinary course of business or as otherwise permitted under </w:t>
      </w:r>
      <w:r>
        <w:rPr>
          <w:rFonts w:ascii="Arial" w:cs="Arial" w:eastAsia="Arial" w:hAnsi="Arial"/>
          <w:sz w:val="21"/>
          <w:szCs w:val="21"/>
          <w:u w:val="single" w:color="auto"/>
          <w:color w:val="auto"/>
        </w:rPr>
        <w:t>Section 7.08</w:t>
      </w:r>
      <w:r>
        <w:rPr>
          <w:rFonts w:ascii="Arial" w:cs="Arial" w:eastAsia="Arial" w:hAnsi="Arial"/>
          <w:sz w:val="21"/>
          <w:szCs w:val="21"/>
          <w:color w:val="auto"/>
        </w:rPr>
        <w:t>, and except where failure to have such title, interests or licensed rights would not reasonably be expected to have, individually or in the aggregate, a Material Adverse Effect. Except as permitted by this Agreement, all such properties and assets are free and clear of Liens.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Neither the Borrower nor any of its Subsidiaries nor any of their respective Facilities or operations 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There are and, to each of the Borrower’ and its Subsidiaries’ knowledge, have been, no conditions, occurrences, or Hazardous Materials Activities which could reasonably be expected to form the basis of an Environmental Claim against the Borrower or any of its Subsidiaries that, individually or in the aggregate, could reasonably be expected to have a Material Adverse Effect. Neither the Borrower nor any of its Subsidiaries nor, to any Loan Party’s knowledge, any predecessor of the Borrower or any of its Subsidiaries has filed any notice under any Environmental Law indicating past or present treatment of Hazardous Materials at any Facility, and none of the Borrower’ or any of its Subsidiaries’ operations involves the generation, transportation, treatment, storage or disposal of hazardous waste, as defined under 40 C.F.R. Parts 260 270 or any state equivalent. Compliance with all current or reasonably foreseeable future requirements pursuant to or under Environmental Laws could not be reasonably expected to have, individually or in the aggregate, a Material Adverse Effect. No event or condition has occurred or is occurring with respect to the Borrower or any of its Subsidiaries relating to any Environmental Law, any Release of Hazardous Materials, or any Hazardous Materials Activity which individually or in the aggregate has had, or could reasonably be expected to have, a Material Adverse Effect.</w:t>
      </w:r>
    </w:p>
    <w:p>
      <w:pPr>
        <w:spacing w:after="0" w:line="15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5.17 </w:t>
      </w:r>
      <w:r>
        <w:rPr>
          <w:rFonts w:ascii="Arial" w:cs="Arial" w:eastAsia="Arial" w:hAnsi="Arial"/>
          <w:sz w:val="22"/>
          <w:szCs w:val="22"/>
          <w:u w:val="single" w:color="auto"/>
          <w:color w:val="auto"/>
        </w:rPr>
        <w:t>Governmental Regulation</w:t>
      </w:r>
      <w:r>
        <w:rPr>
          <w:rFonts w:ascii="Arial" w:cs="Arial" w:eastAsia="Arial" w:hAnsi="Arial"/>
          <w:sz w:val="22"/>
          <w:szCs w:val="22"/>
          <w:color w:val="auto"/>
        </w:rPr>
        <w:t>. Neither the Borrower nor any of its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Neither the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240"/>
          </w:cols>
          <w:pgMar w:left="320" w:top="1428" w:right="339" w:bottom="1440" w:gutter="0" w:footer="0" w:header="0"/>
        </w:sectPr>
      </w:pPr>
    </w:p>
    <w:bookmarkStart w:id="371" w:name="page372"/>
    <w:bookmarkEnd w:id="371"/>
    <w:p>
      <w:pPr>
        <w:ind w:left="660"/>
        <w:spacing w:after="0"/>
        <w:tabs>
          <w:tab w:leader="none" w:pos="1240" w:val="left"/>
        </w:tabs>
        <w:rPr>
          <w:sz w:val="20"/>
          <w:szCs w:val="20"/>
          <w:color w:val="auto"/>
        </w:rPr>
      </w:pPr>
      <w:r>
        <w:rPr>
          <w:rFonts w:ascii="Arial" w:cs="Arial" w:eastAsia="Arial" w:hAnsi="Arial"/>
          <w:sz w:val="22"/>
          <w:szCs w:val="22"/>
          <w:color w:val="auto"/>
        </w:rPr>
        <w:t>5.18</w:t>
      </w:r>
      <w:r>
        <w:rPr>
          <w:sz w:val="20"/>
          <w:szCs w:val="20"/>
          <w:color w:val="auto"/>
        </w:rPr>
        <w:tab/>
      </w:r>
      <w:r>
        <w:rPr>
          <w:rFonts w:ascii="Arial" w:cs="Arial" w:eastAsia="Arial" w:hAnsi="Arial"/>
          <w:sz w:val="19"/>
          <w:szCs w:val="19"/>
          <w:u w:val="single" w:color="auto"/>
          <w:color w:val="auto"/>
        </w:rPr>
        <w:t>Federal Reserve Regulations; Exchange Act</w:t>
      </w:r>
      <w:r>
        <w:rPr>
          <w:rFonts w:ascii="Arial" w:cs="Arial" w:eastAsia="Arial" w:hAnsi="Arial"/>
          <w:sz w:val="19"/>
          <w:szCs w:val="19"/>
          <w:color w:val="auto"/>
        </w:rPr>
        <w:t>.</w:t>
      </w:r>
    </w:p>
    <w:p>
      <w:pPr>
        <w:spacing w:after="0" w:line="220" w:lineRule="exact"/>
        <w:rPr>
          <w:sz w:val="20"/>
          <w:szCs w:val="20"/>
          <w:color w:val="auto"/>
        </w:rPr>
      </w:pPr>
    </w:p>
    <w:p>
      <w:pPr>
        <w:ind w:right="20" w:firstLine="656"/>
        <w:spacing w:after="0" w:line="263" w:lineRule="auto"/>
        <w:tabs>
          <w:tab w:leader="none" w:pos="1164" w:val="left"/>
        </w:tabs>
        <w:numPr>
          <w:ilvl w:val="0"/>
          <w:numId w:val="263"/>
        </w:numPr>
        <w:rPr>
          <w:rFonts w:ascii="Arial" w:cs="Arial" w:eastAsia="Arial" w:hAnsi="Arial"/>
          <w:sz w:val="22"/>
          <w:szCs w:val="22"/>
          <w:color w:val="auto"/>
        </w:rPr>
      </w:pPr>
      <w:r>
        <w:rPr>
          <w:rFonts w:ascii="Arial" w:cs="Arial" w:eastAsia="Arial" w:hAnsi="Arial"/>
          <w:sz w:val="22"/>
          <w:szCs w:val="22"/>
          <w:color w:val="auto"/>
        </w:rPr>
        <w:t>None of the Borrower or any of its Subsidiaries is engaged principally, or as one of its important activities, in the business of extending credit for the purpose of buying or carrying Margin Stock.</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146" w:val="left"/>
        </w:tabs>
        <w:numPr>
          <w:ilvl w:val="0"/>
          <w:numId w:val="263"/>
        </w:numPr>
        <w:rPr>
          <w:rFonts w:ascii="Arial" w:cs="Arial" w:eastAsia="Arial" w:hAnsi="Arial"/>
          <w:sz w:val="19"/>
          <w:szCs w:val="19"/>
          <w:color w:val="auto"/>
        </w:rPr>
      </w:pPr>
      <w:r>
        <w:rPr>
          <w:rFonts w:ascii="Arial" w:cs="Arial" w:eastAsia="Arial" w:hAnsi="Arial"/>
          <w:sz w:val="19"/>
          <w:szCs w:val="19"/>
          <w:color w:val="auto"/>
        </w:rPr>
        <w:t>No portion of the proceeds of any Credit Extension shall be used in any manner, whether directly or indirectly, that causes or could reasonably be expected to cause, such Credit Extension or the application of such proceeds to violate Regulation T, Regulation U or Regulation X of the Board of Governors or any other regulation thereof or to violate the Exchange Act.</w:t>
      </w:r>
    </w:p>
    <w:p>
      <w:pPr>
        <w:spacing w:after="0" w:line="1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5.19 </w:t>
      </w:r>
      <w:r>
        <w:rPr>
          <w:rFonts w:ascii="Arial" w:cs="Arial" w:eastAsia="Arial" w:hAnsi="Arial"/>
          <w:sz w:val="19"/>
          <w:szCs w:val="19"/>
          <w:u w:val="single" w:color="auto"/>
          <w:color w:val="auto"/>
        </w:rPr>
        <w:t>Employee Matters</w:t>
      </w:r>
      <w:r>
        <w:rPr>
          <w:rFonts w:ascii="Arial" w:cs="Arial" w:eastAsia="Arial" w:hAnsi="Arial"/>
          <w:sz w:val="19"/>
          <w:szCs w:val="19"/>
          <w:color w:val="auto"/>
        </w:rPr>
        <w:t>. Neither the Borrower nor any of its Subsidiaries is engaged in any unfair labor practice that could reasonably be expected to have a Material Adverse Effect. There is (a) no unfair labor practice complaint pending against the Borrower or any of its Subsidiaries, or to the best knowledge of the Borrower, threatened against any of them before the National Labor Relations Board and no grievance or arbitration proceeding arising out of or under any collective bargaining agreement that is so pending against the Borrower or any of its Subsidiaries or to the best knowledge of the Borrower, threatened against any of them, (b) no strike or work stoppage in existence or threatened involving the Borrower or any of its Subsidiaries, and (c) to the best knowledge of the Borrower, no union representation question existing with respect to the employees of the Borrower or any of its Subsidiaries and, to the best knowledge of the Borrower, no union organization activity that is taking place, except (with respect to any matter specified in clause (a), (b) or (c) above, either individually or in the aggregate) such as is not reasonably likely to have a Material Adverse Effect.</w:t>
      </w:r>
    </w:p>
    <w:p>
      <w:pPr>
        <w:spacing w:after="0" w:line="15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5.20 </w:t>
      </w:r>
      <w:r>
        <w:rPr>
          <w:rFonts w:ascii="Arial" w:cs="Arial" w:eastAsia="Arial" w:hAnsi="Arial"/>
          <w:sz w:val="19"/>
          <w:szCs w:val="19"/>
          <w:u w:val="single" w:color="auto"/>
          <w:color w:val="auto"/>
        </w:rPr>
        <w:t>Plans</w:t>
      </w:r>
      <w:r>
        <w:rPr>
          <w:rFonts w:ascii="Arial" w:cs="Arial" w:eastAsia="Arial" w:hAnsi="Arial"/>
          <w:sz w:val="19"/>
          <w:szCs w:val="19"/>
          <w:color w:val="auto"/>
        </w:rPr>
        <w:t>. The Borrower, each of its Subsidiaries and each of their respective ERISA Affiliates are in compliance in all material respects with all applicable provisions and requirements of ERISA and the Code and the regulations and published interpretations thereunder with respect to each Plan, and have performed all their obligations under each Plan in all material respects. Each Plan which is intended to qualify under Section 401(a) of the Code has received a favorable determination letter, opinion letter or advisory letter from the IRS indicating that such Plan is so qualified and nothing has occurred subsequent to the issuance of such determination letter which could cause such Plan to lose its qualified status, except as could not reasonably be expected to have a Material Adverse Effect. No liability to the PBGC (other than required premium payments), the IRS, any Plan or any trust established under Title IV of ERISA has been or is expected to be incurred by the Borrower, any of its Subsidiaries or any of their ERISA Affiliates, except as could not reasonably be expected to have, a Material Adverse Effect. No ERISA Event has occurred or is reasonably expected to occur, except as could not reasonably be expected to have a Material Adverse Effect. Except to the extent required under Section 4980B of the Code or similar state laws, no Plan provides health or welfare benefits (through the purchase of insurance or otherwise) for any retired or former employee of the Borrower, any of its Subsidiaries or any of their respective ERISA Affiliates, except as could not reasonably be expected to have, a Material Adverse Effect. The present value of the aggregate benefit liabilities under each Pension Plan sponsored, maintained or contributed to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240"/>
          </w:cols>
          <w:pgMar w:left="320" w:top="1428" w:right="339" w:bottom="1440" w:gutter="0" w:footer="0" w:header="0"/>
        </w:sectPr>
      </w:pPr>
    </w:p>
    <w:bookmarkStart w:id="372" w:name="page373"/>
    <w:bookmarkEnd w:id="372"/>
    <w:p>
      <w:pPr>
        <w:jc w:val="both"/>
        <w:spacing w:after="0" w:line="287" w:lineRule="auto"/>
        <w:rPr>
          <w:sz w:val="20"/>
          <w:szCs w:val="20"/>
          <w:color w:val="auto"/>
        </w:rPr>
      </w:pPr>
      <w:r>
        <w:rPr>
          <w:rFonts w:ascii="Arial" w:cs="Arial" w:eastAsia="Arial" w:hAnsi="Arial"/>
          <w:sz w:val="19"/>
          <w:szCs w:val="19"/>
          <w:color w:val="auto"/>
        </w:rPr>
        <w:t>Borrower, any of its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except as could not reasonably be expected to have, a Material Adverse Effect. As of the most recent valuation date for each Multiemployer Plan for which the actuarial report is available, the potential liability of the Borrower, its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4221(e) of ERISA is zero, except as could not reasonably be expected to have, a Material Adverse Effect. The Borrower, each of its Subsidiaries and each of their ERISA Affiliates have complied with the requirements of Section 515 of ERISA with respect to each Multiemployer Plan and are not in material “default” (as defined in Section 4219(c)(5) of ERISA) with respect to payments to a Multiemployer Plan, except as could not reasonably be expected to have, a Material Adverse Effect.</w:t>
      </w:r>
    </w:p>
    <w:p>
      <w:pPr>
        <w:spacing w:after="0" w:line="16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5.21 </w:t>
      </w:r>
      <w:r>
        <w:rPr>
          <w:rFonts w:ascii="Arial" w:cs="Arial" w:eastAsia="Arial" w:hAnsi="Arial"/>
          <w:sz w:val="21"/>
          <w:szCs w:val="21"/>
          <w:u w:val="single" w:color="auto"/>
          <w:color w:val="auto"/>
        </w:rPr>
        <w:t>Certain Fees</w:t>
      </w:r>
      <w:r>
        <w:rPr>
          <w:rFonts w:ascii="Arial" w:cs="Arial" w:eastAsia="Arial" w:hAnsi="Arial"/>
          <w:sz w:val="21"/>
          <w:szCs w:val="21"/>
          <w:color w:val="auto"/>
        </w:rPr>
        <w:t>. No broker’s or finder’s fee or commission will be payable with respect to the transactions contemplated by this Agreement and the Related Documents, except as payable to Agents, Arrangers and Lenders.</w:t>
      </w:r>
    </w:p>
    <w:p>
      <w:pPr>
        <w:spacing w:after="0" w:line="15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 xml:space="preserve">5.22 </w:t>
      </w:r>
      <w:r>
        <w:rPr>
          <w:rFonts w:ascii="Arial" w:cs="Arial" w:eastAsia="Arial" w:hAnsi="Arial"/>
          <w:sz w:val="21"/>
          <w:szCs w:val="21"/>
          <w:u w:val="single" w:color="auto"/>
          <w:color w:val="auto"/>
        </w:rPr>
        <w:t>Solvency</w:t>
      </w:r>
      <w:r>
        <w:rPr>
          <w:rFonts w:ascii="Arial" w:cs="Arial" w:eastAsia="Arial" w:hAnsi="Arial"/>
          <w:sz w:val="21"/>
          <w:szCs w:val="21"/>
          <w:color w:val="auto"/>
        </w:rPr>
        <w:t>. On the Closing Date, after giving effect to the consummation of the Transactions, including the making of Loans hereunder and the Bridge Loans, and after giving effect to the application of proceeds of thereof:</w:t>
      </w:r>
    </w:p>
    <w:p>
      <w:pPr>
        <w:spacing w:after="0" w:line="151" w:lineRule="exact"/>
        <w:rPr>
          <w:sz w:val="20"/>
          <w:szCs w:val="20"/>
          <w:color w:val="auto"/>
        </w:rPr>
      </w:pPr>
    </w:p>
    <w:p>
      <w:pPr>
        <w:ind w:firstLine="656"/>
        <w:spacing w:after="0" w:line="263" w:lineRule="auto"/>
        <w:tabs>
          <w:tab w:leader="none" w:pos="114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fair value of the assets of the Borrower and its subsidiaries, on a consolidated basis, exceeds, on a consolidated basis, their debts and liabilities, subordinated, contingent or otherwise;</w:t>
      </w:r>
    </w:p>
    <w:p>
      <w:pPr>
        <w:spacing w:after="0" w:line="174" w:lineRule="exact"/>
        <w:rPr>
          <w:rFonts w:ascii="Arial" w:cs="Arial" w:eastAsia="Arial" w:hAnsi="Arial"/>
          <w:sz w:val="22"/>
          <w:szCs w:val="22"/>
          <w:color w:val="auto"/>
        </w:rPr>
      </w:pPr>
    </w:p>
    <w:p>
      <w:pPr>
        <w:jc w:val="both"/>
        <w:ind w:firstLine="656"/>
        <w:spacing w:after="0" w:line="271" w:lineRule="auto"/>
        <w:tabs>
          <w:tab w:leader="none" w:pos="1128" w:val="left"/>
        </w:tabs>
        <w:numPr>
          <w:ilvl w:val="0"/>
          <w:numId w:val="264"/>
        </w:numPr>
        <w:rPr>
          <w:rFonts w:ascii="Arial" w:cs="Arial" w:eastAsia="Arial" w:hAnsi="Arial"/>
          <w:sz w:val="21"/>
          <w:szCs w:val="21"/>
          <w:color w:val="auto"/>
        </w:rPr>
      </w:pPr>
      <w:r>
        <w:rPr>
          <w:rFonts w:ascii="Arial" w:cs="Arial" w:eastAsia="Arial" w:hAnsi="Arial"/>
          <w:sz w:val="21"/>
          <w:szCs w:val="21"/>
          <w:color w:val="auto"/>
        </w:rPr>
        <w:t>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spacing w:after="0" w:line="167" w:lineRule="exact"/>
        <w:rPr>
          <w:rFonts w:ascii="Arial" w:cs="Arial" w:eastAsia="Arial" w:hAnsi="Arial"/>
          <w:sz w:val="21"/>
          <w:szCs w:val="21"/>
          <w:color w:val="auto"/>
        </w:rPr>
      </w:pPr>
    </w:p>
    <w:p>
      <w:pPr>
        <w:jc w:val="both"/>
        <w:ind w:firstLine="656"/>
        <w:spacing w:after="0" w:line="253" w:lineRule="auto"/>
        <w:tabs>
          <w:tab w:leader="none" w:pos="115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Borrower and its subsidiaries, on a consolidated basis, have not incurred and do not intend to incur, or believe (nor should they reasonably believe) that they will incur, debts (including current obligations and contingent liabilities) beyond their ability to pay such debts as they mature (whether at maturity or otherwise);</w:t>
      </w:r>
    </w:p>
    <w:p>
      <w:pPr>
        <w:spacing w:after="0" w:line="185" w:lineRule="exact"/>
        <w:rPr>
          <w:rFonts w:ascii="Arial" w:cs="Arial" w:eastAsia="Arial" w:hAnsi="Arial"/>
          <w:sz w:val="22"/>
          <w:szCs w:val="22"/>
          <w:color w:val="auto"/>
        </w:rPr>
      </w:pPr>
    </w:p>
    <w:p>
      <w:pPr>
        <w:ind w:firstLine="656"/>
        <w:spacing w:after="0" w:line="263" w:lineRule="auto"/>
        <w:tabs>
          <w:tab w:leader="none" w:pos="117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Borrower and its subsidiaries, on a consolidated basis, are able to pay their debts and liabilities, subordinated, contingent or otherwise, as such liabilities become absolute and matured; and</w:t>
      </w:r>
    </w:p>
    <w:p>
      <w:pPr>
        <w:spacing w:after="0" w:line="174" w:lineRule="exact"/>
        <w:rPr>
          <w:rFonts w:ascii="Arial" w:cs="Arial" w:eastAsia="Arial" w:hAnsi="Arial"/>
          <w:sz w:val="22"/>
          <w:szCs w:val="22"/>
          <w:color w:val="auto"/>
        </w:rPr>
      </w:pPr>
    </w:p>
    <w:p>
      <w:pPr>
        <w:ind w:firstLine="656"/>
        <w:spacing w:after="0" w:line="263" w:lineRule="auto"/>
        <w:tabs>
          <w:tab w:leader="none" w:pos="122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Borrower and its subsidiaries, on a consolidated basis, are not engaged in, and are not about to engage in, business for which they have unreasonably small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1428" w:right="339" w:bottom="1440" w:gutter="0" w:footer="0" w:header="0"/>
        </w:sectPr>
      </w:pPr>
    </w:p>
    <w:bookmarkStart w:id="373" w:name="page374"/>
    <w:bookmarkEnd w:id="373"/>
    <w:p>
      <w:pPr>
        <w:jc w:val="both"/>
        <w:ind w:firstLine="648"/>
        <w:spacing w:after="0" w:line="263" w:lineRule="auto"/>
        <w:rPr>
          <w:sz w:val="20"/>
          <w:szCs w:val="20"/>
          <w:color w:val="auto"/>
        </w:rPr>
      </w:pPr>
      <w:r>
        <w:rPr>
          <w:rFonts w:ascii="Arial" w:cs="Arial" w:eastAsia="Arial" w:hAnsi="Arial"/>
          <w:sz w:val="22"/>
          <w:szCs w:val="22"/>
          <w:color w:val="auto"/>
        </w:rPr>
        <w:t>For the purposes hereof, the amount of any contingent liability at any time shall be computed as the amount that could reasonably be expected to become an actual and matured liability.</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5.23</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5.24 </w:t>
      </w:r>
      <w:r>
        <w:rPr>
          <w:rFonts w:ascii="Arial" w:cs="Arial" w:eastAsia="Arial" w:hAnsi="Arial"/>
          <w:sz w:val="19"/>
          <w:szCs w:val="19"/>
          <w:u w:val="single" w:color="auto"/>
          <w:color w:val="auto"/>
        </w:rPr>
        <w:t>Compliance with Statutes, Etc</w:t>
      </w:r>
      <w:r>
        <w:rPr>
          <w:rFonts w:ascii="Arial" w:cs="Arial" w:eastAsia="Arial" w:hAnsi="Arial"/>
          <w:sz w:val="19"/>
          <w:szCs w:val="19"/>
          <w:color w:val="auto"/>
        </w:rPr>
        <w:t>. Each of the Borrower and its Subsidiaries is in compliance with all applicable 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the Borrower or any of its Subsidiaries), except such non-compliance that, individually or in the aggregate, could not reasonably be expected to result in a Material Adverse Effect.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5.25 </w:t>
      </w:r>
      <w:r>
        <w:rPr>
          <w:rFonts w:ascii="Arial" w:cs="Arial" w:eastAsia="Arial" w:hAnsi="Arial"/>
          <w:sz w:val="21"/>
          <w:szCs w:val="21"/>
          <w:u w:val="single" w:color="auto"/>
          <w:color w:val="auto"/>
        </w:rPr>
        <w:t>Disclosure</w:t>
      </w:r>
      <w:r>
        <w:rPr>
          <w:rFonts w:ascii="Arial" w:cs="Arial" w:eastAsia="Arial" w:hAnsi="Arial"/>
          <w:sz w:val="21"/>
          <w:szCs w:val="21"/>
          <w:color w:val="auto"/>
        </w:rPr>
        <w:t>. All written information (other than the Projections, estimates, forecasts, forward looking information and information of a general economic nature or general industry nature) (the “</w:t>
      </w:r>
      <w:r>
        <w:rPr>
          <w:rFonts w:ascii="Arial" w:cs="Arial" w:eastAsia="Arial" w:hAnsi="Arial"/>
          <w:sz w:val="21"/>
          <w:szCs w:val="21"/>
          <w:u w:val="single" w:color="auto"/>
          <w:color w:val="auto"/>
        </w:rPr>
        <w:t>Information</w:t>
      </w:r>
      <w:r>
        <w:rPr>
          <w:rFonts w:ascii="Arial" w:cs="Arial" w:eastAsia="Arial" w:hAnsi="Arial"/>
          <w:sz w:val="21"/>
          <w:szCs w:val="21"/>
          <w:color w:val="auto"/>
        </w:rPr>
        <w:t>”) concerning the Borrower or any of its Subsidiaries and furnished by or on behalf of the Loan Parties and made available to any Lender or the Administrative Agent in connection with the Transactions or the other transactions contemplated hereby, when taken as a whole, was true and correct in all material respects as of the date such Information was furnished to the Lenders and as of the Closing Date and did not, taken as a whole, contain any untrue statement of a material fact as of any such date or omit to state a material fact necessary in order to make the statements contained therein, taken as a whole, not materially misleading in any material respect in light of the circumstances under which such statements were made (after giving effect to all supplements and updates thereto delivered to the Arrangers prior to such time).</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5.26 </w:t>
      </w:r>
      <w:r>
        <w:rPr>
          <w:rFonts w:ascii="Arial" w:cs="Arial" w:eastAsia="Arial" w:hAnsi="Arial"/>
          <w:sz w:val="19"/>
          <w:szCs w:val="19"/>
          <w:u w:val="single" w:color="auto"/>
          <w:color w:val="auto"/>
        </w:rPr>
        <w:t>Sanctioned Persons; Anti-Corruption Laws; PATRIOT Act</w:t>
      </w:r>
      <w:r>
        <w:rPr>
          <w:rFonts w:ascii="Arial" w:cs="Arial" w:eastAsia="Arial" w:hAnsi="Arial"/>
          <w:sz w:val="19"/>
          <w:szCs w:val="19"/>
          <w:color w:val="auto"/>
        </w:rPr>
        <w:t>. None of the Borrower or any of its Subsidiaries or any of their respective directors, officers or, to the knowledge of Borrower, employees, agents, advisors or Affiliates is (a) a Person named on any list of designated persons maintained by the U.S. Department of State or the U.S. Department of Treasury (including the Office of Foreign Assets Control) or any other applicable sanctions authority that imposes, administers or enforces economic or financial sanctions or trade embargoes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and the associated laws, rules, regulations and orders, collectively, “</w:t>
      </w:r>
      <w:r>
        <w:rPr>
          <w:rFonts w:ascii="Arial" w:cs="Arial" w:eastAsia="Arial" w:hAnsi="Arial"/>
          <w:sz w:val="19"/>
          <w:szCs w:val="19"/>
          <w:u w:val="single" w:color="auto"/>
          <w:color w:val="auto"/>
        </w:rPr>
        <w:t>Sanctions Laws</w:t>
      </w:r>
      <w:r>
        <w:rPr>
          <w:rFonts w:ascii="Arial" w:cs="Arial" w:eastAsia="Arial" w:hAnsi="Arial"/>
          <w:sz w:val="19"/>
          <w:szCs w:val="19"/>
          <w:color w:val="auto"/>
        </w:rPr>
        <w:t>”), (b) located, organized or resident in any country or territory that is the subject or target of Sanctions, (c) owned or controlled by any such Person or Persons, or (d) otherwise the subject of Sanctions. Each of the Borrower and its Subsidiaries and their respective directors, officers and, to the knowledge of Borrower, employees, agents, advisors and Affiliates is in compliance, in all material respects, with (i) all Sanctions Laws, (ii) the United States Foreign Corrupt Practices Act of 1977, as amended, and any other applicable anti-bribery or anti-corruption laws, rules, regulations and orders (collectively,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and (iii) the PATRIOT Act and any other applicable terrorism and money laundering laws, rules, regulations and orders. No part of the proceeds of the Loans or Letters of Credit will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240"/>
          </w:cols>
          <w:pgMar w:left="320" w:top="1428" w:right="339" w:bottom="1440" w:gutter="0" w:footer="0" w:header="0"/>
        </w:sectPr>
      </w:pPr>
    </w:p>
    <w:bookmarkStart w:id="374" w:name="page375"/>
    <w:bookmarkEnd w:id="374"/>
    <w:p>
      <w:pPr>
        <w:jc w:val="both"/>
        <w:spacing w:after="0" w:line="248" w:lineRule="auto"/>
        <w:rPr>
          <w:sz w:val="20"/>
          <w:szCs w:val="20"/>
          <w:color w:val="auto"/>
        </w:rPr>
      </w:pPr>
      <w:r>
        <w:rPr>
          <w:rFonts w:ascii="Arial" w:cs="Arial" w:eastAsia="Arial" w:hAnsi="Arial"/>
          <w:sz w:val="22"/>
          <w:szCs w:val="22"/>
          <w:color w:val="auto"/>
        </w:rPr>
        <w:t>directly or indirectly, (A) for the purpose of funding, financing or facilitating any activities, transactions, or business of or with any Person or in any country or territory that at such time is the subject of any Sanctions or (B)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w:t>
      </w:r>
    </w:p>
    <w:p>
      <w:pPr>
        <w:spacing w:after="0" w:line="19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5.27</w:t>
      </w:r>
      <w:r>
        <w:rPr>
          <w:sz w:val="20"/>
          <w:szCs w:val="20"/>
          <w:color w:val="auto"/>
        </w:rPr>
        <w:tab/>
      </w:r>
      <w:r>
        <w:rPr>
          <w:rFonts w:ascii="Arial" w:cs="Arial" w:eastAsia="Arial" w:hAnsi="Arial"/>
          <w:sz w:val="19"/>
          <w:szCs w:val="19"/>
          <w:u w:val="single" w:color="auto"/>
          <w:color w:val="auto"/>
        </w:rPr>
        <w:t xml:space="preserve">EEA Financial Institutions. </w:t>
      </w:r>
      <w:r>
        <w:rPr>
          <w:rFonts w:ascii="Arial" w:cs="Arial" w:eastAsia="Arial" w:hAnsi="Arial"/>
          <w:sz w:val="19"/>
          <w:szCs w:val="19"/>
          <w:color w:val="auto"/>
        </w:rPr>
        <w:t>No Loan Party is an EEA Financial Institution.</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5.28 </w:t>
      </w:r>
      <w:r>
        <w:rPr>
          <w:rFonts w:ascii="Arial" w:cs="Arial" w:eastAsia="Arial" w:hAnsi="Arial"/>
          <w:sz w:val="22"/>
          <w:szCs w:val="22"/>
          <w:u w:val="single" w:color="auto"/>
          <w:color w:val="auto"/>
        </w:rPr>
        <w:t>Beneficial Ownership Certificate</w:t>
      </w:r>
      <w:r>
        <w:rPr>
          <w:rFonts w:ascii="Arial" w:cs="Arial" w:eastAsia="Arial" w:hAnsi="Arial"/>
          <w:sz w:val="22"/>
          <w:szCs w:val="22"/>
          <w:color w:val="auto"/>
        </w:rPr>
        <w:t>. As of the Closing Date, the information included in the Beneficial Ownership Certification, if applicable, is true and correct in all respects.</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5.29</w:t>
      </w:r>
      <w:r>
        <w:rPr>
          <w:sz w:val="20"/>
          <w:szCs w:val="20"/>
          <w:color w:val="auto"/>
        </w:rPr>
        <w:tab/>
      </w:r>
      <w:r>
        <w:rPr>
          <w:rFonts w:ascii="Arial" w:cs="Arial" w:eastAsia="Arial" w:hAnsi="Arial"/>
          <w:sz w:val="19"/>
          <w:szCs w:val="19"/>
          <w:u w:val="single" w:color="auto"/>
          <w:color w:val="auto"/>
        </w:rPr>
        <w:t xml:space="preserve">Covered Entities. </w:t>
      </w:r>
      <w:r>
        <w:rPr>
          <w:rFonts w:ascii="Arial" w:cs="Arial" w:eastAsia="Arial" w:hAnsi="Arial"/>
          <w:sz w:val="19"/>
          <w:szCs w:val="19"/>
          <w:color w:val="auto"/>
        </w:rPr>
        <w:t>No Loan Party is a Covered Entity.</w:t>
      </w:r>
    </w:p>
    <w:p>
      <w:pPr>
        <w:spacing w:after="0" w:line="214" w:lineRule="exact"/>
        <w:rPr>
          <w:sz w:val="20"/>
          <w:szCs w:val="20"/>
          <w:color w:val="auto"/>
        </w:rPr>
      </w:pPr>
    </w:p>
    <w:p>
      <w:pPr>
        <w:ind w:left="3380"/>
        <w:spacing w:after="0"/>
        <w:tabs>
          <w:tab w:leader="none" w:pos="4900" w:val="left"/>
        </w:tabs>
        <w:rPr>
          <w:sz w:val="20"/>
          <w:szCs w:val="20"/>
          <w:color w:val="auto"/>
        </w:rPr>
      </w:pPr>
      <w:r>
        <w:rPr>
          <w:rFonts w:ascii="Arial" w:cs="Arial" w:eastAsia="Arial" w:hAnsi="Arial"/>
          <w:sz w:val="22"/>
          <w:szCs w:val="22"/>
          <w:b w:val="1"/>
          <w:bCs w:val="1"/>
          <w:color w:val="auto"/>
        </w:rPr>
        <w:t>ARTICLE VI.</w:t>
        <w:tab/>
        <w:t>AFFIRMATIVE COVENANTS</w:t>
      </w:r>
    </w:p>
    <w:p>
      <w:pPr>
        <w:spacing w:after="0" w:line="22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Each Loan Party covenants and agrees that, so long as any Commitment is in effect and until payment in full of all Obligations (other than amounts in respect of indemnification, expense reimbursement, yield protection or tax gross-up and other contingent obligations with respect to which no claim has been made) and cancellation or expiration of (without any pending drawing on) all Letters of Credit, each Loan Party shall perform, and shall cause each of its Subsidiaries to perform, all covenants set forth in this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19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u w:val="single" w:color="auto"/>
          <w:color w:val="auto"/>
        </w:rPr>
        <w:t>Financial Statements and Other Reports</w:t>
      </w:r>
      <w:r>
        <w:rPr>
          <w:rFonts w:ascii="Arial" w:cs="Arial" w:eastAsia="Arial" w:hAnsi="Arial"/>
          <w:sz w:val="19"/>
          <w:szCs w:val="19"/>
          <w:color w:val="auto"/>
        </w:rPr>
        <w:t>. The Borrower will deliver to Administrative Agent and Lenders:</w:t>
      </w:r>
    </w:p>
    <w:p>
      <w:pPr>
        <w:spacing w:after="0" w:line="220" w:lineRule="exact"/>
        <w:rPr>
          <w:sz w:val="20"/>
          <w:szCs w:val="20"/>
          <w:color w:val="auto"/>
        </w:rPr>
      </w:pPr>
    </w:p>
    <w:p>
      <w:pPr>
        <w:ind w:left="1120" w:hanging="464"/>
        <w:spacing w:after="0"/>
        <w:tabs>
          <w:tab w:leader="none" w:pos="1120"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jc w:val="both"/>
        <w:ind w:firstLine="656"/>
        <w:spacing w:after="0" w:line="257" w:lineRule="auto"/>
        <w:tabs>
          <w:tab w:leader="none" w:pos="1170" w:val="left"/>
        </w:tabs>
        <w:numPr>
          <w:ilvl w:val="0"/>
          <w:numId w:val="265"/>
        </w:numPr>
        <w:rPr>
          <w:rFonts w:ascii="Arial" w:cs="Arial" w:eastAsia="Arial" w:hAnsi="Arial"/>
          <w:sz w:val="21"/>
          <w:szCs w:val="21"/>
          <w:color w:val="auto"/>
        </w:rPr>
      </w:pPr>
      <w:r>
        <w:rPr>
          <w:rFonts w:ascii="Arial" w:cs="Arial" w:eastAsia="Arial" w:hAnsi="Arial"/>
          <w:sz w:val="21"/>
          <w:szCs w:val="21"/>
          <w:u w:val="single" w:color="auto"/>
          <w:color w:val="auto"/>
        </w:rPr>
        <w:t>Quarterly Financial Statements</w:t>
      </w:r>
      <w:r>
        <w:rPr>
          <w:rFonts w:ascii="Arial" w:cs="Arial" w:eastAsia="Arial" w:hAnsi="Arial"/>
          <w:sz w:val="21"/>
          <w:szCs w:val="21"/>
          <w:color w:val="auto"/>
        </w:rPr>
        <w:t xml:space="preserve">. As soon as available, and in any event within 45 days after the end of each of the first three Fiscal Quarters of each Fiscal Year, commencing with the Fiscal Quarter in which the Closing Date occurs, the consolidated balance sheet of the Borrower and its Subsidiaries as at the end of such Fiscal Quarter (including, during any Unrestricted Subsidiary Reporting Period, with respect to the consolidated balance sheet, any adjustments necessary to eliminate the accounts of Unrestricted Subsidiaries (if any) (which may be in footnote form only) from the consolidated balance sheet) and the related consolidated statements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and a Narrative Report with respect thereto (it being understood that filing by the Borrower of a Quarterly Report on Form 10-Q with the SEC shall satisfy the requirements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6.01(b)</w:t>
      </w:r>
      <w:r>
        <w:rPr>
          <w:rFonts w:ascii="Arial" w:cs="Arial" w:eastAsia="Arial" w:hAnsi="Arial"/>
          <w:sz w:val="21"/>
          <w:szCs w:val="21"/>
          <w:color w:val="auto"/>
        </w:rPr>
        <w:t>, without prejudice to the obligation of the Borrower, during any Unrestricted Subsidiary Reporting Period, to deliver a statement setting forth any adjustments necessary to eliminate the accounts of Unrestricted Subsidiaries from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240"/>
          </w:cols>
          <w:pgMar w:left="320" w:top="1428" w:right="339" w:bottom="1440" w:gutter="0" w:footer="0" w:header="0"/>
        </w:sectPr>
      </w:pPr>
    </w:p>
    <w:bookmarkStart w:id="375" w:name="page376"/>
    <w:bookmarkEnd w:id="375"/>
    <w:p>
      <w:pPr>
        <w:jc w:val="both"/>
        <w:ind w:firstLine="656"/>
        <w:spacing w:after="0" w:line="284" w:lineRule="auto"/>
        <w:tabs>
          <w:tab w:leader="none" w:pos="1104" w:val="left"/>
        </w:tabs>
        <w:numPr>
          <w:ilvl w:val="0"/>
          <w:numId w:val="266"/>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xml:space="preserve">. As soon as available, and in any event within 90 days after the end of each Fiscal Year, commencing with the Fiscal Year in which the Closing Date occurs, (i) the consolidated balance sheet of the Borrower and its Subsidiaries as at the end of such Fiscal Year (including, during any Unrestricted Subsidiary Reporting Period, with respect to the consolidated balance sheet, any adjustments necessary to eliminate the accounts of Unrestricted Subsidiaries (if any) (which may be in footnote form only) from the consolidated balance sheet) and the related consolidated statements of income, stockholders’ equity and cash flows of the Borrower and its Subsidiaries for such Fiscal Year, setting forth in each case in comparative form the corresponding figures for the previous Fiscal Year, in reasonable detail, together with a Financial Officer Certification and a Narrative Report with respect thereto; and (ii) with respect to such consolidated financial statements a report thereon of [___] or other independent certified public accountants of recognized national standing selected by the Borrower and reasonably satisfactory to Administrative Agent (which report and/or the accompanying financial statements shall be unqualified as to going concern (except any “going concern” qualification due to the impeding maturity of any indebtedness under this Agreement within one year from the date of such opinion or any prospective default of any financial maintenance covenant included in this Agreement) and scope of audit, and shall state that such consolidated financial statements fairly present, in all material respects, the consolidated financial position of the Borrower and its Subsidiaries as at the dates indicated and the results of their operations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 (it being understood that the filing by the Borrower of an Annual Report on Form 10-K with the SEC shall satisfy the requirements of paragraph (i) of this </w:t>
      </w:r>
      <w:r>
        <w:rPr>
          <w:rFonts w:ascii="Arial" w:cs="Arial" w:eastAsia="Arial" w:hAnsi="Arial"/>
          <w:sz w:val="19"/>
          <w:szCs w:val="19"/>
          <w:u w:val="single" w:color="auto"/>
          <w:color w:val="auto"/>
        </w:rPr>
        <w:t>Section 6.01(c)</w:t>
      </w:r>
      <w:r>
        <w:rPr>
          <w:rFonts w:ascii="Arial" w:cs="Arial" w:eastAsia="Arial" w:hAnsi="Arial"/>
          <w:sz w:val="19"/>
          <w:szCs w:val="19"/>
          <w:color w:val="auto"/>
        </w:rPr>
        <w:t>, without prejudice to the obligation of the Borrower, during any Unrestricted Subsidiary Reporting Period, to deliver a statement setting forth any adjustments necessary to eliminate the accounts of Unrestricted Subsidiaries from the consolidated balance sheet);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firstLine="656"/>
        <w:spacing w:after="0" w:line="263" w:lineRule="auto"/>
        <w:tabs>
          <w:tab w:leader="none" w:pos="1197"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Together with each delivery of financial statements of the Borrower and its Subsidiaries pursuant to </w:t>
      </w:r>
      <w:r>
        <w:rPr>
          <w:rFonts w:ascii="Arial" w:cs="Arial" w:eastAsia="Arial" w:hAnsi="Arial"/>
          <w:sz w:val="22"/>
          <w:szCs w:val="22"/>
          <w:u w:val="single" w:color="auto"/>
          <w:color w:val="auto"/>
        </w:rPr>
        <w:t>Sections 6.01(b)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6.01(c)</w:t>
      </w:r>
      <w:r>
        <w:rPr>
          <w:rFonts w:ascii="Arial" w:cs="Arial" w:eastAsia="Arial" w:hAnsi="Arial"/>
          <w:sz w:val="22"/>
          <w:szCs w:val="22"/>
          <w:color w:val="auto"/>
        </w:rPr>
        <w:t>, a duly executed and completed Compliance Certificate;</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47" w:lineRule="auto"/>
        <w:tabs>
          <w:tab w:leader="none" w:pos="1093"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Notice of Default</w:t>
      </w:r>
      <w:r>
        <w:rPr>
          <w:rFonts w:ascii="Arial" w:cs="Arial" w:eastAsia="Arial" w:hAnsi="Arial"/>
          <w:sz w:val="22"/>
          <w:szCs w:val="22"/>
          <w:color w:val="auto"/>
        </w:rPr>
        <w:t>. Promptly upon any officer of the Borrower or Borrower obtaining knowledge (i) of any condition or event that constitutes a Default or an Event of Default; (ii) of the occurrence of any event or change that has caused or evidences, either in any case or in the aggregate, a Material Adverse Effect, a certificate of a Responsible Officer specifying the nature and period of existence of such condition, event or change, or specifying the notice given and action taken by any such Person and the nature of such claimed Event of Default, Default, event or condition, and what action Borrower has taken, is taking and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1428" w:right="339" w:bottom="1440" w:gutter="0" w:footer="0" w:header="0"/>
        </w:sectPr>
      </w:pPr>
    </w:p>
    <w:bookmarkStart w:id="376" w:name="page377"/>
    <w:bookmarkEnd w:id="376"/>
    <w:p>
      <w:pPr>
        <w:jc w:val="both"/>
        <w:ind w:firstLine="656"/>
        <w:spacing w:after="0" w:line="261" w:lineRule="auto"/>
        <w:tabs>
          <w:tab w:leader="none" w:pos="1251" w:val="left"/>
        </w:tabs>
        <w:numPr>
          <w:ilvl w:val="0"/>
          <w:numId w:val="267"/>
        </w:numPr>
        <w:rPr>
          <w:rFonts w:ascii="Arial" w:cs="Arial" w:eastAsia="Arial" w:hAnsi="Arial"/>
          <w:sz w:val="21"/>
          <w:szCs w:val="21"/>
          <w:color w:val="auto"/>
        </w:rPr>
      </w:pPr>
      <w:r>
        <w:rPr>
          <w:rFonts w:ascii="Arial" w:cs="Arial" w:eastAsia="Arial" w:hAnsi="Arial"/>
          <w:sz w:val="21"/>
          <w:szCs w:val="21"/>
          <w:u w:val="single" w:color="auto"/>
          <w:color w:val="auto"/>
        </w:rPr>
        <w:t>Notice of Litigation</w:t>
      </w:r>
      <w:r>
        <w:rPr>
          <w:rFonts w:ascii="Arial" w:cs="Arial" w:eastAsia="Arial" w:hAnsi="Arial"/>
          <w:sz w:val="21"/>
          <w:szCs w:val="21"/>
          <w:color w:val="auto"/>
        </w:rPr>
        <w:t xml:space="preserve">. Promptly upon any officer of the Borrower or Borrower obtaining knowledge of (i) any Adverse Proceeding not previously disclosed in writing by Borrower to Lenders, or (ii) any development in any Adverse Proceeding that, in the case of either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Borrower to enable Lenders and their counsel to evaluate such matters;</w:t>
      </w:r>
    </w:p>
    <w:p>
      <w:pPr>
        <w:spacing w:after="0" w:line="179" w:lineRule="exact"/>
        <w:rPr>
          <w:rFonts w:ascii="Arial" w:cs="Arial" w:eastAsia="Arial" w:hAnsi="Arial"/>
          <w:sz w:val="21"/>
          <w:szCs w:val="21"/>
          <w:color w:val="auto"/>
        </w:rPr>
      </w:pPr>
    </w:p>
    <w:p>
      <w:pPr>
        <w:jc w:val="both"/>
        <w:ind w:firstLine="656"/>
        <w:spacing w:after="0" w:line="260" w:lineRule="auto"/>
        <w:tabs>
          <w:tab w:leader="none" w:pos="1143" w:val="left"/>
        </w:tabs>
        <w:numPr>
          <w:ilvl w:val="0"/>
          <w:numId w:val="267"/>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(i) Promptly upon becoming aware of the occurrence of or forthcoming occurrence of any ERISA Event, a written notice specifying the nature thereof, what action the Borrower, any of its Subsidiaries or any of their respective ERISA Affiliates has taken, is taking or proposes to take with respect thereto and, when known, any action taken or threatened by the IRS, the Department of Labor or the PBGC with respect thereto; and (ii) with reasonable promptness, copies of (1) all notices received by the Borrower, any of its Subsidiaries or any of their respective ERISA Affiliates from a Multiemployer Plan sponsor concerning an ERISA Event; and (2) copies of such other documents or governmental reports or filings relating to any Plan as Administrative Agent shall reasonably request.</w:t>
      </w:r>
    </w:p>
    <w:p>
      <w:pPr>
        <w:spacing w:after="0" w:line="180" w:lineRule="exact"/>
        <w:rPr>
          <w:rFonts w:ascii="Arial" w:cs="Arial" w:eastAsia="Arial" w:hAnsi="Arial"/>
          <w:sz w:val="21"/>
          <w:szCs w:val="21"/>
          <w:color w:val="auto"/>
        </w:rPr>
      </w:pPr>
    </w:p>
    <w:p>
      <w:pPr>
        <w:jc w:val="both"/>
        <w:ind w:firstLine="656"/>
        <w:spacing w:after="0" w:line="253" w:lineRule="auto"/>
        <w:tabs>
          <w:tab w:leader="none" w:pos="1108"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auto"/>
        </w:rPr>
        <w:t>Financial Plan</w:t>
      </w:r>
      <w:r>
        <w:rPr>
          <w:rFonts w:ascii="Arial" w:cs="Arial" w:eastAsia="Arial" w:hAnsi="Arial"/>
          <w:sz w:val="22"/>
          <w:szCs w:val="22"/>
          <w:color w:val="auto"/>
        </w:rPr>
        <w:t>. As soon as practicable and in any event no later than ninety days after the beginning of each Fiscal Year, a forecast prepared by management of the Borrower of the consolidated statement of income of the Borrower and its Subsidiaries on a quarterly basis for such Fiscal Year (a “</w:t>
      </w:r>
      <w:r>
        <w:rPr>
          <w:rFonts w:ascii="Arial" w:cs="Arial" w:eastAsia="Arial" w:hAnsi="Arial"/>
          <w:sz w:val="22"/>
          <w:szCs w:val="22"/>
          <w:u w:val="single" w:color="auto"/>
          <w:color w:val="auto"/>
        </w:rPr>
        <w:t>Financial Plan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656"/>
        <w:spacing w:after="0" w:line="263" w:lineRule="auto"/>
        <w:tabs>
          <w:tab w:leader="none" w:pos="1143"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auto"/>
        </w:rPr>
        <w:t>Other Information</w:t>
      </w:r>
      <w:r>
        <w:rPr>
          <w:rFonts w:ascii="Arial" w:cs="Arial" w:eastAsia="Arial" w:hAnsi="Arial"/>
          <w:sz w:val="22"/>
          <w:szCs w:val="22"/>
          <w:color w:val="auto"/>
        </w:rPr>
        <w:t>. Such other information and data with respect to the Borrower or any of its Subsidiaries as from time to time may be reasonably requested by Administrative Agent or any Lender; and</w:t>
      </w:r>
    </w:p>
    <w:p>
      <w:pPr>
        <w:spacing w:after="0" w:line="174" w:lineRule="exact"/>
        <w:rPr>
          <w:rFonts w:ascii="Arial" w:cs="Arial" w:eastAsia="Arial" w:hAnsi="Arial"/>
          <w:sz w:val="22"/>
          <w:szCs w:val="22"/>
          <w:color w:val="auto"/>
        </w:rPr>
      </w:pPr>
    </w:p>
    <w:p>
      <w:pPr>
        <w:jc w:val="both"/>
        <w:ind w:firstLine="656"/>
        <w:spacing w:after="0" w:line="289" w:lineRule="auto"/>
        <w:tabs>
          <w:tab w:leader="none" w:pos="1095"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Designation of Public Information</w:t>
      </w:r>
      <w:r>
        <w:rPr>
          <w:rFonts w:ascii="Arial" w:cs="Arial" w:eastAsia="Arial" w:hAnsi="Arial"/>
          <w:sz w:val="19"/>
          <w:szCs w:val="19"/>
          <w:color w:val="auto"/>
        </w:rPr>
        <w:t xml:space="preserve">. The Borrower and each Lender acknowledge that certain of the Lenders may be Public Lenders and, if documents or notices required to be delivered pursuant to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otherwise are being distributed through Debt Domain, Intralinks, SyndTrak or another relevant website or other information platform (the “</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any document or notice that the Borrower has indicated contains Private-Side Information shall not be posted on that portion of the Platform designated for such Public Lenders. The Borrower agrees to clearly designate all information provided to Administrative Agent by or on behalf of the Borrower which contains only Public-Side Information, and by doing so shall be deemed to have represented that such information contains only Public-Side Information. If the Borrower has not indicated whether a document or notice delivered pursuant to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contains Private-Side Information, Administrative Agent reserves the right to post such document or notice solely on that portion of the Platform designated for Private Lenders.</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6.02 </w:t>
      </w:r>
      <w:r>
        <w:rPr>
          <w:rFonts w:ascii="Arial" w:cs="Arial" w:eastAsia="Arial" w:hAnsi="Arial"/>
          <w:sz w:val="22"/>
          <w:szCs w:val="22"/>
          <w:u w:val="single" w:color="auto"/>
          <w:color w:val="auto"/>
        </w:rPr>
        <w:t>Existence</w:t>
      </w:r>
      <w:r>
        <w:rPr>
          <w:rFonts w:ascii="Arial" w:cs="Arial" w:eastAsia="Arial" w:hAnsi="Arial"/>
          <w:sz w:val="22"/>
          <w:szCs w:val="22"/>
          <w:color w:val="auto"/>
        </w:rPr>
        <w:t xml:space="preserve">. Except as otherwise permitted under </w:t>
      </w:r>
      <w:r>
        <w:rPr>
          <w:rFonts w:ascii="Arial" w:cs="Arial" w:eastAsia="Arial" w:hAnsi="Arial"/>
          <w:sz w:val="22"/>
          <w:szCs w:val="22"/>
          <w:u w:val="single" w:color="auto"/>
          <w:color w:val="auto"/>
        </w:rPr>
        <w:t>Section 7.08</w:t>
      </w:r>
      <w:r>
        <w:rPr>
          <w:rFonts w:ascii="Arial" w:cs="Arial" w:eastAsia="Arial" w:hAnsi="Arial"/>
          <w:sz w:val="22"/>
          <w:szCs w:val="22"/>
          <w:color w:val="auto"/>
        </w:rPr>
        <w:t>, each Loan Party will, and will cause each of its Subsidiaries to, at all times preserve and keep in full force and effect its existence and all rights and franchises, licenses and permits material to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1428" w:right="339" w:bottom="1440" w:gutter="0" w:footer="0" w:header="0"/>
        </w:sectPr>
      </w:pPr>
    </w:p>
    <w:bookmarkStart w:id="377" w:name="page378"/>
    <w:bookmarkEnd w:id="377"/>
    <w:p>
      <w:pPr>
        <w:jc w:val="both"/>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no Loan Party (other than the Borrower with respect to existence) or any of its Subsidiaries shall be required to preserve any such existence, right or franchise, licenses and permits if the failure to do so would not reasonably be expected, individually or in the aggregate, to have a Material Adverse Effect.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6.03 </w:t>
      </w:r>
      <w:r>
        <w:rPr>
          <w:rFonts w:ascii="Arial" w:cs="Arial" w:eastAsia="Arial" w:hAnsi="Arial"/>
          <w:sz w:val="21"/>
          <w:szCs w:val="21"/>
          <w:u w:val="single" w:color="auto"/>
          <w:color w:val="auto"/>
        </w:rPr>
        <w:t>Payment of Taxes and Claims</w:t>
      </w:r>
      <w:r>
        <w:rPr>
          <w:rFonts w:ascii="Arial" w:cs="Arial" w:eastAsia="Arial" w:hAnsi="Arial"/>
          <w:sz w:val="21"/>
          <w:szCs w:val="21"/>
          <w:color w:val="auto"/>
        </w:rPr>
        <w:t>. Each Loan Party will, and will cause each of its Subsidiaries to, pay all Taxes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provided, no such Tax or claim need be paid if it is being contested in good faith by appropriate proceedings promptly instituted and diligently conducted, so long as adequate reserve or other appropriate provision, as shall be required in conformity with GAAP shall have been made therefor. No Loan Party will, nor will it permit any of its Subsidiaries to, file or consent to the filing of any consolidated income tax return with any Person (other than the Borrower or any of its Subsidiaries).</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6.04 </w:t>
      </w:r>
      <w:r>
        <w:rPr>
          <w:rFonts w:ascii="Arial" w:cs="Arial" w:eastAsia="Arial" w:hAnsi="Arial"/>
          <w:sz w:val="22"/>
          <w:szCs w:val="22"/>
          <w:u w:val="single" w:color="auto"/>
          <w:color w:val="auto"/>
        </w:rPr>
        <w:t>Maintenance of Properties</w:t>
      </w:r>
      <w:r>
        <w:rPr>
          <w:rFonts w:ascii="Arial" w:cs="Arial" w:eastAsia="Arial" w:hAnsi="Arial"/>
          <w:sz w:val="22"/>
          <w:szCs w:val="22"/>
          <w:color w:val="auto"/>
        </w:rPr>
        <w:t>. Each Loan Party will, and will cause each of its Subsidiaries to, maintain or cause to be maintained in good repair, working order and condition, ordinary wear and tear excepted, all material properties used or useful in the business of the Borrower and its Subsidiaries and from time to time will make or cause to be made all appropriate repairs, renewals and replacements thereof, except where the failure to do so would not reasonably be expected, individually or in the aggregate, to have a Material Adverse Effect.</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6.05 </w:t>
      </w:r>
      <w:r>
        <w:rPr>
          <w:rFonts w:ascii="Arial" w:cs="Arial" w:eastAsia="Arial" w:hAnsi="Arial"/>
          <w:sz w:val="19"/>
          <w:szCs w:val="19"/>
          <w:u w:val="single" w:color="auto"/>
          <w:color w:val="auto"/>
        </w:rPr>
        <w:t>Insurance</w:t>
      </w:r>
      <w:r>
        <w:rPr>
          <w:rFonts w:ascii="Arial" w:cs="Arial" w:eastAsia="Arial" w:hAnsi="Arial"/>
          <w:sz w:val="19"/>
          <w:szCs w:val="19"/>
          <w:color w:val="auto"/>
        </w:rPr>
        <w:t>. Each Loan Party will maintain or cause to be maintained, with financially sound and reputable insurers, such public liability insurance, third party property damage insurance, business interruption insurance and casualty insurance with respect to liabilities, losses or damage in respect of the assets, properties and businesses of the Borrower and its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6.06 </w:t>
      </w:r>
      <w:r>
        <w:rPr>
          <w:rFonts w:ascii="Arial" w:cs="Arial" w:eastAsia="Arial" w:hAnsi="Arial"/>
          <w:sz w:val="19"/>
          <w:szCs w:val="19"/>
          <w:u w:val="single" w:color="auto"/>
          <w:color w:val="auto"/>
        </w:rPr>
        <w:t>Books and Records; Inspections</w:t>
      </w:r>
      <w:r>
        <w:rPr>
          <w:rFonts w:ascii="Arial" w:cs="Arial" w:eastAsia="Arial" w:hAnsi="Arial"/>
          <w:sz w:val="19"/>
          <w:szCs w:val="19"/>
          <w:color w:val="auto"/>
        </w:rPr>
        <w:t>. Each Loan Party will, and will cause each of its Subsidiaries to, keep proper books of record and accounts in which full, true and correct entries in conformity in all material respects with GAAP shall be made of all dealings and transactions in relation to its business and activities. Each Loan Party will, and will cause each of its Subsidiaries to, permit any authorized representatives designated by the Administrative Agent to visit and inspect any of the properties of any Loan Party and any of its respective Subsidiaries, to inspect, copy and take extracts from its and their financial and accounting records, and to discuss its and their affairs, finances and accounts with its and their officers and independent public accountants, all upon reasonable notice and at such reasonable times during normal business hours and, unless an Event of Default has occurred and is continuing, no more than once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240"/>
          </w:cols>
          <w:pgMar w:left="320" w:top="1427" w:right="339" w:bottom="1440" w:gutter="0" w:footer="0" w:header="0"/>
        </w:sectPr>
      </w:pPr>
    </w:p>
    <w:bookmarkStart w:id="378" w:name="page379"/>
    <w:bookmarkEnd w:id="378"/>
    <w:p>
      <w:pPr>
        <w:ind w:left="660"/>
        <w:spacing w:after="0"/>
        <w:tabs>
          <w:tab w:leader="none" w:pos="1240" w:val="left"/>
        </w:tabs>
        <w:rPr>
          <w:sz w:val="20"/>
          <w:szCs w:val="20"/>
          <w:color w:val="auto"/>
        </w:rPr>
      </w:pPr>
      <w:r>
        <w:rPr>
          <w:rFonts w:ascii="Arial" w:cs="Arial" w:eastAsia="Arial" w:hAnsi="Arial"/>
          <w:sz w:val="22"/>
          <w:szCs w:val="22"/>
          <w:color w:val="auto"/>
        </w:rPr>
        <w:t>6.07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6.08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xml:space="preserve">. Each Loan Party will comply, and shall cause each of its Subsidiaries and all other Persons, if any, on or occupying any Facilities to comply, with the requirements of all Applicable Laws, rules, regulations and orders of any Governmental Authority (including all Environmental Laws), except to the extent that noncompliance therewith could not reasonably be expected to have, individually or in the aggregate, a Material Adverse Effect (or, in the case of the laws, rules, regulations and orders referred to in </w:t>
      </w:r>
      <w:r>
        <w:rPr>
          <w:rFonts w:ascii="Arial" w:cs="Arial" w:eastAsia="Arial" w:hAnsi="Arial"/>
          <w:sz w:val="19"/>
          <w:szCs w:val="19"/>
          <w:u w:val="single" w:color="auto"/>
          <w:color w:val="auto"/>
        </w:rPr>
        <w:t>Section 5.26</w:t>
      </w:r>
      <w:r>
        <w:rPr>
          <w:rFonts w:ascii="Arial" w:cs="Arial" w:eastAsia="Arial" w:hAnsi="Arial"/>
          <w:sz w:val="19"/>
          <w:szCs w:val="19"/>
          <w:color w:val="auto"/>
        </w:rPr>
        <w:t>, except to the extent that noncompliance therewith is not material).</w:t>
      </w:r>
    </w:p>
    <w:p>
      <w:pPr>
        <w:spacing w:after="0" w:line="1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6.09 </w:t>
      </w:r>
      <w:r>
        <w:rPr>
          <w:rFonts w:ascii="Arial" w:cs="Arial" w:eastAsia="Arial" w:hAnsi="Arial"/>
          <w:sz w:val="22"/>
          <w:szCs w:val="22"/>
          <w:u w:val="single" w:color="auto"/>
          <w:color w:val="auto"/>
        </w:rPr>
        <w:t>Environmental</w:t>
      </w:r>
      <w:r>
        <w:rPr>
          <w:rFonts w:ascii="Arial" w:cs="Arial" w:eastAsia="Arial" w:hAnsi="Arial"/>
          <w:sz w:val="22"/>
          <w:szCs w:val="22"/>
          <w:color w:val="auto"/>
        </w:rPr>
        <w:t>. Each Loan Party shall promptly take, and shall cause each of its Subsidiaries promptly to take, any and all actions necessary to (i) cure any violation of applicable Environmental Laws by such Loan Party or its Subsidiaries that could reasonably be expected to have, individually or in the aggregate, a Material Adverse Effect, and (ii) make an appropriate response to any Environmental Claim against such Loan Party or any of its Subsidiaries and discharge any obligations it may have to any Person thereunder where failure to do so could reasonably be expected to have, individually or in the aggregate, a Material Adverse Effect.</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In the event that any Person becomes a Domestic Subsidiary of Borrower (including by virtue of a Division) or any Unrestricted Subsidiary is converted into a Restricted Subsidiary that is a Domestic Subsidiary after the Closing Date, Borrower shall (a) promptly cause such Domestic Subsidiary to become a Guarantor hereunder by executing and delivering to Administrative Agent a Counterpart Agreement, and (b) take all such actions and execute and deliver, or cause to be executed and delivered, all such documents, instruments, agreements, and certificates reasonably requested by Administrative Agent, including those which are similar to those described in </w:t>
      </w:r>
      <w:r>
        <w:rPr>
          <w:rFonts w:ascii="Arial" w:cs="Arial" w:eastAsia="Arial" w:hAnsi="Arial"/>
          <w:sz w:val="19"/>
          <w:szCs w:val="19"/>
          <w:u w:val="single" w:color="auto"/>
          <w:color w:val="auto"/>
        </w:rPr>
        <w:t>Sections 4.01(b)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4.01(k)</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4.01(l)</w:t>
      </w:r>
      <w:r>
        <w:rPr>
          <w:rFonts w:ascii="Arial" w:cs="Arial" w:eastAsia="Arial" w:hAnsi="Arial"/>
          <w:sz w:val="19"/>
          <w:szCs w:val="19"/>
          <w:color w:val="auto"/>
        </w:rPr>
        <w:t xml:space="preserve">. With respect to each Subsidiary, Borrower shall promptly send to Administrative Agent written notice setting forth with respect to such Person (i) the date on which such Person became a Subsidiary of Borrower or was converted into a Restricted Subsidiary, as applicable, and (ii) all of the data required to be set forth in </w:t>
      </w:r>
      <w:r>
        <w:rPr>
          <w:rFonts w:ascii="Arial" w:cs="Arial" w:eastAsia="Arial" w:hAnsi="Arial"/>
          <w:sz w:val="19"/>
          <w:szCs w:val="19"/>
          <w:u w:val="single" w:color="auto"/>
          <w:color w:val="auto"/>
        </w:rPr>
        <w:t>Schedules 5.01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5.02</w:t>
      </w:r>
      <w:r>
        <w:rPr>
          <w:rFonts w:ascii="Arial" w:cs="Arial" w:eastAsia="Arial" w:hAnsi="Arial"/>
          <w:sz w:val="19"/>
          <w:szCs w:val="19"/>
          <w:color w:val="auto"/>
        </w:rPr>
        <w:t xml:space="preserve"> with respect to all Subsidiaries of Borrower; and such written notice shall be deemed to supplement </w:t>
      </w:r>
      <w:r>
        <w:rPr>
          <w:rFonts w:ascii="Arial" w:cs="Arial" w:eastAsia="Arial" w:hAnsi="Arial"/>
          <w:sz w:val="19"/>
          <w:szCs w:val="19"/>
          <w:u w:val="single" w:color="auto"/>
          <w:color w:val="auto"/>
        </w:rPr>
        <w:t>Schedule 5.01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5.02</w:t>
      </w:r>
      <w:r>
        <w:rPr>
          <w:rFonts w:ascii="Arial" w:cs="Arial" w:eastAsia="Arial" w:hAnsi="Arial"/>
          <w:sz w:val="19"/>
          <w:szCs w:val="19"/>
          <w:color w:val="auto"/>
        </w:rPr>
        <w:t xml:space="preserve"> for all purposes hereof.</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Further Assurances</w:t>
      </w:r>
      <w:r>
        <w:rPr>
          <w:rFonts w:ascii="Arial" w:cs="Arial" w:eastAsia="Arial" w:hAnsi="Arial"/>
          <w:sz w:val="21"/>
          <w:szCs w:val="21"/>
          <w:color w:val="auto"/>
        </w:rPr>
        <w:t>. At any time or from time to time upon the request of Administrative Agent, each Loan Party will, at its expense, promptly execute, acknowledge and deliver such further documents and do such other acts and things as Administrative Agent may reasonably request in order to effect fully the purposes of the Loan Documents. In furtherance and not in limitation of the foregoing, each Loan Party shall take such actions as Administrative Agent may reasonably request from time to time to ensure that the Obligations are guaranteed by the Guarantors.</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Designation of Subsidiaries</w:t>
      </w:r>
      <w:r>
        <w:rPr>
          <w:rFonts w:ascii="Arial" w:cs="Arial" w:eastAsia="Arial" w:hAnsi="Arial"/>
          <w:sz w:val="22"/>
          <w:szCs w:val="22"/>
          <w:color w:val="auto"/>
        </w:rPr>
        <w:t>. The Borrower may at any time designate any Restricted Subsidiary as an Unrestricted Subsidiary or any Unrestricted Subsidiary as a Restricted Subsidiary; provided that (i) immediately before and after such designation,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1427" w:right="339" w:bottom="1440" w:gutter="0" w:footer="0" w:header="0"/>
        </w:sectPr>
      </w:pPr>
    </w:p>
    <w:bookmarkStart w:id="379" w:name="page380"/>
    <w:bookmarkEnd w:id="379"/>
    <w:p>
      <w:pPr>
        <w:jc w:val="both"/>
        <w:spacing w:after="0" w:line="285" w:lineRule="auto"/>
        <w:rPr>
          <w:sz w:val="20"/>
          <w:szCs w:val="20"/>
          <w:color w:val="auto"/>
        </w:rPr>
      </w:pPr>
      <w:r>
        <w:rPr>
          <w:rFonts w:ascii="Arial" w:cs="Arial" w:eastAsia="Arial" w:hAnsi="Arial"/>
          <w:sz w:val="19"/>
          <w:szCs w:val="19"/>
          <w:color w:val="auto"/>
        </w:rPr>
        <w:t xml:space="preserve">Default or Event of Default shall have occurred and be continuing, (ii) immediately after giving effect to such designation, the Borrower and its Subsidiaries shall be in pro forma compliance with each of the covenants set forth in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(iii) no Subsidiary may be designated as an Unrestricted Subsidiary if it is a “Restricted Subsidiary” for the purpose of the Bridge Credit Agreement or the documentation relating to the Permanent Debt, (iv) no Restricted Subsidiary may be designated as an Unrestricted Subsidiary if it was previously designated an Unrestricted Subsidiary, and (v) Borrower shall deliver to Administrative Agent at least five Business Days prior to such designation a certificate of a Responsible Officer of Borrower certifying as to compliance with the foregoing </w:t>
      </w:r>
      <w:r>
        <w:rPr>
          <w:rFonts w:ascii="Arial" w:cs="Arial" w:eastAsia="Arial" w:hAnsi="Arial"/>
          <w:sz w:val="19"/>
          <w:szCs w:val="19"/>
          <w:u w:val="single" w:color="auto"/>
          <w:color w:val="auto"/>
        </w:rPr>
        <w:t>clauses (i)-(iv)</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and, if applicable, certifying that such subsidiary meets the requirements of an “Unrestricted Subsidiary”. The designation of any subsidiary as an Unrestricted Subsidiary shall constitute an Investment by Borrower therein at the date of designation in an amount equal to the fair market value of Borrower’s Investment therein; provided that upon a redesignation of such subsidiary as a Restricted Subsidiary, Borrower shall be deemed to continue to have a permanent Investment in an Unrestricted Subsidiary in an amount (if positive) equal to (i) the lesser of (A) the fair market value of Investments of Borrower and its Subsidiaries in such Unrestricted Subsidiary at the time of such redesignation, combination or transfer (or of the assets transferred or conveyed, as applicable) and (B) the fair market value of Investments of Borrower and its Subsidiaries made in connection with the designation of such Subsidiary as an Unrestricted Subsidiary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portion (proportionate to Borrower’s and its Subsidiaries’ Equity Interest in such Subsidiary) of the fair market value of the net assets of such Subsidiary at the time of such redesignation. The designation of any Unrestricted Subsidiary as a Restricted Subsidiary shall constitute the incurrence at the time of designation of any Indebtedness or Liens of such Subsidiary existing at such time.</w:t>
      </w:r>
    </w:p>
    <w:p>
      <w:pPr>
        <w:spacing w:after="0" w:line="200" w:lineRule="exact"/>
        <w:rPr>
          <w:sz w:val="20"/>
          <w:szCs w:val="20"/>
          <w:color w:val="auto"/>
        </w:rPr>
      </w:pPr>
    </w:p>
    <w:p>
      <w:pPr>
        <w:spacing w:after="0" w:line="21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b w:val="1"/>
          <w:bCs w:val="1"/>
          <w:color w:val="auto"/>
        </w:rPr>
        <w:t>ARTICLE VII.</w:t>
      </w:r>
      <w:r>
        <w:rPr>
          <w:sz w:val="20"/>
          <w:szCs w:val="20"/>
          <w:color w:val="auto"/>
        </w:rPr>
        <w:tab/>
      </w:r>
      <w:r>
        <w:rPr>
          <w:rFonts w:ascii="Arial" w:cs="Arial" w:eastAsia="Arial" w:hAnsi="Arial"/>
          <w:sz w:val="21"/>
          <w:szCs w:val="21"/>
          <w:b w:val="1"/>
          <w:bCs w:val="1"/>
          <w:color w:val="auto"/>
        </w:rPr>
        <w:t>NEGATIVE COVENANTS</w:t>
      </w:r>
    </w:p>
    <w:p>
      <w:pPr>
        <w:spacing w:after="0" w:line="22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Each Loan Party covenants and agrees that, so long as any Commitment is in effect and until payment in full of all Obligations (other than amounts in respect of indemnification, expense reimbursement, yield protection or tax gross-up and other contingent obligations with respect to which no claim has been made) and cancellation or expiration of (without any pending drawing on) all Letters of Credit, such Loan Party shall perform, and shall cause each of its Subsidiaries to perform, all covenants in this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92"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 xml:space="preserve">7.01 </w:t>
      </w:r>
      <w:r>
        <w:rPr>
          <w:rFonts w:ascii="Arial" w:cs="Arial" w:eastAsia="Arial" w:hAnsi="Arial"/>
          <w:sz w:val="19"/>
          <w:szCs w:val="19"/>
          <w:u w:val="single" w:color="auto"/>
          <w:color w:val="auto"/>
        </w:rPr>
        <w:t>Indebtedness</w:t>
      </w:r>
      <w:r>
        <w:rPr>
          <w:rFonts w:ascii="Arial" w:cs="Arial" w:eastAsia="Arial" w:hAnsi="Arial"/>
          <w:sz w:val="19"/>
          <w:szCs w:val="19"/>
          <w:color w:val="auto"/>
        </w:rPr>
        <w:t>. No Loan Party shall, nor shall it permit any of its Subsidiaries to, directly or indirectly, create, incur, assume or guaranty, or otherwise become or remain directly or indirectly liable with respect to any Indebtedness, except:</w:t>
      </w:r>
    </w:p>
    <w:p>
      <w:pPr>
        <w:spacing w:after="0" w:line="104" w:lineRule="exact"/>
        <w:rPr>
          <w:sz w:val="20"/>
          <w:szCs w:val="20"/>
          <w:color w:val="auto"/>
        </w:rPr>
      </w:pPr>
    </w:p>
    <w:p>
      <w:pPr>
        <w:ind w:left="1120" w:hanging="464"/>
        <w:spacing w:after="0"/>
        <w:tabs>
          <w:tab w:leader="none" w:pos="1120" w:val="left"/>
        </w:tabs>
        <w:numPr>
          <w:ilvl w:val="1"/>
          <w:numId w:val="268"/>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19" w:lineRule="exact"/>
        <w:rPr>
          <w:rFonts w:ascii="Arial" w:cs="Arial" w:eastAsia="Arial" w:hAnsi="Arial"/>
          <w:sz w:val="22"/>
          <w:szCs w:val="22"/>
          <w:color w:val="auto"/>
        </w:rPr>
      </w:pPr>
    </w:p>
    <w:p>
      <w:pPr>
        <w:ind w:firstLine="656"/>
        <w:spacing w:after="0" w:line="263" w:lineRule="auto"/>
        <w:tabs>
          <w:tab w:leader="none" w:pos="1213" w:val="left"/>
        </w:tabs>
        <w:numPr>
          <w:ilvl w:val="1"/>
          <w:numId w:val="268"/>
        </w:numPr>
        <w:rPr>
          <w:rFonts w:ascii="Arial" w:cs="Arial" w:eastAsia="Arial" w:hAnsi="Arial"/>
          <w:sz w:val="22"/>
          <w:szCs w:val="22"/>
          <w:color w:val="auto"/>
        </w:rPr>
      </w:pPr>
      <w:r>
        <w:rPr>
          <w:rFonts w:ascii="Arial" w:cs="Arial" w:eastAsia="Arial" w:hAnsi="Arial"/>
          <w:sz w:val="22"/>
          <w:szCs w:val="22"/>
          <w:color w:val="auto"/>
        </w:rPr>
        <w:t>(i) the Bridge Loans in a principal amount not to exceed $350,000,000 and any (ii) Refinancing Indebtedness with respect thereto;</w:t>
      </w:r>
    </w:p>
    <w:p>
      <w:pPr>
        <w:spacing w:after="0" w:line="174" w:lineRule="exact"/>
        <w:rPr>
          <w:rFonts w:ascii="Arial" w:cs="Arial" w:eastAsia="Arial" w:hAnsi="Arial"/>
          <w:sz w:val="22"/>
          <w:szCs w:val="22"/>
          <w:color w:val="auto"/>
        </w:rPr>
      </w:pPr>
    </w:p>
    <w:p>
      <w:pPr>
        <w:ind w:left="1140" w:hanging="484"/>
        <w:spacing w:after="0"/>
        <w:tabs>
          <w:tab w:leader="none" w:pos="1140" w:val="left"/>
        </w:tabs>
        <w:numPr>
          <w:ilvl w:val="1"/>
          <w:numId w:val="268"/>
        </w:numPr>
        <w:rPr>
          <w:rFonts w:ascii="Arial" w:cs="Arial" w:eastAsia="Arial" w:hAnsi="Arial"/>
          <w:sz w:val="19"/>
          <w:szCs w:val="19"/>
          <w:color w:val="auto"/>
        </w:rPr>
      </w:pPr>
      <w:r>
        <w:rPr>
          <w:rFonts w:ascii="Arial" w:cs="Arial" w:eastAsia="Arial" w:hAnsi="Arial"/>
          <w:sz w:val="19"/>
          <w:szCs w:val="19"/>
          <w:color w:val="auto"/>
        </w:rPr>
        <w:t xml:space="preserve">Indebtedness of any Subsidiary to Borrower or to any other Subsidiary, or of Borrower to any Subsidiary; </w:t>
      </w:r>
      <w:r>
        <w:rPr>
          <w:rFonts w:ascii="Arial" w:cs="Arial" w:eastAsia="Arial" w:hAnsi="Arial"/>
          <w:sz w:val="19"/>
          <w:szCs w:val="19"/>
          <w:u w:val="single" w:color="auto"/>
          <w:color w:val="auto"/>
        </w:rPr>
        <w:t>provided</w:t>
      </w:r>
    </w:p>
    <w:p>
      <w:pPr>
        <w:spacing w:after="0" w:line="55" w:lineRule="exact"/>
        <w:rPr>
          <w:rFonts w:ascii="Arial" w:cs="Arial" w:eastAsia="Arial" w:hAnsi="Arial"/>
          <w:sz w:val="19"/>
          <w:szCs w:val="19"/>
          <w:color w:val="auto"/>
        </w:rPr>
      </w:pPr>
    </w:p>
    <w:p>
      <w:pPr>
        <w:ind w:firstLine="8"/>
        <w:spacing w:after="0" w:line="246" w:lineRule="auto"/>
        <w:tabs>
          <w:tab w:leader="none" w:pos="292" w:val="left"/>
        </w:tabs>
        <w:numPr>
          <w:ilvl w:val="0"/>
          <w:numId w:val="269"/>
        </w:numPr>
        <w:rPr>
          <w:rFonts w:ascii="Arial" w:cs="Arial" w:eastAsia="Arial" w:hAnsi="Arial"/>
          <w:sz w:val="22"/>
          <w:szCs w:val="22"/>
          <w:color w:val="auto"/>
        </w:rPr>
      </w:pPr>
      <w:r>
        <w:rPr>
          <w:rFonts w:ascii="Arial" w:cs="Arial" w:eastAsia="Arial" w:hAnsi="Arial"/>
          <w:sz w:val="22"/>
          <w:szCs w:val="22"/>
          <w:color w:val="auto"/>
        </w:rPr>
        <w:t>all such Indebtedness shall be unsecured and subordinated in right of payment to the payment in full of the Obligations pursuant to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240"/>
          </w:cols>
          <w:pgMar w:left="320" w:top="1427" w:right="339" w:bottom="1440" w:gutter="0" w:footer="0" w:header="0"/>
        </w:sectPr>
      </w:pPr>
    </w:p>
    <w:bookmarkStart w:id="380" w:name="page381"/>
    <w:bookmarkEnd w:id="380"/>
    <w:p>
      <w:pPr>
        <w:spacing w:after="0" w:line="263" w:lineRule="auto"/>
        <w:rPr>
          <w:sz w:val="20"/>
          <w:szCs w:val="20"/>
          <w:color w:val="auto"/>
        </w:rPr>
      </w:pPr>
      <w:r>
        <w:rPr>
          <w:rFonts w:ascii="Arial" w:cs="Arial" w:eastAsia="Arial" w:hAnsi="Arial"/>
          <w:sz w:val="22"/>
          <w:szCs w:val="22"/>
          <w:color w:val="auto"/>
        </w:rPr>
        <w:t xml:space="preserve">of the Intercompany Subordination Agreement, and (ii) such Indebtedness is permitted as an Investment under </w:t>
      </w:r>
      <w:r>
        <w:rPr>
          <w:rFonts w:ascii="Arial" w:cs="Arial" w:eastAsia="Arial" w:hAnsi="Arial"/>
          <w:sz w:val="22"/>
          <w:szCs w:val="22"/>
          <w:u w:val="single" w:color="auto"/>
          <w:color w:val="auto"/>
        </w:rPr>
        <w:t>Section 7.06(b)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w:t>
      </w:r>
    </w:p>
    <w:p>
      <w:pPr>
        <w:spacing w:after="0" w:line="175" w:lineRule="exact"/>
        <w:rPr>
          <w:sz w:val="20"/>
          <w:szCs w:val="20"/>
          <w:color w:val="auto"/>
        </w:rPr>
      </w:pPr>
    </w:p>
    <w:p>
      <w:pPr>
        <w:jc w:val="both"/>
        <w:ind w:firstLine="656"/>
        <w:spacing w:after="0" w:line="297" w:lineRule="auto"/>
        <w:tabs>
          <w:tab w:leader="none" w:pos="138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Indebtedness incurred by the Borrower or any of its Subsidiaries arising from agreements providing for indemnification, adjustment of purchase price or similar obligations (including, Indebtedness consisting of the deferred purchase price of property acquired in a Permitted Acquisition), or from guaranties or letters of credit, surety bonds or performance bonds securing the performance of Borrower or any such Subsidiary pursuant to such agreements, in connection with Permitted Acquisitions or permitted dispositions of any business, assets or Subsidiary of the Borrower or any of its Subsidiaries;</w:t>
      </w:r>
    </w:p>
    <w:p>
      <w:pPr>
        <w:spacing w:after="0" w:line="146" w:lineRule="exact"/>
        <w:rPr>
          <w:rFonts w:ascii="Arial" w:cs="Arial" w:eastAsia="Arial" w:hAnsi="Arial"/>
          <w:sz w:val="19"/>
          <w:szCs w:val="19"/>
          <w:color w:val="auto"/>
        </w:rPr>
      </w:pPr>
    </w:p>
    <w:p>
      <w:pPr>
        <w:jc w:val="both"/>
        <w:ind w:firstLine="656"/>
        <w:spacing w:after="0" w:line="312" w:lineRule="auto"/>
        <w:tabs>
          <w:tab w:leader="none" w:pos="1192" w:val="left"/>
        </w:tabs>
        <w:numPr>
          <w:ilvl w:val="0"/>
          <w:numId w:val="270"/>
        </w:numPr>
        <w:rPr>
          <w:rFonts w:ascii="Arial" w:cs="Arial" w:eastAsia="Arial" w:hAnsi="Arial"/>
          <w:sz w:val="19"/>
          <w:szCs w:val="19"/>
          <w:color w:val="auto"/>
        </w:rPr>
      </w:pPr>
      <w:r>
        <w:rPr>
          <w:rFonts w:ascii="Arial" w:cs="Arial" w:eastAsia="Arial" w:hAnsi="Arial"/>
          <w:sz w:val="19"/>
          <w:szCs w:val="19"/>
          <w:color w:val="auto"/>
        </w:rPr>
        <w:t>Indebtedness which may be deemed to exist pursuant to any guaranties, performance, surety, statutory, appeal or similar obligations or obligations in respect of letters of credit, bank guarantees or similar instruments related thereto in each case incurred in the ordinary course of business in an aggregate amount not to exceed at any time $100,000,000;</w:t>
      </w:r>
    </w:p>
    <w:p>
      <w:pPr>
        <w:spacing w:after="0" w:line="133" w:lineRule="exact"/>
        <w:rPr>
          <w:rFonts w:ascii="Arial" w:cs="Arial" w:eastAsia="Arial" w:hAnsi="Arial"/>
          <w:sz w:val="19"/>
          <w:szCs w:val="19"/>
          <w:color w:val="auto"/>
        </w:rPr>
      </w:pPr>
    </w:p>
    <w:p>
      <w:pPr>
        <w:ind w:left="1080" w:hanging="424"/>
        <w:spacing w:after="0"/>
        <w:tabs>
          <w:tab w:leader="none" w:pos="108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Indebtedness in respect of netting services, overdraft protections and otherwise in connection with deposit accounts;</w:t>
      </w:r>
    </w:p>
    <w:p>
      <w:pPr>
        <w:spacing w:after="0" w:line="254" w:lineRule="exact"/>
        <w:rPr>
          <w:rFonts w:ascii="Arial" w:cs="Arial" w:eastAsia="Arial" w:hAnsi="Arial"/>
          <w:sz w:val="19"/>
          <w:szCs w:val="19"/>
          <w:color w:val="auto"/>
        </w:rPr>
      </w:pPr>
    </w:p>
    <w:p>
      <w:pPr>
        <w:jc w:val="both"/>
        <w:ind w:firstLine="656"/>
        <w:spacing w:after="0" w:line="250" w:lineRule="auto"/>
        <w:tabs>
          <w:tab w:leader="none" w:pos="1119"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Indebtedness in respect of performance bonds, bid bonds, appeal bonds, surety bonds and completion guarantees and similar obligations in the ordinary course of business, including (i) those incurred to secure health, safety and environmental obligations in the ordinary course of business and (ii) guaranties in the ordinary course of business of the obligations of suppliers, customers, franchisees and licensees of Borrower and its Subsidiaries;</w:t>
      </w:r>
    </w:p>
    <w:p>
      <w:pPr>
        <w:spacing w:after="0" w:line="187" w:lineRule="exact"/>
        <w:rPr>
          <w:rFonts w:ascii="Arial" w:cs="Arial" w:eastAsia="Arial" w:hAnsi="Arial"/>
          <w:sz w:val="22"/>
          <w:szCs w:val="22"/>
          <w:color w:val="auto"/>
        </w:rPr>
      </w:pPr>
    </w:p>
    <w:p>
      <w:pPr>
        <w:jc w:val="both"/>
        <w:ind w:firstLine="656"/>
        <w:spacing w:after="0" w:line="261" w:lineRule="auto"/>
        <w:tabs>
          <w:tab w:leader="none" w:pos="1116" w:val="left"/>
        </w:tabs>
        <w:numPr>
          <w:ilvl w:val="0"/>
          <w:numId w:val="270"/>
        </w:numPr>
        <w:rPr>
          <w:rFonts w:ascii="Arial" w:cs="Arial" w:eastAsia="Arial" w:hAnsi="Arial"/>
          <w:sz w:val="21"/>
          <w:szCs w:val="21"/>
          <w:color w:val="auto"/>
        </w:rPr>
      </w:pPr>
      <w:r>
        <w:rPr>
          <w:rFonts w:ascii="Arial" w:cs="Arial" w:eastAsia="Arial" w:hAnsi="Arial"/>
          <w:sz w:val="21"/>
          <w:szCs w:val="21"/>
          <w:color w:val="auto"/>
        </w:rPr>
        <w:t xml:space="preserve">guaranties (i) of Indebtedness of a Loan Party otherwise permitted to be incurred pursuant to this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(ii) of Indebtedness of a Subsidiary (other than a Loan Party) otherwise permitted to be incurred pursuant to this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to the extent such guaranties are permitted by </w:t>
      </w:r>
      <w:r>
        <w:rPr>
          <w:rFonts w:ascii="Arial" w:cs="Arial" w:eastAsia="Arial" w:hAnsi="Arial"/>
          <w:sz w:val="21"/>
          <w:szCs w:val="21"/>
          <w:u w:val="single" w:color="auto"/>
          <w:color w:val="auto"/>
        </w:rPr>
        <w:t>Section 7.06</w:t>
      </w:r>
      <w:r>
        <w:rPr>
          <w:rFonts w:ascii="Arial" w:cs="Arial" w:eastAsia="Arial" w:hAnsi="Arial"/>
          <w:sz w:val="21"/>
          <w:szCs w:val="21"/>
          <w:color w:val="auto"/>
        </w:rPr>
        <w:t xml:space="preserve">, or (iii) by a Subsidiary that is not a Loan Party of Indebtedness of another Subsidiary that is not a Loan Party otherwise permitted to be incurred pursuant to this Section 7.01; </w:t>
      </w:r>
      <w:r>
        <w:rPr>
          <w:rFonts w:ascii="Arial" w:cs="Arial" w:eastAsia="Arial" w:hAnsi="Arial"/>
          <w:sz w:val="21"/>
          <w:szCs w:val="21"/>
          <w:u w:val="single" w:color="auto"/>
          <w:color w:val="auto"/>
        </w:rPr>
        <w:t>provided</w:t>
      </w:r>
      <w:r>
        <w:rPr>
          <w:rFonts w:ascii="Arial" w:cs="Arial" w:eastAsia="Arial" w:hAnsi="Arial"/>
          <w:sz w:val="21"/>
          <w:szCs w:val="21"/>
          <w:color w:val="auto"/>
        </w:rPr>
        <w:t>, that if the Indebtedness that is being guarantied is unsecured and/or subordinated to the Obligations, the guaranty shall also be unsecured and/or subordinated to the Obligations;</w:t>
      </w:r>
    </w:p>
    <w:p>
      <w:pPr>
        <w:spacing w:after="0" w:line="179" w:lineRule="exact"/>
        <w:rPr>
          <w:rFonts w:ascii="Arial" w:cs="Arial" w:eastAsia="Arial" w:hAnsi="Arial"/>
          <w:sz w:val="21"/>
          <w:szCs w:val="21"/>
          <w:color w:val="auto"/>
        </w:rPr>
      </w:pPr>
    </w:p>
    <w:p>
      <w:pPr>
        <w:jc w:val="both"/>
        <w:ind w:firstLine="656"/>
        <w:spacing w:after="0" w:line="253" w:lineRule="auto"/>
        <w:tabs>
          <w:tab w:leader="none" w:pos="1165"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Indebtedness with respect to Capital Leases and purchase money Indebtedness, in each case of Borrower and its Subsidiaries, in an aggregate amount not to exceed at any time $150,000,000; </w:t>
      </w:r>
      <w:r>
        <w:rPr>
          <w:rFonts w:ascii="Arial" w:cs="Arial" w:eastAsia="Arial" w:hAnsi="Arial"/>
          <w:sz w:val="22"/>
          <w:szCs w:val="22"/>
          <w:u w:val="single" w:color="auto"/>
          <w:color w:val="auto"/>
        </w:rPr>
        <w:t>provided</w:t>
      </w:r>
      <w:r>
        <w:rPr>
          <w:rFonts w:ascii="Arial" w:cs="Arial" w:eastAsia="Arial" w:hAnsi="Arial"/>
          <w:sz w:val="22"/>
          <w:szCs w:val="22"/>
          <w:color w:val="auto"/>
        </w:rPr>
        <w:t>, any such Indebtedness shall be secured only by the asset acquired in connection with the incurrence of such Indebtedness;</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203"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(A)(i) Indebtedness of a Person or Indebtedness attaching to assets of a Person that, in either case, becomes a Subsidiary or Indebtedness attaching to assets that are acquired by Borrower or any of its Subsidiaries, in each case after the Closing Date as the result of a Permitted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(x) such Indebtedness existed at the time such Person became a Subsidiary or at the time such assets were acquired and, in each case, was not created in anticipation thereof and (y) such Indebtedness is not guaranteed in any respect by Borrower or any Subsidiary (other than by any such person that so becomes a Subsidiary),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240"/>
          </w:cols>
          <w:pgMar w:left="320" w:top="1427" w:right="339" w:bottom="1440" w:gutter="0" w:footer="0" w:header="0"/>
        </w:sectPr>
      </w:pPr>
    </w:p>
    <w:bookmarkStart w:id="381" w:name="page382"/>
    <w:bookmarkEnd w:id="381"/>
    <w:p>
      <w:pPr>
        <w:spacing w:after="0"/>
        <w:rPr>
          <w:sz w:val="20"/>
          <w:szCs w:val="20"/>
          <w:color w:val="auto"/>
        </w:rPr>
      </w:pPr>
      <w:r>
        <w:rPr>
          <w:rFonts w:ascii="Arial" w:cs="Arial" w:eastAsia="Arial" w:hAnsi="Arial"/>
          <w:sz w:val="19"/>
          <w:szCs w:val="19"/>
          <w:color w:val="auto"/>
        </w:rPr>
        <w:t xml:space="preserve">Indebtedness incurred by the Borrower or any of its Subsidiaries to finance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of</w:t>
      </w:r>
    </w:p>
    <w:p>
      <w:pPr>
        <w:spacing w:after="0" w:line="56" w:lineRule="exact"/>
        <w:rPr>
          <w:sz w:val="20"/>
          <w:szCs w:val="20"/>
          <w:color w:val="auto"/>
        </w:rPr>
      </w:pPr>
    </w:p>
    <w:p>
      <w:pPr>
        <w:jc w:val="both"/>
        <w:ind w:firstLine="8"/>
        <w:spacing w:after="0" w:line="281" w:lineRule="auto"/>
        <w:tabs>
          <w:tab w:leader="none" w:pos="269" w:val="left"/>
        </w:tabs>
        <w:numPr>
          <w:ilvl w:val="0"/>
          <w:numId w:val="271"/>
        </w:numPr>
        <w:rPr>
          <w:rFonts w:ascii="Arial" w:cs="Arial" w:eastAsia="Arial" w:hAnsi="Arial"/>
          <w:sz w:val="19"/>
          <w:szCs w:val="19"/>
          <w:color w:val="auto"/>
        </w:rPr>
      </w:pPr>
      <w:r>
        <w:rPr>
          <w:rFonts w:ascii="Arial" w:cs="Arial" w:eastAsia="Arial" w:hAnsi="Arial"/>
          <w:sz w:val="19"/>
          <w:szCs w:val="19"/>
          <w:color w:val="auto"/>
        </w:rPr>
        <w:t>and (ii) above at the time of any such incurrence of Indebtedness and after giving pro forma effect thereto and the use of the proceeds thereof the Total Net Leverage Ratio as of the last day of the Fiscal Quarter last ended would not exceed 3.25 :1.00; and</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 and Refinancing Indebtedness incurred to Refinance such Indebtedness;</w:t>
      </w:r>
    </w:p>
    <w:p>
      <w:pPr>
        <w:spacing w:after="0" w:line="201" w:lineRule="exact"/>
        <w:rPr>
          <w:rFonts w:ascii="Arial" w:cs="Arial" w:eastAsia="Arial" w:hAnsi="Arial"/>
          <w:sz w:val="19"/>
          <w:szCs w:val="19"/>
          <w:color w:val="auto"/>
        </w:rPr>
      </w:pPr>
    </w:p>
    <w:p>
      <w:pPr>
        <w:ind w:right="20" w:firstLine="656"/>
        <w:spacing w:after="0" w:line="263" w:lineRule="auto"/>
        <w:tabs>
          <w:tab w:leader="none" w:pos="1316" w:val="left"/>
        </w:tabs>
        <w:numPr>
          <w:ilvl w:val="1"/>
          <w:numId w:val="271"/>
        </w:numPr>
        <w:rPr>
          <w:rFonts w:ascii="Arial" w:cs="Arial" w:eastAsia="Arial" w:hAnsi="Arial"/>
          <w:sz w:val="22"/>
          <w:szCs w:val="22"/>
          <w:color w:val="auto"/>
        </w:rPr>
      </w:pPr>
      <w:r>
        <w:rPr>
          <w:rFonts w:ascii="Arial" w:cs="Arial" w:eastAsia="Arial" w:hAnsi="Arial"/>
          <w:sz w:val="22"/>
          <w:szCs w:val="22"/>
          <w:color w:val="auto"/>
        </w:rPr>
        <w:t>Indebtedness of the Borrower or any of its Subsidiaries in connection with the discounting or factoring of receivables in an aggregate amount not to exceed at any time $300,000,000;</w:t>
      </w:r>
    </w:p>
    <w:p>
      <w:pPr>
        <w:spacing w:after="0" w:line="174" w:lineRule="exact"/>
        <w:rPr>
          <w:rFonts w:ascii="Arial" w:cs="Arial" w:eastAsia="Arial" w:hAnsi="Arial"/>
          <w:sz w:val="22"/>
          <w:szCs w:val="22"/>
          <w:color w:val="auto"/>
        </w:rPr>
      </w:pPr>
    </w:p>
    <w:p>
      <w:pPr>
        <w:ind w:firstLine="656"/>
        <w:spacing w:after="0" w:line="263" w:lineRule="auto"/>
        <w:tabs>
          <w:tab w:leader="none" w:pos="1094" w:val="left"/>
        </w:tabs>
        <w:numPr>
          <w:ilvl w:val="1"/>
          <w:numId w:val="271"/>
        </w:numPr>
        <w:rPr>
          <w:rFonts w:ascii="Arial" w:cs="Arial" w:eastAsia="Arial" w:hAnsi="Arial"/>
          <w:sz w:val="22"/>
          <w:szCs w:val="22"/>
          <w:color w:val="auto"/>
        </w:rPr>
      </w:pPr>
      <w:r>
        <w:rPr>
          <w:rFonts w:ascii="Arial" w:cs="Arial" w:eastAsia="Arial" w:hAnsi="Arial"/>
          <w:sz w:val="22"/>
          <w:szCs w:val="22"/>
          <w:color w:val="auto"/>
        </w:rPr>
        <w:t>Indebtedness incurred by the Borrower or any of its Subsidiary in connection with credit card programs entered into in accordance with past practice;</w:t>
      </w:r>
    </w:p>
    <w:p>
      <w:pPr>
        <w:spacing w:after="0" w:line="174" w:lineRule="exact"/>
        <w:rPr>
          <w:rFonts w:ascii="Arial" w:cs="Arial" w:eastAsia="Arial" w:hAnsi="Arial"/>
          <w:sz w:val="22"/>
          <w:szCs w:val="22"/>
          <w:color w:val="auto"/>
        </w:rPr>
      </w:pPr>
    </w:p>
    <w:p>
      <w:pPr>
        <w:jc w:val="both"/>
        <w:ind w:firstLine="656"/>
        <w:spacing w:after="0" w:line="288" w:lineRule="auto"/>
        <w:tabs>
          <w:tab w:leader="none" w:pos="1225" w:val="left"/>
        </w:tabs>
        <w:numPr>
          <w:ilvl w:val="1"/>
          <w:numId w:val="271"/>
        </w:numPr>
        <w:rPr>
          <w:rFonts w:ascii="Arial" w:cs="Arial" w:eastAsia="Arial" w:hAnsi="Arial"/>
          <w:sz w:val="19"/>
          <w:szCs w:val="19"/>
          <w:color w:val="auto"/>
        </w:rPr>
      </w:pPr>
      <w:r>
        <w:rPr>
          <w:rFonts w:ascii="Arial" w:cs="Arial" w:eastAsia="Arial" w:hAnsi="Arial"/>
          <w:sz w:val="19"/>
          <w:szCs w:val="19"/>
          <w:color w:val="auto"/>
        </w:rPr>
        <w:t xml:space="preserve">Indebtedness of the Borrower or any Guarantor so long as at the time of any such incurrence of Indebtedness and after giving pro forma effect thereto and the use of the proceeds thereof the Total Net Leverage Ratio as of the last day of the Fiscal Quarter last ended would not exceed 3:25:1:00,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shall not mature prior to the date that is ninety-one days following the Maturity Date; (ii) the weighted average maturity of such Indebtedness shall occur after the weighted-average maturity of the Term Loans; (iii) the affirmative and negative covenants and financial covenants set out in the governing documents of such Indebtedness shall not be materially more restrictive, taken as a whole, than the provisions set forth in the Loan Documents (as determined in good faith and certified in writing to the Administrative Agent by a Responsible Officer of the Borrower), and such governing documents shall not provide for any mandatory offers or obligations to repay, prepay or repurchase any amount under such Indebtedness prior to the final maturity thereof, other than pursuant to customary asset sale and change of control provisions; and (iv) such Indebtedness is unsecured;</w:t>
      </w:r>
    </w:p>
    <w:p>
      <w:pPr>
        <w:spacing w:after="0" w:line="159" w:lineRule="exact"/>
        <w:rPr>
          <w:rFonts w:ascii="Arial" w:cs="Arial" w:eastAsia="Arial" w:hAnsi="Arial"/>
          <w:sz w:val="19"/>
          <w:szCs w:val="19"/>
          <w:color w:val="auto"/>
        </w:rPr>
      </w:pPr>
    </w:p>
    <w:p>
      <w:pPr>
        <w:jc w:val="both"/>
        <w:ind w:right="20" w:firstLine="656"/>
        <w:spacing w:after="0" w:line="312" w:lineRule="auto"/>
        <w:tabs>
          <w:tab w:leader="none" w:pos="1318" w:val="left"/>
        </w:tabs>
        <w:numPr>
          <w:ilvl w:val="1"/>
          <w:numId w:val="271"/>
        </w:numPr>
        <w:rPr>
          <w:rFonts w:ascii="Arial" w:cs="Arial" w:eastAsia="Arial" w:hAnsi="Arial"/>
          <w:sz w:val="19"/>
          <w:szCs w:val="19"/>
          <w:color w:val="auto"/>
        </w:rPr>
      </w:pPr>
      <w:r>
        <w:rPr>
          <w:rFonts w:ascii="Arial" w:cs="Arial" w:eastAsia="Arial" w:hAnsi="Arial"/>
          <w:sz w:val="19"/>
          <w:szCs w:val="19"/>
          <w:color w:val="auto"/>
        </w:rPr>
        <w:t>Indebtedness of Borrower and its Subsidiaries in an aggregate principal amount not to exceed at any time $50,000,000, provided that the aggregate principal amount of Indebtedness outstanding in reliance on this clause in respect of which the primary obligor or a guarantor is a Subsidiary that is not a Guarantor shall not exceed at any time $25,000,000;</w:t>
      </w:r>
    </w:p>
    <w:p>
      <w:pPr>
        <w:spacing w:after="0" w:line="133" w:lineRule="exact"/>
        <w:rPr>
          <w:rFonts w:ascii="Arial" w:cs="Arial" w:eastAsia="Arial" w:hAnsi="Arial"/>
          <w:sz w:val="19"/>
          <w:szCs w:val="19"/>
          <w:color w:val="auto"/>
        </w:rPr>
      </w:pPr>
    </w:p>
    <w:p>
      <w:pPr>
        <w:jc w:val="both"/>
        <w:ind w:firstLine="656"/>
        <w:spacing w:after="0" w:line="297" w:lineRule="auto"/>
        <w:tabs>
          <w:tab w:leader="none" w:pos="1135" w:val="left"/>
        </w:tabs>
        <w:numPr>
          <w:ilvl w:val="1"/>
          <w:numId w:val="271"/>
        </w:numPr>
        <w:rPr>
          <w:rFonts w:ascii="Arial" w:cs="Arial" w:eastAsia="Arial" w:hAnsi="Arial"/>
          <w:sz w:val="19"/>
          <w:szCs w:val="19"/>
          <w:color w:val="auto"/>
        </w:rPr>
      </w:pPr>
      <w:r>
        <w:rPr>
          <w:rFonts w:ascii="Arial" w:cs="Arial" w:eastAsia="Arial" w:hAnsi="Arial"/>
          <w:sz w:val="19"/>
          <w:szCs w:val="19"/>
          <w:color w:val="auto"/>
        </w:rPr>
        <w:t xml:space="preserve">(i) Indebtedness existing on the Closing Date set forth on </w:t>
      </w:r>
      <w:r>
        <w:rPr>
          <w:rFonts w:ascii="Arial" w:cs="Arial" w:eastAsia="Arial" w:hAnsi="Arial"/>
          <w:sz w:val="19"/>
          <w:szCs w:val="19"/>
          <w:u w:val="single" w:color="auto"/>
          <w:color w:val="auto"/>
        </w:rPr>
        <w:t>Schedule 7.01</w:t>
      </w:r>
      <w:r>
        <w:rPr>
          <w:rFonts w:ascii="Arial" w:cs="Arial" w:eastAsia="Arial" w:hAnsi="Arial"/>
          <w:sz w:val="19"/>
          <w:szCs w:val="19"/>
          <w:color w:val="auto"/>
        </w:rPr>
        <w:t xml:space="preserve"> and any Refinancing Indebtedness incurred to Refinance such Indebtedness</w:t>
      </w:r>
      <w:r>
        <w:rPr>
          <w:rFonts w:ascii="Arial" w:cs="Arial" w:eastAsia="Arial" w:hAnsi="Arial"/>
          <w:sz w:val="19"/>
          <w:szCs w:val="19"/>
          <w:u w:val="single" w:color="auto"/>
          <w:color w:val="auto"/>
        </w:rPr>
        <w:t>,</w:t>
      </w:r>
      <w:r>
        <w:rPr>
          <w:rFonts w:ascii="Arial" w:cs="Arial" w:eastAsia="Arial" w:hAnsi="Arial"/>
          <w:sz w:val="19"/>
          <w:szCs w:val="19"/>
          <w:color w:val="auto"/>
        </w:rPr>
        <w:t xml:space="preserve"> (ii) any Refinancing Indebtedness incurred to Refinance such Indebtedness, and (iii) any Indebtedness in respect of Capital Leases of property acquired to replace property subject to Capital Leases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w:t>
      </w:r>
      <w:r>
        <w:rPr>
          <w:rFonts w:ascii="Arial" w:cs="Arial" w:eastAsia="Arial" w:hAnsi="Arial"/>
          <w:sz w:val="19"/>
          <w:szCs w:val="19"/>
          <w:color w:val="auto"/>
        </w:rPr>
        <w:t>, provided that the amount of such Indebtedness permitted under this clause (iii) does not exceed the amount of Indebtedness existing on the Closing Date in respect of Capital Leases of the property being replaced;</w:t>
      </w:r>
    </w:p>
    <w:p>
      <w:pPr>
        <w:spacing w:after="0" w:line="146" w:lineRule="exact"/>
        <w:rPr>
          <w:rFonts w:ascii="Arial" w:cs="Arial" w:eastAsia="Arial" w:hAnsi="Arial"/>
          <w:sz w:val="19"/>
          <w:szCs w:val="19"/>
          <w:color w:val="auto"/>
        </w:rPr>
      </w:pPr>
    </w:p>
    <w:p>
      <w:pPr>
        <w:jc w:val="both"/>
        <w:ind w:firstLine="656"/>
        <w:spacing w:after="0" w:line="250" w:lineRule="auto"/>
        <w:tabs>
          <w:tab w:leader="none" w:pos="1128" w:val="left"/>
        </w:tabs>
        <w:numPr>
          <w:ilvl w:val="1"/>
          <w:numId w:val="271"/>
        </w:numPr>
        <w:rPr>
          <w:rFonts w:ascii="Arial" w:cs="Arial" w:eastAsia="Arial" w:hAnsi="Arial"/>
          <w:sz w:val="22"/>
          <w:szCs w:val="22"/>
          <w:color w:val="auto"/>
        </w:rPr>
      </w:pPr>
      <w:r>
        <w:rPr>
          <w:rFonts w:ascii="Arial" w:cs="Arial" w:eastAsia="Arial" w:hAnsi="Arial"/>
          <w:sz w:val="22"/>
          <w:szCs w:val="22"/>
          <w:color w:val="auto"/>
        </w:rPr>
        <w:t>Indebtedness owed to, and obligations in respect of letters of credit or bank guarantees or similar instruments for the benefit of, any person providing workers’ compensation, health, disability or other employee benefits or property, casualty or liability insurance pursuant to reimbursement or indemnification obligations to such person, in each case, in the ordinary course of business; provided that, upon the incurrence of Indebtedness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240"/>
          </w:cols>
          <w:pgMar w:left="320" w:top="1427" w:right="339" w:bottom="1440" w:gutter="0" w:footer="0" w:header="0"/>
        </w:sectPr>
      </w:pPr>
    </w:p>
    <w:bookmarkStart w:id="382" w:name="page383"/>
    <w:bookmarkEnd w:id="382"/>
    <w:p>
      <w:pPr>
        <w:spacing w:after="0" w:line="263" w:lineRule="auto"/>
        <w:rPr>
          <w:sz w:val="20"/>
          <w:szCs w:val="20"/>
          <w:color w:val="auto"/>
        </w:rPr>
      </w:pPr>
      <w:r>
        <w:rPr>
          <w:rFonts w:ascii="Arial" w:cs="Arial" w:eastAsia="Arial" w:hAnsi="Arial"/>
          <w:sz w:val="22"/>
          <w:szCs w:val="22"/>
          <w:color w:val="auto"/>
        </w:rPr>
        <w:t>respect to reimbursement obligations regarding workers’ compensation claims, such obligations are reimbursed not later than sixty (60) days following such incurrence;</w:t>
      </w:r>
    </w:p>
    <w:p>
      <w:pPr>
        <w:spacing w:after="0" w:line="175" w:lineRule="exact"/>
        <w:rPr>
          <w:sz w:val="20"/>
          <w:szCs w:val="20"/>
          <w:color w:val="auto"/>
        </w:rPr>
      </w:pPr>
    </w:p>
    <w:p>
      <w:pPr>
        <w:jc w:val="both"/>
        <w:ind w:firstLine="656"/>
        <w:spacing w:after="0" w:line="253" w:lineRule="auto"/>
        <w:tabs>
          <w:tab w:leader="none" w:pos="1121"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Indebtedness arising from the honoring by a bank or other financial institution of a check, draft or similar instrument drawn against insufficient funds in the ordinary course of business or other cash management treasury services in the ordinary course of business;</w:t>
      </w:r>
    </w:p>
    <w:p>
      <w:pPr>
        <w:spacing w:after="0" w:line="185" w:lineRule="exact"/>
        <w:rPr>
          <w:rFonts w:ascii="Arial" w:cs="Arial" w:eastAsia="Arial" w:hAnsi="Arial"/>
          <w:sz w:val="22"/>
          <w:szCs w:val="22"/>
          <w:color w:val="auto"/>
        </w:rPr>
      </w:pPr>
    </w:p>
    <w:p>
      <w:pPr>
        <w:ind w:right="20" w:firstLine="656"/>
        <w:spacing w:after="0" w:line="263" w:lineRule="auto"/>
        <w:tabs>
          <w:tab w:leader="none" w:pos="1215"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Indebtedness consisting of (x) the financing of insurance premiums or (y) take-or-pay obligations contained in supply arrangements, in each case, in the ordinary course of business;</w:t>
      </w:r>
    </w:p>
    <w:p>
      <w:pPr>
        <w:spacing w:after="0" w:line="174" w:lineRule="exact"/>
        <w:rPr>
          <w:rFonts w:ascii="Arial" w:cs="Arial" w:eastAsia="Arial" w:hAnsi="Arial"/>
          <w:sz w:val="22"/>
          <w:szCs w:val="22"/>
          <w:color w:val="auto"/>
        </w:rPr>
      </w:pPr>
    </w:p>
    <w:p>
      <w:pPr>
        <w:ind w:firstLine="656"/>
        <w:spacing w:after="0" w:line="263" w:lineRule="auto"/>
        <w:tabs>
          <w:tab w:leader="none" w:pos="12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Indebtedness representing deferred compensation to employees, directors or consultants incurred in the ordinary course of business; and</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76"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Indebtedness in respect of letters of credit, bank guarantees, warehouse receipts or similar instruments issued to support performance obligations and trade letters of credit (other than obligations in respect of other Indebtedness) in the ordinary course of business.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7.02 </w:t>
      </w:r>
      <w:r>
        <w:rPr>
          <w:rFonts w:ascii="Arial" w:cs="Arial" w:eastAsia="Arial" w:hAnsi="Arial"/>
          <w:sz w:val="22"/>
          <w:szCs w:val="22"/>
          <w:u w:val="single" w:color="auto"/>
          <w:color w:val="auto"/>
        </w:rPr>
        <w:t>Liens</w:t>
      </w:r>
      <w:r>
        <w:rPr>
          <w:rFonts w:ascii="Arial" w:cs="Arial" w:eastAsia="Arial" w:hAnsi="Arial"/>
          <w:sz w:val="22"/>
          <w:szCs w:val="22"/>
          <w:color w:val="auto"/>
        </w:rPr>
        <w:t>. No Loan Party shall, nor shall it permit any of its Subsidiaries to, directly or indirectly, create, incur, assume or permit to exist any Lien on or with respect to any property or asset of any kind (including any document or instrument in respect of goods or accounts receivable) of the Borrower or any of its Subsidiaries, whether now owned or hereafter acquired or licensed, or any income, profits or royalties therefrom, or file or permit the filing of, or permit to remain in effect, any financing statement or other similar notice of any Lien with respect to any such property, asset, income, profits or royalties under the UCC of any State or under any similar recording or notice statute or under any applicable intellectual property laws, rules or procedures, except:</w:t>
      </w:r>
    </w:p>
    <w:p>
      <w:pPr>
        <w:spacing w:after="0" w:line="196" w:lineRule="exact"/>
        <w:rPr>
          <w:sz w:val="20"/>
          <w:szCs w:val="20"/>
          <w:color w:val="auto"/>
        </w:rPr>
      </w:pPr>
    </w:p>
    <w:p>
      <w:pPr>
        <w:ind w:left="1120" w:hanging="464"/>
        <w:spacing w:after="0"/>
        <w:tabs>
          <w:tab w:leader="none" w:pos="112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Liens on Cash Collateral for the benefit of any L/C Issuer as required under this Agreement;</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49" w:val="left"/>
        </w:tabs>
        <w:numPr>
          <w:ilvl w:val="0"/>
          <w:numId w:val="273"/>
        </w:numPr>
        <w:rPr>
          <w:rFonts w:ascii="Arial" w:cs="Arial" w:eastAsia="Arial" w:hAnsi="Arial"/>
          <w:sz w:val="22"/>
          <w:szCs w:val="22"/>
          <w:color w:val="auto"/>
        </w:rPr>
      </w:pPr>
      <w:r>
        <w:rPr>
          <w:rFonts w:ascii="Arial" w:cs="Arial" w:eastAsia="Arial" w:hAnsi="Arial"/>
          <w:sz w:val="22"/>
          <w:szCs w:val="22"/>
          <w:color w:val="auto"/>
        </w:rPr>
        <w:t>Liens for Taxes if not yet delinquent or the obligations with respect to such Taxes are being contested in good faith by appropriate proceedings promptly instituted and diligently conducted and adequate reserves have been made in accordance with GAAP;</w:t>
      </w:r>
    </w:p>
    <w:p>
      <w:pPr>
        <w:spacing w:after="0" w:line="185" w:lineRule="exact"/>
        <w:rPr>
          <w:rFonts w:ascii="Arial" w:cs="Arial" w:eastAsia="Arial" w:hAnsi="Arial"/>
          <w:sz w:val="22"/>
          <w:szCs w:val="22"/>
          <w:color w:val="auto"/>
        </w:rPr>
      </w:pPr>
    </w:p>
    <w:p>
      <w:pPr>
        <w:jc w:val="both"/>
        <w:ind w:firstLine="656"/>
        <w:spacing w:after="0" w:line="261" w:lineRule="auto"/>
        <w:tabs>
          <w:tab w:leader="none" w:pos="1164" w:val="left"/>
        </w:tabs>
        <w:numPr>
          <w:ilvl w:val="0"/>
          <w:numId w:val="273"/>
        </w:numPr>
        <w:rPr>
          <w:rFonts w:ascii="Arial" w:cs="Arial" w:eastAsia="Arial" w:hAnsi="Arial"/>
          <w:sz w:val="21"/>
          <w:szCs w:val="21"/>
          <w:color w:val="auto"/>
        </w:rPr>
      </w:pPr>
      <w:r>
        <w:rPr>
          <w:rFonts w:ascii="Arial" w:cs="Arial" w:eastAsia="Arial" w:hAnsi="Arial"/>
          <w:sz w:val="21"/>
          <w:szCs w:val="21"/>
          <w:color w:val="auto"/>
        </w:rPr>
        <w:t>statutory Liens of landlords, carriers, warehousemen, mechanics, repairmen, workmen and materialmen, and other Liens imposed by law (other than any such Lien imposed pursuant to Section 430(k) of the Code or ERISA or a violation of Section 436 of the Code), in each case incurred in the ordinary course of business (i) for amounts not yet overdue or (ii) for amounts that are overdue and that (in the case of any such amounts overdue for a period in excess of 60 days) are being contested in good faith by appropriate proceedings, so long as such reserves or other appropriate provisions, if any, as shall be required by GAAP shall have been made for any such contested amounts;</w:t>
      </w:r>
    </w:p>
    <w:p>
      <w:pPr>
        <w:spacing w:after="0" w:line="179" w:lineRule="exact"/>
        <w:rPr>
          <w:rFonts w:ascii="Arial" w:cs="Arial" w:eastAsia="Arial" w:hAnsi="Arial"/>
          <w:sz w:val="21"/>
          <w:szCs w:val="21"/>
          <w:color w:val="auto"/>
        </w:rPr>
      </w:pPr>
    </w:p>
    <w:p>
      <w:pPr>
        <w:ind w:firstLine="656"/>
        <w:spacing w:after="0" w:line="263" w:lineRule="auto"/>
        <w:tabs>
          <w:tab w:leader="none" w:pos="1294" w:val="left"/>
        </w:tabs>
        <w:numPr>
          <w:ilvl w:val="0"/>
          <w:numId w:val="273"/>
        </w:numPr>
        <w:rPr>
          <w:rFonts w:ascii="Arial" w:cs="Arial" w:eastAsia="Arial" w:hAnsi="Arial"/>
          <w:sz w:val="22"/>
          <w:szCs w:val="22"/>
          <w:color w:val="auto"/>
        </w:rPr>
      </w:pPr>
      <w:r>
        <w:rPr>
          <w:rFonts w:ascii="Arial" w:cs="Arial" w:eastAsia="Arial" w:hAnsi="Arial"/>
          <w:sz w:val="22"/>
          <w:szCs w:val="22"/>
          <w:color w:val="auto"/>
        </w:rPr>
        <w:t>Liens incurred in the ordinary course of business in connection with workers’ compensation, unemployment insurance and other types of social security, or to secure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1427" w:right="339" w:bottom="1440" w:gutter="0" w:footer="0" w:header="0"/>
        </w:sectPr>
      </w:pPr>
    </w:p>
    <w:bookmarkStart w:id="383" w:name="page384"/>
    <w:bookmarkEnd w:id="383"/>
    <w:p>
      <w:pPr>
        <w:jc w:val="both"/>
        <w:spacing w:after="0" w:line="253" w:lineRule="auto"/>
        <w:rPr>
          <w:sz w:val="20"/>
          <w:szCs w:val="20"/>
          <w:color w:val="auto"/>
        </w:rPr>
      </w:pPr>
      <w:r>
        <w:rPr>
          <w:rFonts w:ascii="Arial" w:cs="Arial" w:eastAsia="Arial" w:hAnsi="Arial"/>
          <w:sz w:val="22"/>
          <w:szCs w:val="22"/>
          <w:color w:val="auto"/>
        </w:rPr>
        <w:t>performance of tenders, statutory obligations, surety and appeal bonds, bids, leases, government contracts, trade contracts, performance and return of money bonds and other similar obligations (exclusive of obligations for the payment of borrowed money or other Indebtedness);</w:t>
      </w:r>
    </w:p>
    <w:p>
      <w:pPr>
        <w:spacing w:after="0" w:line="185" w:lineRule="exact"/>
        <w:rPr>
          <w:sz w:val="20"/>
          <w:szCs w:val="20"/>
          <w:color w:val="auto"/>
        </w:rPr>
      </w:pPr>
    </w:p>
    <w:p>
      <w:pPr>
        <w:jc w:val="both"/>
        <w:ind w:firstLine="656"/>
        <w:spacing w:after="0" w:line="253" w:lineRule="auto"/>
        <w:tabs>
          <w:tab w:leader="none" w:pos="1147" w:val="left"/>
        </w:tabs>
        <w:numPr>
          <w:ilvl w:val="0"/>
          <w:numId w:val="274"/>
        </w:numPr>
        <w:rPr>
          <w:rFonts w:ascii="Arial" w:cs="Arial" w:eastAsia="Arial" w:hAnsi="Arial"/>
          <w:sz w:val="22"/>
          <w:szCs w:val="22"/>
          <w:color w:val="auto"/>
        </w:rPr>
      </w:pPr>
      <w:r>
        <w:rPr>
          <w:rFonts w:ascii="Arial" w:cs="Arial" w:eastAsia="Arial" w:hAnsi="Arial"/>
          <w:sz w:val="22"/>
          <w:szCs w:val="22"/>
          <w:color w:val="auto"/>
        </w:rPr>
        <w:t>easements, rights of way, restrictions, encroachments, and other minor defects or irregularities in title, in each case which do not and will not interfere in any material respect with the ordinary conduct of the business of the Borrower or any of its Subsidiaries;</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any interest or title of a lessor or sublessor under any lease of real estate permitted hereunder;</w:t>
      </w:r>
    </w:p>
    <w:p>
      <w:pPr>
        <w:spacing w:after="0" w:line="219" w:lineRule="exact"/>
        <w:rPr>
          <w:rFonts w:ascii="Arial" w:cs="Arial" w:eastAsia="Arial" w:hAnsi="Arial"/>
          <w:sz w:val="22"/>
          <w:szCs w:val="22"/>
          <w:color w:val="auto"/>
        </w:rPr>
      </w:pPr>
    </w:p>
    <w:p>
      <w:pPr>
        <w:ind w:firstLine="656"/>
        <w:spacing w:after="0" w:line="263" w:lineRule="auto"/>
        <w:tabs>
          <w:tab w:leader="none" w:pos="112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by the Borrower or any of its Subsidiaries in connection with any letter of intent or purchase agreement permitted hereunder;</w:t>
      </w:r>
    </w:p>
    <w:p>
      <w:pPr>
        <w:spacing w:after="0" w:line="174" w:lineRule="exact"/>
        <w:rPr>
          <w:rFonts w:ascii="Arial" w:cs="Arial" w:eastAsia="Arial" w:hAnsi="Arial"/>
          <w:sz w:val="22"/>
          <w:szCs w:val="22"/>
          <w:color w:val="auto"/>
        </w:rPr>
      </w:pPr>
    </w:p>
    <w:p>
      <w:pPr>
        <w:ind w:firstLine="656"/>
        <w:spacing w:after="0" w:line="263" w:lineRule="auto"/>
        <w:tabs>
          <w:tab w:leader="none" w:pos="123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purported Liens evidenced by the filing of precautionary UCC financing statements relating solely to operating leases of personal property entered into in the ordinary course of business;</w:t>
      </w:r>
    </w:p>
    <w:p>
      <w:pPr>
        <w:spacing w:after="0" w:line="174" w:lineRule="exact"/>
        <w:rPr>
          <w:rFonts w:ascii="Arial" w:cs="Arial" w:eastAsia="Arial" w:hAnsi="Arial"/>
          <w:sz w:val="22"/>
          <w:szCs w:val="22"/>
          <w:color w:val="auto"/>
        </w:rPr>
      </w:pPr>
    </w:p>
    <w:p>
      <w:pPr>
        <w:ind w:firstLine="656"/>
        <w:spacing w:after="0" w:line="263" w:lineRule="auto"/>
        <w:tabs>
          <w:tab w:leader="none" w:pos="110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174" w:lineRule="exact"/>
        <w:rPr>
          <w:rFonts w:ascii="Arial" w:cs="Arial" w:eastAsia="Arial" w:hAnsi="Arial"/>
          <w:sz w:val="22"/>
          <w:szCs w:val="22"/>
          <w:color w:val="auto"/>
        </w:rPr>
      </w:pPr>
    </w:p>
    <w:p>
      <w:pPr>
        <w:ind w:firstLine="656"/>
        <w:spacing w:after="0" w:line="263" w:lineRule="auto"/>
        <w:tabs>
          <w:tab w:leader="none" w:pos="1111" w:val="left"/>
        </w:tabs>
        <w:numPr>
          <w:ilvl w:val="0"/>
          <w:numId w:val="274"/>
        </w:numPr>
        <w:rPr>
          <w:rFonts w:ascii="Arial" w:cs="Arial" w:eastAsia="Arial" w:hAnsi="Arial"/>
          <w:sz w:val="22"/>
          <w:szCs w:val="22"/>
          <w:color w:val="auto"/>
        </w:rPr>
      </w:pPr>
      <w:r>
        <w:rPr>
          <w:rFonts w:ascii="Arial" w:cs="Arial" w:eastAsia="Arial" w:hAnsi="Arial"/>
          <w:sz w:val="22"/>
          <w:szCs w:val="22"/>
          <w:color w:val="auto"/>
        </w:rPr>
        <w:t>any zoning or similar law or right reserved to or vested in any governmental office or agency to control or regulate the use of any Real Property;</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5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outbound licenses of patents, copyrights, trademarks and other intellectual property rights granted by the Borrower or any of its Subsidiaries in the ordinary course of business and not interfering in any material respect with the ordinary conduct of or materially detracting from the value of the business of Borrower or such Subsidiary;</w:t>
      </w:r>
    </w:p>
    <w:p>
      <w:pPr>
        <w:spacing w:after="0" w:line="185" w:lineRule="exact"/>
        <w:rPr>
          <w:rFonts w:ascii="Arial" w:cs="Arial" w:eastAsia="Arial" w:hAnsi="Arial"/>
          <w:sz w:val="22"/>
          <w:szCs w:val="22"/>
          <w:color w:val="auto"/>
        </w:rPr>
      </w:pPr>
    </w:p>
    <w:p>
      <w:pPr>
        <w:ind w:right="20" w:firstLine="656"/>
        <w:spacing w:after="0" w:line="263" w:lineRule="auto"/>
        <w:tabs>
          <w:tab w:leader="none" w:pos="1191" w:val="left"/>
        </w:tabs>
        <w:numPr>
          <w:ilvl w:val="0"/>
          <w:numId w:val="274"/>
        </w:numPr>
        <w:rPr>
          <w:rFonts w:ascii="Arial" w:cs="Arial" w:eastAsia="Arial" w:hAnsi="Arial"/>
          <w:sz w:val="22"/>
          <w:szCs w:val="22"/>
          <w:color w:val="auto"/>
        </w:rPr>
      </w:pPr>
      <w:r>
        <w:rPr>
          <w:rFonts w:ascii="Arial" w:cs="Arial" w:eastAsia="Arial" w:hAnsi="Arial"/>
          <w:sz w:val="22"/>
          <w:szCs w:val="22"/>
          <w:color w:val="auto"/>
        </w:rPr>
        <w:t xml:space="preserve">Liens solely on Cash collateral securing Indebtedness consisting of reimbursement obligations in respect of the letters of credit permitted pursuant to </w:t>
      </w:r>
      <w:r>
        <w:rPr>
          <w:rFonts w:ascii="Arial" w:cs="Arial" w:eastAsia="Arial" w:hAnsi="Arial"/>
          <w:sz w:val="22"/>
          <w:szCs w:val="22"/>
          <w:u w:val="single" w:color="auto"/>
          <w:color w:val="auto"/>
        </w:rPr>
        <w:t>Section 7.01(e)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 xml:space="preserve">Liens on accounts receivable securing Indebtedness permitted by </w:t>
      </w:r>
      <w:r>
        <w:rPr>
          <w:rFonts w:ascii="Arial" w:cs="Arial" w:eastAsia="Arial" w:hAnsi="Arial"/>
          <w:sz w:val="22"/>
          <w:szCs w:val="22"/>
          <w:u w:val="single" w:color="auto"/>
          <w:color w:val="auto"/>
        </w:rPr>
        <w:t>Section 7.01(k)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263" w:lineRule="auto"/>
        <w:tabs>
          <w:tab w:leader="none" w:pos="114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pursuant to </w:t>
      </w:r>
      <w:r>
        <w:rPr>
          <w:rFonts w:ascii="Arial" w:cs="Arial" w:eastAsia="Arial" w:hAnsi="Arial"/>
          <w:sz w:val="22"/>
          <w:szCs w:val="22"/>
          <w:u w:val="single" w:color="auto"/>
          <w:color w:val="auto"/>
        </w:rPr>
        <w:t>Section 7.01(i) provided</w:t>
      </w:r>
      <w:r>
        <w:rPr>
          <w:rFonts w:ascii="Arial" w:cs="Arial" w:eastAsia="Arial" w:hAnsi="Arial"/>
          <w:sz w:val="22"/>
          <w:szCs w:val="22"/>
          <w:color w:val="auto"/>
        </w:rPr>
        <w:t>, any such Lien shall encumber only the asset acquired with the proceeds of such Indebtedness;</w:t>
      </w:r>
    </w:p>
    <w:p>
      <w:pPr>
        <w:spacing w:after="0" w:line="174" w:lineRule="exact"/>
        <w:rPr>
          <w:rFonts w:ascii="Arial" w:cs="Arial" w:eastAsia="Arial" w:hAnsi="Arial"/>
          <w:sz w:val="22"/>
          <w:szCs w:val="22"/>
          <w:color w:val="auto"/>
        </w:rPr>
      </w:pPr>
    </w:p>
    <w:p>
      <w:pPr>
        <w:jc w:val="both"/>
        <w:ind w:firstLine="656"/>
        <w:spacing w:after="0" w:line="248" w:lineRule="auto"/>
        <w:tabs>
          <w:tab w:leader="none" w:pos="1214" w:val="left"/>
        </w:tabs>
        <w:numPr>
          <w:ilvl w:val="0"/>
          <w:numId w:val="274"/>
        </w:numPr>
        <w:rPr>
          <w:rFonts w:ascii="Arial" w:cs="Arial" w:eastAsia="Arial" w:hAnsi="Arial"/>
          <w:sz w:val="22"/>
          <w:szCs w:val="22"/>
          <w:color w:val="auto"/>
        </w:rPr>
      </w:pPr>
      <w:r>
        <w:rPr>
          <w:rFonts w:ascii="Arial" w:cs="Arial" w:eastAsia="Arial" w:hAnsi="Arial"/>
          <w:sz w:val="22"/>
          <w:szCs w:val="22"/>
          <w:color w:val="auto"/>
        </w:rPr>
        <w:t xml:space="preserve">Liens on assets that are acquired as the result of a Permitted Acquisition securing (i) Indebtedness in respect of Capital Leases permitted by </w:t>
      </w:r>
      <w:r>
        <w:rPr>
          <w:rFonts w:ascii="Arial" w:cs="Arial" w:eastAsia="Arial" w:hAnsi="Arial"/>
          <w:sz w:val="22"/>
          <w:szCs w:val="22"/>
          <w:u w:val="single" w:color="auto"/>
          <w:color w:val="auto"/>
        </w:rPr>
        <w:t>Section 7.1(j)(i)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other Indebtedness permitted by </w:t>
      </w:r>
      <w:r>
        <w:rPr>
          <w:rFonts w:ascii="Arial" w:cs="Arial" w:eastAsia="Arial" w:hAnsi="Arial"/>
          <w:sz w:val="22"/>
          <w:szCs w:val="22"/>
          <w:u w:val="single" w:color="auto"/>
          <w:color w:val="auto"/>
        </w:rPr>
        <w:t>Section 7.1(j)(i)</w:t>
      </w:r>
      <w:r>
        <w:rPr>
          <w:rFonts w:ascii="Arial" w:cs="Arial" w:eastAsia="Arial" w:hAnsi="Arial"/>
          <w:sz w:val="22"/>
          <w:szCs w:val="22"/>
          <w:color w:val="auto"/>
        </w:rPr>
        <w:t xml:space="preserve">, in the case of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in an aggregate amount not to exceed $25,000,000 at any time outstanding;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any such Lien shall not extend to any additional property other than (1) after-acquired property that is affixed or incorporated into the property covered by such Lien and (2) proceeds and products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-524510</wp:posOffset>
            </wp:positionV>
            <wp:extent cx="34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1427" w:right="339" w:bottom="1440" w:gutter="0" w:footer="0" w:header="0"/>
        </w:sectPr>
      </w:pPr>
    </w:p>
    <w:bookmarkStart w:id="384" w:name="page385"/>
    <w:bookmarkEnd w:id="384"/>
    <w:p>
      <w:pPr>
        <w:ind w:firstLine="656"/>
        <w:spacing w:after="0" w:line="263" w:lineRule="auto"/>
        <w:tabs>
          <w:tab w:leader="none" w:pos="1214" w:val="left"/>
        </w:tabs>
        <w:numPr>
          <w:ilvl w:val="0"/>
          <w:numId w:val="275"/>
        </w:numPr>
        <w:rPr>
          <w:rFonts w:ascii="Arial" w:cs="Arial" w:eastAsia="Arial" w:hAnsi="Arial"/>
          <w:sz w:val="22"/>
          <w:szCs w:val="22"/>
          <w:color w:val="auto"/>
        </w:rPr>
      </w:pPr>
      <w:r>
        <w:rPr>
          <w:rFonts w:ascii="Arial" w:cs="Arial" w:eastAsia="Arial" w:hAnsi="Arial"/>
          <w:sz w:val="22"/>
          <w:szCs w:val="22"/>
          <w:color w:val="auto"/>
        </w:rPr>
        <w:t>Liens arising in the ordinary course of business by virtue of any statutory or common law provisions or similar provisions applicable in foreign jurisdictions relating to banker’s liens, rights of set-off or similar rights;</w:t>
      </w:r>
    </w:p>
    <w:p>
      <w:pPr>
        <w:spacing w:after="0" w:line="174" w:lineRule="exact"/>
        <w:rPr>
          <w:rFonts w:ascii="Arial" w:cs="Arial" w:eastAsia="Arial" w:hAnsi="Arial"/>
          <w:sz w:val="22"/>
          <w:szCs w:val="22"/>
          <w:color w:val="auto"/>
        </w:rPr>
      </w:pPr>
    </w:p>
    <w:p>
      <w:pPr>
        <w:ind w:firstLine="656"/>
        <w:spacing w:after="0" w:line="263" w:lineRule="auto"/>
        <w:tabs>
          <w:tab w:leader="none" w:pos="1241" w:val="left"/>
        </w:tabs>
        <w:numPr>
          <w:ilvl w:val="0"/>
          <w:numId w:val="275"/>
        </w:numPr>
        <w:rPr>
          <w:rFonts w:ascii="Arial" w:cs="Arial" w:eastAsia="Arial" w:hAnsi="Arial"/>
          <w:sz w:val="22"/>
          <w:szCs w:val="22"/>
          <w:color w:val="auto"/>
        </w:rPr>
      </w:pPr>
      <w:r>
        <w:rPr>
          <w:rFonts w:ascii="Arial" w:cs="Arial" w:eastAsia="Arial" w:hAnsi="Arial"/>
          <w:sz w:val="22"/>
          <w:szCs w:val="22"/>
          <w:color w:val="auto"/>
        </w:rPr>
        <w:t xml:space="preserve">Liens on assets of Subsidiaries of the Borrower that are not Guarantors securing Indebtedness permitted under </w:t>
      </w:r>
      <w:r>
        <w:rPr>
          <w:rFonts w:ascii="Arial" w:cs="Arial" w:eastAsia="Arial" w:hAnsi="Arial"/>
          <w:sz w:val="22"/>
          <w:szCs w:val="22"/>
          <w:u w:val="single" w:color="auto"/>
          <w:color w:val="auto"/>
        </w:rPr>
        <w:t>Section 7.01(n)</w:t>
      </w:r>
      <w:r>
        <w:rPr>
          <w:rFonts w:ascii="Arial" w:cs="Arial" w:eastAsia="Arial" w:hAnsi="Arial"/>
          <w:sz w:val="22"/>
          <w:szCs w:val="22"/>
          <w:color w:val="auto"/>
        </w:rPr>
        <w:t xml:space="preserve"> in an aggregate amount not to exceed $50,000,000 at any time outstanding;</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other Liens securing Indebtedness in an aggregate amount not to exceed $25,000,000 at any time outstanding;</w:t>
      </w:r>
    </w:p>
    <w:p>
      <w:pPr>
        <w:spacing w:after="0" w:line="254" w:lineRule="exact"/>
        <w:rPr>
          <w:rFonts w:ascii="Arial" w:cs="Arial" w:eastAsia="Arial" w:hAnsi="Arial"/>
          <w:sz w:val="19"/>
          <w:szCs w:val="19"/>
          <w:color w:val="auto"/>
        </w:rPr>
      </w:pPr>
    </w:p>
    <w:p>
      <w:pPr>
        <w:ind w:firstLine="656"/>
        <w:spacing w:after="0" w:line="343" w:lineRule="auto"/>
        <w:tabs>
          <w:tab w:leader="none" w:pos="1216" w:val="left"/>
        </w:tabs>
        <w:numPr>
          <w:ilvl w:val="0"/>
          <w:numId w:val="275"/>
        </w:numPr>
        <w:rPr>
          <w:rFonts w:ascii="Arial" w:cs="Arial" w:eastAsia="Arial" w:hAnsi="Arial"/>
          <w:sz w:val="19"/>
          <w:szCs w:val="19"/>
          <w:color w:val="auto"/>
        </w:rPr>
      </w:pPr>
      <w:r>
        <w:rPr>
          <w:rFonts w:ascii="Arial" w:cs="Arial" w:eastAsia="Arial" w:hAnsi="Arial"/>
          <w:sz w:val="19"/>
          <w:szCs w:val="19"/>
          <w:color w:val="auto"/>
        </w:rPr>
        <w:t>Liens on Equity Interests of any Joint Venture or Unrestricted Subsidiary (i) securing obligations of such Joint Venture or Unrestricted Subsidiary, as the case may be, or (ii) pursuant to the relevant Joint Venture agreement or arrangement;</w:t>
      </w:r>
    </w:p>
    <w:p>
      <w:pPr>
        <w:spacing w:after="0" w:line="104" w:lineRule="exact"/>
        <w:rPr>
          <w:rFonts w:ascii="Arial" w:cs="Arial" w:eastAsia="Arial" w:hAnsi="Arial"/>
          <w:sz w:val="19"/>
          <w:szCs w:val="19"/>
          <w:color w:val="auto"/>
        </w:rPr>
      </w:pPr>
    </w:p>
    <w:p>
      <w:pPr>
        <w:ind w:left="1100" w:hanging="444"/>
        <w:spacing w:after="0"/>
        <w:tabs>
          <w:tab w:leader="none" w:pos="110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Liens arising out of consignment or similar arrangements for the sale of goods entered into in the ordinary course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1" w:lineRule="exact"/>
        <w:rPr>
          <w:rFonts w:ascii="Arial" w:cs="Arial" w:eastAsia="Arial" w:hAnsi="Arial"/>
          <w:sz w:val="19"/>
          <w:szCs w:val="19"/>
          <w:color w:val="auto"/>
        </w:rPr>
      </w:pPr>
    </w:p>
    <w:p>
      <w:pPr>
        <w:ind w:left="1120" w:hanging="464"/>
        <w:spacing w:after="0"/>
        <w:tabs>
          <w:tab w:leader="none" w:pos="112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 xml:space="preserve">Liens securing judgments that do not constitute an Event of Default under </w:t>
      </w:r>
      <w:r>
        <w:rPr>
          <w:rFonts w:ascii="Arial" w:cs="Arial" w:eastAsia="Arial" w:hAnsi="Arial"/>
          <w:sz w:val="22"/>
          <w:szCs w:val="22"/>
          <w:u w:val="single" w:color="auto"/>
          <w:color w:val="auto"/>
        </w:rPr>
        <w:t>Section 8.01(h)</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94" w:lineRule="auto"/>
        <w:tabs>
          <w:tab w:leader="none" w:pos="1201" w:val="left"/>
        </w:tabs>
        <w:numPr>
          <w:ilvl w:val="0"/>
          <w:numId w:val="275"/>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not given in connection with the issuance of Indebtedness, (ii) relating to pooled deposit or sweep accounts or cash pooling arrangements (including with respect to any joint and several liability provisions in relation thereto) of the Borrower or any Restricted Subsidiary to permit satisfaction of overdraft or similar obligations incurred in the ordinary course of business of the Borrower and the Restricted Subsidiaries or (iii) relating to purchase orders and other agreements (other than Indebtedness for borrowed money) entered into with customers in the ordinary course of business;</w:t>
      </w:r>
    </w:p>
    <w:p>
      <w:pPr>
        <w:spacing w:after="0" w:line="149" w:lineRule="exact"/>
        <w:rPr>
          <w:rFonts w:ascii="Arial" w:cs="Arial" w:eastAsia="Arial" w:hAnsi="Arial"/>
          <w:sz w:val="19"/>
          <w:szCs w:val="19"/>
          <w:color w:val="auto"/>
        </w:rPr>
      </w:pPr>
    </w:p>
    <w:p>
      <w:pPr>
        <w:ind w:left="1180" w:hanging="524"/>
        <w:spacing w:after="0"/>
        <w:tabs>
          <w:tab w:leader="none" w:pos="118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 xml:space="preserve">Liens existing on the Closing Date and set forth on </w:t>
      </w:r>
      <w:r>
        <w:rPr>
          <w:rFonts w:ascii="Arial" w:cs="Arial" w:eastAsia="Arial" w:hAnsi="Arial"/>
          <w:sz w:val="22"/>
          <w:szCs w:val="22"/>
          <w:u w:val="single" w:color="auto"/>
          <w:color w:val="auto"/>
        </w:rPr>
        <w:t>Schedule 7.02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7.03 </w:t>
      </w:r>
      <w:r>
        <w:rPr>
          <w:rFonts w:ascii="Arial" w:cs="Arial" w:eastAsia="Arial" w:hAnsi="Arial"/>
          <w:sz w:val="22"/>
          <w:szCs w:val="22"/>
          <w:u w:val="single" w:color="auto"/>
          <w:color w:val="auto"/>
        </w:rPr>
        <w:t>Equitable Lien</w:t>
      </w:r>
      <w:r>
        <w:rPr>
          <w:rFonts w:ascii="Arial" w:cs="Arial" w:eastAsia="Arial" w:hAnsi="Arial"/>
          <w:sz w:val="22"/>
          <w:szCs w:val="22"/>
          <w:color w:val="auto"/>
        </w:rPr>
        <w:t xml:space="preserve">. If any Loan Party or any of its Subsidiaries shall create or assume any Lien upon any of its properties or assets, whether now owned or hereafter acquired, other than Liens permitted pursuant to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(including as a result of an amendment or waiver of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made with the consent of the Required Lenders), it shall make or cause to be made effective provisions whereby the Obligations will be secured by such Lien equally and ratably with any and all other Indebtedness secured thereby as long as any such Indebtedness shall be so secured; </w:t>
      </w:r>
      <w:r>
        <w:rPr>
          <w:rFonts w:ascii="Arial" w:cs="Arial" w:eastAsia="Arial" w:hAnsi="Arial"/>
          <w:sz w:val="22"/>
          <w:szCs w:val="22"/>
          <w:u w:val="single" w:color="auto"/>
          <w:color w:val="auto"/>
        </w:rPr>
        <w:t>provided</w:t>
      </w:r>
      <w:r>
        <w:rPr>
          <w:rFonts w:ascii="Arial" w:cs="Arial" w:eastAsia="Arial" w:hAnsi="Arial"/>
          <w:sz w:val="22"/>
          <w:szCs w:val="22"/>
          <w:color w:val="auto"/>
        </w:rPr>
        <w:t>, notwithstanding the foregoing, this covenant shall not be construed as a consent by Required Lenders to the creation or assumption of any such Lien not otherwise permitted hereby.</w:t>
      </w:r>
    </w:p>
    <w:p>
      <w:pPr>
        <w:spacing w:after="0" w:line="19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7.04 </w:t>
      </w:r>
      <w:r>
        <w:rPr>
          <w:rFonts w:ascii="Arial" w:cs="Arial" w:eastAsia="Arial" w:hAnsi="Arial"/>
          <w:sz w:val="22"/>
          <w:szCs w:val="22"/>
          <w:u w:val="single" w:color="auto"/>
          <w:color w:val="auto"/>
        </w:rPr>
        <w:t>Restricted Junior Payments</w:t>
      </w:r>
      <w:r>
        <w:rPr>
          <w:rFonts w:ascii="Arial" w:cs="Arial" w:eastAsia="Arial" w:hAnsi="Arial"/>
          <w:sz w:val="22"/>
          <w:szCs w:val="22"/>
          <w:color w:val="auto"/>
        </w:rPr>
        <w:t>. The Borrower shall not and shall not permit any of its Subsidiaries through any manner or means or through any other Person to,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240"/>
          </w:cols>
          <w:pgMar w:left="320" w:top="1427" w:right="339" w:bottom="1440" w:gutter="0" w:footer="0" w:header="0"/>
        </w:sectPr>
      </w:pPr>
    </w:p>
    <w:bookmarkStart w:id="385" w:name="page386"/>
    <w:bookmarkEnd w:id="385"/>
    <w:p>
      <w:pPr>
        <w:spacing w:after="0" w:line="263" w:lineRule="auto"/>
        <w:rPr>
          <w:sz w:val="20"/>
          <w:szCs w:val="20"/>
          <w:color w:val="auto"/>
        </w:rPr>
      </w:pPr>
      <w:r>
        <w:rPr>
          <w:rFonts w:ascii="Arial" w:cs="Arial" w:eastAsia="Arial" w:hAnsi="Arial"/>
          <w:sz w:val="22"/>
          <w:szCs w:val="22"/>
          <w:color w:val="auto"/>
        </w:rPr>
        <w:t>indirectly, declare, order, pay, make or set apart, or agree to declare, order, pay, make or set apart, any sum for any Restricted Junior Payment except that:</w:t>
      </w:r>
    </w:p>
    <w:p>
      <w:pPr>
        <w:spacing w:after="0" w:line="175" w:lineRule="exact"/>
        <w:rPr>
          <w:sz w:val="20"/>
          <w:szCs w:val="20"/>
          <w:color w:val="auto"/>
        </w:rPr>
      </w:pPr>
    </w:p>
    <w:p>
      <w:pPr>
        <w:ind w:left="1100" w:hanging="444"/>
        <w:spacing w:after="0"/>
        <w:tabs>
          <w:tab w:leader="none" w:pos="110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Any Subsidiary of Borrower may declare and pay dividends or make other distributions ratably to its equity holders;</w:t>
      </w:r>
    </w:p>
    <w:p>
      <w:pPr>
        <w:spacing w:after="0" w:line="254" w:lineRule="exact"/>
        <w:rPr>
          <w:rFonts w:ascii="Arial" w:cs="Arial" w:eastAsia="Arial" w:hAnsi="Arial"/>
          <w:sz w:val="19"/>
          <w:szCs w:val="19"/>
          <w:color w:val="auto"/>
        </w:rPr>
      </w:pPr>
    </w:p>
    <w:p>
      <w:pPr>
        <w:jc w:val="both"/>
        <w:ind w:firstLine="656"/>
        <w:spacing w:after="0" w:line="312" w:lineRule="auto"/>
        <w:tabs>
          <w:tab w:leader="none" w:pos="1112"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The Borrower may make Restricted Junior Payments to its equity holders in the form of dividends on the Borrower’s common stock in an aggregate amount not to exceed $10,000,000 per annum, provided that, immediately prior to, and after giving effect thereto, no Default or Event of Default shall have occurred and be continuing or would result therefrom;</w:t>
      </w:r>
    </w:p>
    <w:p>
      <w:pPr>
        <w:spacing w:after="0" w:line="133" w:lineRule="exact"/>
        <w:rPr>
          <w:rFonts w:ascii="Arial" w:cs="Arial" w:eastAsia="Arial" w:hAnsi="Arial"/>
          <w:sz w:val="19"/>
          <w:szCs w:val="19"/>
          <w:color w:val="auto"/>
        </w:rPr>
      </w:pPr>
    </w:p>
    <w:p>
      <w:pPr>
        <w:jc w:val="both"/>
        <w:ind w:firstLine="656"/>
        <w:spacing w:after="0" w:line="289" w:lineRule="auto"/>
        <w:tabs>
          <w:tab w:leader="none" w:pos="1151"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The Borrower may make Restricted Junior Payments up to an amount not to exceed the Cumulative Amount as in effect immediately prior to the making of such Restricted Junior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immediately prior to, and after giving effect thereto, (i) no Default or Event of Default shall have occurred and be continuing or would result therefrom, and (ii) the Borrower and its Subsidiaries shall be in compliance on a pro forma basis with the financial covenants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7.07</w:t>
      </w:r>
      <w:r>
        <w:rPr>
          <w:rFonts w:ascii="Arial" w:cs="Arial" w:eastAsia="Arial" w:hAnsi="Arial"/>
          <w:sz w:val="19"/>
          <w:szCs w:val="19"/>
          <w:color w:val="auto"/>
        </w:rPr>
        <w:t xml:space="preserve"> and with a Total Net Leverage Ratio of [2.50]:1.00 or less, in each case, as of the last day of the Fiscal Quarter most recently ended and (B) Borrower shall have delivered to Administrative Agent a Compliance Certificate, together with all relevant financial information reasonably requested by Administrative Agent, demonstrating in reasonable detail the calculation of the Cumulative Amount immediately prior to the making of such Restricted Junior Payment and the amount thereof elected to be so applied and evidencing compliance with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and the Total Net Leverage Ratio as required under clause (A)(ii) above;</w:t>
      </w:r>
    </w:p>
    <w:p>
      <w:pPr>
        <w:spacing w:after="0" w:line="156" w:lineRule="exact"/>
        <w:rPr>
          <w:rFonts w:ascii="Arial" w:cs="Arial" w:eastAsia="Arial" w:hAnsi="Arial"/>
          <w:sz w:val="19"/>
          <w:szCs w:val="19"/>
          <w:color w:val="auto"/>
        </w:rPr>
      </w:pPr>
    </w:p>
    <w:p>
      <w:pPr>
        <w:ind w:firstLine="656"/>
        <w:spacing w:after="0" w:line="263" w:lineRule="auto"/>
        <w:tabs>
          <w:tab w:leader="none" w:pos="1143" w:val="left"/>
        </w:tabs>
        <w:numPr>
          <w:ilvl w:val="0"/>
          <w:numId w:val="276"/>
        </w:numPr>
        <w:rPr>
          <w:rFonts w:ascii="Arial" w:cs="Arial" w:eastAsia="Arial" w:hAnsi="Arial"/>
          <w:sz w:val="22"/>
          <w:szCs w:val="22"/>
          <w:color w:val="auto"/>
        </w:rPr>
      </w:pPr>
      <w:r>
        <w:rPr>
          <w:rFonts w:ascii="Arial" w:cs="Arial" w:eastAsia="Arial" w:hAnsi="Arial"/>
          <w:sz w:val="22"/>
          <w:szCs w:val="22"/>
          <w:color w:val="auto"/>
        </w:rPr>
        <w:t>The Borrower may make other Restricted Junior Payments in an aggregate amount of up to $25,000,000 during the term of this Agreement;</w:t>
      </w:r>
    </w:p>
    <w:p>
      <w:pPr>
        <w:spacing w:after="0" w:line="174" w:lineRule="exact"/>
        <w:rPr>
          <w:rFonts w:ascii="Arial" w:cs="Arial" w:eastAsia="Arial" w:hAnsi="Arial"/>
          <w:sz w:val="22"/>
          <w:szCs w:val="22"/>
          <w:color w:val="auto"/>
        </w:rPr>
      </w:pPr>
    </w:p>
    <w:p>
      <w:pPr>
        <w:jc w:val="both"/>
        <w:ind w:firstLine="656"/>
        <w:spacing w:after="0" w:line="292" w:lineRule="auto"/>
        <w:tabs>
          <w:tab w:leader="none" w:pos="1117"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the payment by the Borrower or any Subsidiary of any dividend or the consummation of any irrevocable redemption within 60 days after the date of declaration thereof or giving the notice of the redemption, if on the date of declaration or notice the payment would have complied with this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(assuming, in the case of redemption, the giving of the notice would have been deemed to be a Restricted Junior Payment at such time and such deemed Restricted Junior Payment would have been permitted at such time); provided that any Restricted Junior Payment pursuant to this clause (e) shall be deemed to have utilized capacity under the exception that such Restricted Junior Payment would have been permitted to have been made in reliance of at the time of declaration or notice of redemption, as applicable;</w:t>
      </w:r>
    </w:p>
    <w:p>
      <w:pPr>
        <w:spacing w:after="0" w:line="150" w:lineRule="exact"/>
        <w:rPr>
          <w:rFonts w:ascii="Arial" w:cs="Arial" w:eastAsia="Arial" w:hAnsi="Arial"/>
          <w:sz w:val="19"/>
          <w:szCs w:val="19"/>
          <w:color w:val="auto"/>
        </w:rPr>
      </w:pPr>
    </w:p>
    <w:p>
      <w:pPr>
        <w:jc w:val="both"/>
        <w:ind w:firstLine="656"/>
        <w:spacing w:after="0" w:line="250" w:lineRule="auto"/>
        <w:tabs>
          <w:tab w:leader="none" w:pos="1122" w:val="left"/>
        </w:tabs>
        <w:numPr>
          <w:ilvl w:val="0"/>
          <w:numId w:val="276"/>
        </w:numPr>
        <w:rPr>
          <w:rFonts w:ascii="Arial" w:cs="Arial" w:eastAsia="Arial" w:hAnsi="Arial"/>
          <w:sz w:val="22"/>
          <w:szCs w:val="22"/>
          <w:color w:val="auto"/>
        </w:rPr>
      </w:pPr>
      <w:r>
        <w:rPr>
          <w:rFonts w:ascii="Arial" w:cs="Arial" w:eastAsia="Arial" w:hAnsi="Arial"/>
          <w:sz w:val="22"/>
          <w:szCs w:val="22"/>
          <w:color w:val="auto"/>
        </w:rPr>
        <w:t>the Borrower may declare or make a Restricted Junior Payment with respect to its Equity Interest payable solely in Qualified Equity Interests or redeem any of its Equity Interests in exchange for, or out of the proceeds of the substantially concurrent issuance and sale of, Qualified Equity Interests or through accretion or accumulation of such dividends on such Equity Interests;</w:t>
      </w:r>
    </w:p>
    <w:p>
      <w:pPr>
        <w:spacing w:after="0" w:line="187" w:lineRule="exact"/>
        <w:rPr>
          <w:rFonts w:ascii="Arial" w:cs="Arial" w:eastAsia="Arial" w:hAnsi="Arial"/>
          <w:sz w:val="22"/>
          <w:szCs w:val="22"/>
          <w:color w:val="auto"/>
        </w:rPr>
      </w:pPr>
    </w:p>
    <w:p>
      <w:pPr>
        <w:ind w:firstLine="656"/>
        <w:spacing w:after="0" w:line="263" w:lineRule="auto"/>
        <w:tabs>
          <w:tab w:leader="none" w:pos="1157" w:val="left"/>
        </w:tabs>
        <w:numPr>
          <w:ilvl w:val="0"/>
          <w:numId w:val="276"/>
        </w:numPr>
        <w:rPr>
          <w:rFonts w:ascii="Arial" w:cs="Arial" w:eastAsia="Arial" w:hAnsi="Arial"/>
          <w:sz w:val="22"/>
          <w:szCs w:val="22"/>
          <w:color w:val="auto"/>
        </w:rPr>
      </w:pPr>
      <w:r>
        <w:rPr>
          <w:rFonts w:ascii="Arial" w:cs="Arial" w:eastAsia="Arial" w:hAnsi="Arial"/>
          <w:sz w:val="22"/>
          <w:szCs w:val="22"/>
          <w:color w:val="auto"/>
        </w:rPr>
        <w:t>repurchase, redemption or other acquisition for value by the Borrower of, Equity Interests of the Borrower held by officers, directors or employees or former officers, directors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240"/>
          </w:cols>
          <w:pgMar w:left="320" w:top="1427" w:right="339" w:bottom="1440" w:gutter="0" w:footer="0" w:header="0"/>
        </w:sectPr>
      </w:pPr>
    </w:p>
    <w:bookmarkStart w:id="386" w:name="page387"/>
    <w:bookmarkEnd w:id="386"/>
    <w:p>
      <w:pPr>
        <w:spacing w:after="0" w:line="263" w:lineRule="auto"/>
        <w:rPr>
          <w:sz w:val="20"/>
          <w:szCs w:val="20"/>
          <w:color w:val="auto"/>
        </w:rPr>
      </w:pPr>
      <w:r>
        <w:rPr>
          <w:rFonts w:ascii="Arial" w:cs="Arial" w:eastAsia="Arial" w:hAnsi="Arial"/>
          <w:sz w:val="22"/>
          <w:szCs w:val="22"/>
          <w:color w:val="auto"/>
        </w:rPr>
        <w:t>employees of the Borrower and any Restricted Subsidiary (or their transferees, estates or beneficiaries under their estates), upon their death, disability, retirement, severance or termination of employment or service; and</w:t>
      </w:r>
    </w:p>
    <w:p>
      <w:pPr>
        <w:spacing w:after="0" w:line="175" w:lineRule="exact"/>
        <w:rPr>
          <w:sz w:val="20"/>
          <w:szCs w:val="20"/>
          <w:color w:val="auto"/>
        </w:rPr>
      </w:pPr>
    </w:p>
    <w:p>
      <w:pPr>
        <w:jc w:val="both"/>
        <w:ind w:firstLine="656"/>
        <w:spacing w:after="0" w:line="250" w:lineRule="auto"/>
        <w:tabs>
          <w:tab w:leader="none" w:pos="114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repurchases of Equity Interests deemed to occur (a) upon the exercise of stock options, warrants, or similar rights if the Equity Interests represent all or a portion of the exercise price thereof or (b) in connection with the satisfaction of any withholding Tax obligations incurred relating to the vesting or exercise of stock options, warrants, restricted stock units or similar rights.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7.05 </w:t>
      </w:r>
      <w:r>
        <w:rPr>
          <w:rFonts w:ascii="Arial" w:cs="Arial" w:eastAsia="Arial" w:hAnsi="Arial"/>
          <w:sz w:val="19"/>
          <w:szCs w:val="19"/>
          <w:u w:val="single" w:color="auto"/>
          <w:color w:val="auto"/>
        </w:rPr>
        <w:t>Restrictions on Subsidiary Distributions</w:t>
      </w:r>
      <w:r>
        <w:rPr>
          <w:rFonts w:ascii="Arial" w:cs="Arial" w:eastAsia="Arial" w:hAnsi="Arial"/>
          <w:sz w:val="19"/>
          <w:szCs w:val="19"/>
          <w:color w:val="auto"/>
        </w:rPr>
        <w:t xml:space="preserve">. Except as provided herein, no Loan Party shall, nor shall it permit any of its Subsidiaries to, create or otherwise cause or suffer to exist or become effective any consensual encumbrance or restriction of any kind on the ability of any Subsidiary of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lease or license any of its property or assets to Borrower or any other Subsidiary of Borrower other than restrictions (i) in agreements evidencing Indebtedness permitted by </w:t>
      </w:r>
      <w:r>
        <w:rPr>
          <w:rFonts w:ascii="Arial" w:cs="Arial" w:eastAsia="Arial" w:hAnsi="Arial"/>
          <w:sz w:val="19"/>
          <w:szCs w:val="19"/>
          <w:u w:val="single" w:color="auto"/>
          <w:color w:val="auto"/>
        </w:rPr>
        <w:t>Sections 7.01(i)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7.01(j)</w:t>
      </w:r>
      <w:r>
        <w:rPr>
          <w:rFonts w:ascii="Arial" w:cs="Arial" w:eastAsia="Arial" w:hAnsi="Arial"/>
          <w:sz w:val="19"/>
          <w:szCs w:val="19"/>
          <w:color w:val="auto"/>
        </w:rPr>
        <w:t xml:space="preserve"> that impose restrictions on the property so acquired, (ii) by reason of customary provisions restricting assignments, subletting or other transfers contained in leases, licenses, joint venture agreements and similar agreements entered into in the ordinary course of business, (iii) that are or were created by virtue of any transfer of, agreement to transfer or option or right with respect to any property, assets or Equity Interests not otherwise prohibited under this Agreement, (iv) existing under or by reason of Applicable Law, regulation or order, (v) customary provisions in partnership agreements, limited liability company organizational governance documents, joint venture agreements, shareholder agreements and other similar agreements that restrict the transfer of ownership interests in such partnership, limited liability company, joint venture, corporation or similar Person, (vi) restrictions on cash or other deposits or net worth imposed by suppliers, customers or landlords under contracts entered into in the ordinary course of business, or (vii) described on </w:t>
      </w:r>
      <w:r>
        <w:rPr>
          <w:rFonts w:ascii="Arial" w:cs="Arial" w:eastAsia="Arial" w:hAnsi="Arial"/>
          <w:sz w:val="19"/>
          <w:szCs w:val="19"/>
          <w:u w:val="single" w:color="auto"/>
          <w:color w:val="auto"/>
        </w:rPr>
        <w:t>Schedule 7.05</w:t>
      </w:r>
      <w:r>
        <w:rPr>
          <w:rFonts w:ascii="Arial" w:cs="Arial" w:eastAsia="Arial" w:hAnsi="Arial"/>
          <w:sz w:val="19"/>
          <w:szCs w:val="19"/>
          <w:color w:val="auto"/>
        </w:rPr>
        <w:t>.</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7.06 </w:t>
      </w:r>
      <w:r>
        <w:rPr>
          <w:rFonts w:ascii="Arial" w:cs="Arial" w:eastAsia="Arial" w:hAnsi="Arial"/>
          <w:sz w:val="22"/>
          <w:szCs w:val="22"/>
          <w:u w:val="single" w:color="auto"/>
          <w:color w:val="auto"/>
        </w:rPr>
        <w:t>Investments</w:t>
      </w:r>
      <w:r>
        <w:rPr>
          <w:rFonts w:ascii="Arial" w:cs="Arial" w:eastAsia="Arial" w:hAnsi="Arial"/>
          <w:sz w:val="22"/>
          <w:szCs w:val="22"/>
          <w:color w:val="auto"/>
        </w:rPr>
        <w:t>. The Borrower shall not, and shall not permit any of its Subsidiaries to, directly or indirectly, make or own any Investment in any Person, including any Joint Venture, except:</w:t>
      </w:r>
    </w:p>
    <w:p>
      <w:pPr>
        <w:spacing w:after="0" w:line="175" w:lineRule="exact"/>
        <w:rPr>
          <w:sz w:val="20"/>
          <w:szCs w:val="20"/>
          <w:color w:val="auto"/>
        </w:rPr>
      </w:pPr>
    </w:p>
    <w:p>
      <w:pPr>
        <w:ind w:left="1120" w:hanging="464"/>
        <w:spacing w:after="0"/>
        <w:tabs>
          <w:tab w:leader="none" w:pos="112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219" w:lineRule="exact"/>
        <w:rPr>
          <w:rFonts w:ascii="Arial" w:cs="Arial" w:eastAsia="Arial" w:hAnsi="Arial"/>
          <w:sz w:val="22"/>
          <w:szCs w:val="22"/>
          <w:color w:val="auto"/>
        </w:rPr>
      </w:pPr>
    </w:p>
    <w:p>
      <w:pPr>
        <w:ind w:right="20" w:firstLine="656"/>
        <w:spacing w:after="0" w:line="263" w:lineRule="auto"/>
        <w:tabs>
          <w:tab w:leader="none" w:pos="114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equity Investments owned as of the Closing Date in any Subsidiary and Investments made after the Closing Date in the Borrower and any Guarantor that is a Subsidiary of Borrower;</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18"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Investments (i) in any Securities received in satisfaction or partial satisfaction thereof from financially troubled account debtors and (ii) deposits, prepayments and other credits to suppliers made in the ordinary course of business consistent with the past practices of the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240"/>
          </w:cols>
          <w:pgMar w:left="320" w:top="1427" w:right="339" w:bottom="1440" w:gutter="0" w:footer="0" w:header="0"/>
        </w:sectPr>
      </w:pPr>
    </w:p>
    <w:bookmarkStart w:id="387" w:name="page388"/>
    <w:bookmarkEnd w:id="387"/>
    <w:p>
      <w:pPr>
        <w:jc w:val="both"/>
        <w:ind w:firstLine="656"/>
        <w:spacing w:after="0" w:line="259" w:lineRule="auto"/>
        <w:tabs>
          <w:tab w:leader="none" w:pos="1170" w:val="left"/>
        </w:tabs>
        <w:numPr>
          <w:ilvl w:val="0"/>
          <w:numId w:val="279"/>
        </w:numPr>
        <w:rPr>
          <w:rFonts w:ascii="Arial" w:cs="Arial" w:eastAsia="Arial" w:hAnsi="Arial"/>
          <w:sz w:val="21"/>
          <w:szCs w:val="21"/>
          <w:color w:val="auto"/>
        </w:rPr>
      </w:pPr>
      <w:r>
        <w:rPr>
          <w:rFonts w:ascii="Arial" w:cs="Arial" w:eastAsia="Arial" w:hAnsi="Arial"/>
          <w:sz w:val="21"/>
          <w:szCs w:val="21"/>
          <w:color w:val="auto"/>
        </w:rPr>
        <w:t xml:space="preserve">intercompany loans to the extent permitted under </w:t>
      </w:r>
      <w:r>
        <w:rPr>
          <w:rFonts w:ascii="Arial" w:cs="Arial" w:eastAsia="Arial" w:hAnsi="Arial"/>
          <w:sz w:val="21"/>
          <w:szCs w:val="21"/>
          <w:u w:val="single" w:color="auto"/>
          <w:color w:val="auto"/>
        </w:rPr>
        <w:t>Section 7.01(c)</w:t>
      </w:r>
      <w:r>
        <w:rPr>
          <w:rFonts w:ascii="Arial" w:cs="Arial" w:eastAsia="Arial" w:hAnsi="Arial"/>
          <w:sz w:val="21"/>
          <w:szCs w:val="21"/>
          <w:color w:val="auto"/>
        </w:rPr>
        <w:t xml:space="preserve"> and other Investments in Subsidiaries other than Guarantors,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Investments (including through intercompany loans and any Permitted Acquisition) in Subsidiaries other than Guarantors, together with any Investment permitted under </w:t>
      </w:r>
      <w:r>
        <w:rPr>
          <w:rFonts w:ascii="Arial" w:cs="Arial" w:eastAsia="Arial" w:hAnsi="Arial"/>
          <w:sz w:val="21"/>
          <w:szCs w:val="21"/>
          <w:u w:val="single" w:color="auto"/>
          <w:color w:val="auto"/>
        </w:rPr>
        <w:t>Section 7.06(k)</w:t>
      </w:r>
      <w:r>
        <w:rPr>
          <w:rFonts w:ascii="Arial" w:cs="Arial" w:eastAsia="Arial" w:hAnsi="Arial"/>
          <w:sz w:val="21"/>
          <w:szCs w:val="21"/>
          <w:color w:val="auto"/>
        </w:rPr>
        <w:t>, shall not exceed at any time an aggregate amount equal the sum of (x) $75,000,000 plus (y) the aggregate amount of all cash payments made since February [26], 2021 by Subsidiaries that are not Guarantors to the Borrower and the Guarantors in the form of dividends, distributions, return of capital, repurchases of Equity Interests, repayment of loans or advances, without duplication, in each case, with any item already deducted from the calculation of the amount of any Investment pursuant to the last sentence of the definition thereof ((x) plus (y), the “</w:t>
      </w:r>
      <w:r>
        <w:rPr>
          <w:rFonts w:ascii="Arial" w:cs="Arial" w:eastAsia="Arial" w:hAnsi="Arial"/>
          <w:sz w:val="21"/>
          <w:szCs w:val="21"/>
          <w:u w:val="single" w:color="auto"/>
          <w:color w:val="auto"/>
        </w:rPr>
        <w:t>Non-Guarantor Basket</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ind w:firstLine="656"/>
        <w:spacing w:after="0" w:line="263" w:lineRule="auto"/>
        <w:tabs>
          <w:tab w:leader="none" w:pos="1125" w:val="left"/>
        </w:tabs>
        <w:numPr>
          <w:ilvl w:val="0"/>
          <w:numId w:val="279"/>
        </w:numPr>
        <w:rPr>
          <w:rFonts w:ascii="Arial" w:cs="Arial" w:eastAsia="Arial" w:hAnsi="Arial"/>
          <w:sz w:val="22"/>
          <w:szCs w:val="22"/>
          <w:color w:val="auto"/>
        </w:rPr>
      </w:pPr>
      <w:r>
        <w:rPr>
          <w:rFonts w:ascii="Arial" w:cs="Arial" w:eastAsia="Arial" w:hAnsi="Arial"/>
          <w:sz w:val="22"/>
          <w:szCs w:val="22"/>
          <w:color w:val="auto"/>
        </w:rPr>
        <w:t>loans and advances to employees of the Borrower and its Subsidiaries made in the ordinary course of business in an aggregate principal amount not to exceed $10,000,000;</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 xml:space="preserve">Permitted Acquisitions permitted pursuant to </w:t>
      </w:r>
      <w:r>
        <w:rPr>
          <w:rFonts w:ascii="Arial" w:cs="Arial" w:eastAsia="Arial" w:hAnsi="Arial"/>
          <w:sz w:val="22"/>
          <w:szCs w:val="22"/>
          <w:u w:val="single" w:color="auto"/>
          <w:color w:val="auto"/>
        </w:rPr>
        <w:t>Section 7.08</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 xml:space="preserve">Investments described in </w:t>
      </w:r>
      <w:r>
        <w:rPr>
          <w:rFonts w:ascii="Arial" w:cs="Arial" w:eastAsia="Arial" w:hAnsi="Arial"/>
          <w:sz w:val="22"/>
          <w:szCs w:val="22"/>
          <w:u w:val="single" w:color="auto"/>
          <w:color w:val="auto"/>
        </w:rPr>
        <w:t>Schedule 7.06</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Hedge Agreements which constitute Investments</w:t>
      </w:r>
    </w:p>
    <w:p>
      <w:pPr>
        <w:spacing w:after="0" w:line="219" w:lineRule="exact"/>
        <w:rPr>
          <w:rFonts w:ascii="Arial" w:cs="Arial" w:eastAsia="Arial" w:hAnsi="Arial"/>
          <w:sz w:val="22"/>
          <w:szCs w:val="22"/>
          <w:color w:val="auto"/>
        </w:rPr>
      </w:pPr>
    </w:p>
    <w:p>
      <w:pPr>
        <w:jc w:val="both"/>
        <w:ind w:firstLine="656"/>
        <w:spacing w:after="0" w:line="289" w:lineRule="auto"/>
        <w:tabs>
          <w:tab w:leader="none" w:pos="1078"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other Investments in an aggregate amount not to exceed the Cumulative Amount as in effect immediately prior to the making of such Investment; provided that (A) immediately prior to, and after giving effect thereto, (i) no Default or Event of Default shall have occurred and be continuing or would result therefrom and (ii) the Borrower and its Subsidiaries shall be in compliance on a pro forma basis with the financial covenants set forth in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and with a Total Net Leverage Ratio of 2.50:1.00 or less, in each case, as of the last day of the Fiscal Quarter most recently ended and (B) Borrower shall have delivered to Administrative Agent a Compliance Certificate, together with all relevant financial information reasonably requested by Administrative Agent, demonstrating in reasonable detail the calculation of the Cumulative Amount immediately prior to the making of such Investment and the amount thereof elected to be so applied and evidencing compliance with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and the Total Net Leverage Ratio as required under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w:t>
      </w:r>
    </w:p>
    <w:p>
      <w:pPr>
        <w:spacing w:after="0" w:line="156" w:lineRule="exact"/>
        <w:rPr>
          <w:rFonts w:ascii="Arial" w:cs="Arial" w:eastAsia="Arial" w:hAnsi="Arial"/>
          <w:sz w:val="19"/>
          <w:szCs w:val="19"/>
          <w:color w:val="auto"/>
        </w:rPr>
      </w:pPr>
    </w:p>
    <w:p>
      <w:pPr>
        <w:ind w:left="1080" w:hanging="424"/>
        <w:spacing w:after="0"/>
        <w:tabs>
          <w:tab w:leader="none" w:pos="108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Investments received in exchange for the issuance of Equity Interests (other than Disqualified Equity Interests)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Borrower;</w:t>
      </w:r>
    </w:p>
    <w:p>
      <w:pPr>
        <w:spacing w:after="0" w:line="201" w:lineRule="exact"/>
        <w:rPr>
          <w:rFonts w:ascii="Arial" w:cs="Arial" w:eastAsia="Arial" w:hAnsi="Arial"/>
          <w:sz w:val="19"/>
          <w:szCs w:val="19"/>
          <w:color w:val="auto"/>
        </w:rPr>
      </w:pPr>
    </w:p>
    <w:p>
      <w:pPr>
        <w:ind w:firstLine="656"/>
        <w:spacing w:after="0" w:line="343" w:lineRule="auto"/>
        <w:tabs>
          <w:tab w:leader="none" w:pos="1119"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Investments in Joint Ventures and Unrestricted Subsidiaries in an aggregate amount not exceeding, together with any Investment permitted under the proviso to </w:t>
      </w:r>
      <w:r>
        <w:rPr>
          <w:rFonts w:ascii="Arial" w:cs="Arial" w:eastAsia="Arial" w:hAnsi="Arial"/>
          <w:sz w:val="19"/>
          <w:szCs w:val="19"/>
          <w:u w:val="single" w:color="auto"/>
          <w:color w:val="auto"/>
        </w:rPr>
        <w:t>Section 7.06(d)</w:t>
      </w:r>
      <w:r>
        <w:rPr>
          <w:rFonts w:ascii="Arial" w:cs="Arial" w:eastAsia="Arial" w:hAnsi="Arial"/>
          <w:sz w:val="19"/>
          <w:szCs w:val="19"/>
          <w:color w:val="auto"/>
        </w:rPr>
        <w:t xml:space="preserve"> in Subsidiaries other than Guarantors, the Non-Guarantor Basket;</w:t>
      </w:r>
    </w:p>
    <w:p>
      <w:pPr>
        <w:spacing w:after="0" w:line="104" w:lineRule="exact"/>
        <w:rPr>
          <w:rFonts w:ascii="Arial" w:cs="Arial" w:eastAsia="Arial" w:hAnsi="Arial"/>
          <w:sz w:val="19"/>
          <w:szCs w:val="19"/>
          <w:color w:val="auto"/>
        </w:rPr>
      </w:pPr>
    </w:p>
    <w:p>
      <w:pPr>
        <w:ind w:right="20" w:firstLine="656"/>
        <w:spacing w:after="0" w:line="263" w:lineRule="auto"/>
        <w:tabs>
          <w:tab w:leader="none" w:pos="1076"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Investments so long as the Total Net Leverage Ratio will not exceed on a pro forma basis 1:75:1:00 as of the last day of the Fiscal Quarter most recently ended;</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other Investments in an aggregate amount outstanding at any time not to exceed $50,000,000 during the term of this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240"/>
          </w:cols>
          <w:pgMar w:left="320" w:top="1427" w:right="339" w:bottom="1440" w:gutter="0" w:footer="0" w:header="0"/>
        </w:sectPr>
      </w:pPr>
    </w:p>
    <w:bookmarkStart w:id="388" w:name="page389"/>
    <w:bookmarkEnd w:id="388"/>
    <w:p>
      <w:pPr>
        <w:ind w:firstLine="1296"/>
        <w:spacing w:after="0" w:line="263" w:lineRule="auto"/>
        <w:rPr>
          <w:sz w:val="20"/>
          <w:szCs w:val="20"/>
          <w:color w:val="auto"/>
        </w:rPr>
      </w:pPr>
      <w:r>
        <w:rPr>
          <w:rFonts w:ascii="Arial" w:cs="Arial" w:eastAsia="Arial" w:hAnsi="Arial"/>
          <w:sz w:val="22"/>
          <w:szCs w:val="22"/>
          <w:color w:val="auto"/>
        </w:rPr>
        <w:t xml:space="preserve">Notwithstanding the foregoing, in no event shall any Loan Party make any Investment which results in or facilitates in any manner any Restricted Junior Payment not otherwise permitted under the terms of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7.07</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87" w:lineRule="auto"/>
        <w:tabs>
          <w:tab w:leader="none" w:pos="1117" w:val="left"/>
        </w:tabs>
        <w:numPr>
          <w:ilvl w:val="0"/>
          <w:numId w:val="280"/>
        </w:numPr>
        <w:rPr>
          <w:rFonts w:ascii="Arial" w:cs="Arial" w:eastAsia="Arial" w:hAnsi="Arial"/>
          <w:sz w:val="21"/>
          <w:szCs w:val="21"/>
          <w:color w:val="auto"/>
        </w:rPr>
      </w:pPr>
      <w:r>
        <w:rPr>
          <w:rFonts w:ascii="Arial" w:cs="Arial" w:eastAsia="Arial" w:hAnsi="Arial"/>
          <w:sz w:val="21"/>
          <w:szCs w:val="21"/>
          <w:u w:val="single" w:color="auto"/>
          <w:color w:val="auto"/>
        </w:rPr>
        <w:t>Net Interest Coverage Ratio</w:t>
      </w:r>
      <w:r>
        <w:rPr>
          <w:rFonts w:ascii="Arial" w:cs="Arial" w:eastAsia="Arial" w:hAnsi="Arial"/>
          <w:sz w:val="21"/>
          <w:szCs w:val="21"/>
          <w:color w:val="auto"/>
        </w:rPr>
        <w:t>. The Borrower shall not permit the Net Interest Coverage Ratio as of the last day of any Fiscal Quarter, beginning with the Fiscal Quarter ending on June 30, 2021, to be less than 3.25 to 1.00.</w:t>
      </w:r>
    </w:p>
    <w:p>
      <w:pPr>
        <w:spacing w:after="0" w:line="151" w:lineRule="exact"/>
        <w:rPr>
          <w:rFonts w:ascii="Arial" w:cs="Arial" w:eastAsia="Arial" w:hAnsi="Arial"/>
          <w:sz w:val="21"/>
          <w:szCs w:val="21"/>
          <w:color w:val="auto"/>
        </w:rPr>
      </w:pPr>
    </w:p>
    <w:p>
      <w:pPr>
        <w:ind w:firstLine="656"/>
        <w:spacing w:after="0" w:line="263" w:lineRule="auto"/>
        <w:tabs>
          <w:tab w:leader="none" w:pos="1197" w:val="left"/>
        </w:tabs>
        <w:numPr>
          <w:ilvl w:val="0"/>
          <w:numId w:val="280"/>
        </w:numPr>
        <w:rPr>
          <w:rFonts w:ascii="Arial" w:cs="Arial" w:eastAsia="Arial" w:hAnsi="Arial"/>
          <w:sz w:val="22"/>
          <w:szCs w:val="22"/>
          <w:color w:val="auto"/>
        </w:rPr>
      </w:pPr>
      <w:r>
        <w:rPr>
          <w:rFonts w:ascii="Arial" w:cs="Arial" w:eastAsia="Arial" w:hAnsi="Arial"/>
          <w:sz w:val="22"/>
          <w:szCs w:val="22"/>
          <w:u w:val="single" w:color="auto"/>
          <w:color w:val="auto"/>
        </w:rPr>
        <w:t>Total Net Leverage Ratio</w:t>
      </w:r>
      <w:r>
        <w:rPr>
          <w:rFonts w:ascii="Arial" w:cs="Arial" w:eastAsia="Arial" w:hAnsi="Arial"/>
          <w:sz w:val="22"/>
          <w:szCs w:val="22"/>
          <w:color w:val="auto"/>
        </w:rPr>
        <w:t>. The Borrower shall not permit the Total Net Leverage Ratio as of the last day of any Fiscal Quarter, beginning with the Fiscal Quarter ending on June 30, 2021, to exceed 3.75 to 1.00.</w:t>
      </w:r>
    </w:p>
    <w:p>
      <w:pPr>
        <w:spacing w:after="0" w:line="174" w:lineRule="exact"/>
        <w:rPr>
          <w:rFonts w:ascii="Arial" w:cs="Arial" w:eastAsia="Arial" w:hAnsi="Arial"/>
          <w:sz w:val="22"/>
          <w:szCs w:val="22"/>
          <w:color w:val="auto"/>
        </w:rPr>
      </w:pPr>
    </w:p>
    <w:p>
      <w:pPr>
        <w:jc w:val="both"/>
        <w:ind w:firstLine="656"/>
        <w:spacing w:after="0" w:line="287" w:lineRule="auto"/>
        <w:tabs>
          <w:tab w:leader="none" w:pos="1198"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Certain Calculations</w:t>
      </w:r>
      <w:r>
        <w:rPr>
          <w:rFonts w:ascii="Arial" w:cs="Arial" w:eastAsia="Arial" w:hAnsi="Arial"/>
          <w:sz w:val="19"/>
          <w:szCs w:val="19"/>
          <w:color w:val="auto"/>
        </w:rPr>
        <w:t xml:space="preserve">. With respect to any period during which (x) a Permitted Acquisition or an Asset Sale has occurred or (y) a subsidiary has been designated an Unrestricted Subsidiary or a Restricted Subsidiary, as applicable, pursuant to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Subject Transaction</w:t>
      </w:r>
      <w:r>
        <w:rPr>
          <w:rFonts w:ascii="Arial" w:cs="Arial" w:eastAsia="Arial" w:hAnsi="Arial"/>
          <w:sz w:val="19"/>
          <w:szCs w:val="19"/>
          <w:color w:val="auto"/>
        </w:rPr>
        <w:t xml:space="preserve">”), for purposes of determining compliance with the financial covenants set forth in this </w:t>
      </w:r>
      <w:r>
        <w:rPr>
          <w:rFonts w:ascii="Arial" w:cs="Arial" w:eastAsia="Arial" w:hAnsi="Arial"/>
          <w:sz w:val="19"/>
          <w:szCs w:val="19"/>
          <w:u w:val="single" w:color="auto"/>
          <w:color w:val="auto"/>
        </w:rPr>
        <w:t>Section 7.07</w:t>
      </w:r>
      <w:r>
        <w:rPr>
          <w:rFonts w:ascii="Arial" w:cs="Arial" w:eastAsia="Arial" w:hAnsi="Arial"/>
          <w:sz w:val="19"/>
          <w:szCs w:val="19"/>
          <w:color w:val="auto"/>
        </w:rPr>
        <w:t>,Consolidated Adjusted EBITDA and the components of Consolidated Net Interest Expense shall be calculated with respect to such period on a pro forma basis using the historical (audited, to the extent available) financial statements of any business so acquired or to be acquired or sold or to be sold or designated or to be designated as a Restricted Subsidiary or an Unrestricted Subsidiary and the consolidated financial statements of the Borrower and its Subsidiaries which shall be reformulated as if such Subject Transaction, and any Indebtedness incurred or repaid in connection therewith, had been consummated or incurred or repaid at the beginning of such period (and assuming that such Indebtedness bears interest during any portion of the applicable measurement period prior to the relevant acquisition at the weighted average of the interest rates applicable to outstanding Loans incurred during such period).</w:t>
      </w:r>
    </w:p>
    <w:p>
      <w:pPr>
        <w:spacing w:after="0" w:line="16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7.08 </w:t>
      </w:r>
      <w:r>
        <w:rPr>
          <w:rFonts w:ascii="Arial" w:cs="Arial" w:eastAsia="Arial" w:hAnsi="Arial"/>
          <w:sz w:val="19"/>
          <w:szCs w:val="19"/>
          <w:u w:val="single" w:color="auto"/>
          <w:color w:val="auto"/>
        </w:rPr>
        <w:t>Fundamental Changes; Disposition of Assets; Acquisitions</w:t>
      </w:r>
      <w:r>
        <w:rPr>
          <w:rFonts w:ascii="Arial" w:cs="Arial" w:eastAsia="Arial" w:hAnsi="Arial"/>
          <w:sz w:val="19"/>
          <w:szCs w:val="19"/>
          <w:color w:val="auto"/>
        </w:rPr>
        <w:t>. No Loan Party shall, nor shall it permit any of its Subsidiaries to, enter into any transaction of merger or consolidation, or liquidate, wind up or dissolve itself (or suffer any liquidation or dissolution), or convey, sell, lease or license, exchange, transfer or otherwise dispose of (including, in each case, pursuant to a Division), in one transaction or a series of transactions, all or any part of its business, assets or property of any kind whatsoever, whether real, personal or mixed and whether tangible or intangible, whether now owned or hereafter acquired, leased or licensed, or acquire by purchase or otherwise (other than purchases or other acquisitions of inventory, materials and equipment and capital expenditures in the ordinary course of business) the business, property or fixed assets of, or stock or other evidence of beneficial ownership of, any Person or any division or line of business or other business unit of any Person, except:</w:t>
      </w:r>
    </w:p>
    <w:p>
      <w:pPr>
        <w:spacing w:after="0" w:line="156" w:lineRule="exact"/>
        <w:rPr>
          <w:sz w:val="20"/>
          <w:szCs w:val="20"/>
          <w:color w:val="auto"/>
        </w:rPr>
      </w:pPr>
    </w:p>
    <w:p>
      <w:pPr>
        <w:jc w:val="both"/>
        <w:ind w:firstLine="656"/>
        <w:spacing w:after="0" w:line="265" w:lineRule="auto"/>
        <w:tabs>
          <w:tab w:leader="none" w:pos="1139" w:val="left"/>
        </w:tabs>
        <w:numPr>
          <w:ilvl w:val="0"/>
          <w:numId w:val="281"/>
        </w:numPr>
        <w:rPr>
          <w:rFonts w:ascii="Arial" w:cs="Arial" w:eastAsia="Arial" w:hAnsi="Arial"/>
          <w:sz w:val="21"/>
          <w:szCs w:val="21"/>
          <w:color w:val="auto"/>
        </w:rPr>
      </w:pPr>
      <w:r>
        <w:rPr>
          <w:rFonts w:ascii="Arial" w:cs="Arial" w:eastAsia="Arial" w:hAnsi="Arial"/>
          <w:sz w:val="21"/>
          <w:szCs w:val="21"/>
          <w:color w:val="auto"/>
        </w:rPr>
        <w:t xml:space="preserve">any Subsidiary of Borrower may be merged with or into Borrower or any Guarantor, or be liquidated, wound up or dissolved, or all or any part of its business, property or assets may be conveyed, sold, leased, transferred or otherwise disposed of, in one transaction or a series of transactions, to Borrower or any Guarantor; </w:t>
      </w:r>
      <w:r>
        <w:rPr>
          <w:rFonts w:ascii="Arial" w:cs="Arial" w:eastAsia="Arial" w:hAnsi="Arial"/>
          <w:sz w:val="21"/>
          <w:szCs w:val="21"/>
          <w:u w:val="single" w:color="auto"/>
          <w:color w:val="auto"/>
        </w:rPr>
        <w:t>provided</w:t>
      </w:r>
      <w:r>
        <w:rPr>
          <w:rFonts w:ascii="Arial" w:cs="Arial" w:eastAsia="Arial" w:hAnsi="Arial"/>
          <w:sz w:val="21"/>
          <w:szCs w:val="21"/>
          <w:color w:val="auto"/>
        </w:rPr>
        <w:t>, in the case of such a merger, Borrower or such Guarantor, as applicable, shall be the continuing or surviving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240"/>
          </w:cols>
          <w:pgMar w:left="320" w:top="1427" w:right="339" w:bottom="1440" w:gutter="0" w:footer="0" w:header="0"/>
        </w:sectPr>
      </w:pPr>
    </w:p>
    <w:bookmarkStart w:id="389" w:name="page390"/>
    <w:bookmarkEnd w:id="389"/>
    <w:p>
      <w:pPr>
        <w:ind w:left="1120" w:hanging="464"/>
        <w:spacing w:after="0"/>
        <w:tabs>
          <w:tab w:leader="none" w:pos="112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sales or other dispositions of assets that do not constitute Asset Sales;</w:t>
      </w:r>
    </w:p>
    <w:p>
      <w:pPr>
        <w:spacing w:after="0" w:line="219" w:lineRule="exact"/>
        <w:rPr>
          <w:rFonts w:ascii="Arial" w:cs="Arial" w:eastAsia="Arial" w:hAnsi="Arial"/>
          <w:sz w:val="22"/>
          <w:szCs w:val="22"/>
          <w:color w:val="auto"/>
        </w:rPr>
      </w:pPr>
    </w:p>
    <w:p>
      <w:pPr>
        <w:jc w:val="both"/>
        <w:ind w:firstLine="656"/>
        <w:spacing w:after="0" w:line="259" w:lineRule="auto"/>
        <w:tabs>
          <w:tab w:leader="none" w:pos="1142" w:val="left"/>
        </w:tabs>
        <w:numPr>
          <w:ilvl w:val="0"/>
          <w:numId w:val="282"/>
        </w:numPr>
        <w:rPr>
          <w:rFonts w:ascii="Arial" w:cs="Arial" w:eastAsia="Arial" w:hAnsi="Arial"/>
          <w:sz w:val="21"/>
          <w:szCs w:val="21"/>
          <w:color w:val="auto"/>
        </w:rPr>
      </w:pPr>
      <w:r>
        <w:rPr>
          <w:rFonts w:ascii="Arial" w:cs="Arial" w:eastAsia="Arial" w:hAnsi="Arial"/>
          <w:sz w:val="21"/>
          <w:szCs w:val="21"/>
          <w:color w:val="auto"/>
        </w:rPr>
        <w:t xml:space="preserve">as long as no Default is continuing or would result therefrom, Asset Sales,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Asset Sale made pursuant to this </w:t>
      </w:r>
      <w:r>
        <w:rPr>
          <w:rFonts w:ascii="Arial" w:cs="Arial" w:eastAsia="Arial" w:hAnsi="Arial"/>
          <w:sz w:val="21"/>
          <w:szCs w:val="21"/>
          <w:u w:val="single" w:color="auto"/>
          <w:color w:val="auto"/>
        </w:rPr>
        <w:t>Section 7.08(c)</w:t>
      </w:r>
      <w:r>
        <w:rPr>
          <w:rFonts w:ascii="Arial" w:cs="Arial" w:eastAsia="Arial" w:hAnsi="Arial"/>
          <w:sz w:val="21"/>
          <w:szCs w:val="21"/>
          <w:color w:val="auto"/>
        </w:rPr>
        <w:t xml:space="preserve">, (1) the consideration received shall be in an amount at least equal to the fair market value thereof (determined in good faith by the board of directors of Borrower (or similar governing body)) and (2) no less than 75% thereof shall be paid in Cash or Cash Equivalents;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any Designated Non-Cash Consideration received in respect of such Asset Sale having an aggregate fair market value, taken together with all other Designated Non-Cash Consideration received pursuant to this </w:t>
      </w:r>
      <w:r>
        <w:rPr>
          <w:rFonts w:ascii="Arial" w:cs="Arial" w:eastAsia="Arial" w:hAnsi="Arial"/>
          <w:sz w:val="21"/>
          <w:szCs w:val="21"/>
          <w:u w:val="single" w:color="auto"/>
          <w:color w:val="auto"/>
        </w:rPr>
        <w:t>Section 7.08(c)</w:t>
      </w:r>
      <w:r>
        <w:rPr>
          <w:rFonts w:ascii="Arial" w:cs="Arial" w:eastAsia="Arial" w:hAnsi="Arial"/>
          <w:sz w:val="21"/>
          <w:szCs w:val="21"/>
          <w:color w:val="auto"/>
        </w:rPr>
        <w:t xml:space="preserve"> that is at any time outstanding, not in excess of $25,000,000 at the time of the receipt of such Designated Non Cash Consideration, with the fair market value of each item of Designated Non-Cash Consideration being measured at the time received and without giving effect to subsequent changes in value, shall be deemed to be cash or Cash Equivalents;</w:t>
      </w:r>
    </w:p>
    <w:p>
      <w:pPr>
        <w:spacing w:after="0" w:line="179" w:lineRule="exact"/>
        <w:rPr>
          <w:rFonts w:ascii="Arial" w:cs="Arial" w:eastAsia="Arial" w:hAnsi="Arial"/>
          <w:sz w:val="21"/>
          <w:szCs w:val="21"/>
          <w:color w:val="auto"/>
        </w:rPr>
      </w:pPr>
    </w:p>
    <w:p>
      <w:pPr>
        <w:ind w:left="1120" w:hanging="464"/>
        <w:spacing w:after="0"/>
        <w:tabs>
          <w:tab w:leader="none" w:pos="112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disposals of obsolete, worn out or surplus equipment;</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131" w:val="left"/>
        </w:tabs>
        <w:numPr>
          <w:ilvl w:val="0"/>
          <w:numId w:val="282"/>
        </w:numPr>
        <w:rPr>
          <w:rFonts w:ascii="Arial" w:cs="Arial" w:eastAsia="Arial" w:hAnsi="Arial"/>
          <w:sz w:val="22"/>
          <w:szCs w:val="22"/>
          <w:color w:val="auto"/>
        </w:rPr>
      </w:pPr>
      <w:r>
        <w:rPr>
          <w:rFonts w:ascii="Arial" w:cs="Arial" w:eastAsia="Arial" w:hAnsi="Arial"/>
          <w:sz w:val="22"/>
          <w:szCs w:val="22"/>
          <w:color w:val="auto"/>
        </w:rPr>
        <w:t xml:space="preserve">Permitted Acquisitions,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consideration for Permitted Acquisitions of Equity Interests in any Person which does not become a Guarantor shall not exceed, collectively with any Investment permitted under the proviso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7.06(d)</w:t>
      </w:r>
      <w:r>
        <w:rPr>
          <w:rFonts w:ascii="Arial" w:cs="Arial" w:eastAsia="Arial" w:hAnsi="Arial"/>
          <w:sz w:val="22"/>
          <w:szCs w:val="22"/>
          <w:color w:val="auto"/>
        </w:rPr>
        <w:t xml:space="preserve"> in Subsidiaries other than Guarantors and any Investment permitted under </w:t>
      </w:r>
      <w:r>
        <w:rPr>
          <w:rFonts w:ascii="Arial" w:cs="Arial" w:eastAsia="Arial" w:hAnsi="Arial"/>
          <w:sz w:val="22"/>
          <w:szCs w:val="22"/>
          <w:u w:val="single" w:color="auto"/>
          <w:color w:val="auto"/>
        </w:rPr>
        <w:t>Section 7.06(k)</w:t>
      </w:r>
      <w:r>
        <w:rPr>
          <w:rFonts w:ascii="Arial" w:cs="Arial" w:eastAsia="Arial" w:hAnsi="Arial"/>
          <w:sz w:val="22"/>
          <w:szCs w:val="22"/>
          <w:color w:val="auto"/>
        </w:rPr>
        <w:t>, an aggregate amount equal to the Non-Guarantor Basket during the term of this Agreement; and</w:t>
      </w:r>
    </w:p>
    <w:p>
      <w:pPr>
        <w:spacing w:after="0" w:line="187" w:lineRule="exact"/>
        <w:rPr>
          <w:rFonts w:ascii="Arial" w:cs="Arial" w:eastAsia="Arial" w:hAnsi="Arial"/>
          <w:sz w:val="22"/>
          <w:szCs w:val="22"/>
          <w:color w:val="auto"/>
        </w:rPr>
      </w:pPr>
    </w:p>
    <w:p>
      <w:pPr>
        <w:ind w:left="1080" w:hanging="424"/>
        <w:spacing w:after="0"/>
        <w:tabs>
          <w:tab w:leader="none" w:pos="108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 xml:space="preserve">Investments made in accordance with </w:t>
      </w:r>
      <w:r>
        <w:rPr>
          <w:rFonts w:ascii="Arial" w:cs="Arial" w:eastAsia="Arial" w:hAnsi="Arial"/>
          <w:sz w:val="22"/>
          <w:szCs w:val="22"/>
          <w:u w:val="single" w:color="auto"/>
          <w:color w:val="auto"/>
        </w:rPr>
        <w:t>Section 7.06;</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7.09</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7.11 </w:t>
      </w:r>
      <w:r>
        <w:rPr>
          <w:rFonts w:ascii="Arial" w:cs="Arial" w:eastAsia="Arial" w:hAnsi="Arial"/>
          <w:sz w:val="19"/>
          <w:szCs w:val="19"/>
          <w:u w:val="single" w:color="auto"/>
          <w:color w:val="auto"/>
        </w:rPr>
        <w:t>Transactions with Shareholders and Affiliates</w:t>
      </w:r>
      <w:r>
        <w:rPr>
          <w:rFonts w:ascii="Arial" w:cs="Arial" w:eastAsia="Arial" w:hAnsi="Arial"/>
          <w:sz w:val="19"/>
          <w:szCs w:val="19"/>
          <w:color w:val="auto"/>
        </w:rPr>
        <w:t xml:space="preserve">. No Loan Party shall, nor shall it permit any of its Subsidiaries to, directly or indirectly, enter into or permit to exist any transaction (including the purchase, sale, lease or exchange of any property or the rendering of any service) with any Affiliate of the Borrower on terms that are materially less favorable to the Borrower or that Subsidiary, as the case may be, than those that might be obtained at the time from a Person who is not such a holder or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foregoing restriction shall not apply to (a) any transaction between Borrower and any Guarantor; (b) reasonable and customary fees paid to members of the board of directors (or similar governing body) of the Borrower and its Subsidiaries; (c) compensation arrangements for officers and other employees of the Borrower and its Subsidiaries entered into in the ordinary course of business; and (d) transactions described in </w:t>
      </w:r>
      <w:r>
        <w:rPr>
          <w:rFonts w:ascii="Arial" w:cs="Arial" w:eastAsia="Arial" w:hAnsi="Arial"/>
          <w:sz w:val="19"/>
          <w:szCs w:val="19"/>
          <w:u w:val="single" w:color="auto"/>
          <w:color w:val="auto"/>
        </w:rPr>
        <w:t>Schedule 7.11</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7.12 </w:t>
      </w:r>
      <w:r>
        <w:rPr>
          <w:rFonts w:ascii="Arial" w:cs="Arial" w:eastAsia="Arial" w:hAnsi="Arial"/>
          <w:sz w:val="19"/>
          <w:szCs w:val="19"/>
          <w:u w:val="single" w:color="auto"/>
          <w:color w:val="auto"/>
        </w:rPr>
        <w:t>Conduct of Business</w:t>
      </w:r>
      <w:r>
        <w:rPr>
          <w:rFonts w:ascii="Arial" w:cs="Arial" w:eastAsia="Arial" w:hAnsi="Arial"/>
          <w:sz w:val="19"/>
          <w:szCs w:val="19"/>
          <w:color w:val="auto"/>
        </w:rPr>
        <w:t>. From and after the Closing Date, no Loan Party shall, nor shall it permit any of its Subsidiaries to, engage in any business other than (i) the businesses engaged in by such Loan Party on the Closing Date and similar or related businesses and (ii) such other lines of business as may be consented to by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240"/>
          </w:cols>
          <w:pgMar w:left="320" w:top="1427" w:right="339" w:bottom="1440" w:gutter="0" w:footer="0" w:header="0"/>
        </w:sectPr>
      </w:pPr>
    </w:p>
    <w:bookmarkStart w:id="390" w:name="page391"/>
    <w:bookmarkEnd w:id="390"/>
    <w:p>
      <w:pPr>
        <w:jc w:val="both"/>
        <w:ind w:firstLine="648"/>
        <w:spacing w:after="0" w:line="250"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u w:val="single" w:color="auto"/>
          <w:color w:val="auto"/>
        </w:rPr>
        <w:t>Amendments or Waivers of Organizational Documents and Certain Related Documents</w:t>
      </w:r>
      <w:r>
        <w:rPr>
          <w:rFonts w:ascii="Arial" w:cs="Arial" w:eastAsia="Arial" w:hAnsi="Arial"/>
          <w:sz w:val="22"/>
          <w:szCs w:val="22"/>
          <w:color w:val="auto"/>
        </w:rPr>
        <w:t>. No Loan Party shall nor shall it permit any of its Subsidiaries to, agree to any material amendment, restatement, supplement or other modification to, or waiver of, any of its Organizational Documents or any of its material rights under any Related Document after the Closing Date , in each case that would be materially adverse to the Lenders.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7.14 </w:t>
      </w:r>
      <w:r>
        <w:rPr>
          <w:rFonts w:ascii="Arial" w:cs="Arial" w:eastAsia="Arial" w:hAnsi="Arial"/>
          <w:sz w:val="19"/>
          <w:szCs w:val="19"/>
          <w:u w:val="single" w:color="auto"/>
          <w:color w:val="auto"/>
        </w:rPr>
        <w:t>Amendments or Waivers of with respect to Certain Indebtedness</w:t>
      </w:r>
      <w:r>
        <w:rPr>
          <w:rFonts w:ascii="Arial" w:cs="Arial" w:eastAsia="Arial" w:hAnsi="Arial"/>
          <w:sz w:val="19"/>
          <w:szCs w:val="19"/>
          <w:color w:val="auto"/>
        </w:rPr>
        <w:t>. No Loan Party shall, nor shall it permit any of its Subsidiaries to, amend or otherwise change the terms of any Subordinated Indebtedness, or make any payment consistent with an amendment thereof or change thereto, if the effect of such amendment or change is to increase the interest rate on such Subordinated Indebtedness, change (to earlier dates) any dates upon which payments of principal or interest are due thereon, change the redemption, prepayment or defeasance provisions thereof in a manner adverse to the Lenders, change the subordination provisions of such Subordinated Indebtedness (or of any guaranty thereof) in a manner adverse to the Lenders, or if the effect of such amendment or change, together with all other amendments or changes made, is to increase materially the obligations of the obligor thereunder or to confer any additional rights on the holders of such Subordinated Indebtedness (or a trustee or other representative on their behalf) which would be materially adverse to the Lenders.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7.15 </w:t>
      </w:r>
      <w:r>
        <w:rPr>
          <w:rFonts w:ascii="Arial" w:cs="Arial" w:eastAsia="Arial" w:hAnsi="Arial"/>
          <w:sz w:val="22"/>
          <w:szCs w:val="22"/>
          <w:u w:val="single" w:color="auto"/>
          <w:color w:val="auto"/>
        </w:rPr>
        <w:t>Fiscal Year</w:t>
      </w:r>
      <w:r>
        <w:rPr>
          <w:rFonts w:ascii="Arial" w:cs="Arial" w:eastAsia="Arial" w:hAnsi="Arial"/>
          <w:sz w:val="22"/>
          <w:szCs w:val="22"/>
          <w:color w:val="auto"/>
        </w:rPr>
        <w:t>. No Loan Party shall, nor shall it permit any of its Subsidiaries to change its Fiscal Year end from December 31.</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7.16 </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No Loan Party shall, directly or indirectly, use the proceeds of any Credit Extension, or lend, contribute or otherwise make available such proceeds to any Subsidiary, joint venture partner or other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Swing Line Lender, or otherwise) of Sanctions.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7.17 </w:t>
      </w:r>
      <w:r>
        <w:rPr>
          <w:rFonts w:ascii="Arial" w:cs="Arial" w:eastAsia="Arial" w:hAnsi="Arial"/>
          <w:sz w:val="22"/>
          <w:szCs w:val="22"/>
          <w:u w:val="single" w:color="auto"/>
          <w:color w:val="auto"/>
        </w:rPr>
        <w:t>Anti-Corruption Laws.</w:t>
      </w:r>
      <w:r>
        <w:rPr>
          <w:rFonts w:ascii="Arial" w:cs="Arial" w:eastAsia="Arial" w:hAnsi="Arial"/>
          <w:sz w:val="22"/>
          <w:szCs w:val="22"/>
          <w:color w:val="auto"/>
        </w:rPr>
        <w:t xml:space="preserve"> No Loan Party shall directly or indirectly use the proceeds of any Credit Extension for any purpose which would breach the United States Foreign Corrupt Practices Act of 1977, the UK Bribery Act 2010, and other anti-corruption legislation in other jurisdictions.</w:t>
      </w:r>
    </w:p>
    <w:p>
      <w:pPr>
        <w:spacing w:after="0" w:line="179" w:lineRule="exact"/>
        <w:rPr>
          <w:sz w:val="20"/>
          <w:szCs w:val="20"/>
          <w:color w:val="auto"/>
        </w:rPr>
      </w:pPr>
    </w:p>
    <w:p>
      <w:pPr>
        <w:ind w:left="2780"/>
        <w:spacing w:after="0"/>
        <w:tabs>
          <w:tab w:leader="none" w:pos="4460" w:val="left"/>
        </w:tabs>
        <w:rPr>
          <w:sz w:val="20"/>
          <w:szCs w:val="20"/>
          <w:color w:val="auto"/>
        </w:rPr>
      </w:pPr>
      <w:r>
        <w:rPr>
          <w:rFonts w:ascii="Arial" w:cs="Arial" w:eastAsia="Arial" w:hAnsi="Arial"/>
          <w:sz w:val="22"/>
          <w:szCs w:val="22"/>
          <w:b w:val="1"/>
          <w:bCs w:val="1"/>
          <w:color w:val="auto"/>
        </w:rPr>
        <w:t>ARTICLE VIII.</w:t>
      </w:r>
      <w:r>
        <w:rPr>
          <w:sz w:val="20"/>
          <w:szCs w:val="20"/>
          <w:color w:val="auto"/>
        </w:rPr>
        <w:tab/>
      </w:r>
      <w:r>
        <w:rPr>
          <w:rFonts w:ascii="Arial" w:cs="Arial" w:eastAsia="Arial" w:hAnsi="Arial"/>
          <w:sz w:val="21"/>
          <w:szCs w:val="21"/>
          <w:b w:val="1"/>
          <w:bCs w:val="1"/>
          <w:color w:val="auto"/>
        </w:rPr>
        <w:t>EVENTS OF DEFAULT AND REMEDIES</w:t>
      </w:r>
    </w:p>
    <w:p>
      <w:pPr>
        <w:spacing w:after="0" w:line="22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Any of the following shall constitute an event of default (each,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48" w:lineRule="auto"/>
        <w:tabs>
          <w:tab w:leader="none" w:pos="1131"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Failure to Make Payments When Due</w:t>
      </w:r>
      <w:r>
        <w:rPr>
          <w:rFonts w:ascii="Arial" w:cs="Arial" w:eastAsia="Arial" w:hAnsi="Arial"/>
          <w:sz w:val="22"/>
          <w:szCs w:val="22"/>
          <w:color w:val="auto"/>
        </w:rPr>
        <w:t xml:space="preserve">. Failure by Borrower to pay (i) when due any installment of principal of any Loan, whether at stated maturity, by acceleration, by notice of voluntary prepayment, by mandatory prepayment or otherwise; (ii) when due any amount payable to L/C Issuer in reimbursement of any drawing under a Letter of Credit; or any Cash Collateralization required pursuant to </w:t>
      </w:r>
      <w:r>
        <w:rPr>
          <w:rFonts w:ascii="Arial" w:cs="Arial" w:eastAsia="Arial" w:hAnsi="Arial"/>
          <w:sz w:val="22"/>
          <w:szCs w:val="22"/>
          <w:u w:val="single" w:color="auto"/>
          <w:color w:val="auto"/>
        </w:rPr>
        <w:t>Section 2.17(d)</w:t>
      </w:r>
      <w:r>
        <w:rPr>
          <w:rFonts w:ascii="Arial" w:cs="Arial" w:eastAsia="Arial" w:hAnsi="Arial"/>
          <w:sz w:val="22"/>
          <w:szCs w:val="22"/>
          <w:color w:val="auto"/>
        </w:rPr>
        <w:t>, or (iii) any interest on any Loan or any fee or any other amount due hereunder within five Business Days after the date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240"/>
          </w:cols>
          <w:pgMar w:left="320" w:top="1427" w:right="339" w:bottom="1440" w:gutter="0" w:footer="0" w:header="0"/>
        </w:sectPr>
      </w:pPr>
    </w:p>
    <w:bookmarkStart w:id="391" w:name="page392"/>
    <w:bookmarkEnd w:id="391"/>
    <w:p>
      <w:pPr>
        <w:jc w:val="both"/>
        <w:ind w:firstLine="656"/>
        <w:spacing w:after="0" w:line="288" w:lineRule="auto"/>
        <w:tabs>
          <w:tab w:leader="none" w:pos="1143"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Default in Other Agreements</w:t>
      </w:r>
      <w:r>
        <w:rPr>
          <w:rFonts w:ascii="Arial" w:cs="Arial" w:eastAsia="Arial" w:hAnsi="Arial"/>
          <w:sz w:val="19"/>
          <w:szCs w:val="19"/>
          <w:color w:val="auto"/>
        </w:rPr>
        <w:t xml:space="preserve">. (i) Failure of any Loan Party or any of their respective Subsidiaries to pay when due any principal of or interest on or any other amount, including any payment in settlement, payable in respect of Indebtedness (other than Indebtedness referred to in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with a principal amount (or Net Mark-to-Market Exposure), individually or in the aggregate, of $50,000,000 or more, in each case beyond the grace period, if any, provided therefor; or (ii) breach or default by any Loan Party with respect to any other material term of (1) Indebtedness in the individual or aggregate principal amount (or Net Mark-to-Market Exposure) referred to in clause (i) above or (2) any loan agreement, mortgage, indenture or other agreement relating to such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or</w:t>
      </w:r>
    </w:p>
    <w:p>
      <w:pPr>
        <w:spacing w:after="0" w:line="159" w:lineRule="exact"/>
        <w:rPr>
          <w:rFonts w:ascii="Arial" w:cs="Arial" w:eastAsia="Arial" w:hAnsi="Arial"/>
          <w:sz w:val="19"/>
          <w:szCs w:val="19"/>
          <w:color w:val="auto"/>
        </w:rPr>
      </w:pPr>
    </w:p>
    <w:p>
      <w:pPr>
        <w:jc w:val="both"/>
        <w:ind w:firstLine="656"/>
        <w:spacing w:after="0" w:line="248" w:lineRule="auto"/>
        <w:tabs>
          <w:tab w:leader="none" w:pos="1117"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Breach of Certain Covenants</w:t>
      </w:r>
      <w:r>
        <w:rPr>
          <w:rFonts w:ascii="Arial" w:cs="Arial" w:eastAsia="Arial" w:hAnsi="Arial"/>
          <w:sz w:val="22"/>
          <w:szCs w:val="22"/>
          <w:color w:val="auto"/>
        </w:rPr>
        <w:t xml:space="preserve">. Failure of any Loan Party to perform or comply with any term or condition contained in (i)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6.01(f)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or (ii) Article VII unless, in the case of this clause (ii), such default is capable of remedy and shall have been remedied or waived within thirty days after the earlier of (A) an officer of such Loan Party becoming aware of such default or (B) receipt by Borrower of notice from Administrative Agent or any Lender of such default; or</w:t>
      </w:r>
    </w:p>
    <w:p>
      <w:pPr>
        <w:spacing w:after="0" w:line="191" w:lineRule="exact"/>
        <w:rPr>
          <w:rFonts w:ascii="Arial" w:cs="Arial" w:eastAsia="Arial" w:hAnsi="Arial"/>
          <w:sz w:val="22"/>
          <w:szCs w:val="22"/>
          <w:color w:val="auto"/>
        </w:rPr>
      </w:pPr>
    </w:p>
    <w:p>
      <w:pPr>
        <w:jc w:val="both"/>
        <w:ind w:firstLine="656"/>
        <w:spacing w:after="0" w:line="250" w:lineRule="auto"/>
        <w:tabs>
          <w:tab w:leader="none" w:pos="1116"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Breach of Representations, Etc.</w:t>
      </w:r>
      <w:r>
        <w:rPr>
          <w:rFonts w:ascii="Arial" w:cs="Arial" w:eastAsia="Arial" w:hAnsi="Arial"/>
          <w:sz w:val="22"/>
          <w:szCs w:val="22"/>
          <w:color w:val="auto"/>
        </w:rPr>
        <w:t xml:space="preserve"> Any representation, warranty, certification or other statement made or deemed made by any Loan Party in any Loan Document or in any statement or certificate at any time given by any Loan Party or any of its Subsidiaries in writing pursuant hereto or thereto or in connection herewith or therewith shall be false in any material respect as of the date made or deemed made; or</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117"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Other Defaults Under Loan Documents</w:t>
      </w:r>
      <w:r>
        <w:rPr>
          <w:rFonts w:ascii="Arial" w:cs="Arial" w:eastAsia="Arial" w:hAnsi="Arial"/>
          <w:sz w:val="22"/>
          <w:szCs w:val="22"/>
          <w:color w:val="auto"/>
        </w:rPr>
        <w:t xml:space="preserve">. Any Loan Party shall default in the performance of or compliance with any term contained herein or any of the other Loan Documents, other than any such term referred to in any other paragraph of this </w:t>
      </w:r>
      <w:r>
        <w:rPr>
          <w:rFonts w:ascii="Arial" w:cs="Arial" w:eastAsia="Arial" w:hAnsi="Arial"/>
          <w:sz w:val="22"/>
          <w:szCs w:val="22"/>
          <w:u w:val="single" w:color="auto"/>
          <w:color w:val="auto"/>
        </w:rPr>
        <w:t>Section 8.01</w:t>
      </w:r>
      <w:r>
        <w:rPr>
          <w:rFonts w:ascii="Arial" w:cs="Arial" w:eastAsia="Arial" w:hAnsi="Arial"/>
          <w:sz w:val="22"/>
          <w:szCs w:val="22"/>
          <w:color w:val="auto"/>
        </w:rPr>
        <w:t>, and such default shall not have been remedied or waived within thirty days after the earlier of (i) an officer of such Loan Party becoming aware of such default or (ii) receipt by Borrower of notice from Administrative Agent or any Lender of such default; or</w:t>
      </w:r>
    </w:p>
    <w:p>
      <w:pPr>
        <w:spacing w:after="0" w:line="191" w:lineRule="exact"/>
        <w:rPr>
          <w:rFonts w:ascii="Arial" w:cs="Arial" w:eastAsia="Arial" w:hAnsi="Arial"/>
          <w:sz w:val="22"/>
          <w:szCs w:val="22"/>
          <w:color w:val="auto"/>
        </w:rPr>
      </w:pPr>
    </w:p>
    <w:p>
      <w:pPr>
        <w:jc w:val="both"/>
        <w:ind w:firstLine="656"/>
        <w:spacing w:after="0" w:line="259" w:lineRule="auto"/>
        <w:tabs>
          <w:tab w:leader="none" w:pos="1107" w:val="left"/>
        </w:tabs>
        <w:numPr>
          <w:ilvl w:val="0"/>
          <w:numId w:val="284"/>
        </w:numPr>
        <w:rPr>
          <w:rFonts w:ascii="Arial" w:cs="Arial" w:eastAsia="Arial" w:hAnsi="Arial"/>
          <w:sz w:val="21"/>
          <w:szCs w:val="21"/>
          <w:color w:val="auto"/>
        </w:rPr>
      </w:pPr>
      <w:r>
        <w:rPr>
          <w:rFonts w:ascii="Arial" w:cs="Arial" w:eastAsia="Arial" w:hAnsi="Arial"/>
          <w:sz w:val="21"/>
          <w:szCs w:val="21"/>
          <w:u w:val="single" w:color="auto"/>
          <w:color w:val="auto"/>
        </w:rPr>
        <w:t>Involuntary Bankruptcy; Appointment of Receiver, Etc.</w:t>
      </w:r>
      <w:r>
        <w:rPr>
          <w:rFonts w:ascii="Arial" w:cs="Arial" w:eastAsia="Arial" w:hAnsi="Arial"/>
          <w:sz w:val="21"/>
          <w:szCs w:val="21"/>
          <w:color w:val="auto"/>
        </w:rPr>
        <w:t xml:space="preserve"> (i) A court of competent jurisdiction shall enter a decree or order for relief in respect of the Borrower or any of its Subsidiaries in an involuntary case under any Debtor Relief Laws now or hereafter in effect, which decree or order is not stayed; or any other similar relief shall be granted under any applicable federal or state law; or (ii) an involuntary case shall be commenced against the Borrower or any of its Subsidiaries under any Debtor Relief Laws now or hereafter in effect; or a decree or order of a court having jurisdiction in the premises for the appointment of a receiver, liquidator, sequestrator, trustee, custodian or other officer having similar powers over the Borrower or any of its Subsidiaries, or over all or a substantial part of its property, shall have been entered; or there shall have occurred the involuntary appointment of an interim receiver,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5832475</wp:posOffset>
            </wp:positionH>
            <wp:positionV relativeFrom="paragraph">
              <wp:posOffset>-3709670</wp:posOffset>
            </wp:positionV>
            <wp:extent cx="34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240"/>
          </w:cols>
          <w:pgMar w:left="320" w:top="1427" w:right="339" w:bottom="1440" w:gutter="0" w:footer="0" w:header="0"/>
        </w:sectPr>
      </w:pPr>
    </w:p>
    <w:bookmarkStart w:id="392" w:name="page393"/>
    <w:bookmarkEnd w:id="392"/>
    <w:p>
      <w:pPr>
        <w:jc w:val="both"/>
        <w:spacing w:after="0" w:line="250" w:lineRule="auto"/>
        <w:rPr>
          <w:sz w:val="20"/>
          <w:szCs w:val="20"/>
          <w:color w:val="auto"/>
        </w:rPr>
      </w:pPr>
      <w:r>
        <w:rPr>
          <w:rFonts w:ascii="Arial" w:cs="Arial" w:eastAsia="Arial" w:hAnsi="Arial"/>
          <w:sz w:val="22"/>
          <w:szCs w:val="22"/>
          <w:color w:val="auto"/>
        </w:rPr>
        <w:t>trustee or other custodian of the Borrower or any of its Subsidiaries for all or a substantial part of its property; or a warrant of attachment, execution or similar process shall have been issued against any substantial part of the property of the Borrower or any of its Subsidiaries, and any such event described in this clause (ii) shall continue for sixty days without having been dismissed, bonded or discharged; or</w:t>
      </w:r>
    </w:p>
    <w:p>
      <w:pPr>
        <w:spacing w:after="0" w:line="188" w:lineRule="exact"/>
        <w:rPr>
          <w:sz w:val="20"/>
          <w:szCs w:val="20"/>
          <w:color w:val="auto"/>
        </w:rPr>
      </w:pPr>
    </w:p>
    <w:p>
      <w:pPr>
        <w:jc w:val="both"/>
        <w:ind w:firstLine="656"/>
        <w:spacing w:after="0" w:line="259" w:lineRule="auto"/>
        <w:tabs>
          <w:tab w:leader="none" w:pos="1116" w:val="left"/>
        </w:tabs>
        <w:numPr>
          <w:ilvl w:val="0"/>
          <w:numId w:val="285"/>
        </w:numPr>
        <w:rPr>
          <w:rFonts w:ascii="Arial" w:cs="Arial" w:eastAsia="Arial" w:hAnsi="Arial"/>
          <w:sz w:val="21"/>
          <w:szCs w:val="21"/>
          <w:color w:val="auto"/>
        </w:rPr>
      </w:pPr>
      <w:r>
        <w:rPr>
          <w:rFonts w:ascii="Arial" w:cs="Arial" w:eastAsia="Arial" w:hAnsi="Arial"/>
          <w:sz w:val="21"/>
          <w:szCs w:val="21"/>
          <w:u w:val="single" w:color="auto"/>
          <w:color w:val="auto"/>
        </w:rPr>
        <w:t>Voluntary Bankruptcy; Appointment of Receiver, Etc.</w:t>
      </w:r>
      <w:r>
        <w:rPr>
          <w:rFonts w:ascii="Arial" w:cs="Arial" w:eastAsia="Arial" w:hAnsi="Arial"/>
          <w:sz w:val="21"/>
          <w:szCs w:val="21"/>
          <w:color w:val="auto"/>
        </w:rPr>
        <w:t xml:space="preserve"> (i) The Borrower or any of its Subsidiaries shall have an order for relief entered with respect to it or shall commence a voluntary case under any Debtor Relief Laws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the Borrower or any of its Subsidiaries shall make any assignment for the benefit of creditors; or (ii) the Borrower or any of its Subsidiaries shall be unable, or shall fail generally, or shall admit in writing its inability, to pay its debts as such debts become due; or the board of directors (or similar governing body) of the Borrower or any of its Subsidiaries (or any committee thereof) shall adopt any resolution or otherwise authorize any action to approve any of the actions referred to herein or in </w:t>
      </w:r>
      <w:r>
        <w:rPr>
          <w:rFonts w:ascii="Arial" w:cs="Arial" w:eastAsia="Arial" w:hAnsi="Arial"/>
          <w:sz w:val="21"/>
          <w:szCs w:val="21"/>
          <w:u w:val="single" w:color="auto"/>
          <w:color w:val="auto"/>
        </w:rPr>
        <w:t>Section 8.01(f)</w:t>
      </w:r>
      <w:r>
        <w:rPr>
          <w:rFonts w:ascii="Arial" w:cs="Arial" w:eastAsia="Arial" w:hAnsi="Arial"/>
          <w:sz w:val="21"/>
          <w:szCs w:val="21"/>
          <w:color w:val="auto"/>
        </w:rPr>
        <w:t>; or</w:t>
      </w:r>
    </w:p>
    <w:p>
      <w:pPr>
        <w:spacing w:after="0" w:line="179" w:lineRule="exact"/>
        <w:rPr>
          <w:rFonts w:ascii="Arial" w:cs="Arial" w:eastAsia="Arial" w:hAnsi="Arial"/>
          <w:sz w:val="21"/>
          <w:szCs w:val="21"/>
          <w:color w:val="auto"/>
        </w:rPr>
      </w:pPr>
    </w:p>
    <w:p>
      <w:pPr>
        <w:jc w:val="both"/>
        <w:ind w:firstLine="656"/>
        <w:spacing w:after="0" w:line="247" w:lineRule="auto"/>
        <w:tabs>
          <w:tab w:leader="none" w:pos="1224"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Judgments and Attachments</w:t>
      </w:r>
      <w:r>
        <w:rPr>
          <w:rFonts w:ascii="Arial" w:cs="Arial" w:eastAsia="Arial" w:hAnsi="Arial"/>
          <w:sz w:val="22"/>
          <w:szCs w:val="22"/>
          <w:color w:val="auto"/>
        </w:rPr>
        <w:t>. Any money judgment, writ or warrant of attachment or similar process involving, individually or in the aggregate at any time an amount in excess of $50,000,000 (in either case to the extent not adequately covered by insurance as to which a solvent and unaffiliated insurance company has acknowledged coverage) shall be entered or filed against the Borrower or any of its Subsidiaries or any of their respective assets and shall remain undischarged, unvacated, unbonded or unstayed for a period of sixty days (or in any event later than five days prior to the date of any proposed sale thereunder); or</w:t>
      </w:r>
    </w:p>
    <w:p>
      <w:pPr>
        <w:spacing w:after="0" w:line="192" w:lineRule="exact"/>
        <w:rPr>
          <w:rFonts w:ascii="Arial" w:cs="Arial" w:eastAsia="Arial" w:hAnsi="Arial"/>
          <w:sz w:val="22"/>
          <w:szCs w:val="22"/>
          <w:color w:val="auto"/>
        </w:rPr>
      </w:pPr>
    </w:p>
    <w:p>
      <w:pPr>
        <w:ind w:left="1080" w:hanging="424"/>
        <w:spacing w:after="0"/>
        <w:tabs>
          <w:tab w:leader="none" w:pos="1080"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135"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Plans</w:t>
      </w:r>
      <w:r>
        <w:rPr>
          <w:rFonts w:ascii="Arial" w:cs="Arial" w:eastAsia="Arial" w:hAnsi="Arial"/>
          <w:sz w:val="22"/>
          <w:szCs w:val="22"/>
          <w:color w:val="auto"/>
        </w:rPr>
        <w:t>. (i) There shall occur one or more ERISA Events which individually or in the aggregate results in or might reasonably be expected to result in liability of the Borrower, any of its Subsidiaries or any of their respective ERISA Affiliates in excess of $50,000,000 during the term hereof; or (ii) there exists any fact or circumstance that reasonably could be expected to result in the imposition of a Lien or security interest pursuant to Section 430(k) of the Code or ERISA or a violation of Section 436 of the Code; or</w:t>
      </w:r>
    </w:p>
    <w:p>
      <w:pPr>
        <w:spacing w:after="0" w:line="191" w:lineRule="exact"/>
        <w:rPr>
          <w:rFonts w:ascii="Arial" w:cs="Arial" w:eastAsia="Arial" w:hAnsi="Arial"/>
          <w:sz w:val="22"/>
          <w:szCs w:val="22"/>
          <w:color w:val="auto"/>
        </w:rPr>
      </w:pPr>
    </w:p>
    <w:p>
      <w:pPr>
        <w:ind w:left="1120" w:hanging="464"/>
        <w:spacing w:after="0"/>
        <w:tabs>
          <w:tab w:leader="none" w:pos="1120"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jc w:val="both"/>
        <w:ind w:firstLine="656"/>
        <w:spacing w:after="0" w:line="247" w:lineRule="auto"/>
        <w:tabs>
          <w:tab w:leader="none" w:pos="1068"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Guaranties, and other Loan Documents</w:t>
      </w:r>
      <w:r>
        <w:rPr>
          <w:rFonts w:ascii="Arial" w:cs="Arial" w:eastAsia="Arial" w:hAnsi="Arial"/>
          <w:sz w:val="22"/>
          <w:szCs w:val="22"/>
          <w:color w:val="auto"/>
        </w:rPr>
        <w:t>. At any time after the execution and delivery thereof, (i) the Guaranty for any reason, other than the satisfaction in full of all Obligations, shall cease to be in full force and effect (other than in accordance with its terms) or shall be declared to be null and void or any Guarantor shall repudiate its obligations thereunder, (ii) this Agreement ceases to be in full force and effect (other than by reason of satisfaction in full of the Obligations in accordance with the terms hereof) or shall be declared null and void, or (iii) any Loan Party shall contest the validity or enforceability of any Loan Document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240"/>
          </w:cols>
          <w:pgMar w:left="320" w:top="1427" w:right="339" w:bottom="1440" w:gutter="0" w:footer="0" w:header="0"/>
        </w:sectPr>
      </w:pPr>
    </w:p>
    <w:bookmarkStart w:id="393" w:name="page394"/>
    <w:bookmarkEnd w:id="393"/>
    <w:p>
      <w:pPr>
        <w:ind w:right="20"/>
        <w:spacing w:after="0" w:line="263" w:lineRule="auto"/>
        <w:rPr>
          <w:sz w:val="20"/>
          <w:szCs w:val="20"/>
          <w:color w:val="auto"/>
        </w:rPr>
      </w:pPr>
      <w:r>
        <w:rPr>
          <w:rFonts w:ascii="Arial" w:cs="Arial" w:eastAsia="Arial" w:hAnsi="Arial"/>
          <w:sz w:val="22"/>
          <w:szCs w:val="22"/>
          <w:color w:val="auto"/>
        </w:rPr>
        <w:t>or deny in writing that it has any further liability, including with respect to future advances by Lenders, under any Loan Document to which it is a party.</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8.02 </w:t>
      </w:r>
      <w:r>
        <w:rPr>
          <w:rFonts w:ascii="Arial" w:cs="Arial" w:eastAsia="Arial" w:hAnsi="Arial"/>
          <w:sz w:val="19"/>
          <w:szCs w:val="19"/>
          <w:u w:val="single" w:color="auto"/>
          <w:color w:val="auto"/>
        </w:rPr>
        <w:t>Loan Party Remedies upon Event of Default</w:t>
      </w:r>
      <w:r>
        <w:rPr>
          <w:rFonts w:ascii="Arial" w:cs="Arial" w:eastAsia="Arial" w:hAnsi="Arial"/>
          <w:sz w:val="19"/>
          <w:szCs w:val="19"/>
          <w:color w:val="auto"/>
        </w:rPr>
        <w:t>. If any Event of Default occurs and is continuing, the Administrative Agent shall, at the request of, or may, with the consent of, the Required Lenders, take any or all of the following actions:</w:t>
      </w:r>
    </w:p>
    <w:p>
      <w:pPr>
        <w:spacing w:after="0" w:line="104" w:lineRule="exact"/>
        <w:rPr>
          <w:sz w:val="20"/>
          <w:szCs w:val="20"/>
          <w:color w:val="auto"/>
        </w:rPr>
      </w:pPr>
    </w:p>
    <w:p>
      <w:pPr>
        <w:ind w:firstLine="656"/>
        <w:spacing w:after="0" w:line="263" w:lineRule="auto"/>
        <w:tabs>
          <w:tab w:leader="none" w:pos="116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declare the commitment of each Lender to make Loans and any obligation of each L/C Issuer to make L/C Credit Extensions to be terminated, whereupon such commitments and obligation shall be terminated;</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157" w:val="left"/>
        </w:tabs>
        <w:numPr>
          <w:ilvl w:val="0"/>
          <w:numId w:val="286"/>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33" w:lineRule="exact"/>
        <w:rPr>
          <w:rFonts w:ascii="Arial" w:cs="Arial" w:eastAsia="Arial" w:hAnsi="Arial"/>
          <w:sz w:val="19"/>
          <w:szCs w:val="19"/>
          <w:color w:val="auto"/>
        </w:rPr>
      </w:pPr>
    </w:p>
    <w:p>
      <w:pPr>
        <w:ind w:firstLine="656"/>
        <w:spacing w:after="0" w:line="263" w:lineRule="auto"/>
        <w:tabs>
          <w:tab w:leader="none" w:pos="1179" w:val="left"/>
        </w:tabs>
        <w:numPr>
          <w:ilvl w:val="0"/>
          <w:numId w:val="286"/>
        </w:numPr>
        <w:rPr>
          <w:rFonts w:ascii="Arial" w:cs="Arial" w:eastAsia="Arial" w:hAnsi="Arial"/>
          <w:sz w:val="22"/>
          <w:szCs w:val="22"/>
          <w:color w:val="auto"/>
        </w:rPr>
      </w:pPr>
      <w:r>
        <w:rPr>
          <w:rFonts w:ascii="Arial" w:cs="Arial" w:eastAsia="Arial" w:hAnsi="Arial"/>
          <w:sz w:val="22"/>
          <w:szCs w:val="22"/>
          <w:color w:val="auto"/>
        </w:rPr>
        <w:t>require that the Borrower Cash Collateralize the L/C Obligations (in an amount equal to the Minimum Collateral Amount with respect thereto); and</w:t>
      </w:r>
    </w:p>
    <w:p>
      <w:pPr>
        <w:spacing w:after="0" w:line="174" w:lineRule="exact"/>
        <w:rPr>
          <w:rFonts w:ascii="Arial" w:cs="Arial" w:eastAsia="Arial" w:hAnsi="Arial"/>
          <w:sz w:val="22"/>
          <w:szCs w:val="22"/>
          <w:color w:val="auto"/>
        </w:rPr>
      </w:pPr>
    </w:p>
    <w:p>
      <w:pPr>
        <w:ind w:firstLine="656"/>
        <w:spacing w:after="0" w:line="263" w:lineRule="auto"/>
        <w:tabs>
          <w:tab w:leader="none" w:pos="1132" w:val="left"/>
        </w:tabs>
        <w:numPr>
          <w:ilvl w:val="0"/>
          <w:numId w:val="286"/>
        </w:numPr>
        <w:rPr>
          <w:rFonts w:ascii="Arial" w:cs="Arial" w:eastAsia="Arial" w:hAnsi="Arial"/>
          <w:sz w:val="22"/>
          <w:szCs w:val="22"/>
          <w:color w:val="auto"/>
        </w:rPr>
      </w:pPr>
      <w:r>
        <w:rPr>
          <w:rFonts w:ascii="Arial" w:cs="Arial" w:eastAsia="Arial" w:hAnsi="Arial"/>
          <w:sz w:val="22"/>
          <w:szCs w:val="22"/>
          <w:color w:val="auto"/>
        </w:rPr>
        <w:t>exercise on behalf of itself, the Lenders and the L/C Issuer[s] all rights and remedies available to it, the Lenders and the L/C Issuers under the Loan Documents;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upon the occurrence of an event described in </w:t>
      </w:r>
      <w:r>
        <w:rPr>
          <w:rFonts w:ascii="Arial" w:cs="Arial" w:eastAsia="Arial" w:hAnsi="Arial"/>
          <w:sz w:val="21"/>
          <w:szCs w:val="21"/>
          <w:u w:val="single" w:color="auto"/>
          <w:color w:val="auto"/>
        </w:rPr>
        <w:t>Section 8.01(f)</w:t>
      </w:r>
      <w:r>
        <w:rPr>
          <w:rFonts w:ascii="Arial" w:cs="Arial" w:eastAsia="Arial" w:hAnsi="Arial"/>
          <w:sz w:val="21"/>
          <w:szCs w:val="21"/>
          <w:color w:val="auto"/>
        </w:rPr>
        <w:t>,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8.03 </w:t>
      </w:r>
      <w:r>
        <w:rPr>
          <w:rFonts w:ascii="Arial" w:cs="Arial" w:eastAsia="Arial" w:hAnsi="Arial"/>
          <w:sz w:val="21"/>
          <w:szCs w:val="21"/>
          <w:u w:val="single" w:color="auto"/>
          <w:color w:val="auto"/>
        </w:rPr>
        <w:t>Application of Funds</w:t>
      </w:r>
      <w:r>
        <w:rPr>
          <w:rFonts w:ascii="Arial" w:cs="Arial" w:eastAsia="Arial" w:hAnsi="Arial"/>
          <w:sz w:val="21"/>
          <w:szCs w:val="21"/>
          <w:color w:val="auto"/>
        </w:rPr>
        <w:t xml:space="preserve">. After the exercise of remedies provided for in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any amounts received on account of the Obligations shall, subject to the provisions of </w:t>
      </w:r>
      <w:r>
        <w:rPr>
          <w:rFonts w:ascii="Arial" w:cs="Arial" w:eastAsia="Arial" w:hAnsi="Arial"/>
          <w:sz w:val="21"/>
          <w:szCs w:val="21"/>
          <w:u w:val="single" w:color="auto"/>
          <w:color w:val="auto"/>
        </w:rPr>
        <w:t>Sections 2.16 and 2.17</w:t>
      </w:r>
      <w:r>
        <w:rPr>
          <w:rFonts w:ascii="Arial" w:cs="Arial" w:eastAsia="Arial" w:hAnsi="Arial"/>
          <w:sz w:val="21"/>
          <w:szCs w:val="21"/>
          <w:color w:val="auto"/>
        </w:rPr>
        <w:t>, be applied by the Administrative Agent in the following order: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Administrative Agent in its capacity as such;</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240"/>
          </w:cols>
          <w:pgMar w:left="320" w:top="1427" w:right="339" w:bottom="1440" w:gutter="0" w:footer="0" w:header="0"/>
        </w:sectPr>
      </w:pPr>
    </w:p>
    <w:bookmarkStart w:id="394" w:name="page395"/>
    <w:bookmarkEnd w:id="394"/>
    <w:p>
      <w:pPr>
        <w:spacing w:after="0"/>
        <w:rPr>
          <w:sz w:val="20"/>
          <w:szCs w:val="20"/>
          <w:color w:val="auto"/>
        </w:rPr>
      </w:pP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ratably among them in proportion to the respective amounts described in this </w:t>
      </w:r>
      <w:r>
        <w:rPr>
          <w:rFonts w:ascii="Arial" w:cs="Arial" w:eastAsia="Arial" w:hAnsi="Arial"/>
          <w:sz w:val="21"/>
          <w:szCs w:val="21"/>
          <w:u w:val="single" w:color="auto"/>
          <w:color w:val="auto"/>
        </w:rPr>
        <w:t>clause Second</w:t>
      </w:r>
      <w:r>
        <w:rPr>
          <w:rFonts w:ascii="Arial" w:cs="Arial" w:eastAsia="Arial" w:hAnsi="Arial"/>
          <w:sz w:val="21"/>
          <w:szCs w:val="21"/>
          <w:color w:val="auto"/>
        </w:rPr>
        <w:t xml:space="preserve"> payable to them;</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w:t>
      </w:r>
      <w:r>
        <w:rPr>
          <w:rFonts w:ascii="Arial" w:cs="Arial" w:eastAsia="Arial" w:hAnsi="Arial"/>
          <w:sz w:val="22"/>
          <w:szCs w:val="22"/>
          <w:u w:val="single" w:color="auto"/>
          <w:color w:val="auto"/>
        </w:rPr>
        <w:t>clause Third</w:t>
      </w:r>
      <w:r>
        <w:rPr>
          <w:rFonts w:ascii="Arial" w:cs="Arial" w:eastAsia="Arial" w:hAnsi="Arial"/>
          <w:sz w:val="22"/>
          <w:szCs w:val="22"/>
          <w:color w:val="auto"/>
        </w:rPr>
        <w:t xml:space="preserve"> payable to them;</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xml:space="preserve">, to payment of that portion of the Obligations constituting unpaid principal of the Loans, L/C Borrowings and Obligations then owing under Hedge Agreements, ratably among the Lenders, the L/C Issuers and the Hedge Banks in proportion to the respective amounts described in this clause </w:t>
      </w:r>
      <w:r>
        <w:rPr>
          <w:rFonts w:ascii="Arial" w:cs="Arial" w:eastAsia="Arial" w:hAnsi="Arial"/>
          <w:sz w:val="22"/>
          <w:szCs w:val="22"/>
          <w:u w:val="single" w:color="auto"/>
          <w:color w:val="auto"/>
        </w:rPr>
        <w:t>Fourth</w:t>
      </w:r>
      <w:r>
        <w:rPr>
          <w:rFonts w:ascii="Arial" w:cs="Arial" w:eastAsia="Arial" w:hAnsi="Arial"/>
          <w:sz w:val="22"/>
          <w:szCs w:val="22"/>
          <w:color w:val="auto"/>
        </w:rPr>
        <w:t xml:space="preserve"> held by them;</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xml:space="preserve">, to the Administrative Agent for the account of the applicable L/C Issuers, to Cash Collateralize that portion of L/C Obligations comprised of the aggregate undrawn amount of Letters of Credit to the extent not otherwise Cash Collateralized by the Borrower pursuant to </w:t>
      </w:r>
      <w:r>
        <w:rPr>
          <w:rFonts w:ascii="Arial" w:cs="Arial" w:eastAsia="Arial" w:hAnsi="Arial"/>
          <w:sz w:val="22"/>
          <w:szCs w:val="22"/>
          <w:u w:val="single" w:color="auto"/>
          <w:color w:val="auto"/>
        </w:rPr>
        <w:t>Sections 2.03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2.16</w:t>
      </w:r>
      <w:r>
        <w:rPr>
          <w:rFonts w:ascii="Arial" w:cs="Arial" w:eastAsia="Arial" w:hAnsi="Arial"/>
          <w:sz w:val="22"/>
          <w:szCs w:val="22"/>
          <w:color w:val="auto"/>
        </w:rPr>
        <w:t>; and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indefeasibly paid in full, to the Borrower or as otherwise required by Law.</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2.03(c)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amounts used to Cash Collateralize the aggregate undrawn amount of Letters of Credit pursuant to </w:t>
      </w:r>
      <w:r>
        <w:rPr>
          <w:rFonts w:ascii="Arial" w:cs="Arial" w:eastAsia="Arial" w:hAnsi="Arial"/>
          <w:sz w:val="22"/>
          <w:szCs w:val="22"/>
          <w:u w:val="single" w:color="auto"/>
          <w:color w:val="auto"/>
        </w:rPr>
        <w:t>clause Fifth</w:t>
      </w:r>
      <w:r>
        <w:rPr>
          <w:rFonts w:ascii="Arial" w:cs="Arial" w:eastAsia="Arial" w:hAnsi="Arial"/>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Notwithstanding the foregoing, Obligations arising under Hedge Agreements shall be excluded from the application described above if the Administrative Agent has not received written notice thereof, together with such supporting documentation as the Administrative Agent may request, from the applicable Hedge Bank. Each Hedge 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hereof for itself and its Affiliates as if a “Lender” party hereto.</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8.04 </w:t>
      </w:r>
      <w:r>
        <w:rPr>
          <w:rFonts w:ascii="Arial" w:cs="Arial" w:eastAsia="Arial" w:hAnsi="Arial"/>
          <w:sz w:val="21"/>
          <w:szCs w:val="21"/>
          <w:u w:val="single" w:color="auto"/>
          <w:color w:val="auto"/>
        </w:rPr>
        <w:t>Borrower’s Right to Cure</w:t>
      </w:r>
      <w:r>
        <w:rPr>
          <w:rFonts w:ascii="Arial" w:cs="Arial" w:eastAsia="Arial" w:hAnsi="Arial"/>
          <w:sz w:val="21"/>
          <w:szCs w:val="21"/>
          <w:color w:val="auto"/>
        </w:rPr>
        <w:t xml:space="preserve">. Notwithstanding anything to the contrary contained in </w:t>
      </w:r>
      <w:r>
        <w:rPr>
          <w:rFonts w:ascii="Arial" w:cs="Arial" w:eastAsia="Arial" w:hAnsi="Arial"/>
          <w:sz w:val="21"/>
          <w:szCs w:val="21"/>
          <w:u w:val="single" w:color="auto"/>
          <w:color w:val="auto"/>
        </w:rPr>
        <w:t>Section 8.01</w:t>
      </w:r>
      <w:r>
        <w:rPr>
          <w:rFonts w:ascii="Arial" w:cs="Arial" w:eastAsia="Arial" w:hAnsi="Arial"/>
          <w:sz w:val="21"/>
          <w:szCs w:val="21"/>
          <w:color w:val="auto"/>
        </w:rPr>
        <w:t xml:space="preserve">, for purposes of determining whether an Event of Default has occurred under any financial covenant set forth in </w:t>
      </w:r>
      <w:r>
        <w:rPr>
          <w:rFonts w:ascii="Arial" w:cs="Arial" w:eastAsia="Arial" w:hAnsi="Arial"/>
          <w:sz w:val="21"/>
          <w:szCs w:val="21"/>
          <w:u w:val="single" w:color="auto"/>
          <w:color w:val="auto"/>
        </w:rPr>
        <w:t>Section 7.07</w:t>
      </w:r>
      <w:r>
        <w:rPr>
          <w:rFonts w:ascii="Arial" w:cs="Arial" w:eastAsia="Arial" w:hAnsi="Arial"/>
          <w:sz w:val="21"/>
          <w:szCs w:val="21"/>
          <w:color w:val="auto"/>
        </w:rPr>
        <w:t>, any equity contribution (in the form of Qualified Equity Interests) made to Borrower after the last day of any Fiscal Quarter and on or prior to the day that is 10 days after the day on which financial statements are required to be delivered for that Fiscal Quarter will, at the request of Borrower, be included in the calculation of Consolidated Adjusted EBITDA solely for the purposes of determining compliance with the financial covenants at the end of such Fiscal Quarter and any subsequent period that includes such Fiscal Quarter (any such equity contribution, a “</w:t>
      </w:r>
      <w:r>
        <w:rPr>
          <w:rFonts w:ascii="Arial" w:cs="Arial" w:eastAsia="Arial" w:hAnsi="Arial"/>
          <w:sz w:val="21"/>
          <w:szCs w:val="21"/>
          <w:u w:val="single" w:color="auto"/>
          <w:color w:val="auto"/>
        </w:rPr>
        <w:t>Specified Equity Contribution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Borrower shall not be permitted to so request that a Specified Equity Contribution be included in the calculation of Consolidated Adjusted EBITDA with respect to any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240"/>
          </w:cols>
          <w:pgMar w:left="320" w:top="1427" w:right="339" w:bottom="1440" w:gutter="0" w:footer="0" w:header="0"/>
        </w:sectPr>
      </w:pPr>
    </w:p>
    <w:bookmarkStart w:id="395" w:name="page396"/>
    <w:bookmarkEnd w:id="395"/>
    <w:p>
      <w:pPr>
        <w:jc w:val="both"/>
        <w:spacing w:after="0" w:line="286" w:lineRule="auto"/>
        <w:rPr>
          <w:sz w:val="20"/>
          <w:szCs w:val="20"/>
          <w:color w:val="auto"/>
        </w:rPr>
      </w:pPr>
      <w:r>
        <w:rPr>
          <w:rFonts w:ascii="Arial" w:cs="Arial" w:eastAsia="Arial" w:hAnsi="Arial"/>
          <w:sz w:val="19"/>
          <w:szCs w:val="19"/>
          <w:color w:val="auto"/>
        </w:rPr>
        <w:t>unless, after giving effect to such requested Specified Equity Contribution, there shall be no more than two Fiscal Quarters in the Relevant Four Fiscal Quarter Period in respect of which a Specified Equity Contribution is made, (b) no more than 4 Specified Equity Contributions will be made in the aggregate, (c) the amount of any Specified Equity Contribution and the use of proceeds therefrom will be no greater than the amount required to cause Borrower to be in compliance with the financial covenants, and</w:t>
      </w:r>
    </w:p>
    <w:p>
      <w:pPr>
        <w:spacing w:after="0" w:line="3" w:lineRule="exact"/>
        <w:rPr>
          <w:sz w:val="20"/>
          <w:szCs w:val="20"/>
          <w:color w:val="auto"/>
        </w:rPr>
      </w:pPr>
    </w:p>
    <w:p>
      <w:pPr>
        <w:jc w:val="both"/>
        <w:ind w:firstLine="8"/>
        <w:spacing w:after="0" w:line="256" w:lineRule="auto"/>
        <w:tabs>
          <w:tab w:leader="none" w:pos="307" w:val="left"/>
        </w:tabs>
        <w:numPr>
          <w:ilvl w:val="0"/>
          <w:numId w:val="287"/>
        </w:numPr>
        <w:rPr>
          <w:rFonts w:ascii="Arial" w:cs="Arial" w:eastAsia="Arial" w:hAnsi="Arial"/>
          <w:sz w:val="21"/>
          <w:szCs w:val="21"/>
          <w:color w:val="auto"/>
        </w:rPr>
      </w:pPr>
      <w:r>
        <w:rPr>
          <w:rFonts w:ascii="Arial" w:cs="Arial" w:eastAsia="Arial" w:hAnsi="Arial"/>
          <w:sz w:val="21"/>
          <w:szCs w:val="21"/>
          <w:color w:val="auto"/>
        </w:rPr>
        <w:t xml:space="preserve">all Specified Equity Contributions and the use of proceeds therefrom will be disregarded for all other purposes under the Loan Documents (including calculating Consolidated Adjusted EBITDA for purposes of determining basket levels, Applicable Rate, Applicable Fee Rate, and other items governed by reference to Consolidated Adjusted EBITDA, calculating the amount of Unrestricted Cash to be deducted pursuant to clause (b) of the definition of Consolidated Total Net Debt, and for purposes of the Restricted Junior Payments covenant in </w:t>
      </w:r>
      <w:r>
        <w:rPr>
          <w:rFonts w:ascii="Arial" w:cs="Arial" w:eastAsia="Arial" w:hAnsi="Arial"/>
          <w:sz w:val="21"/>
          <w:szCs w:val="21"/>
          <w:u w:val="single" w:color="auto"/>
          <w:color w:val="auto"/>
        </w:rPr>
        <w:t>Section 7.04</w:t>
      </w:r>
      <w:r>
        <w:rPr>
          <w:rFonts w:ascii="Arial" w:cs="Arial" w:eastAsia="Arial" w:hAnsi="Arial"/>
          <w:sz w:val="21"/>
          <w:szCs w:val="21"/>
          <w:color w:val="auto"/>
        </w:rPr>
        <w:t xml:space="preserve">). To the extent that the proceeds of the Specified Equity Contribution are used to repay Indebtedness, such Indebtedness shall not be deemed to have been repaid for purposes of calculating any financial covenant set forth in </w:t>
      </w:r>
      <w:r>
        <w:rPr>
          <w:rFonts w:ascii="Arial" w:cs="Arial" w:eastAsia="Arial" w:hAnsi="Arial"/>
          <w:sz w:val="21"/>
          <w:szCs w:val="21"/>
          <w:u w:val="single" w:color="auto"/>
          <w:color w:val="auto"/>
        </w:rPr>
        <w:t>Section 7.07</w:t>
      </w:r>
      <w:r>
        <w:rPr>
          <w:rFonts w:ascii="Arial" w:cs="Arial" w:eastAsia="Arial" w:hAnsi="Arial"/>
          <w:sz w:val="21"/>
          <w:szCs w:val="21"/>
          <w:color w:val="auto"/>
        </w:rPr>
        <w:t xml:space="preserve"> for the Relevant Four Fiscal Quarter Period. For purposes of this paragraph, the term “</w:t>
      </w:r>
      <w:r>
        <w:rPr>
          <w:rFonts w:ascii="Arial" w:cs="Arial" w:eastAsia="Arial" w:hAnsi="Arial"/>
          <w:sz w:val="21"/>
          <w:szCs w:val="21"/>
          <w:u w:val="single" w:color="auto"/>
          <w:color w:val="auto"/>
        </w:rPr>
        <w:t>Relevant</w:t>
      </w:r>
      <w:r>
        <w:rPr>
          <w:rFonts w:ascii="Arial" w:cs="Arial" w:eastAsia="Arial" w:hAnsi="Arial"/>
          <w:sz w:val="21"/>
          <w:szCs w:val="21"/>
          <w:color w:val="auto"/>
        </w:rPr>
        <w:t xml:space="preserve"> </w:t>
      </w:r>
      <w:r>
        <w:rPr>
          <w:rFonts w:ascii="Arial" w:cs="Arial" w:eastAsia="Arial" w:hAnsi="Arial"/>
          <w:sz w:val="21"/>
          <w:szCs w:val="21"/>
          <w:u w:val="single" w:color="auto"/>
          <w:color w:val="auto"/>
        </w:rPr>
        <w:t>Four Fiscal Quarter Period</w:t>
      </w:r>
      <w:r>
        <w:rPr>
          <w:rFonts w:ascii="Arial" w:cs="Arial" w:eastAsia="Arial" w:hAnsi="Arial"/>
          <w:sz w:val="21"/>
          <w:szCs w:val="21"/>
          <w:color w:val="auto"/>
        </w:rPr>
        <w:t>” shall mean, with respect to any requested Specified Equity Contribution, the four Fiscal Quarter period ending on (and including) the Fiscal Quarter in which Consolidated Adjusted EBITDA will be increased as a result of such Specified Equity Contribution.</w:t>
      </w:r>
    </w:p>
    <w:p>
      <w:pPr>
        <w:spacing w:after="0" w:line="181"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b w:val="1"/>
          <w:bCs w:val="1"/>
          <w:color w:val="auto"/>
        </w:rPr>
        <w:t>ARTICLE IX.</w:t>
        <w:tab/>
        <w:t>ADMINISTRATIVE AGENT</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9.01 </w:t>
      </w:r>
      <w:r>
        <w:rPr>
          <w:rFonts w:ascii="Arial" w:cs="Arial" w:eastAsia="Arial" w:hAnsi="Arial"/>
          <w:sz w:val="21"/>
          <w:szCs w:val="21"/>
          <w:u w:val="single" w:color="auto"/>
          <w:color w:val="auto"/>
        </w:rPr>
        <w:t>Appointment and Authority</w:t>
      </w:r>
      <w:r>
        <w:rPr>
          <w:rFonts w:ascii="Arial" w:cs="Arial" w:eastAsia="Arial" w:hAnsi="Arial"/>
          <w:sz w:val="21"/>
          <w:szCs w:val="21"/>
          <w:color w:val="auto"/>
        </w:rPr>
        <w:t xml:space="preserve">. Each of the Lenders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are solely for the benefit of the Administrative Agent, the Lenders and the L/C Issuers,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The Administrative Agent shall also act as the “collateral agent” under the Loan Documents, and each of the Lenders (including in its capacities as a potential Hedge Bank) and the L/C Issuers hereby irrevocably appoints and authorizes the Administrative Agent to act as the agent of such Lender and L/C Issuer for purposes of acquiring, holding and enforcing any and all Liens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for purposes of holding or enforcing any Cash Collateral or other Lien granted under the Loan Documents (or any portion thereof granted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240"/>
          </w:cols>
          <w:pgMar w:left="320" w:top="1427" w:right="339" w:bottom="1440" w:gutter="0" w:footer="0" w:header="0"/>
        </w:sectPr>
      </w:pPr>
    </w:p>
    <w:bookmarkStart w:id="396" w:name="page397"/>
    <w:bookmarkEnd w:id="396"/>
    <w:p>
      <w:pPr>
        <w:jc w:val="both"/>
        <w:spacing w:after="0" w:line="250" w:lineRule="auto"/>
        <w:rPr>
          <w:sz w:val="20"/>
          <w:szCs w:val="20"/>
          <w:color w:val="auto"/>
        </w:rPr>
      </w:pPr>
      <w:r>
        <w:rPr>
          <w:rFonts w:ascii="Arial" w:cs="Arial" w:eastAsia="Arial" w:hAnsi="Arial"/>
          <w:sz w:val="22"/>
          <w:szCs w:val="22"/>
          <w:color w:val="auto"/>
        </w:rPr>
        <w:t xml:space="preserve">the Loan Documents, or for exercising any rights and remedies thereunder at the direction of the Administrative Agent), shall be entitled to the benefits of all provisions of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(including </w:t>
      </w:r>
      <w:r>
        <w:rPr>
          <w:rFonts w:ascii="Arial" w:cs="Arial" w:eastAsia="Arial" w:hAnsi="Arial"/>
          <w:sz w:val="22"/>
          <w:szCs w:val="22"/>
          <w:u w:val="single" w:color="auto"/>
          <w:color w:val="auto"/>
        </w:rPr>
        <w:t>Section 11.04(c)</w:t>
      </w:r>
      <w:r>
        <w:rPr>
          <w:rFonts w:ascii="Arial" w:cs="Arial" w:eastAsia="Arial" w:hAnsi="Arial"/>
          <w:sz w:val="22"/>
          <w:szCs w:val="22"/>
          <w:color w:val="auto"/>
        </w:rPr>
        <w:t>,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9.02 </w:t>
      </w:r>
      <w:r>
        <w:rPr>
          <w:rFonts w:ascii="Arial" w:cs="Arial" w:eastAsia="Arial" w:hAnsi="Arial"/>
          <w:sz w:val="19"/>
          <w:szCs w:val="19"/>
          <w:u w:val="single" w:color="auto"/>
          <w:color w:val="auto"/>
        </w:rPr>
        <w:t>Rights as a Lender</w:t>
      </w:r>
      <w:r>
        <w:rPr>
          <w:rFonts w:ascii="Arial" w:cs="Arial" w:eastAsia="Arial" w:hAnsi="Arial"/>
          <w:sz w:val="19"/>
          <w:szCs w:val="19"/>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9.03 </w:t>
      </w:r>
      <w:r>
        <w:rPr>
          <w:rFonts w:ascii="Arial" w:cs="Arial" w:eastAsia="Arial" w:hAnsi="Arial"/>
          <w:sz w:val="22"/>
          <w:szCs w:val="22"/>
          <w:u w:val="single" w:color="auto"/>
          <w:color w:val="auto"/>
        </w:rPr>
        <w:t>Exculpatory Provisions</w:t>
      </w:r>
      <w:r>
        <w:rPr>
          <w:rFonts w:ascii="Arial" w:cs="Arial" w:eastAsia="Arial" w:hAnsi="Arial"/>
          <w:sz w:val="22"/>
          <w:szCs w:val="22"/>
          <w:color w:val="auto"/>
        </w:rPr>
        <w:t>. 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w:t>
      </w:r>
    </w:p>
    <w:p>
      <w:pPr>
        <w:spacing w:after="0" w:line="188" w:lineRule="exact"/>
        <w:rPr>
          <w:sz w:val="20"/>
          <w:szCs w:val="20"/>
          <w:color w:val="auto"/>
        </w:rPr>
      </w:pPr>
    </w:p>
    <w:p>
      <w:pPr>
        <w:ind w:left="1200" w:hanging="544"/>
        <w:spacing w:after="0"/>
        <w:tabs>
          <w:tab w:leader="none" w:pos="120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continuing;</w:t>
      </w:r>
    </w:p>
    <w:p>
      <w:pPr>
        <w:spacing w:after="0" w:line="201" w:lineRule="exact"/>
        <w:rPr>
          <w:rFonts w:ascii="Arial" w:cs="Arial" w:eastAsia="Arial" w:hAnsi="Arial"/>
          <w:sz w:val="19"/>
          <w:szCs w:val="19"/>
          <w:color w:val="auto"/>
        </w:rPr>
      </w:pPr>
    </w:p>
    <w:p>
      <w:pPr>
        <w:jc w:val="both"/>
        <w:ind w:firstLine="656"/>
        <w:spacing w:after="0" w:line="259" w:lineRule="auto"/>
        <w:tabs>
          <w:tab w:leader="none" w:pos="1170" w:val="left"/>
        </w:tabs>
        <w:numPr>
          <w:ilvl w:val="0"/>
          <w:numId w:val="288"/>
        </w:numPr>
        <w:rPr>
          <w:rFonts w:ascii="Arial" w:cs="Arial" w:eastAsia="Arial" w:hAnsi="Arial"/>
          <w:sz w:val="21"/>
          <w:szCs w:val="21"/>
          <w:color w:val="auto"/>
        </w:rPr>
      </w:pPr>
      <w:r>
        <w:rPr>
          <w:rFonts w:ascii="Arial" w:cs="Arial" w:eastAsia="Arial" w:hAnsi="Arial"/>
          <w:sz w:val="21"/>
          <w:szCs w:val="21"/>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3" w:lineRule="exact"/>
        <w:rPr>
          <w:rFonts w:ascii="Arial" w:cs="Arial" w:eastAsia="Arial" w:hAnsi="Arial"/>
          <w:sz w:val="21"/>
          <w:szCs w:val="21"/>
          <w:color w:val="auto"/>
        </w:rPr>
      </w:pPr>
    </w:p>
    <w:p>
      <w:pPr>
        <w:jc w:val="both"/>
        <w:ind w:firstLine="656"/>
        <w:spacing w:after="0" w:line="297" w:lineRule="auto"/>
        <w:tabs>
          <w:tab w:leader="none" w:pos="113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w:t>
      </w:r>
    </w:p>
    <w:p>
      <w:pPr>
        <w:spacing w:after="0" w:line="146" w:lineRule="exact"/>
        <w:rPr>
          <w:rFonts w:ascii="Arial" w:cs="Arial" w:eastAsia="Arial" w:hAnsi="Arial"/>
          <w:sz w:val="19"/>
          <w:szCs w:val="19"/>
          <w:color w:val="auto"/>
        </w:rPr>
      </w:pPr>
    </w:p>
    <w:p>
      <w:pPr>
        <w:jc w:val="both"/>
        <w:ind w:firstLine="656"/>
        <w:spacing w:after="0" w:line="253" w:lineRule="auto"/>
        <w:tabs>
          <w:tab w:leader="none" w:pos="1222" w:val="left"/>
        </w:tabs>
        <w:numPr>
          <w:ilvl w:val="0"/>
          <w:numId w:val="288"/>
        </w:numPr>
        <w:rPr>
          <w:rFonts w:ascii="Arial" w:cs="Arial" w:eastAsia="Arial" w:hAnsi="Arial"/>
          <w:sz w:val="22"/>
          <w:szCs w:val="22"/>
          <w:color w:val="auto"/>
        </w:rPr>
      </w:pPr>
      <w:r>
        <w:rPr>
          <w:rFonts w:ascii="Arial" w:cs="Arial" w:eastAsia="Arial" w:hAnsi="Arial"/>
          <w:sz w:val="22"/>
          <w:szCs w:val="22"/>
          <w:color w:val="auto"/>
        </w:rPr>
        <w:t>shall not be liable for any action taken or not taken by it (i) with the consent or at the request of the Required Lenders (or such other number or percentage of the Lenders as shall be necessary, or as the Administrative Agent shall believe in good faith shall be necessary,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240"/>
          </w:cols>
          <w:pgMar w:left="320" w:top="1427" w:right="339" w:bottom="1440" w:gutter="0" w:footer="0" w:header="0"/>
        </w:sectPr>
      </w:pPr>
    </w:p>
    <w:bookmarkStart w:id="397" w:name="page398"/>
    <w:bookmarkEnd w:id="397"/>
    <w:p>
      <w:pPr>
        <w:jc w:val="both"/>
        <w:spacing w:after="0" w:line="250" w:lineRule="auto"/>
        <w:rPr>
          <w:sz w:val="20"/>
          <w:szCs w:val="20"/>
          <w:color w:val="auto"/>
        </w:rPr>
      </w:pPr>
      <w:r>
        <w:rPr>
          <w:rFonts w:ascii="Arial" w:cs="Arial" w:eastAsia="Arial" w:hAnsi="Arial"/>
          <w:sz w:val="22"/>
          <w:szCs w:val="22"/>
          <w:color w:val="auto"/>
        </w:rPr>
        <w:t xml:space="preserve">the circumstances as provided in </w:t>
      </w:r>
      <w:r>
        <w:rPr>
          <w:rFonts w:ascii="Arial" w:cs="Arial" w:eastAsia="Arial" w:hAnsi="Arial"/>
          <w:sz w:val="22"/>
          <w:szCs w:val="22"/>
          <w:u w:val="single" w:color="auto"/>
          <w:color w:val="auto"/>
        </w:rPr>
        <w:t>Sections 11.01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8.02</w:t>
      </w:r>
      <w:r>
        <w:rPr>
          <w:rFonts w:ascii="Arial" w:cs="Arial" w:eastAsia="Arial" w:hAnsi="Arial"/>
          <w:sz w:val="22"/>
          <w:szCs w:val="22"/>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to the Administrative Agent by the Borrower, a Lender or an L/C Issuer;</w:t>
      </w:r>
    </w:p>
    <w:p>
      <w:pPr>
        <w:spacing w:after="0" w:line="188" w:lineRule="exact"/>
        <w:rPr>
          <w:sz w:val="20"/>
          <w:szCs w:val="20"/>
          <w:color w:val="auto"/>
        </w:rPr>
      </w:pPr>
    </w:p>
    <w:p>
      <w:pPr>
        <w:jc w:val="both"/>
        <w:ind w:firstLine="656"/>
        <w:spacing w:after="0" w:line="290" w:lineRule="auto"/>
        <w:tabs>
          <w:tab w:leader="none" w:pos="1113" w:val="left"/>
        </w:tabs>
        <w:numPr>
          <w:ilvl w:val="0"/>
          <w:numId w:val="289"/>
        </w:numPr>
        <w:rPr>
          <w:rFonts w:ascii="Arial" w:cs="Arial" w:eastAsia="Arial" w:hAnsi="Arial"/>
          <w:sz w:val="19"/>
          <w:szCs w:val="19"/>
          <w:color w:val="auto"/>
        </w:rPr>
      </w:pPr>
      <w:r>
        <w:rPr>
          <w:rFonts w:ascii="Arial" w:cs="Arial" w:eastAsia="Arial" w:hAnsi="Arial"/>
          <w:sz w:val="19"/>
          <w:szCs w:val="19"/>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Cash Collateral, (v) the value of the sufficiency of any Cash Collateral, or (vi)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the Administrative Agent: and</w:t>
      </w:r>
    </w:p>
    <w:p>
      <w:pPr>
        <w:spacing w:after="0" w:line="155" w:lineRule="exact"/>
        <w:rPr>
          <w:rFonts w:ascii="Arial" w:cs="Arial" w:eastAsia="Arial" w:hAnsi="Arial"/>
          <w:sz w:val="19"/>
          <w:szCs w:val="19"/>
          <w:color w:val="auto"/>
        </w:rPr>
      </w:pPr>
    </w:p>
    <w:p>
      <w:pPr>
        <w:jc w:val="both"/>
        <w:ind w:firstLine="656"/>
        <w:spacing w:after="0" w:line="248" w:lineRule="auto"/>
        <w:tabs>
          <w:tab w:leader="none" w:pos="1174" w:val="left"/>
        </w:tabs>
        <w:numPr>
          <w:ilvl w:val="0"/>
          <w:numId w:val="289"/>
        </w:numPr>
        <w:rPr>
          <w:rFonts w:ascii="Arial" w:cs="Arial" w:eastAsia="Arial" w:hAnsi="Arial"/>
          <w:sz w:val="22"/>
          <w:szCs w:val="22"/>
          <w:color w:val="auto"/>
        </w:rPr>
      </w:pPr>
      <w:r>
        <w:rPr>
          <w:rFonts w:ascii="Arial" w:cs="Arial" w:eastAsia="Arial" w:hAnsi="Arial"/>
          <w:sz w:val="22"/>
          <w:szCs w:val="22"/>
          <w:color w:val="auto"/>
        </w:rPr>
        <w:t>shall not be responsible or have any liability for, or have any duty to ascertain, inquire into, monitor or enforce, compliance with the provisions of this Agreement relating to Disqualified Institutions. Without limiting the generality of the foregoing, the Administrative Agent shall not (x) be obligated to ascertain, monitor or inquire as to whether any Lender or prospective Lender is a Disqualified Institution or (y) have any liability with respect to or arising out of any assignment of Loans, or disclosure of confidential information, to any Disqualified Institution.</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9.04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9.05 </w:t>
      </w:r>
      <w:r>
        <w:rPr>
          <w:rFonts w:ascii="Arial" w:cs="Arial" w:eastAsia="Arial" w:hAnsi="Arial"/>
          <w:sz w:val="22"/>
          <w:szCs w:val="22"/>
          <w:u w:val="single" w:color="auto"/>
          <w:color w:val="auto"/>
        </w:rPr>
        <w:t>Delegation of Duties</w:t>
      </w:r>
      <w:r>
        <w:rPr>
          <w:rFonts w:ascii="Arial" w:cs="Arial" w:eastAsia="Arial" w:hAnsi="Arial"/>
          <w:sz w:val="22"/>
          <w:szCs w:val="22"/>
          <w:color w:val="auto"/>
        </w:rPr>
        <w:t>. The Administrative Agent may perform any and all of its duties and exercise its rights and powers hereunder or under any other Loan Document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240"/>
          </w:cols>
          <w:pgMar w:left="320" w:top="1427" w:right="339" w:bottom="1440" w:gutter="0" w:footer="0" w:header="0"/>
        </w:sectPr>
      </w:pPr>
    </w:p>
    <w:bookmarkStart w:id="398" w:name="page399"/>
    <w:bookmarkEnd w:id="398"/>
    <w:p>
      <w:pPr>
        <w:jc w:val="both"/>
        <w:spacing w:after="0" w:line="259" w:lineRule="auto"/>
        <w:rPr>
          <w:sz w:val="20"/>
          <w:szCs w:val="20"/>
          <w:color w:val="auto"/>
        </w:rPr>
      </w:pPr>
      <w:r>
        <w:rPr>
          <w:rFonts w:ascii="Arial" w:cs="Arial" w:eastAsia="Arial" w:hAnsi="Arial"/>
          <w:sz w:val="21"/>
          <w:szCs w:val="21"/>
          <w:color w:val="auto"/>
        </w:rPr>
        <w:t xml:space="preserve">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9.06 </w:t>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Administrative Agent may (but shall not be obligated to) on behalf of the Lenders and the L/C Issuers, appoint a successor Administrative Agent meeting the qualifications set forth above, provided that in no event shall any such successor Administrative Agent be a Defaulting Lender or Disqualified Institution. Whether or not a successor has been appointed, such resignation shall become effective in accordance with such notice on the Resignation Effective Date.</w:t>
      </w:r>
    </w:p>
    <w:p>
      <w:pPr>
        <w:spacing w:after="0" w:line="159" w:lineRule="exact"/>
        <w:rPr>
          <w:sz w:val="20"/>
          <w:szCs w:val="20"/>
          <w:color w:val="auto"/>
        </w:rPr>
      </w:pPr>
    </w:p>
    <w:p>
      <w:pPr>
        <w:jc w:val="both"/>
        <w:ind w:firstLine="656"/>
        <w:spacing w:after="0" w:line="261" w:lineRule="auto"/>
        <w:tabs>
          <w:tab w:leader="none" w:pos="1131" w:val="left"/>
        </w:tabs>
        <w:numPr>
          <w:ilvl w:val="0"/>
          <w:numId w:val="290"/>
        </w:numPr>
        <w:rPr>
          <w:rFonts w:ascii="Arial" w:cs="Arial" w:eastAsia="Arial" w:hAnsi="Arial"/>
          <w:sz w:val="21"/>
          <w:szCs w:val="21"/>
          <w:color w:val="auto"/>
        </w:rPr>
      </w:pPr>
      <w:r>
        <w:rPr>
          <w:rFonts w:ascii="Arial" w:cs="Arial" w:eastAsia="Arial" w:hAnsi="Arial"/>
          <w:sz w:val="21"/>
          <w:szCs w:val="21"/>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1"/>
          <w:szCs w:val="21"/>
          <w:u w:val="single" w:color="auto"/>
          <w:color w:val="auto"/>
        </w:rPr>
        <w:t>Removal Effective Date</w:t>
      </w:r>
      <w:r>
        <w:rPr>
          <w:rFonts w:ascii="Arial" w:cs="Arial" w:eastAsia="Arial" w:hAnsi="Arial"/>
          <w:sz w:val="21"/>
          <w:szCs w:val="21"/>
          <w:color w:val="auto"/>
        </w:rPr>
        <w:t>”), then such removal shall nonetheless become effective in accordance with such notice on the Removal Effective Date.</w:t>
      </w:r>
    </w:p>
    <w:p>
      <w:pPr>
        <w:spacing w:after="0" w:line="179" w:lineRule="exact"/>
        <w:rPr>
          <w:rFonts w:ascii="Arial" w:cs="Arial" w:eastAsia="Arial" w:hAnsi="Arial"/>
          <w:sz w:val="21"/>
          <w:szCs w:val="21"/>
          <w:color w:val="auto"/>
        </w:rPr>
      </w:pPr>
    </w:p>
    <w:p>
      <w:pPr>
        <w:jc w:val="both"/>
        <w:ind w:firstLine="656"/>
        <w:spacing w:after="0" w:line="259" w:lineRule="auto"/>
        <w:tabs>
          <w:tab w:leader="none" w:pos="1180" w:val="left"/>
        </w:tabs>
        <w:numPr>
          <w:ilvl w:val="0"/>
          <w:numId w:val="290"/>
        </w:numPr>
        <w:rPr>
          <w:rFonts w:ascii="Arial" w:cs="Arial" w:eastAsia="Arial" w:hAnsi="Arial"/>
          <w:sz w:val="21"/>
          <w:szCs w:val="21"/>
          <w:color w:val="auto"/>
        </w:rPr>
      </w:pPr>
      <w:r>
        <w:rPr>
          <w:rFonts w:ascii="Arial" w:cs="Arial" w:eastAsia="Arial" w:hAnsi="Arial"/>
          <w:sz w:val="21"/>
          <w:szCs w:val="21"/>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240"/>
          </w:cols>
          <w:pgMar w:left="320" w:top="1427" w:right="339" w:bottom="1440" w:gutter="0" w:footer="0" w:header="0"/>
        </w:sectPr>
      </w:pPr>
    </w:p>
    <w:bookmarkStart w:id="399" w:name="page400"/>
    <w:bookmarkEnd w:id="399"/>
    <w:p>
      <w:pPr>
        <w:jc w:val="both"/>
        <w:spacing w:after="0" w:line="287" w:lineRule="auto"/>
        <w:rPr>
          <w:sz w:val="20"/>
          <w:szCs w:val="20"/>
          <w:color w:val="auto"/>
        </w:rPr>
      </w:pPr>
      <w:r>
        <w:rPr>
          <w:rFonts w:ascii="Arial" w:cs="Arial" w:eastAsia="Arial" w:hAnsi="Arial"/>
          <w:sz w:val="19"/>
          <w:szCs w:val="19"/>
          <w:color w:val="auto"/>
        </w:rPr>
        <w:t xml:space="preserve">than as provided in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59" w:lineRule="exact"/>
        <w:rPr>
          <w:sz w:val="20"/>
          <w:szCs w:val="20"/>
          <w:color w:val="auto"/>
        </w:rPr>
      </w:pPr>
    </w:p>
    <w:p>
      <w:pPr>
        <w:jc w:val="both"/>
        <w:ind w:firstLine="656"/>
        <w:spacing w:after="0" w:line="286" w:lineRule="auto"/>
        <w:tabs>
          <w:tab w:leader="none" w:pos="1156" w:val="left"/>
        </w:tabs>
        <w:numPr>
          <w:ilvl w:val="0"/>
          <w:numId w:val="291"/>
        </w:numPr>
        <w:rPr>
          <w:rFonts w:ascii="Arial" w:cs="Arial" w:eastAsia="Arial" w:hAnsi="Arial"/>
          <w:sz w:val="19"/>
          <w:szCs w:val="19"/>
          <w:color w:val="auto"/>
        </w:rPr>
      </w:pPr>
      <w:r>
        <w:rPr>
          <w:rFonts w:ascii="Arial" w:cs="Arial" w:eastAsia="Arial" w:hAnsi="Arial"/>
          <w:sz w:val="19"/>
          <w:szCs w:val="19"/>
          <w:color w:val="auto"/>
        </w:rPr>
        <w:t xml:space="preserve">Any resignation by Bank of America as Administrative Agent pursuant to this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shall also constitute its resignation as an L/C Issuer and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9.07 </w:t>
      </w:r>
      <w:r>
        <w:rPr>
          <w:rFonts w:ascii="Arial" w:cs="Arial" w:eastAsia="Arial" w:hAnsi="Arial"/>
          <w:sz w:val="21"/>
          <w:szCs w:val="21"/>
          <w:u w:val="single" w:color="auto"/>
          <w:color w:val="auto"/>
        </w:rPr>
        <w:t>Non-Reliance on the Administrative Agent, the Arranger and the Other Lenders</w:t>
      </w:r>
      <w:r>
        <w:rPr>
          <w:rFonts w:ascii="Arial" w:cs="Arial" w:eastAsia="Arial" w:hAnsi="Arial"/>
          <w:sz w:val="21"/>
          <w:szCs w:val="21"/>
          <w:color w:val="auto"/>
        </w:rPr>
        <w:t>. Each Lender and each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of any Affiliate thereof, shall be deemed to constitute any representation or warranty by the Administrative Agent or the Arranger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240"/>
          </w:cols>
          <w:pgMar w:left="320" w:top="1427" w:right="339" w:bottom="1440" w:gutter="0" w:footer="0" w:header="0"/>
        </w:sectPr>
      </w:pPr>
    </w:p>
    <w:bookmarkStart w:id="400" w:name="page401"/>
    <w:bookmarkEnd w:id="400"/>
    <w:p>
      <w:pPr>
        <w:jc w:val="both"/>
        <w:spacing w:after="0" w:line="284" w:lineRule="auto"/>
        <w:rPr>
          <w:sz w:val="20"/>
          <w:szCs w:val="20"/>
          <w:color w:val="auto"/>
        </w:rPr>
      </w:pPr>
      <w:r>
        <w:rPr>
          <w:rFonts w:ascii="Arial" w:cs="Arial" w:eastAsia="Arial" w:hAnsi="Arial"/>
          <w:sz w:val="19"/>
          <w:szCs w:val="19"/>
          <w:color w:val="auto"/>
        </w:rPr>
        <w:t>to any Lender or each L/C Issuer as to any matter, including whether the Administrative Agent or the Arranger have disclosed material information in their (or their Related Parties’) possession. Each Lender and each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9.08 </w:t>
      </w:r>
      <w:r>
        <w:rPr>
          <w:rFonts w:ascii="Arial" w:cs="Arial" w:eastAsia="Arial" w:hAnsi="Arial"/>
          <w:sz w:val="22"/>
          <w:szCs w:val="22"/>
          <w:u w:val="single" w:color="auto"/>
          <w:color w:val="auto"/>
        </w:rPr>
        <w:t>No Other Duties, Etc</w:t>
      </w:r>
      <w:r>
        <w:rPr>
          <w:rFonts w:ascii="Arial" w:cs="Arial" w:eastAsia="Arial" w:hAnsi="Arial"/>
          <w:sz w:val="22"/>
          <w:szCs w:val="22"/>
          <w:color w:val="auto"/>
        </w:rPr>
        <w:t>. Anything herein to the contrary notwithstanding, none of the Bookrunners, Arrangers, Syndication Agents or Documentation Agents listed on the cover page hereof shall have any powers, duties or responsibilities under this Agreement or any of the other Loan Documents, except in its capacity, as applicable, as the Administrative Agent, a Lender or an L/C Issuer hereunder.</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9.09 </w:t>
      </w:r>
      <w:r>
        <w:rPr>
          <w:rFonts w:ascii="Arial" w:cs="Arial" w:eastAsia="Arial" w:hAnsi="Arial"/>
          <w:sz w:val="19"/>
          <w:szCs w:val="19"/>
          <w:u w:val="single" w:color="auto"/>
          <w:color w:val="auto"/>
        </w:rPr>
        <w:t>Administrative Agent May File Proofs of Claim</w:t>
      </w:r>
      <w:r>
        <w:rPr>
          <w:rFonts w:ascii="Arial" w:cs="Arial" w:eastAsia="Arial" w:hAnsi="Arial"/>
          <w:sz w:val="19"/>
          <w:szCs w:val="19"/>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240"/>
          </w:cols>
          <w:pgMar w:left="320" w:top="1427" w:right="339" w:bottom="1440" w:gutter="0" w:footer="0" w:header="0"/>
        </w:sectPr>
      </w:pPr>
    </w:p>
    <w:bookmarkStart w:id="401" w:name="page402"/>
    <w:bookmarkEnd w:id="401"/>
    <w:p>
      <w:pPr>
        <w:spacing w:after="0" w:line="263" w:lineRule="auto"/>
        <w:rPr>
          <w:sz w:val="20"/>
          <w:szCs w:val="20"/>
          <w:color w:val="auto"/>
        </w:rPr>
      </w:pPr>
      <w:r>
        <w:rPr>
          <w:rFonts w:ascii="Arial" w:cs="Arial" w:eastAsia="Arial" w:hAnsi="Arial"/>
          <w:sz w:val="22"/>
          <w:szCs w:val="22"/>
          <w:color w:val="auto"/>
        </w:rPr>
        <w:t>irrespective of whether the Administrative Agent shall have made any demand on the Borrower) shall be entitled and empowered, by intervention in such proceeding or otherwise:</w:t>
      </w:r>
    </w:p>
    <w:p>
      <w:pPr>
        <w:spacing w:after="0" w:line="175" w:lineRule="exact"/>
        <w:rPr>
          <w:sz w:val="20"/>
          <w:szCs w:val="20"/>
          <w:color w:val="auto"/>
        </w:rPr>
      </w:pPr>
    </w:p>
    <w:p>
      <w:pPr>
        <w:jc w:val="both"/>
        <w:ind w:firstLine="656"/>
        <w:spacing w:after="0" w:line="294" w:lineRule="auto"/>
        <w:tabs>
          <w:tab w:leader="none" w:pos="126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9"/>
          <w:szCs w:val="19"/>
          <w:u w:val="single" w:color="auto"/>
          <w:color w:val="auto"/>
        </w:rPr>
        <w:t>Sections 2.03(i)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(j)</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allowed in such judicial proceeding; and</w:t>
      </w:r>
    </w:p>
    <w:p>
      <w:pPr>
        <w:spacing w:after="0" w:line="149" w:lineRule="exact"/>
        <w:rPr>
          <w:rFonts w:ascii="Arial" w:cs="Arial" w:eastAsia="Arial" w:hAnsi="Arial"/>
          <w:sz w:val="19"/>
          <w:szCs w:val="19"/>
          <w:color w:val="auto"/>
        </w:rPr>
      </w:pPr>
    </w:p>
    <w:p>
      <w:pPr>
        <w:ind w:left="1160" w:hanging="504"/>
        <w:spacing w:after="0"/>
        <w:tabs>
          <w:tab w:leader="none" w:pos="1160"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same;</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2"/>
          <w:szCs w:val="22"/>
          <w:u w:val="single" w:color="auto"/>
          <w:color w:val="auto"/>
        </w:rPr>
        <w:t>Sections 2.09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11.04</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or in any such proceeding.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Guaranty Matters</w:t>
      </w:r>
      <w:r>
        <w:rPr>
          <w:rFonts w:ascii="Arial" w:cs="Arial" w:eastAsia="Arial" w:hAnsi="Arial"/>
          <w:sz w:val="22"/>
          <w:szCs w:val="22"/>
          <w:color w:val="auto"/>
        </w:rPr>
        <w:t>. Each of the Lenders (including in its capacities as a potential Hedge Bank) and the L/C Issuers irrevocably authorize the Administrative Agent, at its option and in its discretion,</w:t>
      </w:r>
    </w:p>
    <w:p>
      <w:pPr>
        <w:spacing w:after="0" w:line="175" w:lineRule="exact"/>
        <w:rPr>
          <w:sz w:val="20"/>
          <w:szCs w:val="20"/>
          <w:color w:val="auto"/>
        </w:rPr>
      </w:pPr>
    </w:p>
    <w:p>
      <w:pPr>
        <w:jc w:val="both"/>
        <w:ind w:firstLine="656"/>
        <w:spacing w:after="0" w:line="294" w:lineRule="auto"/>
        <w:tabs>
          <w:tab w:leader="none" w:pos="1162" w:val="left"/>
        </w:tabs>
        <w:numPr>
          <w:ilvl w:val="0"/>
          <w:numId w:val="293"/>
        </w:numPr>
        <w:rPr>
          <w:rFonts w:ascii="Arial" w:cs="Arial" w:eastAsia="Arial" w:hAnsi="Arial"/>
          <w:sz w:val="19"/>
          <w:szCs w:val="19"/>
          <w:color w:val="auto"/>
        </w:rPr>
      </w:pPr>
      <w:r>
        <w:rPr>
          <w:rFonts w:ascii="Arial" w:cs="Arial" w:eastAsia="Arial" w:hAnsi="Arial"/>
          <w:sz w:val="19"/>
          <w:szCs w:val="19"/>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Hedge Agreements as to which arrangements satisfactory to the applicable Hedge Bank shall have been made) and the expiration or termination of all Letters of Credit (other than Letters of Credit as to which other arrangements satisfactory to the Administrative Agent and the L/C Issuer shall have been made), or (ii) if approved, authorized or ratified in writing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 and</w:t>
      </w:r>
    </w:p>
    <w:p>
      <w:pPr>
        <w:spacing w:after="0" w:line="149" w:lineRule="exact"/>
        <w:rPr>
          <w:rFonts w:ascii="Arial" w:cs="Arial" w:eastAsia="Arial" w:hAnsi="Arial"/>
          <w:sz w:val="19"/>
          <w:szCs w:val="19"/>
          <w:color w:val="auto"/>
        </w:rPr>
      </w:pPr>
    </w:p>
    <w:p>
      <w:pPr>
        <w:ind w:firstLine="656"/>
        <w:spacing w:after="0" w:line="263" w:lineRule="auto"/>
        <w:tabs>
          <w:tab w:leader="none" w:pos="1136" w:val="left"/>
        </w:tabs>
        <w:numPr>
          <w:ilvl w:val="0"/>
          <w:numId w:val="293"/>
        </w:numPr>
        <w:rPr>
          <w:rFonts w:ascii="Arial" w:cs="Arial" w:eastAsia="Arial" w:hAnsi="Arial"/>
          <w:sz w:val="22"/>
          <w:szCs w:val="22"/>
          <w:color w:val="auto"/>
        </w:rPr>
      </w:pPr>
      <w:r>
        <w:rPr>
          <w:rFonts w:ascii="Arial" w:cs="Arial" w:eastAsia="Arial" w:hAnsi="Arial"/>
          <w:sz w:val="22"/>
          <w:szCs w:val="22"/>
          <w:color w:val="auto"/>
        </w:rPr>
        <w:t>to release any Guarantor from its obligations under the Guaranty if such Person ceases to be a Subsidiary as a result of a transaction permitted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1240"/>
          </w:cols>
          <w:pgMar w:left="320" w:top="1427" w:right="339" w:bottom="1440" w:gutter="0" w:footer="0" w:header="0"/>
        </w:sectPr>
      </w:pPr>
    </w:p>
    <w:bookmarkStart w:id="402" w:name="page403"/>
    <w:bookmarkEnd w:id="402"/>
    <w:p>
      <w:pPr>
        <w:jc w:val="both"/>
        <w:ind w:firstLine="648"/>
        <w:spacing w:after="0" w:line="246" w:lineRule="auto"/>
        <w:rPr>
          <w:sz w:val="20"/>
          <w:szCs w:val="20"/>
          <w:color w:val="auto"/>
        </w:rPr>
      </w:pPr>
      <w:r>
        <w:rPr>
          <w:rFonts w:ascii="Arial" w:cs="Arial" w:eastAsia="Arial" w:hAnsi="Arial"/>
          <w:sz w:val="22"/>
          <w:szCs w:val="22"/>
          <w:color w:val="auto"/>
        </w:rPr>
        <w:t xml:space="preserve">Upon request by the Administrative Agent at any time, the Required Lenders will confirm in writing the Administrative Agent’s authority to release its interest in particular types or items of property, or to release any Guarantor from its obligations under the Guaranty pursuant to this </w:t>
      </w:r>
      <w:r>
        <w:rPr>
          <w:rFonts w:ascii="Arial" w:cs="Arial" w:eastAsia="Arial" w:hAnsi="Arial"/>
          <w:sz w:val="22"/>
          <w:szCs w:val="22"/>
          <w:u w:val="single" w:color="auto"/>
          <w:color w:val="auto"/>
        </w:rPr>
        <w:t>Section 9.10</w:t>
      </w:r>
      <w:r>
        <w:rPr>
          <w:rFonts w:ascii="Arial" w:cs="Arial" w:eastAsia="Arial" w:hAnsi="Arial"/>
          <w:sz w:val="22"/>
          <w:szCs w:val="22"/>
          <w:color w:val="auto"/>
        </w:rPr>
        <w:t xml:space="preserve">. In each case as specified in this </w:t>
      </w:r>
      <w:r>
        <w:rPr>
          <w:rFonts w:ascii="Arial" w:cs="Arial" w:eastAsia="Arial" w:hAnsi="Arial"/>
          <w:sz w:val="22"/>
          <w:szCs w:val="22"/>
          <w:u w:val="single" w:color="auto"/>
          <w:color w:val="auto"/>
        </w:rPr>
        <w:t>Section 9.10</w:t>
      </w:r>
      <w:r>
        <w:rPr>
          <w:rFonts w:ascii="Arial" w:cs="Arial" w:eastAsia="Arial" w:hAnsi="Arial"/>
          <w:sz w:val="22"/>
          <w:szCs w:val="22"/>
          <w:color w:val="auto"/>
        </w:rPr>
        <w:t xml:space="preserve">, the Administrative Agent will, at the Borrower’s expense, execute and deliver to the applicable Loan Party such documents as such Loan Party may reasonably request to evidence the release of any Liens on any property granted to or held by the Administrative Agent or to release such Guarantor from its obligations under the Guaranty, in each case in accordance with the terms of the Loan Documents and this </w:t>
      </w:r>
      <w:r>
        <w:rPr>
          <w:rFonts w:ascii="Arial" w:cs="Arial" w:eastAsia="Arial" w:hAnsi="Arial"/>
          <w:sz w:val="22"/>
          <w:szCs w:val="22"/>
          <w:u w:val="single" w:color="auto"/>
          <w:color w:val="auto"/>
        </w:rPr>
        <w:t>Section 9.10</w:t>
      </w:r>
      <w:r>
        <w:rPr>
          <w:rFonts w:ascii="Arial" w:cs="Arial" w:eastAsia="Arial" w:hAnsi="Arial"/>
          <w:sz w:val="22"/>
          <w:szCs w:val="22"/>
          <w:color w:val="auto"/>
        </w:rPr>
        <w:t>.</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Administrative Agent shall not be responsible for or have a duty to ascertain or inquire into any representation or warranty regarding the existence, value or collectability of the Cash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Cash Collateral.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9.11 </w:t>
      </w:r>
      <w:r>
        <w:rPr>
          <w:rFonts w:ascii="Arial" w:cs="Arial" w:eastAsia="Arial" w:hAnsi="Arial"/>
          <w:sz w:val="21"/>
          <w:szCs w:val="21"/>
          <w:u w:val="single" w:color="auto"/>
          <w:color w:val="auto"/>
        </w:rPr>
        <w:t>Hedge Agreements</w:t>
      </w:r>
      <w:r>
        <w:rPr>
          <w:rFonts w:ascii="Arial" w:cs="Arial" w:eastAsia="Arial" w:hAnsi="Arial"/>
          <w:sz w:val="21"/>
          <w:szCs w:val="21"/>
          <w:color w:val="auto"/>
        </w:rPr>
        <w:t xml:space="preserve">. Except as otherwise expressly set forth herein or] in any Guaranty no Hedge Bank that obtains the benefits of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or any Guaranty by virtue of the provisions hereof or otherwise shall have any right to notice of any action or to consent to, direct or object to any action hereunder or under any other Loan Document other than in its capacity as a Lender and, in such case, only to the extent expressly provided in the Loan Documents. Notwithstanding any other provision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to the contrary, the Administrative Agent shall not be required to verify the payment of, or that other satisfactory arrangements have been made with respect to, Obligations arising under Hedge Agreements unless the Administrative Agent has received written notice of such Obligations, together with such supporting documentation as the Administrative Agent may request, from the applicable Hedge Bank.</w:t>
      </w:r>
    </w:p>
    <w:p>
      <w:pPr>
        <w:spacing w:after="0" w:line="17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u w:val="single" w:color="auto"/>
          <w:color w:val="auto"/>
        </w:rPr>
        <w:t>Certain ERISA Matters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656"/>
        <w:spacing w:after="0" w:line="250" w:lineRule="auto"/>
        <w:tabs>
          <w:tab w:leader="none" w:pos="1219" w:val="left"/>
        </w:tabs>
        <w:numPr>
          <w:ilvl w:val="0"/>
          <w:numId w:val="294"/>
        </w:numPr>
        <w:rPr>
          <w:rFonts w:ascii="Arial" w:cs="Arial" w:eastAsia="Arial" w:hAnsi="Arial"/>
          <w:sz w:val="22"/>
          <w:szCs w:val="22"/>
          <w:color w:val="auto"/>
        </w:rPr>
      </w:pPr>
      <w:r>
        <w:rPr>
          <w:rFonts w:ascii="Arial" w:cs="Arial" w:eastAsia="Arial" w:hAnsi="Arial"/>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7" w:lineRule="exact"/>
        <w:rPr>
          <w:rFonts w:ascii="Arial" w:cs="Arial" w:eastAsia="Arial" w:hAnsi="Arial"/>
          <w:sz w:val="22"/>
          <w:szCs w:val="22"/>
          <w:color w:val="auto"/>
        </w:rPr>
      </w:pPr>
    </w:p>
    <w:p>
      <w:pPr>
        <w:ind w:left="660" w:right="80" w:firstLine="644"/>
        <w:spacing w:after="0" w:line="253" w:lineRule="auto"/>
        <w:tabs>
          <w:tab w:leader="none" w:pos="1566" w:val="left"/>
        </w:tabs>
        <w:numPr>
          <w:ilvl w:val="1"/>
          <w:numId w:val="294"/>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5" w:lineRule="exact"/>
        <w:rPr>
          <w:rFonts w:ascii="Arial" w:cs="Arial" w:eastAsia="Arial" w:hAnsi="Arial"/>
          <w:sz w:val="22"/>
          <w:szCs w:val="22"/>
          <w:color w:val="auto"/>
        </w:rPr>
      </w:pPr>
    </w:p>
    <w:p>
      <w:pPr>
        <w:ind w:left="660" w:right="120" w:firstLine="644"/>
        <w:spacing w:after="0" w:line="312" w:lineRule="auto"/>
        <w:tabs>
          <w:tab w:leader="none" w:pos="1626" w:val="left"/>
        </w:tabs>
        <w:numPr>
          <w:ilvl w:val="1"/>
          <w:numId w:val="294"/>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1240"/>
          </w:cols>
          <w:pgMar w:left="320" w:top="1427" w:right="339" w:bottom="1440" w:gutter="0" w:footer="0" w:header="0"/>
        </w:sectPr>
      </w:pPr>
    </w:p>
    <w:bookmarkStart w:id="403" w:name="page404"/>
    <w:bookmarkEnd w:id="403"/>
    <w:p>
      <w:pPr>
        <w:ind w:left="660" w:right="680"/>
        <w:spacing w:after="0" w:line="302" w:lineRule="auto"/>
        <w:rPr>
          <w:sz w:val="20"/>
          <w:szCs w:val="20"/>
          <w:color w:val="auto"/>
        </w:rPr>
      </w:pPr>
      <w:r>
        <w:rPr>
          <w:rFonts w:ascii="Arial" w:cs="Arial" w:eastAsia="Arial" w:hAnsi="Arial"/>
          <w:sz w:val="19"/>
          <w:szCs w:val="19"/>
          <w:color w:val="auto"/>
        </w:rPr>
        <w:t>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42" w:lineRule="exact"/>
        <w:rPr>
          <w:sz w:val="20"/>
          <w:szCs w:val="20"/>
          <w:color w:val="auto"/>
        </w:rPr>
      </w:pPr>
    </w:p>
    <w:p>
      <w:pPr>
        <w:ind w:left="660" w:right="20" w:firstLine="644"/>
        <w:spacing w:after="0" w:line="290" w:lineRule="auto"/>
        <w:tabs>
          <w:tab w:leader="none" w:pos="1686" w:val="left"/>
        </w:tabs>
        <w:numPr>
          <w:ilvl w:val="2"/>
          <w:numId w:val="295"/>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5" w:lineRule="exact"/>
        <w:rPr>
          <w:rFonts w:ascii="Arial" w:cs="Arial" w:eastAsia="Arial" w:hAnsi="Arial"/>
          <w:sz w:val="19"/>
          <w:szCs w:val="19"/>
          <w:color w:val="auto"/>
        </w:rPr>
      </w:pPr>
    </w:p>
    <w:p>
      <w:pPr>
        <w:ind w:left="660" w:right="440" w:firstLine="644"/>
        <w:spacing w:after="0" w:line="263" w:lineRule="auto"/>
        <w:tabs>
          <w:tab w:leader="none" w:pos="1674" w:val="left"/>
        </w:tabs>
        <w:numPr>
          <w:ilvl w:val="2"/>
          <w:numId w:val="295"/>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1"/>
          <w:numId w:val="296"/>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w:t>
      </w:r>
    </w:p>
    <w:p>
      <w:pPr>
        <w:spacing w:after="0" w:line="55" w:lineRule="exact"/>
        <w:rPr>
          <w:rFonts w:ascii="Arial" w:cs="Arial" w:eastAsia="Arial" w:hAnsi="Arial"/>
          <w:sz w:val="19"/>
          <w:szCs w:val="19"/>
          <w:color w:val="auto"/>
        </w:rPr>
      </w:pPr>
    </w:p>
    <w:p>
      <w:pPr>
        <w:jc w:val="both"/>
        <w:ind w:firstLine="8"/>
        <w:spacing w:after="0" w:line="287" w:lineRule="auto"/>
        <w:tabs>
          <w:tab w:leader="none" w:pos="321" w:val="left"/>
        </w:tabs>
        <w:numPr>
          <w:ilvl w:val="0"/>
          <w:numId w:val="297"/>
        </w:numPr>
        <w:rPr>
          <w:rFonts w:ascii="Arial" w:cs="Arial" w:eastAsia="Arial" w:hAnsi="Arial"/>
          <w:sz w:val="19"/>
          <w:szCs w:val="19"/>
          <w:color w:val="auto"/>
        </w:rPr>
      </w:pPr>
      <w:r>
        <w:rPr>
          <w:rFonts w:ascii="Arial" w:cs="Arial" w:eastAsia="Arial" w:hAnsi="Arial"/>
          <w:sz w:val="19"/>
          <w:szCs w:val="19"/>
          <w:color w:val="auto"/>
        </w:rPr>
        <w:t>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9.13 </w:t>
      </w:r>
      <w:r>
        <w:rPr>
          <w:rFonts w:ascii="Arial" w:cs="Arial" w:eastAsia="Arial" w:hAnsi="Arial"/>
          <w:sz w:val="19"/>
          <w:szCs w:val="19"/>
          <w:u w:val="single" w:color="auto"/>
          <w:color w:val="auto"/>
        </w:rPr>
        <w:t>Recovery of Erroneous Payments.</w:t>
      </w:r>
      <w:r>
        <w:rPr>
          <w:rFonts w:ascii="Arial" w:cs="Arial" w:eastAsia="Arial" w:hAnsi="Arial"/>
          <w:sz w:val="19"/>
          <w:szCs w:val="19"/>
          <w:color w:val="auto"/>
        </w:rPr>
        <w:t xml:space="preserve"> Without limitation of any other provision in this Agreement, if at any time the Administrative Agent makes a payment hereunder in error to any Lender or any L/C Issuer (the “</w:t>
      </w:r>
      <w:r>
        <w:rPr>
          <w:rFonts w:ascii="Arial" w:cs="Arial" w:eastAsia="Arial" w:hAnsi="Arial"/>
          <w:sz w:val="19"/>
          <w:szCs w:val="19"/>
          <w:u w:val="single" w:color="auto"/>
          <w:color w:val="auto"/>
        </w:rPr>
        <w:t>Credit Party</w:t>
      </w:r>
      <w:r>
        <w:rPr>
          <w:rFonts w:ascii="Arial" w:cs="Arial" w:eastAsia="Arial" w:hAnsi="Arial"/>
          <w:sz w:val="19"/>
          <w:szCs w:val="19"/>
          <w:color w:val="auto"/>
        </w:rPr>
        <w:t>”),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1240"/>
          </w:cols>
          <w:pgMar w:left="320" w:top="1427" w:right="339" w:bottom="1440" w:gutter="0" w:footer="0" w:header="0"/>
        </w:sectPr>
      </w:pPr>
    </w:p>
    <w:bookmarkStart w:id="404" w:name="page405"/>
    <w:bookmarkEnd w:id="404"/>
    <w:p>
      <w:pPr>
        <w:jc w:val="both"/>
        <w:spacing w:after="0" w:line="302" w:lineRule="auto"/>
        <w:rPr>
          <w:sz w:val="20"/>
          <w:szCs w:val="20"/>
          <w:color w:val="auto"/>
        </w:rPr>
      </w:pPr>
      <w:r>
        <w:rPr>
          <w:rFonts w:ascii="Arial" w:cs="Arial" w:eastAsia="Arial" w:hAnsi="Arial"/>
          <w:sz w:val="19"/>
          <w:szCs w:val="19"/>
          <w:color w:val="auto"/>
        </w:rPr>
        <w:t>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36"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2"/>
          <w:szCs w:val="22"/>
          <w:b w:val="1"/>
          <w:bCs w:val="1"/>
          <w:color w:val="auto"/>
        </w:rPr>
        <w:t>ARTICLE X.</w:t>
        <w:tab/>
        <w:t>GUARANTY</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10.01 </w:t>
      </w:r>
      <w:r>
        <w:rPr>
          <w:rFonts w:ascii="Arial" w:cs="Arial" w:eastAsia="Arial" w:hAnsi="Arial"/>
          <w:sz w:val="19"/>
          <w:szCs w:val="19"/>
          <w:u w:val="single" w:color="auto"/>
          <w:color w:val="auto"/>
        </w:rPr>
        <w:t>Guaranty of the Obligations</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10.02</w:t>
      </w:r>
      <w:r>
        <w:rPr>
          <w:rFonts w:ascii="Arial" w:cs="Arial" w:eastAsia="Arial" w:hAnsi="Arial"/>
          <w:sz w:val="19"/>
          <w:szCs w:val="19"/>
          <w:color w:val="auto"/>
        </w:rPr>
        <w:t>, Guarantors jointly and severally hereby irrevocably and unconditionally guaranty to Administrative Agent,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10.02 </w:t>
      </w:r>
      <w:r>
        <w:rPr>
          <w:rFonts w:ascii="Arial" w:cs="Arial" w:eastAsia="Arial" w:hAnsi="Arial"/>
          <w:sz w:val="19"/>
          <w:szCs w:val="19"/>
          <w:u w:val="single" w:color="auto"/>
          <w:color w:val="auto"/>
        </w:rPr>
        <w:t>Contribution by Guarantors</w:t>
      </w:r>
      <w:r>
        <w:rPr>
          <w:rFonts w:ascii="Arial" w:cs="Arial" w:eastAsia="Arial" w:hAnsi="Arial"/>
          <w:sz w:val="19"/>
          <w:szCs w:val="19"/>
          <w:color w:val="auto"/>
        </w:rPr>
        <w:t>. All Guarantors desire to allocate among themselves (collectively, the “</w:t>
      </w:r>
      <w:r>
        <w:rPr>
          <w:rFonts w:ascii="Arial" w:cs="Arial" w:eastAsia="Arial" w:hAnsi="Arial"/>
          <w:sz w:val="19"/>
          <w:szCs w:val="19"/>
          <w:u w:val="single" w:color="auto"/>
          <w:color w:val="auto"/>
        </w:rPr>
        <w:t>Contributing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Guarantors</w:t>
      </w:r>
      <w:r>
        <w:rPr>
          <w:rFonts w:ascii="Arial" w:cs="Arial" w:eastAsia="Arial" w:hAnsi="Arial"/>
          <w:sz w:val="19"/>
          <w:szCs w:val="19"/>
          <w:color w:val="auto"/>
        </w:rPr>
        <w:t>”), in a fair and equitable manner, their obligations arising under this Guaranty. Accordingly, in the event any payment or distribution is made on any date by a Guarantor (a “</w:t>
      </w:r>
      <w:r>
        <w:rPr>
          <w:rFonts w:ascii="Arial" w:cs="Arial" w:eastAsia="Arial" w:hAnsi="Arial"/>
          <w:sz w:val="19"/>
          <w:szCs w:val="19"/>
          <w:u w:val="single" w:color="auto"/>
          <w:color w:val="auto"/>
        </w:rPr>
        <w:t>Funding Guarantor</w:t>
      </w:r>
      <w:r>
        <w:rPr>
          <w:rFonts w:ascii="Arial" w:cs="Arial" w:eastAsia="Arial" w:hAnsi="Arial"/>
          <w:sz w:val="19"/>
          <w:szCs w:val="19"/>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9"/>
          <w:szCs w:val="19"/>
          <w:u w:val="single" w:color="auto"/>
          <w:color w:val="auto"/>
        </w:rPr>
        <w:t>Fair Share</w:t>
      </w:r>
      <w:r>
        <w:rPr>
          <w:rFonts w:ascii="Arial" w:cs="Arial" w:eastAsia="Arial" w:hAnsi="Arial"/>
          <w:sz w:val="19"/>
          <w:szCs w:val="19"/>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Arial" w:cs="Arial" w:eastAsia="Arial" w:hAnsi="Arial"/>
          <w:sz w:val="19"/>
          <w:szCs w:val="19"/>
          <w:u w:val="single" w:color="auto"/>
          <w:color w:val="auto"/>
        </w:rPr>
        <w:t>Fair Share Contribution Amount</w:t>
      </w:r>
      <w:r>
        <w:rPr>
          <w:rFonts w:ascii="Arial" w:cs="Arial" w:eastAsia="Arial" w:hAnsi="Arial"/>
          <w:sz w:val="19"/>
          <w:szCs w:val="19"/>
          <w:color w:val="auto"/>
        </w:rPr>
        <w:t xml:space="preserve">” means, with respect to a Contributing Guarantor as of any date of determination, the maximum aggregate amount of the obligations of such Contributing Guarantor under this Guaranty that would not render its obligations hereunder or thereunder subject to avoidance as a fraudulent transfer or conveyance under Section 548 of Title 11 of the United States Code or any comparable applicable provisions of state law; </w:t>
      </w:r>
      <w:r>
        <w:rPr>
          <w:rFonts w:ascii="Arial" w:cs="Arial" w:eastAsia="Arial" w:hAnsi="Arial"/>
          <w:sz w:val="19"/>
          <w:szCs w:val="19"/>
          <w:u w:val="single" w:color="auto"/>
          <w:color w:val="auto"/>
        </w:rPr>
        <w:t>provided</w:t>
      </w:r>
      <w:r>
        <w:rPr>
          <w:rFonts w:ascii="Arial" w:cs="Arial" w:eastAsia="Arial" w:hAnsi="Arial"/>
          <w:sz w:val="19"/>
          <w:szCs w:val="19"/>
          <w:color w:val="auto"/>
        </w:rPr>
        <w:t>, solely for purposes of calculating the “</w:t>
      </w:r>
      <w:r>
        <w:rPr>
          <w:rFonts w:ascii="Arial" w:cs="Arial" w:eastAsia="Arial" w:hAnsi="Arial"/>
          <w:sz w:val="19"/>
          <w:szCs w:val="19"/>
          <w:u w:val="single" w:color="auto"/>
          <w:color w:val="auto"/>
        </w:rPr>
        <w:t>Fair Share Contribution Amount</w:t>
      </w:r>
      <w:r>
        <w:rPr>
          <w:rFonts w:ascii="Arial" w:cs="Arial" w:eastAsia="Arial" w:hAnsi="Arial"/>
          <w:sz w:val="19"/>
          <w:szCs w:val="19"/>
          <w:color w:val="auto"/>
        </w:rPr>
        <w:t xml:space="preserve">” with respect to any Contributing Guarantor for purposes of this </w:t>
      </w:r>
      <w:r>
        <w:rPr>
          <w:rFonts w:ascii="Arial" w:cs="Arial" w:eastAsia="Arial" w:hAnsi="Arial"/>
          <w:sz w:val="19"/>
          <w:szCs w:val="19"/>
          <w:u w:val="single" w:color="auto"/>
          <w:color w:val="auto"/>
        </w:rPr>
        <w:t>Section 10.02</w:t>
      </w:r>
      <w:r>
        <w:rPr>
          <w:rFonts w:ascii="Arial" w:cs="Arial" w:eastAsia="Arial" w:hAnsi="Arial"/>
          <w:sz w:val="19"/>
          <w:szCs w:val="19"/>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Arial" w:cs="Arial" w:eastAsia="Arial" w:hAnsi="Arial"/>
          <w:sz w:val="19"/>
          <w:szCs w:val="19"/>
          <w:u w:val="single" w:color="auto"/>
          <w:color w:val="auto"/>
        </w:rPr>
        <w:t>Aggregate Payments</w:t>
      </w:r>
      <w:r>
        <w:rPr>
          <w:rFonts w:ascii="Arial" w:cs="Arial" w:eastAsia="Arial" w:hAnsi="Arial"/>
          <w:sz w:val="19"/>
          <w:szCs w:val="19"/>
          <w:color w:val="auto"/>
        </w:rPr>
        <w:t>” means, with respect to a Contributing Guarantor as of any date of determination, an amount equal to</w:t>
      </w:r>
    </w:p>
    <w:p>
      <w:pPr>
        <w:spacing w:after="0" w:line="14" w:lineRule="exact"/>
        <w:rPr>
          <w:sz w:val="20"/>
          <w:szCs w:val="20"/>
          <w:color w:val="auto"/>
        </w:rPr>
      </w:pPr>
    </w:p>
    <w:p>
      <w:pPr>
        <w:jc w:val="both"/>
        <w:ind w:firstLine="8"/>
        <w:spacing w:after="0" w:line="259" w:lineRule="auto"/>
        <w:tabs>
          <w:tab w:leader="none" w:pos="34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 xml:space="preserve">the aggregate amount of all payments and distributions made on or before such date by such Contributing Guarantor in respect of this Guaranty (including in respect of this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(2) the aggregate amount of all payments received on or before such date by such Contributing Guarantor from the other Contributing Guarantors as contributions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10.02</w:t>
      </w:r>
      <w:r>
        <w:rPr>
          <w:rFonts w:ascii="Arial" w:cs="Arial" w:eastAsia="Arial" w:hAnsi="Arial"/>
          <w:sz w:val="21"/>
          <w:szCs w:val="21"/>
          <w:color w:val="auto"/>
        </w:rPr>
        <w:t>. The amounts payable as contributions hereunder shall be determined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1240"/>
          </w:cols>
          <w:pgMar w:left="320" w:top="1427" w:right="339" w:bottom="1440" w:gutter="0" w:footer="0" w:header="0"/>
        </w:sectPr>
      </w:pPr>
    </w:p>
    <w:bookmarkStart w:id="405" w:name="page406"/>
    <w:bookmarkEnd w:id="405"/>
    <w:p>
      <w:pPr>
        <w:jc w:val="both"/>
        <w:spacing w:after="0" w:line="250" w:lineRule="auto"/>
        <w:rPr>
          <w:sz w:val="20"/>
          <w:szCs w:val="20"/>
          <w:color w:val="auto"/>
        </w:rPr>
      </w:pPr>
      <w:r>
        <w:rPr>
          <w:rFonts w:ascii="Arial" w:cs="Arial" w:eastAsia="Arial" w:hAnsi="Arial"/>
          <w:sz w:val="22"/>
          <w:szCs w:val="22"/>
          <w:color w:val="auto"/>
        </w:rPr>
        <w:t xml:space="preserve">date on which the related payment or distribution is made by the applicable Funding Guarantor. The allocation among Contributing Guarantors of their obligations as set forth in this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shall not be construed in any way to limit the liability of any Contributing Guarantor hereunder. Each Guarantor is a third party beneficiary to the contribution agreement set forth in this </w:t>
      </w:r>
      <w:r>
        <w:rPr>
          <w:rFonts w:ascii="Arial" w:cs="Arial" w:eastAsia="Arial" w:hAnsi="Arial"/>
          <w:sz w:val="22"/>
          <w:szCs w:val="22"/>
          <w:u w:val="single" w:color="auto"/>
          <w:color w:val="auto"/>
        </w:rPr>
        <w:t>Section 10.02</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10.03 </w:t>
      </w:r>
      <w:r>
        <w:rPr>
          <w:rFonts w:ascii="Arial" w:cs="Arial" w:eastAsia="Arial" w:hAnsi="Arial"/>
          <w:sz w:val="21"/>
          <w:szCs w:val="21"/>
          <w:u w:val="single" w:color="auto"/>
          <w:color w:val="auto"/>
        </w:rPr>
        <w:t>Payment by Guarantors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10.02</w:t>
      </w:r>
      <w:r>
        <w:rPr>
          <w:rFonts w:ascii="Arial" w:cs="Arial" w:eastAsia="Arial" w:hAnsi="Arial"/>
          <w:sz w:val="21"/>
          <w:szCs w:val="21"/>
          <w:color w:val="auto"/>
        </w:rPr>
        <w:t>, Guarantors hereby jointly and severally agree, in furtherance of the foregoing and not in limitation of any other right which any Beneficiary may have at law or in equity against any Guarantor by virtue hereof, that upon the failure of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which, but for Borrower’s becoming the subject of a case under the Bankruptcy Code, would have accrued on such Guaranteed Obligations, whether or not a claim is allowed against Borrower for such interest in the related bankruptcy case) and all other Guaranteed Obligations then owed to Beneficiaries as aforesaid.</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10.04 </w:t>
      </w:r>
      <w:r>
        <w:rPr>
          <w:rFonts w:ascii="Arial" w:cs="Arial" w:eastAsia="Arial" w:hAnsi="Arial"/>
          <w:sz w:val="22"/>
          <w:szCs w:val="22"/>
          <w:u w:val="single" w:color="auto"/>
          <w:color w:val="auto"/>
        </w:rPr>
        <w:t>Liability of Guarantors Absolute</w:t>
      </w:r>
      <w:r>
        <w:rPr>
          <w:rFonts w:ascii="Arial" w:cs="Arial" w:eastAsia="Arial" w:hAnsi="Arial"/>
          <w:sz w:val="22"/>
          <w:szCs w:val="22"/>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88" w:lineRule="exact"/>
        <w:rPr>
          <w:sz w:val="20"/>
          <w:szCs w:val="20"/>
          <w:color w:val="auto"/>
        </w:rPr>
      </w:pPr>
    </w:p>
    <w:p>
      <w:pPr>
        <w:ind w:right="20" w:firstLine="1304"/>
        <w:spacing w:after="0" w:line="263" w:lineRule="auto"/>
        <w:tabs>
          <w:tab w:leader="none" w:pos="163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this Guaranty is a guaranty of payment when due and not of collectability. This Guaranty is a primary obligation of each Guarantor and not merely a contract of surety;</w:t>
      </w:r>
    </w:p>
    <w:p>
      <w:pPr>
        <w:spacing w:after="0" w:line="174" w:lineRule="exact"/>
        <w:rPr>
          <w:rFonts w:ascii="Arial" w:cs="Arial" w:eastAsia="Arial" w:hAnsi="Arial"/>
          <w:sz w:val="22"/>
          <w:szCs w:val="22"/>
          <w:color w:val="auto"/>
        </w:rPr>
      </w:pPr>
    </w:p>
    <w:p>
      <w:pPr>
        <w:ind w:firstLine="1304"/>
        <w:spacing w:after="0" w:line="343" w:lineRule="auto"/>
        <w:tabs>
          <w:tab w:leader="none" w:pos="1602" w:val="left"/>
        </w:tabs>
        <w:numPr>
          <w:ilvl w:val="0"/>
          <w:numId w:val="299"/>
        </w:numPr>
        <w:rPr>
          <w:rFonts w:ascii="Arial" w:cs="Arial" w:eastAsia="Arial" w:hAnsi="Arial"/>
          <w:sz w:val="19"/>
          <w:szCs w:val="19"/>
          <w:color w:val="auto"/>
        </w:rPr>
      </w:pPr>
      <w:r>
        <w:rPr>
          <w:rFonts w:ascii="Arial" w:cs="Arial" w:eastAsia="Arial" w:hAnsi="Arial"/>
          <w:sz w:val="19"/>
          <w:szCs w:val="19"/>
          <w:color w:val="auto"/>
        </w:rPr>
        <w:t>Administrative Agent may enforce this Guaranty upon the occurrence of an Event of Default notwithstanding the existence of any dispute between Borrower and any Beneficiary with respect to the existence of such Event of Default;</w:t>
      </w:r>
    </w:p>
    <w:p>
      <w:pPr>
        <w:spacing w:after="0" w:line="104" w:lineRule="exact"/>
        <w:rPr>
          <w:rFonts w:ascii="Arial" w:cs="Arial" w:eastAsia="Arial" w:hAnsi="Arial"/>
          <w:sz w:val="19"/>
          <w:szCs w:val="19"/>
          <w:color w:val="auto"/>
        </w:rPr>
      </w:pPr>
    </w:p>
    <w:p>
      <w:pPr>
        <w:jc w:val="both"/>
        <w:ind w:firstLine="1304"/>
        <w:spacing w:after="0" w:line="265" w:lineRule="auto"/>
        <w:tabs>
          <w:tab w:leader="none" w:pos="1590" w:val="left"/>
        </w:tabs>
        <w:numPr>
          <w:ilvl w:val="0"/>
          <w:numId w:val="299"/>
        </w:numPr>
        <w:rPr>
          <w:rFonts w:ascii="Arial" w:cs="Arial" w:eastAsia="Arial" w:hAnsi="Arial"/>
          <w:sz w:val="21"/>
          <w:szCs w:val="21"/>
          <w:color w:val="auto"/>
        </w:rPr>
      </w:pPr>
      <w:r>
        <w:rPr>
          <w:rFonts w:ascii="Arial" w:cs="Arial" w:eastAsia="Arial" w:hAnsi="Arial"/>
          <w:sz w:val="21"/>
          <w:szCs w:val="21"/>
          <w:color w:val="auto"/>
        </w:rPr>
        <w:t>the obligations of each Guarantor hereunder are independent of the obligations of Borrower and the obligations of any other guarantor (including any other Guarantor) of the obligations of Borrower, and a separate action or actions may be brought and prosecuted against such Guarantor whether or not any action is brought against Borrower or any of such other guarantors and whether or not Borrower is joined in any such action or actions;</w:t>
      </w:r>
    </w:p>
    <w:p>
      <w:pPr>
        <w:spacing w:after="0" w:line="175" w:lineRule="exact"/>
        <w:rPr>
          <w:rFonts w:ascii="Arial" w:cs="Arial" w:eastAsia="Arial" w:hAnsi="Arial"/>
          <w:sz w:val="21"/>
          <w:szCs w:val="21"/>
          <w:color w:val="auto"/>
        </w:rPr>
      </w:pPr>
    </w:p>
    <w:p>
      <w:pPr>
        <w:jc w:val="both"/>
        <w:ind w:firstLine="1304"/>
        <w:spacing w:after="0" w:line="248" w:lineRule="auto"/>
        <w:tabs>
          <w:tab w:leader="none" w:pos="1602" w:val="left"/>
        </w:tabs>
        <w:numPr>
          <w:ilvl w:val="0"/>
          <w:numId w:val="299"/>
        </w:numPr>
        <w:rPr>
          <w:rFonts w:ascii="Arial" w:cs="Arial" w:eastAsia="Arial" w:hAnsi="Arial"/>
          <w:sz w:val="22"/>
          <w:szCs w:val="22"/>
          <w:color w:val="auto"/>
        </w:rPr>
      </w:pPr>
      <w:r>
        <w:rPr>
          <w:rFonts w:ascii="Arial" w:cs="Arial" w:eastAsia="Arial" w:hAnsi="Arial"/>
          <w:sz w:val="22"/>
          <w:szCs w:val="22"/>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240"/>
          </w:cols>
          <w:pgMar w:left="320" w:top="1427" w:right="339" w:bottom="1440" w:gutter="0" w:footer="0" w:header="0"/>
        </w:sectPr>
      </w:pPr>
    </w:p>
    <w:bookmarkStart w:id="406" w:name="page407"/>
    <w:bookmarkEnd w:id="406"/>
    <w:p>
      <w:pPr>
        <w:spacing w:after="0" w:line="343" w:lineRule="auto"/>
        <w:rPr>
          <w:sz w:val="20"/>
          <w:szCs w:val="20"/>
          <w:color w:val="auto"/>
        </w:rPr>
      </w:pPr>
      <w:r>
        <w:rPr>
          <w:rFonts w:ascii="Arial" w:cs="Arial" w:eastAsia="Arial" w:hAnsi="Arial"/>
          <w:sz w:val="19"/>
          <w:szCs w:val="19"/>
          <w:color w:val="auto"/>
        </w:rPr>
        <w:t>Obligations that is not the subject of such suit, and such judgment shall not, except to the extent satisfied by such Guarantor, limit, affect, modify or abridge any other Guarantor’s liability hereunder in respect of the Guaranteed Obligations;</w:t>
      </w:r>
    </w:p>
    <w:p>
      <w:pPr>
        <w:spacing w:after="0" w:line="104" w:lineRule="exact"/>
        <w:rPr>
          <w:sz w:val="20"/>
          <w:szCs w:val="20"/>
          <w:color w:val="auto"/>
        </w:rPr>
      </w:pPr>
    </w:p>
    <w:p>
      <w:pPr>
        <w:jc w:val="both"/>
        <w:ind w:firstLine="1304"/>
        <w:spacing w:after="0" w:line="285" w:lineRule="auto"/>
        <w:tabs>
          <w:tab w:leader="none" w:pos="159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or the applicable Hedge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other Loan Party or any security for the Guaranteed Obligations; and (vi) exercise any other rights available to it under the Loan Documents or any Hedge Agreements; and</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87" w:lineRule="auto"/>
        <w:tabs>
          <w:tab w:leader="none" w:pos="1593"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this Guaranty and the obligations of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or any Hedge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any of the Hedge Agreements or any agreement or instrument executed pursuant thereto, or of any other guaranty or security for the Guaranteed Obligations, in each case whether or not in accordance with the terms hereof or such Loan Document, such Hedge Agreement or any agreement relating to such other guaranty or security; (iii) the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1240"/>
          </w:cols>
          <w:pgMar w:left="320" w:top="1427" w:right="339" w:bottom="1440" w:gutter="0" w:footer="0" w:header="0"/>
        </w:sectPr>
      </w:pPr>
    </w:p>
    <w:bookmarkStart w:id="407" w:name="page408"/>
    <w:bookmarkEnd w:id="407"/>
    <w:p>
      <w:pPr>
        <w:jc w:val="both"/>
        <w:spacing w:after="0" w:line="257" w:lineRule="auto"/>
        <w:rPr>
          <w:sz w:val="20"/>
          <w:szCs w:val="20"/>
          <w:color w:val="auto"/>
        </w:rPr>
      </w:pPr>
      <w:r>
        <w:rPr>
          <w:rFonts w:ascii="Arial" w:cs="Arial" w:eastAsia="Arial" w:hAnsi="Arial"/>
          <w:sz w:val="21"/>
          <w:szCs w:val="21"/>
          <w:color w:val="auto"/>
        </w:rPr>
        <w:t>Obligations, or any agreement relating thereto, at any time being found to be illegal, invalid or unenforceable in any respect; (iv) the application of payments received from any source (other than payments received pursuant to the other Loan Documents or any of the Hedge Agreements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the Borrower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Borrower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8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10.05 </w:t>
      </w:r>
      <w:r>
        <w:rPr>
          <w:rFonts w:ascii="Arial" w:cs="Arial" w:eastAsia="Arial" w:hAnsi="Arial"/>
          <w:sz w:val="19"/>
          <w:szCs w:val="19"/>
          <w:u w:val="single" w:color="auto"/>
          <w:color w:val="auto"/>
        </w:rPr>
        <w:t>Waivers by Guarantors</w:t>
      </w:r>
      <w:r>
        <w:rPr>
          <w:rFonts w:ascii="Arial" w:cs="Arial" w:eastAsia="Arial" w:hAnsi="Arial"/>
          <w:sz w:val="19"/>
          <w:szCs w:val="19"/>
          <w:color w:val="auto"/>
        </w:rPr>
        <w:t>. Each Guarantor hereby waives, for the benefit of Beneficiaries: (a) any right to require any Beneficiary, as a condition of payment or performance by such Guarantor, to (i) proceed against Borrower, any other guarantor (including any other Guarantor) of the Guaranteed Obligations or any other Person, (ii) proceed against or exhaust any security held from Borrower, any such other guarantor or any other Person, (iii) proceed against or have resort to any balance of any Deposit Account or credit on the books of any Beneficiary in favor of any Loan Party or any other Person, or (iv) pursue any other remedy in the power of any Beneficiary whatsoever; (b) any defense arising by reason of the incapacity, lack of authority or any disability or other defense of Borrower or any other Guarantor including any defense based on or arising out of the lack of validity or the unenforceability of the Guaranteed Obligations or any agreement or instrument relating thereto or by reason of the cessation of the liability of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w:t>
      </w:r>
    </w:p>
    <w:p>
      <w:pPr>
        <w:spacing w:after="0" w:line="1" w:lineRule="exact"/>
        <w:rPr>
          <w:sz w:val="20"/>
          <w:szCs w:val="20"/>
          <w:color w:val="auto"/>
        </w:rPr>
      </w:pPr>
    </w:p>
    <w:p>
      <w:pPr>
        <w:jc w:val="both"/>
        <w:ind w:firstLine="8"/>
        <w:spacing w:after="0" w:line="292" w:lineRule="auto"/>
        <w:tabs>
          <w:tab w:leader="none" w:pos="37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the Hedge Agreements or any agreement or instrument related thereto, notices of any renewal, extension or modification of the Guaranteed Obligations or any agreement related thereto, notices of any extension of credit to Borrower and notices of any of the matters 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1240"/>
          </w:cols>
          <w:pgMar w:left="320" w:top="1427" w:right="339" w:bottom="1440" w:gutter="0" w:footer="0" w:header="0"/>
        </w:sectPr>
      </w:pPr>
    </w:p>
    <w:bookmarkStart w:id="408" w:name="page409"/>
    <w:bookmarkEnd w:id="408"/>
    <w:p>
      <w:pPr>
        <w:jc w:val="both"/>
        <w:spacing w:after="0" w:line="287" w:lineRule="auto"/>
        <w:rPr>
          <w:sz w:val="20"/>
          <w:szCs w:val="20"/>
          <w:color w:val="auto"/>
        </w:rPr>
      </w:pPr>
      <w:r>
        <w:rPr>
          <w:rFonts w:ascii="Arial" w:cs="Arial" w:eastAsia="Arial" w:hAnsi="Arial"/>
          <w:sz w:val="21"/>
          <w:szCs w:val="21"/>
          <w:color w:val="auto"/>
        </w:rPr>
        <w:t xml:space="preserve">to in </w:t>
      </w:r>
      <w:r>
        <w:rPr>
          <w:rFonts w:ascii="Arial" w:cs="Arial" w:eastAsia="Arial" w:hAnsi="Arial"/>
          <w:sz w:val="21"/>
          <w:szCs w:val="21"/>
          <w:u w:val="single" w:color="auto"/>
          <w:color w:val="auto"/>
        </w:rPr>
        <w:t>Section 10.04</w:t>
      </w:r>
      <w:r>
        <w:rPr>
          <w:rFonts w:ascii="Arial" w:cs="Arial" w:eastAsia="Arial" w:hAnsi="Arial"/>
          <w:sz w:val="21"/>
          <w:szCs w:val="21"/>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5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10.06 </w:t>
      </w:r>
      <w:r>
        <w:rPr>
          <w:rFonts w:ascii="Arial" w:cs="Arial" w:eastAsia="Arial" w:hAnsi="Arial"/>
          <w:sz w:val="19"/>
          <w:szCs w:val="19"/>
          <w:u w:val="single" w:color="auto"/>
          <w:color w:val="auto"/>
        </w:rPr>
        <w:t>Guarantors’ Rights of Subrogation, Contribution, Etc</w:t>
      </w:r>
      <w:r>
        <w:rPr>
          <w:rFonts w:ascii="Arial" w:cs="Arial" w:eastAsia="Arial" w:hAnsi="Arial"/>
          <w:sz w:val="19"/>
          <w:szCs w:val="19"/>
          <w:color w:val="auto"/>
        </w:rPr>
        <w:t xml:space="preserve">. Until the Guaranteed Obligations shall have been indefeasibly paid in full and the Revolving Credit Commitments shall have terminated and all Letters of Credit shall have expired or been cancelled without any pending drawing thereon, each Guarantor hereby waives any claim, right or remedy, direct or indirect, that such Guarantor now has or may hereafter have against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Borrower with respect to the Guaranteed Obligations, (b) any right to enforce, or to participate in, any claim, right or remedy that any Beneficiary now has or may hereafter have against Borrower, and (c) any benefit of, and any right to participate in, any collateral or security now or hereafter held by any Beneficiary. In addition, until the Guaranteed Obligations shall have been indefeasibly paid in full and the Revolving Credit Commitments shall have terminated and all Letters of Credit shall have expired or been cancelled without any pending drawing thereon, each Guarantor shall withhold exercise of any right of contribution such Guarantor may have against any other guarantor (including any other Guarantor) of the Guaranteed Obligations, including any such right of contribution as contemplated by </w:t>
      </w:r>
      <w:r>
        <w:rPr>
          <w:rFonts w:ascii="Arial" w:cs="Arial" w:eastAsia="Arial" w:hAnsi="Arial"/>
          <w:sz w:val="19"/>
          <w:szCs w:val="19"/>
          <w:u w:val="single" w:color="auto"/>
          <w:color w:val="auto"/>
        </w:rPr>
        <w:t>Section 10.02</w:t>
      </w:r>
      <w:r>
        <w:rPr>
          <w:rFonts w:ascii="Arial" w:cs="Arial" w:eastAsia="Arial" w:hAnsi="Arial"/>
          <w:sz w:val="19"/>
          <w:szCs w:val="19"/>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Borrower or against any collateral or security, and any rights of contribution such Guarantor may have against any such other guarantor, shall be junior and subordinate to any rights any Beneficiary may have against Borrower,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10.07 </w:t>
      </w:r>
      <w:r>
        <w:rPr>
          <w:rFonts w:ascii="Arial" w:cs="Arial" w:eastAsia="Arial" w:hAnsi="Arial"/>
          <w:sz w:val="19"/>
          <w:szCs w:val="19"/>
          <w:u w:val="single" w:color="auto"/>
          <w:color w:val="auto"/>
        </w:rPr>
        <w:t>Subordination of Other Obligations</w:t>
      </w:r>
      <w:r>
        <w:rPr>
          <w:rFonts w:ascii="Arial" w:cs="Arial" w:eastAsia="Arial" w:hAnsi="Arial"/>
          <w:sz w:val="19"/>
          <w:szCs w:val="19"/>
          <w:color w:val="auto"/>
        </w:rPr>
        <w:t>. Any Indebtedness of Borrower or any Guarantor now or hereafter held by any Guarantor (the “</w:t>
      </w:r>
      <w:r>
        <w:rPr>
          <w:rFonts w:ascii="Arial" w:cs="Arial" w:eastAsia="Arial" w:hAnsi="Arial"/>
          <w:sz w:val="19"/>
          <w:szCs w:val="19"/>
          <w:u w:val="single" w:color="auto"/>
          <w:color w:val="auto"/>
        </w:rPr>
        <w:t>Obligee Guarantor</w:t>
      </w:r>
      <w:r>
        <w:rPr>
          <w:rFonts w:ascii="Arial" w:cs="Arial" w:eastAsia="Arial" w:hAnsi="Arial"/>
          <w:sz w:val="19"/>
          <w:szCs w:val="19"/>
          <w:color w:val="auto"/>
        </w:rPr>
        <w:t>”) is hereby subordinated in right of payment to the Guaranteed Obligations, and any such Indebtedness collected or received by the Obligee Guarantor after an Event of Default has occurred and is continuing shall be held in trust for Administrative Agent on behalf of Beneficiaries and shall forthwith be paid over to Administrative Agent for the benefit of Beneficiaries to be credited and applied against the Guaranteed Obligations but without affecting, impairing or limiting in any manner the liability of the Obligee Guarantor under any other provision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240"/>
          </w:cols>
          <w:pgMar w:left="320" w:top="1427" w:right="339" w:bottom="1440" w:gutter="0" w:footer="0" w:header="0"/>
        </w:sectPr>
      </w:pPr>
    </w:p>
    <w:bookmarkStart w:id="409" w:name="page410"/>
    <w:bookmarkEnd w:id="409"/>
    <w:p>
      <w:pPr>
        <w:jc w:val="both"/>
        <w:ind w:firstLine="648"/>
        <w:spacing w:after="0" w:line="265" w:lineRule="auto"/>
        <w:rPr>
          <w:sz w:val="20"/>
          <w:szCs w:val="20"/>
          <w:color w:val="auto"/>
        </w:rPr>
      </w:pPr>
      <w:r>
        <w:rPr>
          <w:rFonts w:ascii="Arial" w:cs="Arial" w:eastAsia="Arial" w:hAnsi="Arial"/>
          <w:sz w:val="21"/>
          <w:szCs w:val="21"/>
          <w:color w:val="auto"/>
        </w:rPr>
        <w:t xml:space="preserve">10.08 </w:t>
      </w:r>
      <w:r>
        <w:rPr>
          <w:rFonts w:ascii="Arial" w:cs="Arial" w:eastAsia="Arial" w:hAnsi="Arial"/>
          <w:sz w:val="21"/>
          <w:szCs w:val="21"/>
          <w:u w:val="single" w:color="auto"/>
          <w:color w:val="auto"/>
        </w:rPr>
        <w:t>Continuing Guaranty</w:t>
      </w:r>
      <w:r>
        <w:rPr>
          <w:rFonts w:ascii="Arial" w:cs="Arial" w:eastAsia="Arial" w:hAnsi="Arial"/>
          <w:sz w:val="21"/>
          <w:szCs w:val="21"/>
          <w:color w:val="auto"/>
        </w:rPr>
        <w:t>. This Guaranty is a continuing guaranty and shall remain in effect until all of the Guaranteed Obligations shall have been paid in full and the Revolving Credit Commitments shall have terminated and all Letters of Credit shall have expired or been cancelled without any pending drawing thereon. Each Guarantor hereby irrevocably waives any right to revoke this Guaranty as to future transactions giving rise to any Guaranteed Obligations.</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10.09 </w:t>
      </w:r>
      <w:r>
        <w:rPr>
          <w:rFonts w:ascii="Arial" w:cs="Arial" w:eastAsia="Arial" w:hAnsi="Arial"/>
          <w:sz w:val="19"/>
          <w:szCs w:val="19"/>
          <w:u w:val="single" w:color="auto"/>
          <w:color w:val="auto"/>
        </w:rPr>
        <w:t>Authority of Guarantors or Borrower</w:t>
      </w:r>
      <w:r>
        <w:rPr>
          <w:rFonts w:ascii="Arial" w:cs="Arial" w:eastAsia="Arial" w:hAnsi="Arial"/>
          <w:sz w:val="19"/>
          <w:szCs w:val="19"/>
          <w:color w:val="auto"/>
        </w:rPr>
        <w:t>. It is not necessary for any Beneficiary to inquire into the capacity or powers of any Guarantor or Borrower or the officers, directors or any agents acting or purporting to act on behalf of any of them.</w:t>
      </w:r>
    </w:p>
    <w:p>
      <w:pPr>
        <w:spacing w:after="0" w:line="1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Financial Condition of Borrower</w:t>
      </w:r>
      <w:r>
        <w:rPr>
          <w:rFonts w:ascii="Arial" w:cs="Arial" w:eastAsia="Arial" w:hAnsi="Arial"/>
          <w:sz w:val="21"/>
          <w:szCs w:val="21"/>
          <w:color w:val="auto"/>
        </w:rPr>
        <w:t>. Any Credit Extension may be made to Borrower or continued from time to time, and any Hedge Agreements may be entered into from time to time, in each case without notice to or authorization from any Guarantor regardless of the financial or other condition of Borrower at the time of any such grant or continuation or at the time such Hedge Agreement is entered into, as the case may be. No Beneficiary shall have any obligation to disclose or discuss with any Guarantor its assessment, or any Guarantor’s assessment, of the financial condition of Borrower. Each Guarantor has adequate means to obtain information from Borrower on a continuing basis concerning the financial condition of Borrower and its ability to perform its obligations under the Loan Documents and the Hedge Agreements, and each Guarantor assumes the responsibility for being and keeping informed of the financial condition of Borrower and of all circumstances bearing upon the risk of nonpayment of the Guaranteed Obligations. Each Guarantor hereby waives and relinquishes any duty on the part of any Beneficiary to disclose any matter, fact or thing relating to the business, operations or conditions of Borrower now known or hereafter known by any Beneficiary.</w:t>
      </w:r>
    </w:p>
    <w:p>
      <w:pPr>
        <w:spacing w:after="0" w:line="1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Bankruptcy, Etc</w:t>
      </w:r>
      <w:r>
        <w:rPr>
          <w:rFonts w:ascii="Arial" w:cs="Arial" w:eastAsia="Arial" w:hAnsi="Arial"/>
          <w:sz w:val="22"/>
          <w:szCs w:val="22"/>
          <w:color w:val="auto"/>
        </w:rPr>
        <w:t>. (a) 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Borrower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Borrower or any other Guarantor or by any defense which Borrower or any other Guarantor may have by reason of the order, decree or decision of any court or administrative body resulting from any such proceeding.</w:t>
      </w:r>
    </w:p>
    <w:p>
      <w:pPr>
        <w:spacing w:after="0" w:line="194" w:lineRule="exact"/>
        <w:rPr>
          <w:sz w:val="20"/>
          <w:szCs w:val="20"/>
          <w:color w:val="auto"/>
        </w:rPr>
      </w:pPr>
    </w:p>
    <w:p>
      <w:pPr>
        <w:jc w:val="both"/>
        <w:ind w:firstLine="1304"/>
        <w:spacing w:after="0" w:line="292" w:lineRule="auto"/>
        <w:tabs>
          <w:tab w:leader="none" w:pos="1602" w:val="left"/>
        </w:tabs>
        <w:numPr>
          <w:ilvl w:val="0"/>
          <w:numId w:val="302"/>
        </w:numPr>
        <w:rPr>
          <w:rFonts w:ascii="Arial" w:cs="Arial" w:eastAsia="Arial" w:hAnsi="Arial"/>
          <w:sz w:val="19"/>
          <w:szCs w:val="19"/>
          <w:color w:val="auto"/>
        </w:rPr>
      </w:pPr>
      <w:r>
        <w:rPr>
          <w:rFonts w:ascii="Arial" w:cs="Arial" w:eastAsia="Arial" w:hAnsi="Arial"/>
          <w:sz w:val="19"/>
          <w:szCs w:val="19"/>
          <w:color w:val="auto"/>
        </w:rPr>
        <w:t xml:space="preserve">Each Guarantor acknowledges and agrees that any interest on any portion of the Guaranteed Obligations which accrues after the commencement of any case or proceeding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Borrower of any portion of such Guaranteed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ectPr>
          <w:pgSz w:w="11900" w:h="16838" w:orient="portrait"/>
          <w:cols w:equalWidth="0" w:num="1">
            <w:col w:w="11240"/>
          </w:cols>
          <w:pgMar w:left="320" w:top="1427" w:right="339" w:bottom="1440" w:gutter="0" w:footer="0" w:header="0"/>
        </w:sectPr>
      </w:pPr>
    </w:p>
    <w:bookmarkStart w:id="410" w:name="page411"/>
    <w:bookmarkEnd w:id="410"/>
    <w:p>
      <w:pPr>
        <w:jc w:val="both"/>
        <w:spacing w:after="0" w:line="253" w:lineRule="auto"/>
        <w:rPr>
          <w:sz w:val="20"/>
          <w:szCs w:val="20"/>
          <w:color w:val="auto"/>
        </w:rPr>
      </w:pPr>
      <w:r>
        <w:rPr>
          <w:rFonts w:ascii="Arial" w:cs="Arial" w:eastAsia="Arial" w:hAnsi="Arial"/>
          <w:sz w:val="22"/>
          <w:szCs w:val="22"/>
          <w:color w:val="auto"/>
        </w:rPr>
        <w:t>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85" w:lineRule="exact"/>
        <w:rPr>
          <w:sz w:val="20"/>
          <w:szCs w:val="20"/>
          <w:color w:val="auto"/>
        </w:rPr>
      </w:pPr>
    </w:p>
    <w:p>
      <w:pPr>
        <w:jc w:val="both"/>
        <w:ind w:firstLine="1304"/>
        <w:spacing w:after="0" w:line="248" w:lineRule="auto"/>
        <w:tabs>
          <w:tab w:leader="none" w:pos="1617" w:val="left"/>
        </w:tabs>
        <w:numPr>
          <w:ilvl w:val="0"/>
          <w:numId w:val="303"/>
        </w:numPr>
        <w:rPr>
          <w:rFonts w:ascii="Arial" w:cs="Arial" w:eastAsia="Arial" w:hAnsi="Arial"/>
          <w:sz w:val="22"/>
          <w:szCs w:val="22"/>
          <w:color w:val="auto"/>
        </w:rPr>
      </w:pPr>
      <w:r>
        <w:rPr>
          <w:rFonts w:ascii="Arial" w:cs="Arial" w:eastAsia="Arial" w:hAnsi="Arial"/>
          <w:sz w:val="22"/>
          <w:szCs w:val="22"/>
          <w:color w:val="auto"/>
        </w:rPr>
        <w:t>In the event that all or any portion of the Guaranteed Obligations are paid by Borrower,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10.12 </w:t>
      </w:r>
      <w:r>
        <w:rPr>
          <w:rFonts w:ascii="Arial" w:cs="Arial" w:eastAsia="Arial" w:hAnsi="Arial"/>
          <w:sz w:val="21"/>
          <w:szCs w:val="21"/>
          <w:u w:val="single" w:color="auto"/>
          <w:color w:val="auto"/>
        </w:rPr>
        <w:t>Keepwell</w:t>
      </w:r>
      <w:r>
        <w:rPr>
          <w:rFonts w:ascii="Arial" w:cs="Arial" w:eastAsia="Arial" w:hAnsi="Arial"/>
          <w:sz w:val="21"/>
          <w:szCs w:val="21"/>
          <w:color w:val="auto"/>
        </w:rPr>
        <w:t xml:space="preserve">. Each Loan Party that is a Qualified ECP Guarantor at the time the Guaranty or the grant of the security interest hereunder,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this Guaranty and the other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185"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22"/>
          <w:szCs w:val="22"/>
          <w:b w:val="1"/>
          <w:bCs w:val="1"/>
          <w:color w:val="auto"/>
        </w:rPr>
        <w:t>ARTICLE XI.</w:t>
      </w:r>
      <w:r>
        <w:rPr>
          <w:sz w:val="20"/>
          <w:szCs w:val="20"/>
          <w:color w:val="auto"/>
        </w:rPr>
        <w:tab/>
      </w:r>
      <w:r>
        <w:rPr>
          <w:rFonts w:ascii="Arial" w:cs="Arial" w:eastAsia="Arial" w:hAnsi="Arial"/>
          <w:sz w:val="21"/>
          <w:szCs w:val="21"/>
          <w:b w:val="1"/>
          <w:bCs w:val="1"/>
          <w:color w:val="auto"/>
        </w:rPr>
        <w:t>MISCELLANEOUS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11.01 </w:t>
      </w:r>
      <w:r>
        <w:rPr>
          <w:rFonts w:ascii="Arial" w:cs="Arial" w:eastAsia="Arial" w:hAnsi="Arial"/>
          <w:sz w:val="22"/>
          <w:szCs w:val="22"/>
          <w:u w:val="single" w:color="auto"/>
          <w:color w:val="auto"/>
        </w:rPr>
        <w:t>Amendments, Etc</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3.03(c)</w:t>
      </w:r>
      <w:r>
        <w:rPr>
          <w:rFonts w:ascii="Arial" w:cs="Arial" w:eastAsia="Arial" w:hAnsi="Arial"/>
          <w:sz w:val="22"/>
          <w:szCs w:val="22"/>
          <w:color w:val="auto"/>
        </w:rPr>
        <w:t xml:space="preserve"> and the last paragraph of this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amendment, waiver or consent shall:</w:t>
      </w:r>
    </w:p>
    <w:p>
      <w:pPr>
        <w:spacing w:after="0" w:line="193" w:lineRule="exact"/>
        <w:rPr>
          <w:sz w:val="20"/>
          <w:szCs w:val="20"/>
          <w:color w:val="auto"/>
        </w:rPr>
      </w:pPr>
    </w:p>
    <w:p>
      <w:pPr>
        <w:ind w:right="20" w:firstLine="656"/>
        <w:spacing w:after="0" w:line="263" w:lineRule="auto"/>
        <w:tabs>
          <w:tab w:leader="none" w:pos="1109" w:val="left"/>
        </w:tabs>
        <w:numPr>
          <w:ilvl w:val="0"/>
          <w:numId w:val="304"/>
        </w:numPr>
        <w:rPr>
          <w:rFonts w:ascii="Arial" w:cs="Arial" w:eastAsia="Arial" w:hAnsi="Arial"/>
          <w:sz w:val="22"/>
          <w:szCs w:val="22"/>
          <w:color w:val="auto"/>
        </w:rPr>
      </w:pPr>
      <w:r>
        <w:rPr>
          <w:rFonts w:ascii="Arial" w:cs="Arial" w:eastAsia="Arial" w:hAnsi="Arial"/>
          <w:sz w:val="22"/>
          <w:szCs w:val="22"/>
          <w:color w:val="auto"/>
        </w:rPr>
        <w:t xml:space="preserve">waive any condition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or, in the case of any Credit Extension to be made on the Closing Date, </w:t>
      </w:r>
      <w:r>
        <w:rPr>
          <w:rFonts w:ascii="Arial" w:cs="Arial" w:eastAsia="Arial" w:hAnsi="Arial"/>
          <w:sz w:val="22"/>
          <w:szCs w:val="22"/>
          <w:u w:val="single" w:color="auto"/>
          <w:color w:val="auto"/>
        </w:rPr>
        <w:t>Section 4.02</w:t>
      </w:r>
      <w:r>
        <w:rPr>
          <w:rFonts w:ascii="Arial" w:cs="Arial" w:eastAsia="Arial" w:hAnsi="Arial"/>
          <w:sz w:val="22"/>
          <w:szCs w:val="22"/>
          <w:color w:val="auto"/>
        </w:rPr>
        <w:t>, without the written consent of each Lender;</w:t>
      </w:r>
    </w:p>
    <w:p>
      <w:pPr>
        <w:spacing w:after="0" w:line="168" w:lineRule="exact"/>
        <w:rPr>
          <w:rFonts w:ascii="Arial" w:cs="Arial" w:eastAsia="Arial" w:hAnsi="Arial"/>
          <w:sz w:val="22"/>
          <w:szCs w:val="22"/>
          <w:color w:val="auto"/>
        </w:rPr>
      </w:pPr>
    </w:p>
    <w:p>
      <w:pPr>
        <w:ind w:left="1120" w:hanging="464"/>
        <w:spacing w:after="0"/>
        <w:tabs>
          <w:tab w:leader="none" w:pos="1120" w:val="left"/>
        </w:tabs>
        <w:numPr>
          <w:ilvl w:val="0"/>
          <w:numId w:val="304"/>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Reserved</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1240"/>
          </w:cols>
          <w:pgMar w:left="320" w:top="1427" w:right="339" w:bottom="1440" w:gutter="0" w:footer="0" w:header="0"/>
        </w:sectPr>
      </w:pPr>
    </w:p>
    <w:bookmarkStart w:id="411" w:name="page412"/>
    <w:bookmarkEnd w:id="411"/>
    <w:p>
      <w:pPr>
        <w:ind w:right="20" w:firstLine="656"/>
        <w:spacing w:after="0" w:line="263" w:lineRule="auto"/>
        <w:tabs>
          <w:tab w:leader="none" w:pos="11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 xml:space="preserve">extend or increase the Commitment of any Lender (or reinstate any Commitment terminated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8.02</w:t>
      </w:r>
      <w:r>
        <w:rPr>
          <w:rFonts w:ascii="Arial" w:cs="Arial" w:eastAsia="Arial" w:hAnsi="Arial"/>
          <w:sz w:val="22"/>
          <w:szCs w:val="22"/>
          <w:color w:val="auto"/>
        </w:rPr>
        <w:t>) without the written consent of such Lender;</w:t>
      </w:r>
    </w:p>
    <w:p>
      <w:pPr>
        <w:spacing w:after="0" w:line="174" w:lineRule="exact"/>
        <w:rPr>
          <w:rFonts w:ascii="Arial" w:cs="Arial" w:eastAsia="Arial" w:hAnsi="Arial"/>
          <w:sz w:val="22"/>
          <w:szCs w:val="22"/>
          <w:color w:val="auto"/>
        </w:rPr>
      </w:pPr>
    </w:p>
    <w:p>
      <w:pPr>
        <w:jc w:val="both"/>
        <w:ind w:firstLine="656"/>
        <w:spacing w:after="0" w:line="302" w:lineRule="auto"/>
        <w:tabs>
          <w:tab w:leader="none" w:pos="1149" w:val="left"/>
        </w:tabs>
        <w:numPr>
          <w:ilvl w:val="1"/>
          <w:numId w:val="305"/>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(i) any payment (excluding mandatory prepayments) of principal, interest, fees or other amounts due to the Lenders (or any of them) hereunder or under such other Loan Document without the written consent of each Lender entitled to such payment or (ii) any scheduled reduction of any Facility hereunder or under any other Loan Document without the written consent of each Appropriate Lender;</w:t>
      </w:r>
    </w:p>
    <w:p>
      <w:pPr>
        <w:spacing w:after="0" w:line="142" w:lineRule="exact"/>
        <w:rPr>
          <w:rFonts w:ascii="Arial" w:cs="Arial" w:eastAsia="Arial" w:hAnsi="Arial"/>
          <w:sz w:val="19"/>
          <w:szCs w:val="19"/>
          <w:color w:val="auto"/>
        </w:rPr>
      </w:pPr>
    </w:p>
    <w:p>
      <w:pPr>
        <w:ind w:left="1140" w:hanging="484"/>
        <w:spacing w:after="0"/>
        <w:tabs>
          <w:tab w:leader="none" w:pos="1140" w:val="left"/>
        </w:tabs>
        <w:numPr>
          <w:ilvl w:val="1"/>
          <w:numId w:val="305"/>
        </w:numPr>
        <w:rPr>
          <w:rFonts w:ascii="Arial" w:cs="Arial" w:eastAsia="Arial" w:hAnsi="Arial"/>
          <w:sz w:val="19"/>
          <w:szCs w:val="19"/>
          <w:color w:val="auto"/>
        </w:rPr>
      </w:pPr>
      <w:r>
        <w:rPr>
          <w:rFonts w:ascii="Arial" w:cs="Arial" w:eastAsia="Arial" w:hAnsi="Arial"/>
          <w:sz w:val="19"/>
          <w:szCs w:val="19"/>
          <w:color w:val="auto"/>
        </w:rPr>
        <w:t>reduce the principal of, or the rate of interest specified herein on, any Loan or L/C Borrowing, or (subject to clause</w:t>
      </w:r>
    </w:p>
    <w:p>
      <w:pPr>
        <w:spacing w:after="0" w:line="55" w:lineRule="exact"/>
        <w:rPr>
          <w:rFonts w:ascii="Arial" w:cs="Arial" w:eastAsia="Arial" w:hAnsi="Arial"/>
          <w:sz w:val="19"/>
          <w:szCs w:val="19"/>
          <w:color w:val="auto"/>
        </w:rPr>
      </w:pPr>
    </w:p>
    <w:p>
      <w:pPr>
        <w:jc w:val="both"/>
        <w:ind w:firstLine="8"/>
        <w:spacing w:after="0" w:line="292" w:lineRule="auto"/>
        <w:tabs>
          <w:tab w:leader="none" w:pos="368" w:val="left"/>
        </w:tabs>
        <w:numPr>
          <w:ilvl w:val="0"/>
          <w:numId w:val="306"/>
        </w:numPr>
        <w:rPr>
          <w:rFonts w:ascii="Arial" w:cs="Arial" w:eastAsia="Arial" w:hAnsi="Arial"/>
          <w:sz w:val="19"/>
          <w:szCs w:val="19"/>
          <w:color w:val="auto"/>
        </w:rPr>
      </w:pPr>
      <w:r>
        <w:rPr>
          <w:rFonts w:ascii="Arial" w:cs="Arial" w:eastAsia="Arial" w:hAnsi="Arial"/>
          <w:sz w:val="19"/>
          <w:szCs w:val="19"/>
          <w:color w:val="auto"/>
        </w:rPr>
        <w:t xml:space="preserve">of the second proviso to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any fees or other amounts payable hereunder or under any other Loan Document, without the written consent of each Lender entitled to such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only the consent of the Required Lenders shall be necessary (i) to amend the provisions of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or to waive any obligation of the Borrower thereunder or (ii) to amend any financial covenant hereunder (or any defined term used therein) even if the effect of such amendment would be to reduce the rate of interest on any Loan or L/C Borrowing or to reduce any fee payable hereunder;</w:t>
      </w:r>
    </w:p>
    <w:p>
      <w:pPr>
        <w:spacing w:after="0" w:line="151" w:lineRule="exact"/>
        <w:rPr>
          <w:rFonts w:ascii="Arial" w:cs="Arial" w:eastAsia="Arial" w:hAnsi="Arial"/>
          <w:sz w:val="19"/>
          <w:szCs w:val="19"/>
          <w:color w:val="auto"/>
        </w:rPr>
      </w:pPr>
    </w:p>
    <w:p>
      <w:pPr>
        <w:jc w:val="both"/>
        <w:ind w:firstLine="656"/>
        <w:spacing w:after="0" w:line="248" w:lineRule="auto"/>
        <w:tabs>
          <w:tab w:leader="none" w:pos="1134" w:val="left"/>
        </w:tabs>
        <w:numPr>
          <w:ilvl w:val="1"/>
          <w:numId w:val="306"/>
        </w:numPr>
        <w:rPr>
          <w:rFonts w:ascii="Arial" w:cs="Arial" w:eastAsia="Arial" w:hAnsi="Arial"/>
          <w:sz w:val="22"/>
          <w:szCs w:val="22"/>
          <w:color w:val="auto"/>
        </w:rPr>
      </w:pPr>
      <w:r>
        <w:rPr>
          <w:rFonts w:ascii="Arial" w:cs="Arial" w:eastAsia="Arial" w:hAnsi="Arial"/>
          <w:sz w:val="22"/>
          <w:szCs w:val="22"/>
          <w:color w:val="auto"/>
        </w:rPr>
        <w:t xml:space="preserve">change (i)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or (ii) the order of application of any reduction in the Commitments or any prepayment of Loans among the Facilities from the application thereof set forth in the applicable provisions of </w:t>
      </w:r>
      <w:r>
        <w:rPr>
          <w:rFonts w:ascii="Arial" w:cs="Arial" w:eastAsia="Arial" w:hAnsi="Arial"/>
          <w:sz w:val="22"/>
          <w:szCs w:val="22"/>
          <w:u w:val="single" w:color="auto"/>
          <w:color w:val="auto"/>
        </w:rPr>
        <w:t>Section 2.05(b)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2.06(b)</w:t>
      </w:r>
      <w:r>
        <w:rPr>
          <w:rFonts w:ascii="Arial" w:cs="Arial" w:eastAsia="Arial" w:hAnsi="Arial"/>
          <w:sz w:val="22"/>
          <w:szCs w:val="22"/>
          <w:color w:val="auto"/>
        </w:rPr>
        <w:t>, respectively, in any manner that materially and adversely affects the Lenders under a Facility without the written consent of (i) if such Facility is the Term A Facility, the Required Term A Lenders and (y) if such Facility is the Revolving Credit Facility, the Required Revolving Lenders;</w:t>
      </w:r>
    </w:p>
    <w:p>
      <w:pPr>
        <w:spacing w:after="0" w:line="191" w:lineRule="exact"/>
        <w:rPr>
          <w:rFonts w:ascii="Arial" w:cs="Arial" w:eastAsia="Arial" w:hAnsi="Arial"/>
          <w:sz w:val="22"/>
          <w:szCs w:val="22"/>
          <w:color w:val="auto"/>
        </w:rPr>
      </w:pPr>
    </w:p>
    <w:p>
      <w:pPr>
        <w:jc w:val="both"/>
        <w:ind w:firstLine="656"/>
        <w:spacing w:after="0" w:line="297" w:lineRule="auto"/>
        <w:tabs>
          <w:tab w:leader="none" w:pos="1143" w:val="left"/>
        </w:tabs>
        <w:numPr>
          <w:ilvl w:val="1"/>
          <w:numId w:val="306"/>
        </w:numPr>
        <w:rPr>
          <w:rFonts w:ascii="Arial" w:cs="Arial" w:eastAsia="Arial" w:hAnsi="Arial"/>
          <w:sz w:val="19"/>
          <w:szCs w:val="19"/>
          <w:color w:val="auto"/>
        </w:rPr>
      </w:pPr>
      <w:r>
        <w:rPr>
          <w:rFonts w:ascii="Arial" w:cs="Arial" w:eastAsia="Arial" w:hAnsi="Arial"/>
          <w:sz w:val="19"/>
          <w:szCs w:val="19"/>
          <w:color w:val="auto"/>
        </w:rPr>
        <w:t xml:space="preserve">change (i) any provision of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or the definition of “Required Lenders” or “Required Class Lenders” or any other provision hereof specifying the number or percentage of Lenders required to amend, waive or otherwise modify any rights hereunder or make any determination or grant any consent hereunder (other than the definitions specified in clause (ii) of this </w:t>
      </w:r>
      <w:r>
        <w:rPr>
          <w:rFonts w:ascii="Arial" w:cs="Arial" w:eastAsia="Arial" w:hAnsi="Arial"/>
          <w:sz w:val="19"/>
          <w:szCs w:val="19"/>
          <w:u w:val="single" w:color="auto"/>
          <w:color w:val="auto"/>
        </w:rPr>
        <w:t>Section 11.01(g)</w:t>
      </w:r>
      <w:r>
        <w:rPr>
          <w:rFonts w:ascii="Arial" w:cs="Arial" w:eastAsia="Arial" w:hAnsi="Arial"/>
          <w:sz w:val="19"/>
          <w:szCs w:val="19"/>
          <w:color w:val="auto"/>
        </w:rPr>
        <w:t>), without the written consent of each Lender or (ii) the definition of “Required Revolving Lenders,” or “Required Term A Lenders,” without the written consent of each Lender under the applicable Facility;</w:t>
      </w:r>
    </w:p>
    <w:p>
      <w:pPr>
        <w:spacing w:after="0" w:line="146" w:lineRule="exact"/>
        <w:rPr>
          <w:rFonts w:ascii="Arial" w:cs="Arial" w:eastAsia="Arial" w:hAnsi="Arial"/>
          <w:sz w:val="19"/>
          <w:szCs w:val="19"/>
          <w:color w:val="auto"/>
        </w:rPr>
      </w:pPr>
    </w:p>
    <w:p>
      <w:pPr>
        <w:ind w:left="1120" w:hanging="464"/>
        <w:spacing w:after="0"/>
        <w:tabs>
          <w:tab w:leader="none" w:pos="112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88" w:val="left"/>
        </w:tabs>
        <w:numPr>
          <w:ilvl w:val="1"/>
          <w:numId w:val="306"/>
        </w:numPr>
        <w:rPr>
          <w:rFonts w:ascii="Arial" w:cs="Arial" w:eastAsia="Arial" w:hAnsi="Arial"/>
          <w:sz w:val="22"/>
          <w:szCs w:val="22"/>
          <w:color w:val="auto"/>
        </w:rPr>
      </w:pPr>
      <w:r>
        <w:rPr>
          <w:rFonts w:ascii="Arial" w:cs="Arial" w:eastAsia="Arial" w:hAnsi="Arial"/>
          <w:sz w:val="22"/>
          <w:szCs w:val="22"/>
          <w:color w:val="auto"/>
        </w:rPr>
        <w:t xml:space="preserve">release, or have the effect of releasing, all or substantially all of the value of the Guaranty, without the written consent of each Lender, except to the extent the release of any Subsidiary from the Guaranty is permitted pursuant to </w:t>
      </w:r>
      <w:r>
        <w:rPr>
          <w:rFonts w:ascii="Arial" w:cs="Arial" w:eastAsia="Arial" w:hAnsi="Arial"/>
          <w:sz w:val="22"/>
          <w:szCs w:val="22"/>
          <w:u w:val="single" w:color="auto"/>
          <w:color w:val="auto"/>
        </w:rPr>
        <w:t>Section 9.10</w:t>
      </w:r>
      <w:r>
        <w:rPr>
          <w:rFonts w:ascii="Arial" w:cs="Arial" w:eastAsia="Arial" w:hAnsi="Arial"/>
          <w:sz w:val="22"/>
          <w:szCs w:val="22"/>
          <w:color w:val="auto"/>
        </w:rPr>
        <w:t xml:space="preserve"> (in which case such release may be made by the Administrative Agent acting alone);</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08" w:val="left"/>
        </w:tabs>
        <w:numPr>
          <w:ilvl w:val="1"/>
          <w:numId w:val="306"/>
        </w:numPr>
        <w:rPr>
          <w:rFonts w:ascii="Arial" w:cs="Arial" w:eastAsia="Arial" w:hAnsi="Arial"/>
          <w:sz w:val="22"/>
          <w:szCs w:val="22"/>
          <w:color w:val="auto"/>
        </w:rPr>
      </w:pPr>
      <w:r>
        <w:rPr>
          <w:rFonts w:ascii="Arial" w:cs="Arial" w:eastAsia="Arial" w:hAnsi="Arial"/>
          <w:sz w:val="22"/>
          <w:szCs w:val="22"/>
          <w:color w:val="auto"/>
        </w:rPr>
        <w:t>impose any greater restriction on the ability of any Lender under a Facility to assign any of its rights or obligations hereunder without the written consent of (i) if such Facility is the Term A Facility, the Required Term A Lenders, and (ii) if such Facility is the Revolving Credit Facility, the Required Revolving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ectPr>
          <w:pgSz w:w="11900" w:h="16838" w:orient="portrait"/>
          <w:cols w:equalWidth="0" w:num="1">
            <w:col w:w="11240"/>
          </w:cols>
          <w:pgMar w:left="320" w:top="1427" w:right="339" w:bottom="1440" w:gutter="0" w:footer="0" w:header="0"/>
        </w:sectPr>
      </w:pPr>
    </w:p>
    <w:bookmarkStart w:id="412" w:name="page413"/>
    <w:bookmarkEnd w:id="412"/>
    <w:p>
      <w:pPr>
        <w:jc w:val="both"/>
        <w:ind w:firstLine="656"/>
        <w:spacing w:after="0" w:line="253" w:lineRule="auto"/>
        <w:tabs>
          <w:tab w:leader="none" w:pos="1318" w:val="left"/>
        </w:tabs>
        <w:numPr>
          <w:ilvl w:val="0"/>
          <w:numId w:val="307"/>
        </w:numPr>
        <w:rPr>
          <w:rFonts w:ascii="Arial" w:cs="Arial" w:eastAsia="Arial" w:hAnsi="Arial"/>
          <w:sz w:val="22"/>
          <w:szCs w:val="22"/>
          <w:color w:val="auto"/>
        </w:rPr>
      </w:pPr>
      <w:r>
        <w:rPr>
          <w:rFonts w:ascii="Arial" w:cs="Arial" w:eastAsia="Arial" w:hAnsi="Arial"/>
          <w:sz w:val="22"/>
          <w:szCs w:val="22"/>
          <w:color w:val="auto"/>
        </w:rPr>
        <w:t>directly and materially adversely affect the rights of Lenders holding Commitments or Loans of one Class differently from the rights of Lenders holding Commitments or Loans of any other Class without the written consent of the applicable Required Class Lenders;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 no amendment, waiver or consent shall, (A) unless in writing and signed by the L/C Issuers in addition to the Lenders required above, affect the rights or duties of the L/C Issuers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and the Maturity Date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 and (B) without the prior written consent of each Lender directly affected thereby, (i) modify </w:t>
      </w:r>
      <w:r>
        <w:rPr>
          <w:rFonts w:ascii="Arial" w:cs="Arial" w:eastAsia="Arial" w:hAnsi="Arial"/>
          <w:sz w:val="19"/>
          <w:szCs w:val="19"/>
          <w:u w:val="single" w:color="auto"/>
          <w:color w:val="auto"/>
        </w:rPr>
        <w:t>Sections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or any other provision hereof in a manner that would have the effect of altering the ratable reduction of Commitments or the pro rata sharing of payments otherwise required hereunder, or (ii) subordinate, or have the effect of subordinating, the Obligations hereunder to any other Indebtedness or other obligation, or (iii) amend or waive any provision of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(or release, or consent to the release, of any security interest granted thereunder), or (iii) amend, modify, terminate or waive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2.05(b)(i), any defined terms used therein</w:t>
      </w:r>
      <w:r>
        <w:rPr>
          <w:rFonts w:ascii="Arial" w:cs="Arial" w:eastAsia="Arial" w:hAnsi="Arial"/>
          <w:sz w:val="19"/>
          <w:szCs w:val="19"/>
          <w:color w:val="auto"/>
        </w:rPr>
        <w:t xml:space="preserve"> or the constituent definitions thereof.</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11.02 </w:t>
      </w:r>
      <w:r>
        <w:rPr>
          <w:rFonts w:ascii="Arial" w:cs="Arial" w:eastAsia="Arial" w:hAnsi="Arial"/>
          <w:sz w:val="22"/>
          <w:szCs w:val="22"/>
          <w:u w:val="single" w:color="auto"/>
          <w:color w:val="auto"/>
        </w:rPr>
        <w:t>Notices; Effectiveness; Electronic Communications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Notices Generally</w:t>
      </w:r>
      <w:r>
        <w:rPr>
          <w:rFonts w:ascii="Arial" w:cs="Arial" w:eastAsia="Arial" w:hAnsi="Arial"/>
          <w:sz w:val="22"/>
          <w:szCs w:val="22"/>
          <w:color w:val="auto"/>
        </w:rPr>
        <w:t xml:space="preserve">. Except in the case of notices and other communications expressly permitted to be given by telephone (and except as provided in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below), all notices and other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ectPr>
          <w:pgSz w:w="11900" w:h="16838" w:orient="portrait"/>
          <w:cols w:equalWidth="0" w:num="1">
            <w:col w:w="11240"/>
          </w:cols>
          <w:pgMar w:left="320" w:top="1427" w:right="339" w:bottom="1440" w:gutter="0" w:footer="0" w:header="0"/>
        </w:sectPr>
      </w:pPr>
    </w:p>
    <w:bookmarkStart w:id="413" w:name="page414"/>
    <w:bookmarkEnd w:id="413"/>
    <w:p>
      <w:pPr>
        <w:jc w:val="both"/>
        <w:spacing w:after="0" w:line="271" w:lineRule="auto"/>
        <w:rPr>
          <w:sz w:val="20"/>
          <w:szCs w:val="20"/>
          <w:color w:val="auto"/>
        </w:rPr>
      </w:pPr>
      <w:r>
        <w:rPr>
          <w:rFonts w:ascii="Arial" w:cs="Arial" w:eastAsia="Arial" w:hAnsi="Arial"/>
          <w:sz w:val="21"/>
          <w:szCs w:val="21"/>
          <w:color w:val="auto"/>
        </w:rPr>
        <w:t>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67" w:lineRule="exact"/>
        <w:rPr>
          <w:sz w:val="20"/>
          <w:szCs w:val="20"/>
          <w:color w:val="auto"/>
        </w:rPr>
      </w:pPr>
    </w:p>
    <w:p>
      <w:pPr>
        <w:ind w:left="660" w:right="20" w:firstLine="644"/>
        <w:spacing w:after="0" w:line="287" w:lineRule="auto"/>
        <w:tabs>
          <w:tab w:leader="none" w:pos="1854" w:val="left"/>
        </w:tabs>
        <w:numPr>
          <w:ilvl w:val="0"/>
          <w:numId w:val="308"/>
        </w:numPr>
        <w:rPr>
          <w:rFonts w:ascii="Arial" w:cs="Arial" w:eastAsia="Arial" w:hAnsi="Arial"/>
          <w:sz w:val="21"/>
          <w:szCs w:val="21"/>
          <w:color w:val="auto"/>
        </w:rPr>
      </w:pPr>
      <w:r>
        <w:rPr>
          <w:rFonts w:ascii="Arial" w:cs="Arial" w:eastAsia="Arial" w:hAnsi="Arial"/>
          <w:sz w:val="21"/>
          <w:szCs w:val="21"/>
          <w:color w:val="auto"/>
        </w:rPr>
        <w:t xml:space="preserve">if to the Borrower, the Administrative Agent, any L/C Issuer or the Swing Line Lender, to the address, facsimile number, electronic mail address or telephone number specified for such Person on </w:t>
      </w:r>
      <w:r>
        <w:rPr>
          <w:rFonts w:ascii="Arial" w:cs="Arial" w:eastAsia="Arial" w:hAnsi="Arial"/>
          <w:sz w:val="21"/>
          <w:szCs w:val="21"/>
          <w:u w:val="single" w:color="auto"/>
          <w:color w:val="auto"/>
        </w:rPr>
        <w:t>Schedule 11.02</w:t>
      </w:r>
      <w:r>
        <w:rPr>
          <w:rFonts w:ascii="Arial" w:cs="Arial" w:eastAsia="Arial" w:hAnsi="Arial"/>
          <w:sz w:val="21"/>
          <w:szCs w:val="21"/>
          <w:color w:val="auto"/>
        </w:rPr>
        <w:t>; and</w:t>
      </w:r>
    </w:p>
    <w:p>
      <w:pPr>
        <w:spacing w:after="0" w:line="151" w:lineRule="exact"/>
        <w:rPr>
          <w:rFonts w:ascii="Arial" w:cs="Arial" w:eastAsia="Arial" w:hAnsi="Arial"/>
          <w:sz w:val="21"/>
          <w:szCs w:val="21"/>
          <w:color w:val="auto"/>
        </w:rPr>
      </w:pPr>
    </w:p>
    <w:p>
      <w:pPr>
        <w:jc w:val="both"/>
        <w:ind w:left="660" w:right="20" w:firstLine="644"/>
        <w:spacing w:after="0" w:line="250" w:lineRule="auto"/>
        <w:tabs>
          <w:tab w:leader="none" w:pos="1941" w:val="left"/>
        </w:tabs>
        <w:numPr>
          <w:ilvl w:val="0"/>
          <w:numId w:val="308"/>
        </w:numPr>
        <w:rPr>
          <w:rFonts w:ascii="Arial" w:cs="Arial" w:eastAsia="Arial" w:hAnsi="Arial"/>
          <w:sz w:val="22"/>
          <w:szCs w:val="22"/>
          <w:color w:val="auto"/>
        </w:rPr>
      </w:pPr>
      <w:r>
        <w:rPr>
          <w:rFonts w:ascii="Arial" w:cs="Arial" w:eastAsia="Arial" w:hAnsi="Arial"/>
          <w:sz w:val="22"/>
          <w:szCs w:val="22"/>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u w:val="single" w:color="auto"/>
          <w:color w:val="auto"/>
        </w:rPr>
        <w:t>sub clause (b)</w:t>
      </w:r>
      <w:r>
        <w:rPr>
          <w:rFonts w:ascii="Arial" w:cs="Arial" w:eastAsia="Arial" w:hAnsi="Arial"/>
          <w:sz w:val="19"/>
          <w:szCs w:val="19"/>
          <w:color w:val="auto"/>
        </w:rPr>
        <w:t xml:space="preserve"> below shall be effective as provided in such </w:t>
      </w:r>
      <w:r>
        <w:rPr>
          <w:rFonts w:ascii="Arial" w:cs="Arial" w:eastAsia="Arial" w:hAnsi="Arial"/>
          <w:sz w:val="19"/>
          <w:szCs w:val="19"/>
          <w:u w:val="single" w:color="auto"/>
          <w:color w:val="auto"/>
        </w:rPr>
        <w:t>clause (b)</w:t>
      </w:r>
      <w:r>
        <w:rPr>
          <w:rFonts w:ascii="Arial" w:cs="Arial" w:eastAsia="Arial" w:hAnsi="Arial"/>
          <w:sz w:val="19"/>
          <w:szCs w:val="19"/>
          <w:color w:val="auto"/>
        </w:rPr>
        <w:t>.</w:t>
      </w:r>
    </w:p>
    <w:p>
      <w:pPr>
        <w:spacing w:after="0" w:line="147" w:lineRule="exact"/>
        <w:rPr>
          <w:sz w:val="20"/>
          <w:szCs w:val="20"/>
          <w:color w:val="auto"/>
        </w:rPr>
      </w:pPr>
    </w:p>
    <w:p>
      <w:pPr>
        <w:jc w:val="both"/>
        <w:ind w:firstLine="656"/>
        <w:spacing w:after="0" w:line="290" w:lineRule="auto"/>
        <w:tabs>
          <w:tab w:leader="none" w:pos="1156"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such L/C Issuer, as applicable, has notified the Administrative Agent that it is incapable of receiving notices under such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by electronic communication. The Administrative Agent, the Swing Line Lender, any L/C Issuer or the Borrower may each,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ectPr>
          <w:pgSz w:w="11900" w:h="16838" w:orient="portrait"/>
          <w:cols w:equalWidth="0" w:num="1">
            <w:col w:w="11240"/>
          </w:cols>
          <w:pgMar w:left="320" w:top="1427" w:right="339" w:bottom="1440" w:gutter="0" w:footer="0" w:header="0"/>
        </w:sectPr>
      </w:pPr>
    </w:p>
    <w:bookmarkStart w:id="414" w:name="page415"/>
    <w:bookmarkEnd w:id="414"/>
    <w:p>
      <w:pPr>
        <w:ind w:left="1160" w:hanging="504"/>
        <w:spacing w:after="0"/>
        <w:tabs>
          <w:tab w:leader="none" w:pos="1160" w:val="left"/>
        </w:tabs>
        <w:numPr>
          <w:ilvl w:val="0"/>
          <w:numId w:val="310"/>
        </w:numPr>
        <w:rPr>
          <w:rFonts w:ascii="Arial" w:cs="Arial" w:eastAsia="Arial" w:hAnsi="Arial"/>
          <w:sz w:val="21"/>
          <w:szCs w:val="21"/>
          <w:color w:val="auto"/>
        </w:rPr>
      </w:pPr>
      <w:r>
        <w:rPr>
          <w:rFonts w:ascii="Arial" w:cs="Arial" w:eastAsia="Arial" w:hAnsi="Arial"/>
          <w:sz w:val="21"/>
          <w:szCs w:val="21"/>
          <w:u w:val="single" w:color="auto"/>
          <w:color w:val="auto"/>
        </w:rPr>
        <w:t>The Platform</w:t>
      </w:r>
      <w:r>
        <w:rPr>
          <w:rFonts w:ascii="Arial" w:cs="Arial" w:eastAsia="Arial" w:hAnsi="Arial"/>
          <w:sz w:val="21"/>
          <w:szCs w:val="21"/>
          <w:color w:val="auto"/>
        </w:rPr>
        <w:t>. THE PLATFORM IS PROVIDED “AS IS” AND “AS AVAILABLE.” THE AGENT PARTIES (AS</w:t>
      </w:r>
    </w:p>
    <w:p>
      <w:pPr>
        <w:spacing w:after="0" w:line="32" w:lineRule="exact"/>
        <w:rPr>
          <w:rFonts w:ascii="Arial" w:cs="Arial" w:eastAsia="Arial" w:hAnsi="Arial"/>
          <w:sz w:val="21"/>
          <w:szCs w:val="21"/>
          <w:color w:val="auto"/>
        </w:rPr>
      </w:pPr>
    </w:p>
    <w:p>
      <w:pPr>
        <w:jc w:val="both"/>
        <w:spacing w:after="0" w:line="256" w:lineRule="auto"/>
        <w:rPr>
          <w:rFonts w:ascii="Arial" w:cs="Arial" w:eastAsia="Arial" w:hAnsi="Arial"/>
          <w:sz w:val="21"/>
          <w:szCs w:val="21"/>
          <w:color w:val="auto"/>
        </w:rPr>
      </w:pPr>
      <w:r>
        <w:rPr>
          <w:rFonts w:ascii="Arial" w:cs="Arial" w:eastAsia="Arial" w:hAnsi="Arial"/>
          <w:sz w:val="21"/>
          <w:szCs w:val="21"/>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have any liability to the Borrower, any Lender, any L/C Issuer or any other Person for losses, claims, damages, liabilities or expenses of any kind (whether in tort, contract or otherwise) arising out of the Borrower’s, any Loan Party’s or the Administrative Agent’s transmission of materials and/or information provided by or on behalf of the Borrower hereunder or any notices through the Platform, any other electronic platform or electronic messaging service, or through the Internet.</w:t>
      </w:r>
    </w:p>
    <w:p>
      <w:pPr>
        <w:spacing w:after="0" w:line="186" w:lineRule="exact"/>
        <w:rPr>
          <w:rFonts w:ascii="Arial" w:cs="Arial" w:eastAsia="Arial" w:hAnsi="Arial"/>
          <w:sz w:val="21"/>
          <w:szCs w:val="21"/>
          <w:color w:val="auto"/>
        </w:rPr>
      </w:pPr>
    </w:p>
    <w:p>
      <w:pPr>
        <w:jc w:val="both"/>
        <w:ind w:firstLine="656"/>
        <w:spacing w:after="0" w:line="286" w:lineRule="auto"/>
        <w:tabs>
          <w:tab w:leader="none" w:pos="1224" w:val="left"/>
        </w:tabs>
        <w:numPr>
          <w:ilvl w:val="0"/>
          <w:numId w:val="310"/>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Borrower, the Administrative Agent, each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each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5" w:lineRule="exact"/>
        <w:rPr>
          <w:rFonts w:ascii="Arial" w:cs="Arial" w:eastAsia="Arial" w:hAnsi="Arial"/>
          <w:sz w:val="19"/>
          <w:szCs w:val="19"/>
          <w:color w:val="auto"/>
        </w:rPr>
      </w:pPr>
    </w:p>
    <w:p>
      <w:pPr>
        <w:jc w:val="both"/>
        <w:ind w:firstLine="656"/>
        <w:spacing w:after="0" w:line="259" w:lineRule="auto"/>
        <w:tabs>
          <w:tab w:leader="none" w:pos="1198" w:val="left"/>
        </w:tabs>
        <w:numPr>
          <w:ilvl w:val="0"/>
          <w:numId w:val="310"/>
        </w:numPr>
        <w:rPr>
          <w:rFonts w:ascii="Arial" w:cs="Arial" w:eastAsia="Arial" w:hAnsi="Arial"/>
          <w:sz w:val="21"/>
          <w:szCs w:val="21"/>
          <w:color w:val="auto"/>
        </w:rPr>
      </w:pPr>
      <w:r>
        <w:rPr>
          <w:rFonts w:ascii="Arial" w:cs="Arial" w:eastAsia="Arial" w:hAnsi="Arial"/>
          <w:sz w:val="21"/>
          <w:szCs w:val="21"/>
          <w:u w:val="single" w:color="auto"/>
          <w:color w:val="auto"/>
        </w:rPr>
        <w:t>Reliance by Administrative Agent, L/C Issuers and Lenders</w:t>
      </w:r>
      <w:r>
        <w:rPr>
          <w:rFonts w:ascii="Arial" w:cs="Arial" w:eastAsia="Arial" w:hAnsi="Arial"/>
          <w:sz w:val="21"/>
          <w:szCs w:val="21"/>
          <w:color w:val="auto"/>
        </w:rPr>
        <w:t>. The Administrative Agent, the L/C Issuers and the Lenders shall be entitled to rely and act upon any notices (including telephonic notices, Committed Loan Notices, Letter of Credit Applications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ectPr>
          <w:pgSz w:w="11900" w:h="16838" w:orient="portrait"/>
          <w:cols w:equalWidth="0" w:num="1">
            <w:col w:w="11240"/>
          </w:cols>
          <w:pgMar w:left="320" w:top="1427" w:right="339" w:bottom="1440" w:gutter="0" w:footer="0" w:header="0"/>
        </w:sectPr>
      </w:pPr>
    </w:p>
    <w:bookmarkStart w:id="415" w:name="page416"/>
    <w:bookmarkEnd w:id="415"/>
    <w:p>
      <w:pPr>
        <w:jc w:val="both"/>
        <w:spacing w:after="0" w:line="263" w:lineRule="auto"/>
        <w:rPr>
          <w:sz w:val="20"/>
          <w:szCs w:val="20"/>
          <w:color w:val="auto"/>
        </w:rPr>
      </w:pPr>
      <w:r>
        <w:rPr>
          <w:rFonts w:ascii="Arial" w:cs="Arial" w:eastAsia="Arial" w:hAnsi="Arial"/>
          <w:sz w:val="22"/>
          <w:szCs w:val="22"/>
          <w:color w:val="auto"/>
        </w:rPr>
        <w:t>telephonic communications with the Administrative Agent may be recorded by the Administrative Agent, and each of the parties hereto hereby consents to such recording.</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11.03 </w:t>
      </w:r>
      <w:r>
        <w:rPr>
          <w:rFonts w:ascii="Arial" w:cs="Arial" w:eastAsia="Arial" w:hAnsi="Arial"/>
          <w:sz w:val="19"/>
          <w:szCs w:val="19"/>
          <w:u w:val="single" w:color="auto"/>
          <w:color w:val="auto"/>
        </w:rPr>
        <w:t>No Waiver; Cumulative Remedies; Enforcement</w:t>
      </w:r>
      <w:r>
        <w:rPr>
          <w:rFonts w:ascii="Arial" w:cs="Arial" w:eastAsia="Arial" w:hAnsi="Arial"/>
          <w:sz w:val="19"/>
          <w:szCs w:val="19"/>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and the L/C Issuers;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jc w:val="both"/>
        <w:ind w:firstLine="8"/>
        <w:spacing w:after="0" w:line="286" w:lineRule="auto"/>
        <w:tabs>
          <w:tab w:leader="none" w:pos="316" w:val="left"/>
        </w:tabs>
        <w:numPr>
          <w:ilvl w:val="0"/>
          <w:numId w:val="311"/>
        </w:numPr>
        <w:rPr>
          <w:rFonts w:ascii="Arial" w:cs="Arial" w:eastAsia="Arial" w:hAnsi="Arial"/>
          <w:sz w:val="19"/>
          <w:szCs w:val="19"/>
          <w:color w:val="auto"/>
        </w:rPr>
      </w:pPr>
      <w:r>
        <w:rPr>
          <w:rFonts w:ascii="Arial" w:cs="Arial" w:eastAsia="Arial" w:hAnsi="Arial"/>
          <w:sz w:val="19"/>
          <w:szCs w:val="19"/>
          <w:color w:val="auto"/>
        </w:rPr>
        <w:t xml:space="preserve">[the][any]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11.04 </w:t>
      </w:r>
      <w:r>
        <w:rPr>
          <w:rFonts w:ascii="Arial" w:cs="Arial" w:eastAsia="Arial" w:hAnsi="Arial"/>
          <w:sz w:val="21"/>
          <w:szCs w:val="21"/>
          <w:u w:val="single" w:color="auto"/>
          <w:color w:val="auto"/>
        </w:rPr>
        <w:t>Expenses; Indemnity; Damage Waiver</w:t>
      </w:r>
      <w:r>
        <w:rPr>
          <w:rFonts w:ascii="Arial" w:cs="Arial" w:eastAsia="Arial" w:hAnsi="Arial"/>
          <w:sz w:val="21"/>
          <w:szCs w:val="21"/>
          <w:color w:val="auto"/>
        </w:rPr>
        <w:t xml:space="preserve">. (a) </w:t>
      </w:r>
      <w:r>
        <w:rPr>
          <w:rFonts w:ascii="Arial" w:cs="Arial" w:eastAsia="Arial" w:hAnsi="Arial"/>
          <w:sz w:val="21"/>
          <w:szCs w:val="21"/>
          <w:u w:val="single" w:color="auto"/>
          <w:color w:val="auto"/>
        </w:rPr>
        <w:t>Costs and Expenses</w:t>
      </w:r>
      <w:r>
        <w:rPr>
          <w:rFonts w:ascii="Arial" w:cs="Arial" w:eastAsia="Arial" w:hAnsi="Arial"/>
          <w:sz w:val="21"/>
          <w:szCs w:val="21"/>
          <w:color w:val="auto"/>
        </w:rPr>
        <w:t>. The Borrower shall pay (i) all reasonable, documented and invoiced out-of-pocket expenses incurred by the Agents (including the reasonable, documented and invoiced fees, charges and disbursements of one outside counsel for the Agents, one local counsel in each appropriate jurisdiction and, in the case of any conflict of interest, one additional counsel for the Agents subject to such conflict),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documented and invoiced out-of-pocket expenses incurred by the L/C Issuers in connection with the issuance, amendment, extension, reinstatement or renewal of any Letter of Credit or any demand for payment thereunder and (iii) all out-of-pocket expenses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ectPr>
          <w:pgSz w:w="11900" w:h="16838" w:orient="portrait"/>
          <w:cols w:equalWidth="0" w:num="1">
            <w:col w:w="11240"/>
          </w:cols>
          <w:pgMar w:left="320" w:top="1427" w:right="339" w:bottom="1440" w:gutter="0" w:footer="0" w:header="0"/>
        </w:sectPr>
      </w:pPr>
    </w:p>
    <w:bookmarkStart w:id="416" w:name="page417"/>
    <w:bookmarkEnd w:id="416"/>
    <w:p>
      <w:pPr>
        <w:jc w:val="both"/>
        <w:spacing w:after="0" w:line="294" w:lineRule="auto"/>
        <w:rPr>
          <w:sz w:val="20"/>
          <w:szCs w:val="20"/>
          <w:color w:val="auto"/>
        </w:rPr>
      </w:pPr>
      <w:r>
        <w:rPr>
          <w:rFonts w:ascii="Arial" w:cs="Arial" w:eastAsia="Arial" w:hAnsi="Arial"/>
          <w:sz w:val="19"/>
          <w:szCs w:val="19"/>
          <w:color w:val="auto"/>
        </w:rPr>
        <w:t xml:space="preserve">any Agent, any Lender or any L/C Issuer (including the reasonable, documented and invoiced fees, charges and disbursements of one outside counsel for the Agents, Lenders and L/C Issuers, one local counsel in each appropriate jurisdiction and, in the case of any conflict of interest, one additional counsel for the Agents, Lenders and L/C Issuers subject to such conflict), in connection with the enforcement of its rights (A) in connection with this Agreement and the other Loan Documents, including its rights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149" w:lineRule="exact"/>
        <w:rPr>
          <w:sz w:val="20"/>
          <w:szCs w:val="20"/>
          <w:color w:val="auto"/>
        </w:rPr>
      </w:pPr>
    </w:p>
    <w:p>
      <w:pPr>
        <w:jc w:val="both"/>
        <w:ind w:firstLine="656"/>
        <w:spacing w:after="0" w:line="284" w:lineRule="auto"/>
        <w:tabs>
          <w:tab w:leader="none" w:pos="1237" w:val="left"/>
        </w:tabs>
        <w:numPr>
          <w:ilvl w:val="0"/>
          <w:numId w:val="312"/>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each Agent (and any sub-agent thereof), each Lender and each L/C Issuer,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reasonable, documented and invoiced fees, charges and disbursements of one outside counsel for all the Indemnitees, if necessary, one local counsel in each appropriate jurisdiction and, in the case of any conflict of interest, one additional counsel for the Indemnitees subject to such conflict),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 agent thereof) and its Related Parties only, the administration of this Agreement and the other Loan Documents (including in respect of any matters addressed in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Claim related in any way to the Borrower or any of its Subsidiaries, or (iv) any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not involving an act or omission of the Borrower and that is brought by an Indemnitee against another Indemnitee (other than against the Arranger or any Agent in their capacities as such). Without limiting the provisions of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firstLine="656"/>
        <w:spacing w:after="0" w:line="263" w:lineRule="auto"/>
        <w:tabs>
          <w:tab w:leader="none" w:pos="1185" w:val="left"/>
        </w:tabs>
        <w:numPr>
          <w:ilvl w:val="0"/>
          <w:numId w:val="312"/>
        </w:numPr>
        <w:rPr>
          <w:rFonts w:ascii="Arial" w:cs="Arial" w:eastAsia="Arial" w:hAnsi="Arial"/>
          <w:sz w:val="22"/>
          <w:szCs w:val="22"/>
          <w:color w:val="auto"/>
        </w:rPr>
      </w:pPr>
      <w:r>
        <w:rPr>
          <w:rFonts w:ascii="Arial" w:cs="Arial" w:eastAsia="Arial" w:hAnsi="Arial"/>
          <w:sz w:val="22"/>
          <w:szCs w:val="22"/>
          <w:u w:val="single" w:color="auto"/>
          <w:color w:val="auto"/>
        </w:rPr>
        <w:t>Reimbursement by Lenders</w:t>
      </w:r>
      <w:r>
        <w:rPr>
          <w:rFonts w:ascii="Arial" w:cs="Arial" w:eastAsia="Arial" w:hAnsi="Arial"/>
          <w:sz w:val="22"/>
          <w:szCs w:val="22"/>
          <w:color w:val="auto"/>
        </w:rPr>
        <w:t xml:space="preserve">. To the extent that the Borrower for any reason fails to indefeasibly pay any amount required under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11.04</w:t>
      </w:r>
      <w:r>
        <w:rPr>
          <w:rFonts w:ascii="Arial" w:cs="Arial" w:eastAsia="Arial" w:hAnsi="Arial"/>
          <w:sz w:val="22"/>
          <w:szCs w:val="22"/>
          <w:color w:val="auto"/>
        </w:rPr>
        <w:t xml:space="preserve">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ectPr>
          <w:pgSz w:w="11900" w:h="16838" w:orient="portrait"/>
          <w:cols w:equalWidth="0" w:num="1">
            <w:col w:w="11240"/>
          </w:cols>
          <w:pgMar w:left="320" w:top="1427" w:right="339" w:bottom="1440" w:gutter="0" w:footer="0" w:header="0"/>
        </w:sectPr>
      </w:pPr>
    </w:p>
    <w:bookmarkStart w:id="417" w:name="page418"/>
    <w:bookmarkEnd w:id="417"/>
    <w:p>
      <w:pPr>
        <w:jc w:val="both"/>
        <w:spacing w:after="0" w:line="287" w:lineRule="auto"/>
        <w:rPr>
          <w:sz w:val="20"/>
          <w:szCs w:val="20"/>
          <w:color w:val="auto"/>
        </w:rPr>
      </w:pPr>
      <w:r>
        <w:rPr>
          <w:rFonts w:ascii="Arial" w:cs="Arial" w:eastAsia="Arial" w:hAnsi="Arial"/>
          <w:sz w:val="19"/>
          <w:szCs w:val="19"/>
          <w:color w:val="auto"/>
        </w:rPr>
        <w:t xml:space="preserve">by it to the Administrative Agent (or any sub-agent thereof),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provided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are subject to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163" w:lineRule="exact"/>
        <w:rPr>
          <w:sz w:val="20"/>
          <w:szCs w:val="20"/>
          <w:color w:val="auto"/>
        </w:rPr>
      </w:pPr>
    </w:p>
    <w:p>
      <w:pPr>
        <w:jc w:val="both"/>
        <w:ind w:firstLine="656"/>
        <w:spacing w:after="0" w:line="259" w:lineRule="auto"/>
        <w:tabs>
          <w:tab w:leader="none" w:pos="1170" w:val="left"/>
        </w:tabs>
        <w:numPr>
          <w:ilvl w:val="0"/>
          <w:numId w:val="313"/>
        </w:numPr>
        <w:rPr>
          <w:rFonts w:ascii="Arial" w:cs="Arial" w:eastAsia="Arial" w:hAnsi="Arial"/>
          <w:sz w:val="21"/>
          <w:szCs w:val="21"/>
          <w:color w:val="auto"/>
        </w:rPr>
      </w:pPr>
      <w:r>
        <w:rPr>
          <w:rFonts w:ascii="Arial" w:cs="Arial" w:eastAsia="Arial" w:hAnsi="Arial"/>
          <w:sz w:val="21"/>
          <w:szCs w:val="21"/>
          <w:u w:val="single" w:color="auto"/>
          <w:color w:val="auto"/>
        </w:rPr>
        <w:t>Waiver of Consequential Damages, Etc</w:t>
      </w:r>
      <w:r>
        <w:rPr>
          <w:rFonts w:ascii="Arial" w:cs="Arial" w:eastAsia="Arial" w:hAnsi="Arial"/>
          <w:sz w:val="21"/>
          <w:szCs w:val="21"/>
          <w:color w:val="auto"/>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79" w:lineRule="exact"/>
        <w:rPr>
          <w:rFonts w:ascii="Arial" w:cs="Arial" w:eastAsia="Arial" w:hAnsi="Arial"/>
          <w:sz w:val="21"/>
          <w:szCs w:val="21"/>
          <w:color w:val="auto"/>
        </w:rPr>
      </w:pPr>
    </w:p>
    <w:p>
      <w:pPr>
        <w:ind w:left="1120" w:hanging="464"/>
        <w:spacing w:after="0"/>
        <w:tabs>
          <w:tab w:leader="none" w:pos="1120" w:val="left"/>
        </w:tabs>
        <w:numPr>
          <w:ilvl w:val="0"/>
          <w:numId w:val="313"/>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amounts due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be payable not later than ten Business Days after demand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therefor.</w:t>
      </w:r>
    </w:p>
    <w:p>
      <w:pPr>
        <w:spacing w:after="0" w:line="201" w:lineRule="exact"/>
        <w:rPr>
          <w:rFonts w:ascii="Arial" w:cs="Arial" w:eastAsia="Arial" w:hAnsi="Arial"/>
          <w:sz w:val="19"/>
          <w:szCs w:val="19"/>
          <w:color w:val="auto"/>
        </w:rPr>
      </w:pPr>
    </w:p>
    <w:p>
      <w:pPr>
        <w:jc w:val="both"/>
        <w:ind w:firstLine="656"/>
        <w:spacing w:after="0" w:line="312" w:lineRule="auto"/>
        <w:tabs>
          <w:tab w:leader="none" w:pos="1147" w:val="left"/>
        </w:tabs>
        <w:numPr>
          <w:ilvl w:val="0"/>
          <w:numId w:val="313"/>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and the indemnity provisions of </w:t>
      </w:r>
      <w:r>
        <w:rPr>
          <w:rFonts w:ascii="Arial" w:cs="Arial" w:eastAsia="Arial" w:hAnsi="Arial"/>
          <w:sz w:val="19"/>
          <w:szCs w:val="19"/>
          <w:u w:val="single" w:color="auto"/>
          <w:color w:val="auto"/>
        </w:rPr>
        <w:t>Section 11.02(e)</w:t>
      </w:r>
      <w:r>
        <w:rPr>
          <w:rFonts w:ascii="Arial" w:cs="Arial" w:eastAsia="Arial" w:hAnsi="Arial"/>
          <w:sz w:val="19"/>
          <w:szCs w:val="19"/>
          <w:color w:val="auto"/>
        </w:rPr>
        <w:t xml:space="preserve"> shall survive the resignation of the Administrative Agent, the L/C Issuer[s] and the Swing Line Lender, the replacement of any Lender, the termination of the Aggregate Commitments and the repayment, satisfaction or discharge of all the other Obligations.</w:t>
      </w:r>
    </w:p>
    <w:p>
      <w:pPr>
        <w:spacing w:after="0" w:line="1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11.05 </w:t>
      </w:r>
      <w:r>
        <w:rPr>
          <w:rFonts w:ascii="Arial" w:cs="Arial" w:eastAsia="Arial" w:hAnsi="Arial"/>
          <w:sz w:val="19"/>
          <w:szCs w:val="19"/>
          <w:u w:val="single" w:color="auto"/>
          <w:color w:val="auto"/>
        </w:rPr>
        <w:t>Payments Set Aside</w:t>
      </w:r>
      <w:r>
        <w:rPr>
          <w:rFonts w:ascii="Arial" w:cs="Arial" w:eastAsia="Arial" w:hAnsi="Arial"/>
          <w:sz w:val="19"/>
          <w:szCs w:val="19"/>
          <w:color w:val="auto"/>
        </w:rPr>
        <w:t>.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ectPr>
          <w:pgSz w:w="11900" w:h="16838" w:orient="portrait"/>
          <w:cols w:equalWidth="0" w:num="1">
            <w:col w:w="11240"/>
          </w:cols>
          <w:pgMar w:left="320" w:top="1427" w:right="339" w:bottom="1440" w:gutter="0" w:footer="0" w:header="0"/>
        </w:sectPr>
      </w:pPr>
    </w:p>
    <w:bookmarkStart w:id="418" w:name="page419"/>
    <w:bookmarkEnd w:id="418"/>
    <w:p>
      <w:pPr>
        <w:jc w:val="both"/>
        <w:spacing w:after="0" w:line="294" w:lineRule="auto"/>
        <w:rPr>
          <w:sz w:val="20"/>
          <w:szCs w:val="20"/>
          <w:color w:val="auto"/>
        </w:rPr>
      </w:pPr>
      <w:r>
        <w:rPr>
          <w:rFonts w:ascii="Arial" w:cs="Arial" w:eastAsia="Arial" w:hAnsi="Arial"/>
          <w:sz w:val="19"/>
          <w:szCs w:val="19"/>
          <w:color w:val="auto"/>
        </w:rPr>
        <w:t xml:space="preserve">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11.06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and (ii) by way of participation in accordance with the provisions of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11.06(f)</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11.06</w:t>
      </w:r>
      <w:r>
        <w:rPr>
          <w:rFonts w:ascii="Arial" w:cs="Arial" w:eastAsia="Arial" w:hAnsi="Arial"/>
          <w:sz w:val="19"/>
          <w:szCs w:val="19"/>
          <w:color w:val="auto"/>
        </w:rPr>
        <w:t xml:space="preserve"> and, to the extent expressly contemplated hereby, the Related Parties of each of the Administrative Agent, the L/C Issuers and the Lenders) any legal or equitable right, remedy or claim under or by reason of this Agreement.</w:t>
      </w:r>
    </w:p>
    <w:p>
      <w:pPr>
        <w:spacing w:after="0" w:line="163" w:lineRule="exact"/>
        <w:rPr>
          <w:sz w:val="20"/>
          <w:szCs w:val="20"/>
          <w:color w:val="auto"/>
        </w:rPr>
      </w:pPr>
    </w:p>
    <w:p>
      <w:pPr>
        <w:jc w:val="both"/>
        <w:ind w:firstLine="656"/>
        <w:spacing w:after="0" w:line="265" w:lineRule="auto"/>
        <w:tabs>
          <w:tab w:leader="none" w:pos="1143" w:val="left"/>
        </w:tabs>
        <w:numPr>
          <w:ilvl w:val="0"/>
          <w:numId w:val="314"/>
        </w:numPr>
        <w:rPr>
          <w:rFonts w:ascii="Arial" w:cs="Arial" w:eastAsia="Arial" w:hAnsi="Arial"/>
          <w:sz w:val="21"/>
          <w:szCs w:val="21"/>
          <w:color w:val="auto"/>
        </w:rPr>
      </w:pPr>
      <w:r>
        <w:rPr>
          <w:rFonts w:ascii="Arial" w:cs="Arial" w:eastAsia="Arial" w:hAnsi="Arial"/>
          <w:sz w:val="21"/>
          <w:szCs w:val="21"/>
          <w:u w:val="single" w:color="auto"/>
          <w:color w:val="auto"/>
        </w:rPr>
        <w:t>Assignments by Lenders</w:t>
      </w:r>
      <w:r>
        <w:rPr>
          <w:rFonts w:ascii="Arial" w:cs="Arial" w:eastAsia="Arial" w:hAnsi="Arial"/>
          <w:sz w:val="21"/>
          <w:szCs w:val="21"/>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21"/>
          <w:szCs w:val="21"/>
          <w:u w:val="single" w:color="auto"/>
          <w:color w:val="auto"/>
        </w:rPr>
        <w:t>Section 11.06(b)</w:t>
      </w:r>
      <w:r>
        <w:rPr>
          <w:rFonts w:ascii="Arial" w:cs="Arial" w:eastAsia="Arial" w:hAnsi="Arial"/>
          <w:sz w:val="21"/>
          <w:szCs w:val="21"/>
          <w:color w:val="auto"/>
        </w:rPr>
        <w:t xml:space="preserve">, participations in L/C Obligations and in Swing Line Loans) at the time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with respect to any Facility) any such assignment shall be subject to the following conditions:</w:t>
      </w:r>
    </w:p>
    <w:p>
      <w:pPr>
        <w:spacing w:after="0" w:line="175" w:lineRule="exact"/>
        <w:rPr>
          <w:rFonts w:ascii="Arial" w:cs="Arial" w:eastAsia="Arial" w:hAnsi="Arial"/>
          <w:sz w:val="21"/>
          <w:szCs w:val="21"/>
          <w:color w:val="auto"/>
        </w:rPr>
      </w:pPr>
    </w:p>
    <w:p>
      <w:pPr>
        <w:ind w:left="1720" w:hanging="416"/>
        <w:spacing w:after="0"/>
        <w:tabs>
          <w:tab w:leader="none" w:pos="1720" w:val="left"/>
        </w:tabs>
        <w:numPr>
          <w:ilvl w:val="1"/>
          <w:numId w:val="314"/>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652"/>
        <w:spacing w:after="0" w:line="297" w:lineRule="auto"/>
        <w:tabs>
          <w:tab w:leader="none" w:pos="2501" w:val="left"/>
        </w:tabs>
        <w:numPr>
          <w:ilvl w:val="2"/>
          <w:numId w:val="314"/>
        </w:numPr>
        <w:rPr>
          <w:rFonts w:ascii="Arial" w:cs="Arial" w:eastAsia="Arial" w:hAnsi="Arial"/>
          <w:sz w:val="19"/>
          <w:szCs w:val="19"/>
          <w:color w:val="auto"/>
        </w:rPr>
      </w:pPr>
      <w:r>
        <w:rPr>
          <w:rFonts w:ascii="Arial" w:cs="Arial" w:eastAsia="Arial" w:hAnsi="Arial"/>
          <w:sz w:val="19"/>
          <w:szCs w:val="19"/>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Arial" w:cs="Arial" w:eastAsia="Arial" w:hAnsi="Arial"/>
          <w:sz w:val="19"/>
          <w:szCs w:val="19"/>
          <w:u w:val="single" w:color="auto"/>
          <w:color w:val="auto"/>
        </w:rPr>
        <w:t>clause (b)(i)(B)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in the aggregate or in the case of an assignment to a Lender, an Affiliate of a Lender or an Approved Fund, no minimum amount need be assigned; and</w:t>
      </w:r>
    </w:p>
    <w:p>
      <w:pPr>
        <w:spacing w:after="0" w:line="146" w:lineRule="exact"/>
        <w:rPr>
          <w:rFonts w:ascii="Arial" w:cs="Arial" w:eastAsia="Arial" w:hAnsi="Arial"/>
          <w:sz w:val="19"/>
          <w:szCs w:val="19"/>
          <w:color w:val="auto"/>
        </w:rPr>
      </w:pPr>
    </w:p>
    <w:p>
      <w:pPr>
        <w:jc w:val="both"/>
        <w:ind w:left="1300" w:firstLine="652"/>
        <w:spacing w:after="0" w:line="253" w:lineRule="auto"/>
        <w:tabs>
          <w:tab w:leader="none" w:pos="2576" w:val="left"/>
        </w:tabs>
        <w:numPr>
          <w:ilvl w:val="2"/>
          <w:numId w:val="314"/>
        </w:numPr>
        <w:rPr>
          <w:rFonts w:ascii="Arial" w:cs="Arial" w:eastAsia="Arial" w:hAnsi="Arial"/>
          <w:sz w:val="22"/>
          <w:szCs w:val="22"/>
          <w:color w:val="auto"/>
        </w:rPr>
      </w:pPr>
      <w:r>
        <w:rPr>
          <w:rFonts w:ascii="Arial" w:cs="Arial" w:eastAsia="Arial" w:hAnsi="Arial"/>
          <w:sz w:val="22"/>
          <w:szCs w:val="22"/>
          <w:color w:val="auto"/>
        </w:rPr>
        <w:t xml:space="preserve">in any case not described in </w:t>
      </w:r>
      <w:r>
        <w:rPr>
          <w:rFonts w:ascii="Arial" w:cs="Arial" w:eastAsia="Arial" w:hAnsi="Arial"/>
          <w:sz w:val="22"/>
          <w:szCs w:val="22"/>
          <w:u w:val="single" w:color="auto"/>
          <w:color w:val="auto"/>
        </w:rPr>
        <w:t>clause (b)(i)(A)</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11.06</w:t>
      </w:r>
      <w:r>
        <w:rPr>
          <w:rFonts w:ascii="Arial" w:cs="Arial" w:eastAsia="Arial" w:hAnsi="Arial"/>
          <w:sz w:val="22"/>
          <w:szCs w:val="22"/>
          <w:color w:val="auto"/>
        </w:rPr>
        <w:t>, the aggregate amount of the Commitment (which for this purpose includes Loans outstanding thereunder) or, if the applicable Commitment is not then in effect,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ectPr>
          <w:pgSz w:w="11900" w:h="16838" w:orient="portrait"/>
          <w:cols w:equalWidth="0" w:num="1">
            <w:col w:w="11240"/>
          </w:cols>
          <w:pgMar w:left="320" w:top="1427" w:right="339" w:bottom="1440" w:gutter="0" w:footer="0" w:header="0"/>
        </w:sectPr>
      </w:pPr>
    </w:p>
    <w:bookmarkStart w:id="419" w:name="page420"/>
    <w:bookmarkEnd w:id="419"/>
    <w:p>
      <w:pPr>
        <w:jc w:val="both"/>
        <w:ind w:left="180"/>
        <w:spacing w:after="0" w:line="294" w:lineRule="auto"/>
        <w:rPr>
          <w:sz w:val="20"/>
          <w:szCs w:val="20"/>
          <w:color w:val="auto"/>
        </w:rPr>
      </w:pPr>
      <w:r>
        <w:rPr>
          <w:rFonts w:ascii="Arial" w:cs="Arial" w:eastAsia="Arial" w:hAnsi="Arial"/>
          <w:sz w:val="19"/>
          <w:szCs w:val="19"/>
          <w:color w:val="auto"/>
        </w:rPr>
        <w:t>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with respect to any assignment of the each of the Revolving Credit Facility and the Term Facility unless each of the Administrative Agent and, so long as no Event of Default has occurred and is continuing, the Borrower otherwise consents (each such consent not to be unreasonably withheld or delayed).</w:t>
      </w:r>
    </w:p>
    <w:p>
      <w:pPr>
        <w:spacing w:after="0" w:line="149" w:lineRule="exact"/>
        <w:rPr>
          <w:sz w:val="20"/>
          <w:szCs w:val="20"/>
          <w:color w:val="auto"/>
        </w:rPr>
      </w:pPr>
    </w:p>
    <w:p>
      <w:pPr>
        <w:jc w:val="both"/>
        <w:ind w:left="-460" w:firstLine="644"/>
        <w:spacing w:after="0" w:line="250" w:lineRule="auto"/>
        <w:tabs>
          <w:tab w:leader="none" w:pos="668" w:val="left"/>
        </w:tabs>
        <w:numPr>
          <w:ilvl w:val="0"/>
          <w:numId w:val="315"/>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shall not apply to the Swing Line Lender’s rights and obligations in respect of Swing Line Loans;</w:t>
      </w:r>
    </w:p>
    <w:p>
      <w:pPr>
        <w:spacing w:after="0" w:line="187" w:lineRule="exact"/>
        <w:rPr>
          <w:rFonts w:ascii="Arial" w:cs="Arial" w:eastAsia="Arial" w:hAnsi="Arial"/>
          <w:sz w:val="22"/>
          <w:szCs w:val="22"/>
          <w:color w:val="auto"/>
        </w:rPr>
      </w:pPr>
    </w:p>
    <w:p>
      <w:pPr>
        <w:ind w:left="-460" w:right="20" w:firstLine="644"/>
        <w:spacing w:after="0" w:line="263" w:lineRule="auto"/>
        <w:tabs>
          <w:tab w:leader="none" w:pos="741" w:val="left"/>
        </w:tabs>
        <w:numPr>
          <w:ilvl w:val="0"/>
          <w:numId w:val="315"/>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xml:space="preserve">. No consent shall be required for any assignment except to the extent required by </w:t>
      </w:r>
      <w:r>
        <w:rPr>
          <w:rFonts w:ascii="Arial" w:cs="Arial" w:eastAsia="Arial" w:hAnsi="Arial"/>
          <w:sz w:val="22"/>
          <w:szCs w:val="22"/>
          <w:u w:val="single" w:color="auto"/>
          <w:color w:val="auto"/>
        </w:rPr>
        <w:t>clause</w:t>
      </w:r>
      <w:r>
        <w:rPr>
          <w:rFonts w:ascii="Arial" w:cs="Arial" w:eastAsia="Arial" w:hAnsi="Arial"/>
          <w:sz w:val="22"/>
          <w:szCs w:val="22"/>
          <w:color w:val="auto"/>
        </w:rPr>
        <w:t xml:space="preserve"> </w:t>
      </w:r>
      <w:r>
        <w:rPr>
          <w:rFonts w:ascii="Arial" w:cs="Arial" w:eastAsia="Arial" w:hAnsi="Arial"/>
          <w:sz w:val="22"/>
          <w:szCs w:val="22"/>
          <w:u w:val="single" w:color="auto"/>
          <w:color w:val="auto"/>
        </w:rPr>
        <w:t>(b)(i)(B)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11.06</w:t>
      </w:r>
      <w:r>
        <w:rPr>
          <w:rFonts w:ascii="Arial" w:cs="Arial" w:eastAsia="Arial" w:hAnsi="Arial"/>
          <w:sz w:val="22"/>
          <w:szCs w:val="22"/>
          <w:color w:val="auto"/>
        </w:rPr>
        <w:t xml:space="preserve"> and, in addition:</w:t>
      </w:r>
    </w:p>
    <w:p>
      <w:pPr>
        <w:spacing w:after="0" w:line="174" w:lineRule="exact"/>
        <w:rPr>
          <w:rFonts w:ascii="Arial" w:cs="Arial" w:eastAsia="Arial" w:hAnsi="Arial"/>
          <w:sz w:val="22"/>
          <w:szCs w:val="22"/>
          <w:color w:val="auto"/>
        </w:rPr>
      </w:pPr>
    </w:p>
    <w:p>
      <w:pPr>
        <w:jc w:val="both"/>
        <w:ind w:left="180" w:firstLine="652"/>
        <w:spacing w:after="0" w:line="297" w:lineRule="auto"/>
        <w:tabs>
          <w:tab w:leader="none" w:pos="1458" w:val="left"/>
        </w:tabs>
        <w:numPr>
          <w:ilvl w:val="1"/>
          <w:numId w:val="315"/>
        </w:numPr>
        <w:rPr>
          <w:rFonts w:ascii="Arial" w:cs="Arial" w:eastAsia="Arial" w:hAnsi="Arial"/>
          <w:sz w:val="19"/>
          <w:szCs w:val="19"/>
          <w:color w:val="auto"/>
        </w:rPr>
      </w:pPr>
      <w:r>
        <w:rPr>
          <w:rFonts w:ascii="Arial" w:cs="Arial" w:eastAsia="Arial" w:hAnsi="Arial"/>
          <w:sz w:val="19"/>
          <w:szCs w:val="19"/>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ten (10)Business Days after having received notice thereof;</w:t>
      </w:r>
    </w:p>
    <w:p>
      <w:pPr>
        <w:spacing w:after="0" w:line="146" w:lineRule="exact"/>
        <w:rPr>
          <w:rFonts w:ascii="Arial" w:cs="Arial" w:eastAsia="Arial" w:hAnsi="Arial"/>
          <w:sz w:val="19"/>
          <w:szCs w:val="19"/>
          <w:color w:val="auto"/>
        </w:rPr>
      </w:pPr>
    </w:p>
    <w:p>
      <w:pPr>
        <w:jc w:val="both"/>
        <w:ind w:left="180" w:firstLine="652"/>
        <w:spacing w:after="0" w:line="248" w:lineRule="auto"/>
        <w:tabs>
          <w:tab w:leader="none" w:pos="1383" w:val="left"/>
        </w:tabs>
        <w:numPr>
          <w:ilvl w:val="1"/>
          <w:numId w:val="315"/>
        </w:numPr>
        <w:rPr>
          <w:rFonts w:ascii="Arial" w:cs="Arial" w:eastAsia="Arial" w:hAnsi="Arial"/>
          <w:sz w:val="22"/>
          <w:szCs w:val="22"/>
          <w:color w:val="auto"/>
        </w:rPr>
      </w:pPr>
      <w:r>
        <w:rPr>
          <w:rFonts w:ascii="Arial" w:cs="Arial" w:eastAsia="Arial" w:hAnsi="Arial"/>
          <w:sz w:val="22"/>
          <w:szCs w:val="22"/>
          <w:color w:val="auto"/>
        </w:rPr>
        <w:t>the consent of the Administrative Agent (such consent not to be unreasonably withheld or delayed) shall be required for assignments in respect of (i)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191" w:lineRule="exact"/>
        <w:rPr>
          <w:rFonts w:ascii="Arial" w:cs="Arial" w:eastAsia="Arial" w:hAnsi="Arial"/>
          <w:sz w:val="22"/>
          <w:szCs w:val="22"/>
          <w:color w:val="auto"/>
        </w:rPr>
      </w:pPr>
    </w:p>
    <w:p>
      <w:pPr>
        <w:ind w:left="180" w:firstLine="652"/>
        <w:spacing w:after="0" w:line="263" w:lineRule="auto"/>
        <w:tabs>
          <w:tab w:leader="none" w:pos="1396" w:val="left"/>
        </w:tabs>
        <w:numPr>
          <w:ilvl w:val="1"/>
          <w:numId w:val="315"/>
        </w:numPr>
        <w:rPr>
          <w:rFonts w:ascii="Arial" w:cs="Arial" w:eastAsia="Arial" w:hAnsi="Arial"/>
          <w:sz w:val="22"/>
          <w:szCs w:val="22"/>
          <w:color w:val="auto"/>
        </w:rPr>
      </w:pPr>
      <w:r>
        <w:rPr>
          <w:rFonts w:ascii="Arial" w:cs="Arial" w:eastAsia="Arial" w:hAnsi="Arial"/>
          <w:sz w:val="22"/>
          <w:szCs w:val="22"/>
          <w:color w:val="auto"/>
        </w:rPr>
        <w:t>the consent of each L/C Issuer and the Swing Line Lender shall be required for any assignment in respect of the Revolving Credit Facility.</w:t>
      </w:r>
    </w:p>
    <w:p>
      <w:pPr>
        <w:spacing w:after="0" w:line="174" w:lineRule="exact"/>
        <w:rPr>
          <w:rFonts w:ascii="Arial" w:cs="Arial" w:eastAsia="Arial" w:hAnsi="Arial"/>
          <w:sz w:val="22"/>
          <w:szCs w:val="22"/>
          <w:color w:val="auto"/>
        </w:rPr>
      </w:pPr>
    </w:p>
    <w:p>
      <w:pPr>
        <w:jc w:val="both"/>
        <w:ind w:left="-460" w:firstLine="644"/>
        <w:spacing w:after="0" w:line="248" w:lineRule="auto"/>
        <w:tabs>
          <w:tab w:leader="none" w:pos="716" w:val="left"/>
        </w:tabs>
        <w:numPr>
          <w:ilvl w:val="0"/>
          <w:numId w:val="315"/>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145</w:t>
      </w:r>
    </w:p>
    <w:p>
      <w:pPr>
        <w:sectPr>
          <w:pgSz w:w="11900" w:h="16838" w:orient="portrait"/>
          <w:cols w:equalWidth="0" w:num="1">
            <w:col w:w="10120"/>
          </w:cols>
          <w:pgMar w:left="1440" w:top="1427" w:right="339" w:bottom="1440" w:gutter="0" w:footer="0" w:header="0"/>
        </w:sectPr>
      </w:pPr>
    </w:p>
    <w:bookmarkStart w:id="420" w:name="page421"/>
    <w:bookmarkEnd w:id="420"/>
    <w:p>
      <w:pPr>
        <w:jc w:val="both"/>
        <w:ind w:left="-460" w:firstLine="644"/>
        <w:spacing w:after="0" w:line="248" w:lineRule="auto"/>
        <w:tabs>
          <w:tab w:leader="none" w:pos="737" w:val="left"/>
        </w:tabs>
        <w:numPr>
          <w:ilvl w:val="0"/>
          <w:numId w:val="316"/>
        </w:numPr>
        <w:rPr>
          <w:rFonts w:ascii="Arial" w:cs="Arial" w:eastAsia="Arial" w:hAnsi="Arial"/>
          <w:sz w:val="22"/>
          <w:szCs w:val="22"/>
          <w:color w:val="auto"/>
        </w:rPr>
      </w:pPr>
      <w:r>
        <w:rPr>
          <w:rFonts w:ascii="Arial" w:cs="Arial" w:eastAsia="Arial" w:hAnsi="Arial"/>
          <w:sz w:val="22"/>
          <w:szCs w:val="22"/>
          <w:u w:val="single" w:color="auto"/>
          <w:color w:val="auto"/>
        </w:rPr>
        <w:t>No Assignment to Certain Persons</w:t>
      </w:r>
      <w:r>
        <w:rPr>
          <w:rFonts w:ascii="Arial" w:cs="Arial" w:eastAsia="Arial" w:hAnsi="Arial"/>
          <w:sz w:val="22"/>
          <w:szCs w:val="22"/>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to a natural Person (or a holding company, investment vehicle or trust for, or owned and operated by or for the primary benefit of one or more natural Persons).</w:t>
      </w:r>
    </w:p>
    <w:p>
      <w:pPr>
        <w:spacing w:after="0" w:line="191" w:lineRule="exact"/>
        <w:rPr>
          <w:rFonts w:ascii="Arial" w:cs="Arial" w:eastAsia="Arial" w:hAnsi="Arial"/>
          <w:sz w:val="22"/>
          <w:szCs w:val="22"/>
          <w:color w:val="auto"/>
        </w:rPr>
      </w:pPr>
    </w:p>
    <w:p>
      <w:pPr>
        <w:jc w:val="both"/>
        <w:ind w:left="-460" w:firstLine="644"/>
        <w:spacing w:after="0" w:line="257" w:lineRule="auto"/>
        <w:tabs>
          <w:tab w:leader="none" w:pos="716" w:val="left"/>
        </w:tabs>
        <w:numPr>
          <w:ilvl w:val="0"/>
          <w:numId w:val="316"/>
        </w:numPr>
        <w:rPr>
          <w:rFonts w:ascii="Arial" w:cs="Arial" w:eastAsia="Arial" w:hAnsi="Arial"/>
          <w:sz w:val="21"/>
          <w:szCs w:val="21"/>
          <w:color w:val="auto"/>
        </w:rPr>
      </w:pPr>
      <w:r>
        <w:rPr>
          <w:rFonts w:ascii="Arial" w:cs="Arial" w:eastAsia="Arial" w:hAnsi="Arial"/>
          <w:sz w:val="21"/>
          <w:szCs w:val="21"/>
          <w:u w:val="single" w:color="auto"/>
          <w:color w:val="auto"/>
        </w:rPr>
        <w:t>Certain Additional Payments</w:t>
      </w:r>
      <w:r>
        <w:rPr>
          <w:rFonts w:ascii="Arial" w:cs="Arial" w:eastAsia="Arial" w:hAnsi="Arial"/>
          <w:sz w:val="21"/>
          <w:szCs w:val="21"/>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Arial" w:cs="Arial" w:eastAsia="Arial" w:hAnsi="Arial"/>
          <w:sz w:val="21"/>
          <w:szCs w:val="21"/>
          <w:u w:val="single" w:color="auto"/>
          <w:color w:val="auto"/>
        </w:rPr>
        <w:t>clause (vi)</w:t>
      </w:r>
      <w:r>
        <w:rPr>
          <w:rFonts w:ascii="Arial" w:cs="Arial" w:eastAsia="Arial" w:hAnsi="Arial"/>
          <w:sz w:val="21"/>
          <w:szCs w:val="21"/>
          <w:color w:val="auto"/>
        </w:rPr>
        <w:t>, then the assignee of such interest shall be deemed to be a Defaulting Lender for all purposes of this Agreement until such compliance occurs.</w:t>
      </w:r>
    </w:p>
    <w:p>
      <w:pPr>
        <w:spacing w:after="0" w:line="186" w:lineRule="exact"/>
        <w:rPr>
          <w:rFonts w:ascii="Arial" w:cs="Arial" w:eastAsia="Arial" w:hAnsi="Arial"/>
          <w:sz w:val="21"/>
          <w:szCs w:val="21"/>
          <w:color w:val="auto"/>
        </w:rPr>
      </w:pPr>
    </w:p>
    <w:p>
      <w:pPr>
        <w:jc w:val="both"/>
        <w:ind w:left="-460" w:firstLine="644"/>
        <w:spacing w:after="0" w:line="286" w:lineRule="auto"/>
        <w:tabs>
          <w:tab w:leader="none" w:pos="887"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11.06</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146</w:t>
      </w:r>
    </w:p>
    <w:p>
      <w:pPr>
        <w:sectPr>
          <w:pgSz w:w="11900" w:h="16838" w:orient="portrait"/>
          <w:cols w:equalWidth="0" w:num="1">
            <w:col w:w="10120"/>
          </w:cols>
          <w:pgMar w:left="1440" w:top="1427" w:right="339" w:bottom="1440" w:gutter="0" w:footer="0" w:header="0"/>
        </w:sectPr>
      </w:pPr>
    </w:p>
    <w:bookmarkStart w:id="421" w:name="page422"/>
    <w:bookmarkEnd w:id="421"/>
    <w:p>
      <w:pPr>
        <w:jc w:val="both"/>
        <w:ind w:firstLine="656"/>
        <w:spacing w:after="0" w:line="290" w:lineRule="auto"/>
        <w:tabs>
          <w:tab w:leader="none" w:pos="1171"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55" w:lineRule="exact"/>
        <w:rPr>
          <w:rFonts w:ascii="Arial" w:cs="Arial" w:eastAsia="Arial" w:hAnsi="Arial"/>
          <w:sz w:val="19"/>
          <w:szCs w:val="19"/>
          <w:color w:val="auto"/>
        </w:rPr>
      </w:pPr>
    </w:p>
    <w:p>
      <w:pPr>
        <w:jc w:val="both"/>
        <w:ind w:firstLine="656"/>
        <w:spacing w:after="0" w:line="288" w:lineRule="auto"/>
        <w:tabs>
          <w:tab w:leader="none" w:pos="1116"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without regard to the existence of any participation.</w:t>
      </w:r>
    </w:p>
    <w:p>
      <w:pPr>
        <w:spacing w:after="0" w:line="15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that affects such Participant. The Borrower agrees that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 subject to the provisions of </w:t>
      </w:r>
      <w:r>
        <w:rPr>
          <w:rFonts w:ascii="Arial" w:cs="Arial" w:eastAsia="Arial" w:hAnsi="Arial"/>
          <w:sz w:val="19"/>
          <w:szCs w:val="19"/>
          <w:u w:val="single" w:color="auto"/>
          <w:color w:val="auto"/>
        </w:rPr>
        <w:t>Sections 3.06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11.13</w:t>
      </w:r>
      <w:r>
        <w:rPr>
          <w:rFonts w:ascii="Arial" w:cs="Arial" w:eastAsia="Arial" w:hAnsi="Arial"/>
          <w:sz w:val="19"/>
          <w:szCs w:val="19"/>
          <w:color w:val="auto"/>
        </w:rPr>
        <w:t xml:space="preserve"> as if it were an assignee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and (B) shall not be entitled to receive any greater payment under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ectPr>
          <w:pgSz w:w="11900" w:h="16838" w:orient="portrait"/>
          <w:cols w:equalWidth="0" w:num="1">
            <w:col w:w="11240"/>
          </w:cols>
          <w:pgMar w:left="320" w:top="1427" w:right="339" w:bottom="1440" w:gutter="0" w:footer="0" w:header="0"/>
        </w:sectPr>
      </w:pPr>
    </w:p>
    <w:bookmarkStart w:id="422" w:name="page423"/>
    <w:bookmarkEnd w:id="422"/>
    <w:p>
      <w:pPr>
        <w:jc w:val="both"/>
        <w:spacing w:after="0" w:line="287" w:lineRule="auto"/>
        <w:rPr>
          <w:sz w:val="20"/>
          <w:szCs w:val="20"/>
          <w:color w:val="auto"/>
        </w:rPr>
      </w:pPr>
      <w:r>
        <w:rPr>
          <w:rFonts w:ascii="Arial" w:cs="Arial" w:eastAsia="Arial" w:hAnsi="Arial"/>
          <w:sz w:val="19"/>
          <w:szCs w:val="19"/>
          <w:color w:val="auto"/>
        </w:rPr>
        <w:t xml:space="preserve">effectuate the provisions of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with respect to any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3" w:lineRule="exact"/>
        <w:rPr>
          <w:sz w:val="20"/>
          <w:szCs w:val="20"/>
          <w:color w:val="auto"/>
        </w:rPr>
      </w:pPr>
    </w:p>
    <w:p>
      <w:pPr>
        <w:jc w:val="both"/>
        <w:ind w:firstLine="656"/>
        <w:spacing w:after="0" w:line="302" w:lineRule="auto"/>
        <w:tabs>
          <w:tab w:leader="none" w:pos="1158" w:val="left"/>
        </w:tabs>
        <w:numPr>
          <w:ilvl w:val="0"/>
          <w:numId w:val="318"/>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42" w:lineRule="exact"/>
        <w:rPr>
          <w:rFonts w:ascii="Arial" w:cs="Arial" w:eastAsia="Arial" w:hAnsi="Arial"/>
          <w:sz w:val="19"/>
          <w:szCs w:val="19"/>
          <w:color w:val="auto"/>
        </w:rPr>
      </w:pPr>
    </w:p>
    <w:p>
      <w:pPr>
        <w:ind w:left="1080" w:hanging="424"/>
        <w:spacing w:after="0"/>
        <w:tabs>
          <w:tab w:leader="none" w:pos="1080" w:val="left"/>
        </w:tabs>
        <w:numPr>
          <w:ilvl w:val="0"/>
          <w:numId w:val="318"/>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jc w:val="both"/>
        <w:ind w:firstLine="656"/>
        <w:spacing w:after="0" w:line="286" w:lineRule="auto"/>
        <w:tabs>
          <w:tab w:leader="none" w:pos="1264" w:val="left"/>
        </w:tabs>
        <w:numPr>
          <w:ilvl w:val="0"/>
          <w:numId w:val="318"/>
        </w:numPr>
        <w:rPr>
          <w:rFonts w:ascii="Arial" w:cs="Arial" w:eastAsia="Arial" w:hAnsi="Arial"/>
          <w:sz w:val="19"/>
          <w:szCs w:val="19"/>
          <w:color w:val="auto"/>
        </w:rPr>
      </w:pPr>
      <w:r>
        <w:rPr>
          <w:rFonts w:ascii="Arial" w:cs="Arial" w:eastAsia="Arial" w:hAnsi="Arial"/>
          <w:sz w:val="19"/>
          <w:szCs w:val="19"/>
          <w:u w:val="single" w:color="auto"/>
          <w:color w:val="auto"/>
        </w:rPr>
        <w:t>Resignation as L/C Issuer or Swing Line Lender after Assignment</w:t>
      </w:r>
      <w:r>
        <w:rPr>
          <w:rFonts w:ascii="Arial" w:cs="Arial" w:eastAsia="Arial" w:hAnsi="Arial"/>
          <w:sz w:val="19"/>
          <w:szCs w:val="19"/>
          <w:color w:val="auto"/>
        </w:rPr>
        <w:t xml:space="preserve">. Notwithstanding anything to the contrary contained herein, if at any time any L/C Issuer/Swing Line Lender assigns all of its Revolving Credit Commitment and Revolving Credit Loans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such L/C Issuer/Swing Line Lender may, (i) upon [30] days’ notice to the Administrative Agent, the Borrower and the Lenders, resign as an L/C Issuer and/or (ii) upon [30] days’ notice to the Borrower, resign as a Swing Line Lender. In the event of any such resignation as an L/C Issuer or a Swing Line Lender, the Borrower shall be entitled to appoint from among the Lenders a successor L/C Issuer or Swing Line Lender hereunder which agrees in writing to serve in any such capacity;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failure by the Borrower to appoint any such successor shall affect the resignation of the applicable L/C Issuer/Swing Line Lender as an L/C Issuer or a Swing Line Lender, as the case may be. If the applicable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the Swing Line Lender resigns as a Swing Line Lender, it shall retain all the rights of a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ectPr>
          <w:pgSz w:w="11900" w:h="16838" w:orient="portrait"/>
          <w:cols w:equalWidth="0" w:num="1">
            <w:col w:w="11240"/>
          </w:cols>
          <w:pgMar w:left="320" w:top="1427" w:right="339" w:bottom="1440" w:gutter="0" w:footer="0" w:header="0"/>
        </w:sectPr>
      </w:pPr>
    </w:p>
    <w:bookmarkStart w:id="423" w:name="page424"/>
    <w:bookmarkEnd w:id="423"/>
    <w:p>
      <w:pPr>
        <w:jc w:val="both"/>
        <w:spacing w:after="0" w:line="263" w:lineRule="auto"/>
        <w:rPr>
          <w:sz w:val="20"/>
          <w:szCs w:val="20"/>
          <w:color w:val="auto"/>
        </w:rPr>
      </w:pPr>
      <w:r>
        <w:rPr>
          <w:rFonts w:ascii="Arial" w:cs="Arial" w:eastAsia="Arial" w:hAnsi="Arial"/>
          <w:sz w:val="21"/>
          <w:szCs w:val="21"/>
          <w:color w:val="auto"/>
        </w:rPr>
        <w:t>appointment of a successor L/C Issuer and/or Swing Line Lender, (x) such successor shall succeed to and become vested with all of the rights, powers, privileges and duties of the retiring L/C Issuer or Swing Line Lender, as the case may be, and (y)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spacing w:after="0" w:line="175" w:lineRule="exact"/>
        <w:rPr>
          <w:sz w:val="20"/>
          <w:szCs w:val="20"/>
          <w:color w:val="auto"/>
        </w:rPr>
      </w:pPr>
    </w:p>
    <w:p>
      <w:pPr>
        <w:ind w:left="1120" w:hanging="464"/>
        <w:spacing w:after="0"/>
        <w:tabs>
          <w:tab w:leader="none" w:pos="1120"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jc w:val="both"/>
        <w:ind w:firstLine="656"/>
        <w:spacing w:after="0" w:line="247" w:lineRule="auto"/>
        <w:tabs>
          <w:tab w:leader="none" w:pos="1108"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Disqualified Institutions</w:t>
      </w:r>
      <w:r>
        <w:rPr>
          <w:rFonts w:ascii="Arial" w:cs="Arial" w:eastAsia="Arial" w:hAnsi="Arial"/>
          <w:sz w:val="22"/>
          <w:szCs w:val="22"/>
          <w:color w:val="auto"/>
        </w:rPr>
        <w:t>. (i) No assignment or shall be made to any Person that was a Disqualified Institution as of the date (the “</w:t>
      </w:r>
      <w:r>
        <w:rPr>
          <w:rFonts w:ascii="Arial" w:cs="Arial" w:eastAsia="Arial" w:hAnsi="Arial"/>
          <w:sz w:val="22"/>
          <w:szCs w:val="22"/>
          <w:u w:val="single" w:color="auto"/>
          <w:color w:val="auto"/>
        </w:rPr>
        <w:t>Trade Date</w:t>
      </w:r>
      <w:r>
        <w:rPr>
          <w:rFonts w:ascii="Arial" w:cs="Arial" w:eastAsia="Arial" w:hAnsi="Arial"/>
          <w:sz w:val="22"/>
          <w:szCs w:val="22"/>
          <w:color w:val="auto"/>
        </w:rPr>
        <w:t xml:space="preserve">”) on which the applicable Lender entered into a binding agreement to sell and assign all or a portion of its rights and obligations under this Agreement to such Person (unless the Borrower has consented to such assignment as otherwise contemplated by this </w:t>
      </w:r>
      <w:r>
        <w:rPr>
          <w:rFonts w:ascii="Arial" w:cs="Arial" w:eastAsia="Arial" w:hAnsi="Arial"/>
          <w:sz w:val="22"/>
          <w:szCs w:val="22"/>
          <w:u w:val="single" w:color="auto"/>
          <w:color w:val="auto"/>
        </w:rPr>
        <w:t>Section 11.06</w:t>
      </w:r>
      <w:r>
        <w:rPr>
          <w:rFonts w:ascii="Arial" w:cs="Arial" w:eastAsia="Arial" w:hAnsi="Arial"/>
          <w:sz w:val="22"/>
          <w:szCs w:val="22"/>
          <w:color w:val="auto"/>
        </w:rPr>
        <w:t xml:space="preserve">, in which case such Person will not be considered a Disqualified Institution for the purpose of such assignment). Any assignment in violation of this </w:t>
      </w:r>
      <w:r>
        <w:rPr>
          <w:rFonts w:ascii="Arial" w:cs="Arial" w:eastAsia="Arial" w:hAnsi="Arial"/>
          <w:sz w:val="22"/>
          <w:szCs w:val="22"/>
          <w:u w:val="single" w:color="auto"/>
          <w:color w:val="auto"/>
        </w:rPr>
        <w:t>clause (l)(i)</w:t>
      </w:r>
      <w:r>
        <w:rPr>
          <w:rFonts w:ascii="Arial" w:cs="Arial" w:eastAsia="Arial" w:hAnsi="Arial"/>
          <w:sz w:val="22"/>
          <w:szCs w:val="22"/>
          <w:color w:val="auto"/>
        </w:rPr>
        <w:t xml:space="preserve"> shall not be void, but the other provisions of this </w:t>
      </w:r>
      <w:r>
        <w:rPr>
          <w:rFonts w:ascii="Arial" w:cs="Arial" w:eastAsia="Arial" w:hAnsi="Arial"/>
          <w:sz w:val="22"/>
          <w:szCs w:val="22"/>
          <w:u w:val="single" w:color="auto"/>
          <w:color w:val="auto"/>
        </w:rPr>
        <w:t>clause (l)</w:t>
      </w:r>
      <w:r>
        <w:rPr>
          <w:rFonts w:ascii="Arial" w:cs="Arial" w:eastAsia="Arial" w:hAnsi="Arial"/>
          <w:sz w:val="22"/>
          <w:szCs w:val="22"/>
          <w:color w:val="auto"/>
        </w:rPr>
        <w:t xml:space="preserve"> shall apply.</w:t>
      </w:r>
    </w:p>
    <w:p>
      <w:pPr>
        <w:spacing w:after="0" w:line="193" w:lineRule="exact"/>
        <w:rPr>
          <w:sz w:val="20"/>
          <w:szCs w:val="20"/>
          <w:color w:val="auto"/>
        </w:rPr>
      </w:pPr>
    </w:p>
    <w:p>
      <w:pPr>
        <w:ind w:left="1140" w:hanging="484"/>
        <w:spacing w:after="0"/>
        <w:tabs>
          <w:tab w:leader="none" w:pos="1140" w:val="left"/>
        </w:tabs>
        <w:numPr>
          <w:ilvl w:val="1"/>
          <w:numId w:val="320"/>
        </w:numPr>
        <w:rPr>
          <w:rFonts w:ascii="Arial" w:cs="Arial" w:eastAsia="Arial" w:hAnsi="Arial"/>
          <w:sz w:val="19"/>
          <w:szCs w:val="19"/>
          <w:color w:val="auto"/>
        </w:rPr>
      </w:pPr>
      <w:r>
        <w:rPr>
          <w:rFonts w:ascii="Arial" w:cs="Arial" w:eastAsia="Arial" w:hAnsi="Arial"/>
          <w:sz w:val="19"/>
          <w:szCs w:val="19"/>
          <w:color w:val="auto"/>
        </w:rPr>
        <w:t>If any assignment is made to any Disqualified Institution without the Borrower’s prior consent in violation of clause</w:t>
      </w:r>
    </w:p>
    <w:p>
      <w:pPr>
        <w:spacing w:after="0" w:line="55" w:lineRule="exact"/>
        <w:rPr>
          <w:rFonts w:ascii="Arial" w:cs="Arial" w:eastAsia="Arial" w:hAnsi="Arial"/>
          <w:sz w:val="19"/>
          <w:szCs w:val="19"/>
          <w:color w:val="auto"/>
        </w:rPr>
      </w:pPr>
    </w:p>
    <w:p>
      <w:pPr>
        <w:jc w:val="both"/>
        <w:ind w:firstLine="8"/>
        <w:spacing w:after="0" w:line="284" w:lineRule="auto"/>
        <w:tabs>
          <w:tab w:leader="none" w:pos="306" w:val="left"/>
        </w:tabs>
        <w:numPr>
          <w:ilvl w:val="0"/>
          <w:numId w:val="321"/>
        </w:numPr>
        <w:rPr>
          <w:rFonts w:ascii="Arial" w:cs="Arial" w:eastAsia="Arial" w:hAnsi="Arial"/>
          <w:sz w:val="19"/>
          <w:szCs w:val="19"/>
          <w:color w:val="auto"/>
        </w:rPr>
      </w:pPr>
      <w:r>
        <w:rPr>
          <w:rFonts w:ascii="Arial" w:cs="Arial" w:eastAsia="Arial" w:hAnsi="Arial"/>
          <w:sz w:val="19"/>
          <w:szCs w:val="19"/>
          <w:color w:val="auto"/>
        </w:rPr>
        <w:t xml:space="preserve">above the Borrower may, at its sole expense and effort, upon notice to the applicable Disqualified Institution and the Administrative Agent, (A) terminate any Revolving Credit Commitment of such Disqualified Institution and repay all obligations of the Borrower owing to such Disqualified Institution in connection with such Revolving Credit Commitment, (B) in the case of outstanding Term Loans held by Disqualified Institutions,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all of its interest, rights and obligations under this Agreement and related Loan Documents to an Eligible Assignee that shall assume such obligations at the lesser of (x) the principal amount thereof and (y) the amount that such Disqualified Institution paid to acquire such interests, rights and obligations, in each case plus accrued interest, accrued fees and all other amounts (other than principal amounts) payable to it hereunder and other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paid to the Administrative Agent the assignment fee (if any)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(ii) such assignment does not conflict with Applicable Laws and (iii) in the case of </w:t>
      </w:r>
      <w:r>
        <w:rPr>
          <w:rFonts w:ascii="Arial" w:cs="Arial" w:eastAsia="Arial" w:hAnsi="Arial"/>
          <w:sz w:val="19"/>
          <w:szCs w:val="19"/>
          <w:u w:val="single" w:color="auto"/>
          <w:color w:val="auto"/>
        </w:rPr>
        <w:t>clause (B)</w:t>
      </w:r>
      <w:r>
        <w:rPr>
          <w:rFonts w:ascii="Arial" w:cs="Arial" w:eastAsia="Arial" w:hAnsi="Arial"/>
          <w:sz w:val="19"/>
          <w:szCs w:val="19"/>
          <w:color w:val="auto"/>
        </w:rPr>
        <w:t>, the Borrower shall not use the proceeds from any Loans to prepay Term Loans held by Disqualified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ectPr>
          <w:pgSz w:w="11900" w:h="16838" w:orient="portrait"/>
          <w:cols w:equalWidth="0" w:num="1">
            <w:col w:w="11240"/>
          </w:cols>
          <w:pgMar w:left="320" w:top="1427" w:right="339" w:bottom="1440" w:gutter="0" w:footer="0" w:header="0"/>
        </w:sectPr>
      </w:pPr>
    </w:p>
    <w:bookmarkStart w:id="424" w:name="page425"/>
    <w:bookmarkEnd w:id="424"/>
    <w:p>
      <w:pPr>
        <w:jc w:val="both"/>
        <w:ind w:firstLine="656"/>
        <w:spacing w:after="0" w:line="285" w:lineRule="auto"/>
        <w:tabs>
          <w:tab w:leader="none" w:pos="1275" w:val="left"/>
        </w:tabs>
        <w:numPr>
          <w:ilvl w:val="1"/>
          <w:numId w:val="32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w:t>
      </w:r>
      <w:r>
        <w:rPr>
          <w:rFonts w:ascii="Arial" w:cs="Arial" w:eastAsia="Arial" w:hAnsi="Arial"/>
          <w:sz w:val="19"/>
          <w:szCs w:val="19"/>
          <w:u w:val="single" w:color="auto"/>
          <w:color w:val="auto"/>
        </w:rPr>
        <w:t>Plan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Reorganization</w:t>
      </w:r>
      <w:r>
        <w:rPr>
          <w:rFonts w:ascii="Arial" w:cs="Arial" w:eastAsia="Arial" w:hAnsi="Arial"/>
          <w:sz w:val="19"/>
          <w:szCs w:val="19"/>
          <w:color w:val="auto"/>
        </w:rPr>
        <w:t xml:space="preserve">”), each Disqualified Institution party hereto hereby agrees (1) not to vote on such Plan of Reorganization, (2) if such Disqualified Institution does vote on such Plan of Reorganization notwithstanding the restriction in the foregoing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Arial" w:cs="Arial" w:eastAsia="Arial" w:hAnsi="Arial"/>
          <w:sz w:val="19"/>
          <w:szCs w:val="19"/>
          <w:u w:val="single" w:color="auto"/>
          <w:color w:val="auto"/>
        </w:rPr>
        <w:t>clause (2)</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jc w:val="both"/>
        <w:ind w:firstLine="656"/>
        <w:spacing w:after="0" w:line="288" w:lineRule="auto"/>
        <w:tabs>
          <w:tab w:leader="none" w:pos="1247" w:val="left"/>
        </w:tabs>
        <w:numPr>
          <w:ilvl w:val="1"/>
          <w:numId w:val="322"/>
        </w:numPr>
        <w:rPr>
          <w:rFonts w:ascii="Arial" w:cs="Arial" w:eastAsia="Arial" w:hAnsi="Arial"/>
          <w:sz w:val="19"/>
          <w:szCs w:val="19"/>
          <w:color w:val="auto"/>
        </w:rPr>
      </w:pPr>
      <w:r>
        <w:rPr>
          <w:rFonts w:ascii="Arial" w:cs="Arial" w:eastAsia="Arial" w:hAnsi="Arial"/>
          <w:sz w:val="19"/>
          <w:szCs w:val="19"/>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Arial" w:cs="Arial" w:eastAsia="Arial" w:hAnsi="Arial"/>
          <w:sz w:val="19"/>
          <w:szCs w:val="19"/>
          <w:u w:val="single" w:color="auto"/>
          <w:color w:val="auto"/>
        </w:rPr>
        <w:t>DQ List</w:t>
      </w:r>
      <w:r>
        <w:rPr>
          <w:rFonts w:ascii="Arial" w:cs="Arial" w:eastAsia="Arial" w:hAnsi="Arial"/>
          <w:sz w:val="19"/>
          <w:szCs w:val="19"/>
          <w:color w:val="auto"/>
        </w:rPr>
        <w:t>”) on the Platform, including that portion of the Platform that is designated for “public side” Lenders or</w:t>
      </w:r>
    </w:p>
    <w:p>
      <w:pPr>
        <w:ind w:left="360" w:hanging="352"/>
        <w:spacing w:after="0"/>
        <w:tabs>
          <w:tab w:leader="none" w:pos="360" w:val="left"/>
        </w:tabs>
        <w:numPr>
          <w:ilvl w:val="0"/>
          <w:numId w:val="323"/>
        </w:numPr>
        <w:rPr>
          <w:rFonts w:ascii="Arial" w:cs="Arial" w:eastAsia="Arial" w:hAnsi="Arial"/>
          <w:sz w:val="22"/>
          <w:szCs w:val="22"/>
          <w:color w:val="auto"/>
        </w:rPr>
      </w:pPr>
      <w:r>
        <w:rPr>
          <w:rFonts w:ascii="Arial" w:cs="Arial" w:eastAsia="Arial" w:hAnsi="Arial"/>
          <w:sz w:val="22"/>
          <w:szCs w:val="22"/>
          <w:color w:val="auto"/>
        </w:rPr>
        <w:t>provide the DQ List to each Lender requesting the same.</w:t>
      </w:r>
    </w:p>
    <w:p>
      <w:pPr>
        <w:spacing w:after="0" w:line="20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11.07 </w:t>
      </w:r>
      <w:r>
        <w:rPr>
          <w:rFonts w:ascii="Arial" w:cs="Arial" w:eastAsia="Arial" w:hAnsi="Arial"/>
          <w:sz w:val="19"/>
          <w:szCs w:val="19"/>
          <w:u w:val="single" w:color="auto"/>
          <w:color w:val="auto"/>
        </w:rPr>
        <w:t>Treatment of Certain Information; Confidentiality</w:t>
      </w:r>
      <w:r>
        <w:rPr>
          <w:rFonts w:ascii="Arial" w:cs="Arial" w:eastAsia="Arial" w:hAnsi="Arial"/>
          <w:sz w:val="19"/>
          <w:szCs w:val="19"/>
          <w:color w:val="auto"/>
        </w:rPr>
        <w:t xml:space="preserve">. Each of the Administrative Agent, the Lenders and the L/C Issuers agrees to maintain the confidentiality of the Confidential Information (as defined below), except that Confidential Information may be disclosed (a) to its Affiliates, its auditors and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9"/>
          <w:szCs w:val="19"/>
          <w:u w:val="single" w:color="auto"/>
          <w:color w:val="auto"/>
        </w:rPr>
        <w:t>Section 11.07</w:t>
      </w:r>
      <w:r>
        <w:rPr>
          <w:rFonts w:ascii="Arial" w:cs="Arial" w:eastAsia="Arial" w:hAnsi="Arial"/>
          <w:sz w:val="19"/>
          <w:szCs w:val="19"/>
          <w:color w:val="auto"/>
        </w:rPr>
        <w:t>, to</w:t>
      </w:r>
    </w:p>
    <w:p>
      <w:pPr>
        <w:spacing w:after="0" w:line="7" w:lineRule="exact"/>
        <w:rPr>
          <w:sz w:val="20"/>
          <w:szCs w:val="20"/>
          <w:color w:val="auto"/>
        </w:rPr>
      </w:pPr>
    </w:p>
    <w:p>
      <w:pPr>
        <w:ind w:firstLine="8"/>
        <w:spacing w:after="0" w:line="323" w:lineRule="auto"/>
        <w:tabs>
          <w:tab w:leader="none" w:pos="270" w:val="left"/>
        </w:tabs>
        <w:numPr>
          <w:ilvl w:val="0"/>
          <w:numId w:val="324"/>
        </w:numPr>
        <w:rPr>
          <w:rFonts w:ascii="Arial" w:cs="Arial" w:eastAsia="Arial" w:hAnsi="Arial"/>
          <w:sz w:val="19"/>
          <w:szCs w:val="19"/>
          <w:color w:val="auto"/>
        </w:rPr>
      </w:pPr>
      <w:r>
        <w:rPr>
          <w:rFonts w:ascii="Arial" w:cs="Arial" w:eastAsia="Arial" w:hAnsi="Arial"/>
          <w:sz w:val="19"/>
          <w:szCs w:val="19"/>
          <w:color w:val="auto"/>
        </w:rPr>
        <w:t>any assignee of or Participant in, or any prospective assignee of or Participant in, any of its rights and obligations under this Agreement or (ii) any actual or prospective party (or its Related Parties) to any swap, derivative or other transaction under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ectPr>
          <w:pgSz w:w="11900" w:h="16838" w:orient="portrait"/>
          <w:cols w:equalWidth="0" w:num="1">
            <w:col w:w="11240"/>
          </w:cols>
          <w:pgMar w:left="320" w:top="1427" w:right="339" w:bottom="1440" w:gutter="0" w:footer="0" w:header="0"/>
        </w:sectPr>
      </w:pPr>
    </w:p>
    <w:bookmarkStart w:id="425" w:name="page426"/>
    <w:bookmarkEnd w:id="425"/>
    <w:p>
      <w:pPr>
        <w:jc w:val="both"/>
        <w:spacing w:after="0" w:line="287" w:lineRule="auto"/>
        <w:rPr>
          <w:sz w:val="20"/>
          <w:szCs w:val="20"/>
          <w:color w:val="auto"/>
        </w:rPr>
      </w:pPr>
      <w:r>
        <w:rPr>
          <w:rFonts w:ascii="Arial" w:cs="Arial" w:eastAsia="Arial" w:hAnsi="Arial"/>
          <w:sz w:val="19"/>
          <w:szCs w:val="19"/>
          <w:color w:val="auto"/>
        </w:rPr>
        <w:t xml:space="preserve">payments are to be made by reference to the Borrower and its obligations, this Agreement or payments hereunder, in reliance on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of other market identifiers with respect to the credit facilities provided hereunder, (h) with the consent of the Borrower or (i) to the extent such Confidential Information (x) becomes publicly available other than as a result of a breach of this </w:t>
      </w:r>
      <w:r>
        <w:rPr>
          <w:rFonts w:ascii="Arial" w:cs="Arial" w:eastAsia="Arial" w:hAnsi="Arial"/>
          <w:sz w:val="19"/>
          <w:szCs w:val="19"/>
          <w:u w:val="single" w:color="auto"/>
          <w:color w:val="auto"/>
        </w:rPr>
        <w:t>Section 11.07</w:t>
      </w:r>
      <w:r>
        <w:rPr>
          <w:rFonts w:ascii="Arial" w:cs="Arial" w:eastAsia="Arial" w:hAnsi="Arial"/>
          <w:sz w:val="19"/>
          <w:szCs w:val="19"/>
          <w:color w:val="auto"/>
        </w:rPr>
        <w:t xml:space="preserve">, (y) becomes available to the Administrative Agent, any Lender, any L/C Issuer or any of their respective Affiliates on a nonconfidential basis from a source other than the Borrower or (z) is independently discovered or developed by a party hereto without utilizing any Confidential Information received from the Borrower or violating the terms of this </w:t>
      </w:r>
      <w:r>
        <w:rPr>
          <w:rFonts w:ascii="Arial" w:cs="Arial" w:eastAsia="Arial" w:hAnsi="Arial"/>
          <w:sz w:val="19"/>
          <w:szCs w:val="19"/>
          <w:u w:val="single" w:color="auto"/>
          <w:color w:val="auto"/>
        </w:rPr>
        <w:t>Section 11.07</w:t>
      </w:r>
      <w:r>
        <w:rPr>
          <w:rFonts w:ascii="Arial" w:cs="Arial" w:eastAsia="Arial" w:hAnsi="Arial"/>
          <w:sz w:val="19"/>
          <w:szCs w:val="19"/>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11.07</w:t>
      </w:r>
      <w:r>
        <w:rPr>
          <w:rFonts w:ascii="Arial" w:cs="Arial" w:eastAsia="Arial" w:hAnsi="Arial"/>
          <w:sz w:val="21"/>
          <w:szCs w:val="21"/>
          <w:color w:val="auto"/>
        </w:rPr>
        <w:t>,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the Borrower or any Subsidiary after the date hereof, such information is clearly identified at the time of delivery as confidential. Any Person required to maintain the confidentiality of Confidential Information as provided in this </w:t>
      </w:r>
      <w:r>
        <w:rPr>
          <w:rFonts w:ascii="Arial" w:cs="Arial" w:eastAsia="Arial" w:hAnsi="Arial"/>
          <w:sz w:val="21"/>
          <w:szCs w:val="21"/>
          <w:u w:val="single" w:color="auto"/>
          <w:color w:val="auto"/>
        </w:rPr>
        <w:t>Section 11.07</w:t>
      </w:r>
      <w:r>
        <w:rPr>
          <w:rFonts w:ascii="Arial" w:cs="Arial" w:eastAsia="Arial" w:hAnsi="Arial"/>
          <w:sz w:val="21"/>
          <w:szCs w:val="21"/>
          <w:color w:val="auto"/>
        </w:rPr>
        <w:t xml:space="preserve"> shall be considered to have complied with its obligation to do so if such Person has exercised the same degree of care to maintain the confidentiality of such Confidential Information as such Person would accord to its own confidential information.</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Each of the Administrative Agent, the Lenders and the L/C Issuers acknowledges that (a) the Confidential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11.08 </w:t>
      </w:r>
      <w:r>
        <w:rPr>
          <w:rFonts w:ascii="Arial" w:cs="Arial" w:eastAsia="Arial" w:hAnsi="Arial"/>
          <w:sz w:val="19"/>
          <w:szCs w:val="19"/>
          <w:u w:val="single" w:color="auto"/>
          <w:color w:val="auto"/>
        </w:rPr>
        <w:t>Right of Setoff</w:t>
      </w:r>
      <w:r>
        <w:rPr>
          <w:rFonts w:ascii="Arial" w:cs="Arial" w:eastAsia="Arial" w:hAnsi="Arial"/>
          <w:sz w:val="19"/>
          <w:szCs w:val="19"/>
          <w:color w:val="auto"/>
        </w:rPr>
        <w:t>.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irrespective of whether or not such Lender or the L/C Issuer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ectPr>
          <w:pgSz w:w="11900" w:h="16838" w:orient="portrait"/>
          <w:cols w:equalWidth="0" w:num="1">
            <w:col w:w="11240"/>
          </w:cols>
          <w:pgMar w:left="320" w:top="1427" w:right="339" w:bottom="1440" w:gutter="0" w:footer="0" w:header="0"/>
        </w:sectPr>
      </w:pPr>
    </w:p>
    <w:bookmarkStart w:id="426" w:name="page427"/>
    <w:bookmarkEnd w:id="426"/>
    <w:p>
      <w:pPr>
        <w:jc w:val="both"/>
        <w:spacing w:after="0" w:line="287" w:lineRule="auto"/>
        <w:rPr>
          <w:sz w:val="20"/>
          <w:szCs w:val="20"/>
          <w:color w:val="auto"/>
        </w:rPr>
      </w:pPr>
      <w:r>
        <w:rPr>
          <w:rFonts w:ascii="Arial" w:cs="Arial" w:eastAsia="Arial" w:hAnsi="Arial"/>
          <w:sz w:val="19"/>
          <w:szCs w:val="19"/>
          <w:color w:val="auto"/>
        </w:rPr>
        <w:t xml:space="preserve">have made any demand under this Agreement or any other Loan Document and although such obligations of the Borrower or such Loan Party may be contingent or unmatured or are owed to a branch or office or Affiliate of such Lender or the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provided that the failure to give such notice shall not affect the validity of such setoff and application.</w:t>
      </w:r>
    </w:p>
    <w:p>
      <w:pPr>
        <w:spacing w:after="0" w:line="15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11.09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11.10 </w:t>
      </w:r>
      <w:r>
        <w:rPr>
          <w:rFonts w:ascii="Arial" w:cs="Arial" w:eastAsia="Arial" w:hAnsi="Arial"/>
          <w:sz w:val="21"/>
          <w:szCs w:val="21"/>
          <w:u w:val="single" w:color="auto"/>
          <w:color w:val="auto"/>
        </w:rPr>
        <w:t>Counterparts; Integration; Effectiveness</w:t>
      </w:r>
      <w:r>
        <w:rPr>
          <w:rFonts w:ascii="Arial" w:cs="Arial" w:eastAsia="Arial" w:hAnsi="Arial"/>
          <w:sz w:val="21"/>
          <w:szCs w:val="21"/>
          <w:b w:val="1"/>
          <w:bCs w:val="1"/>
          <w:color w:val="auto"/>
        </w:rPr>
        <w:t>.</w:t>
      </w:r>
      <w:r>
        <w:rPr>
          <w:rFonts w:ascii="Arial" w:cs="Arial" w:eastAsia="Arial" w:hAnsi="Arial"/>
          <w:sz w:val="21"/>
          <w:szCs w:val="21"/>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1"/>
          <w:szCs w:val="21"/>
          <w:u w:val="single" w:color="auto"/>
          <w:color w:val="auto"/>
        </w:rPr>
        <w:t>Section 4.01</w:t>
      </w:r>
      <w:r>
        <w:rPr>
          <w:rFonts w:ascii="Arial" w:cs="Arial" w:eastAsia="Arial" w:hAnsi="Arial"/>
          <w:sz w:val="21"/>
          <w:szCs w:val="21"/>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ectPr>
          <w:pgSz w:w="11900" w:h="16838" w:orient="portrait"/>
          <w:cols w:equalWidth="0" w:num="1">
            <w:col w:w="11240"/>
          </w:cols>
          <w:pgMar w:left="320" w:top="1427" w:right="339" w:bottom="1440" w:gutter="0" w:footer="0" w:header="0"/>
        </w:sectPr>
      </w:pPr>
    </w:p>
    <w:bookmarkStart w:id="427" w:name="page428"/>
    <w:bookmarkEnd w:id="427"/>
    <w:p>
      <w:pPr>
        <w:jc w:val="both"/>
        <w:ind w:firstLine="648"/>
        <w:spacing w:after="0" w:line="292" w:lineRule="auto"/>
        <w:rPr>
          <w:sz w:val="20"/>
          <w:szCs w:val="20"/>
          <w:color w:val="auto"/>
        </w:rPr>
      </w:pPr>
      <w:r>
        <w:rPr>
          <w:rFonts w:ascii="Arial" w:cs="Arial" w:eastAsia="Arial" w:hAnsi="Arial"/>
          <w:sz w:val="19"/>
          <w:szCs w:val="19"/>
          <w:color w:val="auto"/>
        </w:rPr>
        <w:t xml:space="preserve">11.11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11.12</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11.13 </w:t>
      </w:r>
      <w:r>
        <w:rPr>
          <w:rFonts w:ascii="Arial" w:cs="Arial" w:eastAsia="Arial" w:hAnsi="Arial"/>
          <w:sz w:val="21"/>
          <w:szCs w:val="21"/>
          <w:u w:val="single" w:color="auto"/>
          <w:color w:val="auto"/>
        </w:rPr>
        <w:t>Replacement of Lenders</w:t>
      </w:r>
      <w:r>
        <w:rPr>
          <w:rFonts w:ascii="Arial" w:cs="Arial" w:eastAsia="Arial" w:hAnsi="Arial"/>
          <w:sz w:val="21"/>
          <w:szCs w:val="21"/>
          <w:color w:val="auto"/>
        </w:rPr>
        <w:t xml:space="preserve">. If the Borrower is entitled to replace a Lender pursuant to the provisions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3.06</w:t>
      </w:r>
      <w:r>
        <w:rPr>
          <w:rFonts w:ascii="Arial" w:cs="Arial" w:eastAsia="Arial" w:hAnsi="Arial"/>
          <w:sz w:val="21"/>
          <w:szCs w:val="21"/>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1"/>
          <w:szCs w:val="21"/>
          <w:u w:val="single" w:color="auto"/>
          <w:color w:val="auto"/>
        </w:rPr>
        <w:t>Section 11.06</w:t>
      </w:r>
      <w:r>
        <w:rPr>
          <w:rFonts w:ascii="Arial" w:cs="Arial" w:eastAsia="Arial" w:hAnsi="Arial"/>
          <w:sz w:val="21"/>
          <w:szCs w:val="21"/>
          <w:color w:val="auto"/>
        </w:rPr>
        <w:t xml:space="preserve">), all of its interests, rights (other than its existing rights to payments pursuant to </w:t>
      </w: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3.04</w:t>
      </w:r>
      <w:r>
        <w:rPr>
          <w:rFonts w:ascii="Arial" w:cs="Arial" w:eastAsia="Arial" w:hAnsi="Arial"/>
          <w:sz w:val="21"/>
          <w:szCs w:val="21"/>
          <w:color w:val="auto"/>
        </w:rPr>
        <w:t>) and obligations under this Agreement and the related Loan Documents to an Eligible Assignee that shall assume such obligations (which assignee may be another Lender, if a Lender accepts such assignment), provided that:</w:t>
      </w:r>
    </w:p>
    <w:p>
      <w:pPr>
        <w:spacing w:after="0" w:line="180" w:lineRule="exact"/>
        <w:rPr>
          <w:sz w:val="20"/>
          <w:szCs w:val="20"/>
          <w:color w:val="auto"/>
        </w:rPr>
      </w:pPr>
    </w:p>
    <w:p>
      <w:pPr>
        <w:ind w:left="1120" w:hanging="464"/>
        <w:spacing w:after="0"/>
        <w:tabs>
          <w:tab w:leader="none" w:pos="112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 xml:space="preserve">the Borrower shall have paid to the Administrative Agent the assignment fee (if any)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firstLine="656"/>
        <w:spacing w:after="0" w:line="250" w:lineRule="auto"/>
        <w:tabs>
          <w:tab w:leader="none" w:pos="1219" w:val="left"/>
        </w:tabs>
        <w:numPr>
          <w:ilvl w:val="0"/>
          <w:numId w:val="325"/>
        </w:numPr>
        <w:rPr>
          <w:rFonts w:ascii="Arial" w:cs="Arial" w:eastAsia="Arial" w:hAnsi="Arial"/>
          <w:sz w:val="22"/>
          <w:szCs w:val="22"/>
          <w:color w:val="auto"/>
        </w:rPr>
      </w:pPr>
      <w:r>
        <w:rPr>
          <w:rFonts w:ascii="Arial" w:cs="Arial" w:eastAsia="Arial" w:hAnsi="Arial"/>
          <w:sz w:val="22"/>
          <w:szCs w:val="22"/>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2"/>
          <w:szCs w:val="22"/>
          <w:u w:val="single" w:color="auto"/>
          <w:color w:val="auto"/>
        </w:rPr>
        <w:t>Section 3.05</w:t>
      </w:r>
      <w:r>
        <w:rPr>
          <w:rFonts w:ascii="Arial" w:cs="Arial" w:eastAsia="Arial" w:hAnsi="Arial"/>
          <w:sz w:val="22"/>
          <w:szCs w:val="22"/>
          <w:color w:val="auto"/>
        </w:rPr>
        <w:t>) from the assignee (to the extent of such outstanding principal and accrued interest and fees) or the Borrower (in the case of all other amounts);</w:t>
      </w:r>
    </w:p>
    <w:p>
      <w:pPr>
        <w:spacing w:after="0" w:line="187" w:lineRule="exact"/>
        <w:rPr>
          <w:rFonts w:ascii="Arial" w:cs="Arial" w:eastAsia="Arial" w:hAnsi="Arial"/>
          <w:sz w:val="22"/>
          <w:szCs w:val="22"/>
          <w:color w:val="auto"/>
        </w:rPr>
      </w:pPr>
    </w:p>
    <w:p>
      <w:pPr>
        <w:ind w:firstLine="656"/>
        <w:spacing w:after="0" w:line="343" w:lineRule="auto"/>
        <w:tabs>
          <w:tab w:leader="none" w:pos="111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153</w:t>
      </w:r>
    </w:p>
    <w:p>
      <w:pPr>
        <w:sectPr>
          <w:pgSz w:w="11900" w:h="16838" w:orient="portrait"/>
          <w:cols w:equalWidth="0" w:num="1">
            <w:col w:w="11240"/>
          </w:cols>
          <w:pgMar w:left="320" w:top="1427" w:right="339" w:bottom="1440" w:gutter="0" w:footer="0" w:header="0"/>
        </w:sectPr>
      </w:pPr>
    </w:p>
    <w:bookmarkStart w:id="428" w:name="page429"/>
    <w:bookmarkEnd w:id="428"/>
    <w:p>
      <w:pPr>
        <w:ind w:left="1120" w:hanging="464"/>
        <w:spacing w:after="0"/>
        <w:tabs>
          <w:tab w:leader="none" w:pos="112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Laws; and</w:t>
      </w:r>
    </w:p>
    <w:p>
      <w:pPr>
        <w:spacing w:after="0" w:line="219" w:lineRule="exact"/>
        <w:rPr>
          <w:rFonts w:ascii="Arial" w:cs="Arial" w:eastAsia="Arial" w:hAnsi="Arial"/>
          <w:sz w:val="22"/>
          <w:szCs w:val="22"/>
          <w:color w:val="auto"/>
        </w:rPr>
      </w:pPr>
    </w:p>
    <w:p>
      <w:pPr>
        <w:ind w:firstLine="656"/>
        <w:spacing w:after="0" w:line="263" w:lineRule="auto"/>
        <w:tabs>
          <w:tab w:leader="none" w:pos="1163" w:val="left"/>
        </w:tabs>
        <w:numPr>
          <w:ilvl w:val="0"/>
          <w:numId w:val="326"/>
        </w:numPr>
        <w:rPr>
          <w:rFonts w:ascii="Arial" w:cs="Arial" w:eastAsia="Arial" w:hAnsi="Arial"/>
          <w:sz w:val="22"/>
          <w:szCs w:val="22"/>
          <w:color w:val="auto"/>
        </w:rPr>
      </w:pPr>
      <w:r>
        <w:rPr>
          <w:rFonts w:ascii="Arial" w:cs="Arial" w:eastAsia="Arial" w:hAnsi="Arial"/>
          <w:sz w:val="22"/>
          <w:szCs w:val="22"/>
          <w:color w:val="auto"/>
        </w:rPr>
        <w:t>in the case of an assignment resulting from a Lender becoming a Non-Consenting Lender, the applicable assignee shall have consented to the applicable amendment, waiver or consent.</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Each party hereto agrees that (a) an assignment required pursuant to this </w:t>
      </w:r>
      <w:r>
        <w:rPr>
          <w:rFonts w:ascii="Arial" w:cs="Arial" w:eastAsia="Arial" w:hAnsi="Arial"/>
          <w:sz w:val="22"/>
          <w:szCs w:val="22"/>
          <w:u w:val="single" w:color="auto"/>
          <w:color w:val="auto"/>
        </w:rPr>
        <w:t>Section 11.13</w:t>
      </w:r>
      <w:r>
        <w:rPr>
          <w:rFonts w:ascii="Arial" w:cs="Arial" w:eastAsia="Arial" w:hAnsi="Arial"/>
          <w:sz w:val="22"/>
          <w:szCs w:val="22"/>
          <w:color w:val="auto"/>
        </w:rPr>
        <w:t xml:space="preserve">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any such documents shall be without recourse to or warranty by the parties thereto.</w:t>
      </w:r>
    </w:p>
    <w:p>
      <w:pPr>
        <w:spacing w:after="0" w:line="19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w:t>
      </w:r>
    </w:p>
    <w:p>
      <w:pPr>
        <w:spacing w:after="0" w:line="3" w:lineRule="exact"/>
        <w:rPr>
          <w:sz w:val="20"/>
          <w:szCs w:val="20"/>
          <w:color w:val="auto"/>
        </w:rPr>
      </w:pPr>
    </w:p>
    <w:p>
      <w:pPr>
        <w:ind w:firstLine="8"/>
        <w:spacing w:after="0" w:line="246" w:lineRule="auto"/>
        <w:tabs>
          <w:tab w:leader="none" w:pos="349" w:val="left"/>
        </w:tabs>
        <w:numPr>
          <w:ilvl w:val="0"/>
          <w:numId w:val="327"/>
        </w:numPr>
        <w:rPr>
          <w:rFonts w:ascii="Arial" w:cs="Arial" w:eastAsia="Arial" w:hAnsi="Arial"/>
          <w:sz w:val="22"/>
          <w:szCs w:val="22"/>
          <w:color w:val="auto"/>
        </w:rPr>
      </w:pPr>
      <w:r>
        <w:rPr>
          <w:rFonts w:ascii="Arial" w:cs="Arial" w:eastAsia="Arial" w:hAnsi="Arial"/>
          <w:sz w:val="22"/>
          <w:szCs w:val="22"/>
          <w:color w:val="auto"/>
        </w:rPr>
        <w:t xml:space="preserve">the Lender that acts as the Administrative Agent may not be replaced hereunder except in accordance with the terms of </w:t>
      </w:r>
      <w:r>
        <w:rPr>
          <w:rFonts w:ascii="Arial" w:cs="Arial" w:eastAsia="Arial" w:hAnsi="Arial"/>
          <w:sz w:val="22"/>
          <w:szCs w:val="22"/>
          <w:u w:val="single" w:color="auto"/>
          <w:color w:val="auto"/>
        </w:rPr>
        <w:t>Section 9.06</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11.14 </w:t>
      </w:r>
      <w:r>
        <w:rPr>
          <w:rFonts w:ascii="Arial" w:cs="Arial" w:eastAsia="Arial" w:hAnsi="Arial"/>
          <w:sz w:val="22"/>
          <w:szCs w:val="22"/>
          <w:u w:val="single" w:color="auto"/>
          <w:color w:val="auto"/>
        </w:rPr>
        <w:t>Governing Law; Jurisdiction; Etc</w:t>
      </w:r>
      <w:r>
        <w:rPr>
          <w:rFonts w:ascii="Arial" w:cs="Arial" w:eastAsia="Arial" w:hAnsi="Arial"/>
          <w:sz w:val="22"/>
          <w:szCs w:val="22"/>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3" w:lineRule="exact"/>
        <w:rPr>
          <w:sz w:val="20"/>
          <w:szCs w:val="20"/>
          <w:color w:val="auto"/>
        </w:rPr>
      </w:pPr>
    </w:p>
    <w:p>
      <w:pPr>
        <w:jc w:val="both"/>
        <w:ind w:firstLine="656"/>
        <w:spacing w:after="0" w:line="247" w:lineRule="auto"/>
        <w:tabs>
          <w:tab w:leader="none" w:pos="1171" w:val="left"/>
        </w:tabs>
        <w:numPr>
          <w:ilvl w:val="0"/>
          <w:numId w:val="328"/>
        </w:numPr>
        <w:rPr>
          <w:rFonts w:ascii="Arial" w:cs="Arial" w:eastAsia="Arial" w:hAnsi="Arial"/>
          <w:sz w:val="22"/>
          <w:szCs w:val="22"/>
          <w:color w:val="auto"/>
        </w:rPr>
      </w:pPr>
      <w:r>
        <w:rPr>
          <w:rFonts w:ascii="Arial" w:cs="Arial" w:eastAsia="Arial" w:hAnsi="Arial"/>
          <w:sz w:val="22"/>
          <w:szCs w:val="22"/>
          <w:u w:val="single" w:color="auto"/>
          <w:color w:val="auto"/>
        </w:rPr>
        <w:t>SUBMISSION TO JURISDICTION</w:t>
      </w:r>
      <w:r>
        <w:rPr>
          <w:rFonts w:ascii="Arial" w:cs="Arial" w:eastAsia="Arial" w:hAnsi="Arial"/>
          <w:sz w:val="22"/>
          <w:szCs w:val="22"/>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ectPr>
          <w:pgSz w:w="11900" w:h="16838" w:orient="portrait"/>
          <w:cols w:equalWidth="0" w:num="1">
            <w:col w:w="11240"/>
          </w:cols>
          <w:pgMar w:left="320" w:top="1427" w:right="339" w:bottom="1440" w:gutter="0" w:footer="0" w:header="0"/>
        </w:sectPr>
      </w:pPr>
    </w:p>
    <w:bookmarkStart w:id="429" w:name="page430"/>
    <w:bookmarkEnd w:id="429"/>
    <w:p>
      <w:pPr>
        <w:jc w:val="both"/>
        <w:spacing w:after="0" w:line="244" w:lineRule="auto"/>
        <w:rPr>
          <w:sz w:val="20"/>
          <w:szCs w:val="20"/>
          <w:color w:val="auto"/>
        </w:rPr>
      </w:pPr>
      <w:r>
        <w:rPr>
          <w:rFonts w:ascii="Arial" w:cs="Arial" w:eastAsia="Arial" w:hAnsi="Arial"/>
          <w:sz w:val="22"/>
          <w:szCs w:val="22"/>
          <w:color w:val="auto"/>
        </w:rPr>
        <w:t>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OTHER AGENT, ANY LENDER OR ANY L/C ISSUER MAY OTHERWISE HAVE TO BRING ANY ACTION OR PROCEEDING RELATING TO THIS AGREEMENT OR ANY OTHER LOAN DOCUMENT AGAINST THE BORROWER OR ANY OTHER LOAN PARTY OR ITS PROPERTIES IN THE COURTS OF ANY JURISDICTION.</w:t>
      </w:r>
    </w:p>
    <w:p>
      <w:pPr>
        <w:spacing w:after="0" w:line="206" w:lineRule="exact"/>
        <w:rPr>
          <w:sz w:val="20"/>
          <w:szCs w:val="20"/>
          <w:color w:val="auto"/>
        </w:rPr>
      </w:pPr>
    </w:p>
    <w:p>
      <w:pPr>
        <w:jc w:val="both"/>
        <w:ind w:firstLine="656"/>
        <w:spacing w:after="0" w:line="260" w:lineRule="auto"/>
        <w:tabs>
          <w:tab w:leader="none" w:pos="1359" w:val="left"/>
        </w:tabs>
        <w:numPr>
          <w:ilvl w:val="0"/>
          <w:numId w:val="329"/>
        </w:numPr>
        <w:rPr>
          <w:rFonts w:ascii="Arial" w:cs="Arial" w:eastAsia="Arial" w:hAnsi="Arial"/>
          <w:sz w:val="21"/>
          <w:szCs w:val="21"/>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11.14</w:t>
      </w:r>
      <w:r>
        <w:rPr>
          <w:rFonts w:ascii="Arial" w:cs="Arial" w:eastAsia="Arial" w:hAnsi="Arial"/>
          <w:sz w:val="21"/>
          <w:szCs w:val="21"/>
          <w:color w:val="auto"/>
        </w:rPr>
        <w:t>. EACH OF THE PARTIES HERETO HEREBY IRREVOCABLY WAIVES, TO THE FULLEST EXTENT PERMITTED BY APPLICABLE LAW, THE DEFENSE OF AN INCONVENIENT FORUM TO THE MAINTENANCE OF SUCH ACTION OR PROCEEDING IN ANY SUCH COURT.</w:t>
      </w:r>
    </w:p>
    <w:p>
      <w:pPr>
        <w:spacing w:after="0" w:line="180" w:lineRule="exact"/>
        <w:rPr>
          <w:rFonts w:ascii="Arial" w:cs="Arial" w:eastAsia="Arial" w:hAnsi="Arial"/>
          <w:sz w:val="21"/>
          <w:szCs w:val="21"/>
          <w:color w:val="auto"/>
        </w:rPr>
      </w:pPr>
    </w:p>
    <w:p>
      <w:pPr>
        <w:jc w:val="both"/>
        <w:ind w:firstLine="656"/>
        <w:spacing w:after="0" w:line="250" w:lineRule="auto"/>
        <w:tabs>
          <w:tab w:leader="none" w:pos="1171" w:val="left"/>
        </w:tabs>
        <w:numPr>
          <w:ilvl w:val="0"/>
          <w:numId w:val="329"/>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xml:space="preserve">. EACH PARTY HERETO IRREVOCABLY CONSENTS TO SERVICE OF PROCESS IN THE MANNER PROVIDED FOR NOTICES IN </w:t>
      </w:r>
      <w:r>
        <w:rPr>
          <w:rFonts w:ascii="Arial" w:cs="Arial" w:eastAsia="Arial" w:hAnsi="Arial"/>
          <w:sz w:val="22"/>
          <w:szCs w:val="22"/>
          <w:u w:val="single" w:color="auto"/>
          <w:color w:val="auto"/>
        </w:rPr>
        <w:t>SECTION 11.02</w:t>
      </w:r>
      <w:r>
        <w:rPr>
          <w:rFonts w:ascii="Arial" w:cs="Arial" w:eastAsia="Arial" w:hAnsi="Arial"/>
          <w:sz w:val="22"/>
          <w:szCs w:val="22"/>
          <w:color w:val="auto"/>
        </w:rPr>
        <w:t>. NOTHING IN THIS AGREEMENT WILL AFFECT THE RIGHT OF ANY PARTY HERETO TO SERVE PROCESS IN ANY OTHER MANNER PERMITTED BY APPLICABLE LAW.</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11.15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w:t>
      </w:r>
    </w:p>
    <w:p>
      <w:pPr>
        <w:sectPr>
          <w:pgSz w:w="11900" w:h="16838" w:orient="portrait"/>
          <w:cols w:equalWidth="0" w:num="1">
            <w:col w:w="11240"/>
          </w:cols>
          <w:pgMar w:left="320" w:top="1427" w:right="339" w:bottom="1440" w:gutter="0" w:footer="0" w:header="0"/>
        </w:sectPr>
      </w:pPr>
    </w:p>
    <w:bookmarkStart w:id="430" w:name="page431"/>
    <w:bookmarkEnd w:id="430"/>
    <w:p>
      <w:pPr>
        <w:jc w:val="both"/>
        <w:spacing w:after="0" w:line="250" w:lineRule="auto"/>
        <w:rPr>
          <w:sz w:val="20"/>
          <w:szCs w:val="20"/>
          <w:color w:val="auto"/>
        </w:rPr>
      </w:pPr>
      <w:r>
        <w:rPr>
          <w:rFonts w:ascii="Arial" w:cs="Arial" w:eastAsia="Arial" w:hAnsi="Arial"/>
          <w:sz w:val="22"/>
          <w:szCs w:val="22"/>
          <w:color w:val="auto"/>
        </w:rPr>
        <w:t xml:space="preserve">LITIGATION, SEEK TO ENFORCE THE FOREGOING WAIVER AND (B) ACKNOWLEDGES THAT IT AND THE OTHER PARTIES HERETO HAVE BEEN INDUCED TO ENTER INTO THIS AGREEMENT AND THE OTHER LOAN DOCUMENTS BY, AMONG OTHER THINGS, THE MUTUAL WAIVERS AND CERTIFICATIONS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11.15</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11.16 </w:t>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each of the Borrower and the other Loan Parties acknowledges and agrees, and acknowledges its Affiliates’ understanding, that: (i) (A) the arranging and other services regarding this Agreement provided by the Administrative Agent, the Arrangers, and the Lenders are arm’s-length commercial transactions between the Borrower, the other Loan Parties and their respective Affiliates, on the one hand, and the Administrative Agent, the Arrangers, and the Lenders, on the other hand, (B) each of the Borrower and the other Loan Parties has consulted its own legal, accounting, regulatory and tax advisors to the extent it has deemed appropriate, and (C) each of the Borrower and the other Loan Parties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Borrower, any of the other Loan Parties or any of their respective Affiliates, or any other Person and (B) neither the Administrative Agent,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other Loan Parties and their respective Affiliates, and neither the Administrative Agent, the Arrangers nor any Lender has any obligation to disclose any of such interests to the Borrower, any other Loan Party or any of their respective Affiliates. To the fullest extent permitted by law, each of the Borrower and the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11.17 </w:t>
      </w:r>
      <w:r>
        <w:rPr>
          <w:rFonts w:ascii="Arial" w:cs="Arial" w:eastAsia="Arial" w:hAnsi="Arial"/>
          <w:sz w:val="21"/>
          <w:szCs w:val="21"/>
          <w:u w:val="single" w:color="auto"/>
          <w:color w:val="auto"/>
        </w:rPr>
        <w:t>Electronic Execution of Assignments and Certain Other Documents</w:t>
      </w:r>
      <w:r>
        <w:rPr>
          <w:rFonts w:ascii="Arial" w:cs="Arial" w:eastAsia="Arial" w:hAnsi="Arial"/>
          <w:sz w:val="21"/>
          <w:szCs w:val="21"/>
          <w:color w:val="auto"/>
        </w:rPr>
        <w:t>. The words “execution,” “execute”, “signed,” “signature,” and words of like 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ectPr>
          <w:pgSz w:w="11900" w:h="16838" w:orient="portrait"/>
          <w:cols w:equalWidth="0" w:num="1">
            <w:col w:w="11240"/>
          </w:cols>
          <w:pgMar w:left="320" w:top="1427" w:right="339" w:bottom="1440" w:gutter="0" w:footer="0" w:header="0"/>
        </w:sectPr>
      </w:pPr>
    </w:p>
    <w:bookmarkStart w:id="431" w:name="page432"/>
    <w:bookmarkEnd w:id="431"/>
    <w:p>
      <w:pPr>
        <w:jc w:val="both"/>
        <w:spacing w:after="0" w:line="302" w:lineRule="auto"/>
        <w:rPr>
          <w:sz w:val="20"/>
          <w:szCs w:val="20"/>
          <w:color w:val="auto"/>
        </w:rPr>
      </w:pPr>
      <w:r>
        <w:rPr>
          <w:rFonts w:ascii="Arial" w:cs="Arial" w:eastAsia="Arial" w:hAnsi="Arial"/>
          <w:sz w:val="19"/>
          <w:szCs w:val="19"/>
          <w:color w:val="auto"/>
        </w:rPr>
        <w:t>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11.18 </w:t>
      </w:r>
      <w:r>
        <w:rPr>
          <w:rFonts w:ascii="Arial" w:cs="Arial" w:eastAsia="Arial" w:hAnsi="Arial"/>
          <w:sz w:val="21"/>
          <w:szCs w:val="21"/>
          <w:u w:val="single" w:color="auto"/>
          <w:color w:val="auto"/>
        </w:rPr>
        <w:t>USA PATRIOT Act</w:t>
      </w:r>
      <w:r>
        <w:rPr>
          <w:rFonts w:ascii="Arial" w:cs="Arial" w:eastAsia="Arial" w:hAnsi="Arial"/>
          <w:sz w:val="21"/>
          <w:szCs w:val="21"/>
          <w:color w:val="auto"/>
        </w:rPr>
        <w:t>. Each Lender that is subject to the Act (as hereinafter defined) and the Administrative Agent (for itself and not on behalf of any Lender) hereby notifies the Borrower that pursuant to the requirements of the PATRIOT Act (Title III of Pub. L. 107-56 (signed into law October 26, 2001)),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7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11.20</w:t>
      </w:r>
      <w:r>
        <w:rPr>
          <w:sz w:val="20"/>
          <w:szCs w:val="20"/>
          <w:color w:val="auto"/>
        </w:rPr>
        <w:tab/>
      </w:r>
      <w:r>
        <w:rPr>
          <w:rFonts w:ascii="Arial" w:cs="Arial" w:eastAsia="Arial" w:hAnsi="Arial"/>
          <w:sz w:val="19"/>
          <w:szCs w:val="19"/>
          <w:u w:val="single" w:color="auto"/>
          <w:color w:val="auto"/>
        </w:rPr>
        <w:t>[Reserved.]</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11.21 </w:t>
      </w:r>
      <w:r>
        <w:rPr>
          <w:rFonts w:ascii="Arial" w:cs="Arial" w:eastAsia="Arial" w:hAnsi="Arial"/>
          <w:sz w:val="21"/>
          <w:szCs w:val="21"/>
          <w:u w:val="single" w:color="auto"/>
          <w:color w:val="auto"/>
        </w:rPr>
        <w:t>Acknowledgement and Consent to Bail-In of EEA Financial Institutions</w:t>
      </w:r>
      <w:r>
        <w:rPr>
          <w:rFonts w:ascii="Arial" w:cs="Arial" w:eastAsia="Arial" w:hAnsi="Arial"/>
          <w:sz w:val="21"/>
          <w:szCs w:val="21"/>
          <w:color w:val="auto"/>
        </w:rPr>
        <w:t>. Solely to the extent any Lender or L/C Issuer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9" w:lineRule="exact"/>
        <w:rPr>
          <w:sz w:val="20"/>
          <w:szCs w:val="20"/>
          <w:color w:val="auto"/>
        </w:rPr>
      </w:pPr>
    </w:p>
    <w:p>
      <w:pPr>
        <w:ind w:right="20" w:firstLine="656"/>
        <w:spacing w:after="0" w:line="343" w:lineRule="auto"/>
        <w:tabs>
          <w:tab w:leader="none" w:pos="1147" w:val="left"/>
        </w:tabs>
        <w:numPr>
          <w:ilvl w:val="0"/>
          <w:numId w:val="330"/>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04" w:lineRule="exact"/>
        <w:rPr>
          <w:rFonts w:ascii="Arial" w:cs="Arial" w:eastAsia="Arial" w:hAnsi="Arial"/>
          <w:sz w:val="19"/>
          <w:szCs w:val="19"/>
          <w:color w:val="auto"/>
        </w:rPr>
      </w:pPr>
    </w:p>
    <w:p>
      <w:pPr>
        <w:ind w:left="1120" w:hanging="464"/>
        <w:spacing w:after="0"/>
        <w:tabs>
          <w:tab w:leader="none" w:pos="1120" w:val="left"/>
        </w:tabs>
        <w:numPr>
          <w:ilvl w:val="0"/>
          <w:numId w:val="330"/>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1"/>
          <w:numId w:val="330"/>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1300" w:firstLine="652"/>
        <w:spacing w:after="0" w:line="271" w:lineRule="auto"/>
        <w:tabs>
          <w:tab w:leader="none" w:pos="2529" w:val="left"/>
        </w:tabs>
        <w:numPr>
          <w:ilvl w:val="1"/>
          <w:numId w:val="330"/>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ectPr>
          <w:pgSz w:w="11900" w:h="16838" w:orient="portrait"/>
          <w:cols w:equalWidth="0" w:num="1">
            <w:col w:w="11240"/>
          </w:cols>
          <w:pgMar w:left="320" w:top="1427" w:right="339" w:bottom="1440" w:gutter="0" w:footer="0" w:header="0"/>
        </w:sectPr>
      </w:pPr>
    </w:p>
    <w:bookmarkStart w:id="432" w:name="page433"/>
    <w:bookmarkEnd w:id="432"/>
    <w:p>
      <w:pPr>
        <w:ind w:left="1300"/>
        <w:spacing w:after="0"/>
        <w:rPr>
          <w:sz w:val="20"/>
          <w:szCs w:val="20"/>
          <w:color w:val="auto"/>
        </w:rPr>
      </w:pPr>
      <w:r>
        <w:rPr>
          <w:rFonts w:ascii="Arial" w:cs="Arial" w:eastAsia="Arial" w:hAnsi="Arial"/>
          <w:sz w:val="21"/>
          <w:szCs w:val="21"/>
          <w:color w:val="auto"/>
        </w:rPr>
        <w:t>in lieu of any rights with respect to any such liability under this Agreement or any other Loan Document; or</w:t>
      </w:r>
    </w:p>
    <w:p>
      <w:pPr>
        <w:spacing w:after="0" w:line="231" w:lineRule="exact"/>
        <w:rPr>
          <w:sz w:val="20"/>
          <w:szCs w:val="20"/>
          <w:color w:val="auto"/>
        </w:rPr>
      </w:pPr>
    </w:p>
    <w:p>
      <w:pPr>
        <w:ind w:left="1300" w:firstLine="652"/>
        <w:spacing w:after="0" w:line="263" w:lineRule="auto"/>
        <w:tabs>
          <w:tab w:leader="none" w:pos="2549" w:val="left"/>
        </w:tabs>
        <w:numPr>
          <w:ilvl w:val="0"/>
          <w:numId w:val="331"/>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11.22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any Swap Contract or any other agreement or instrument that is a QFC (such support, “</w:t>
      </w:r>
      <w:r>
        <w:rPr>
          <w:rFonts w:ascii="Arial" w:cs="Arial" w:eastAsia="Arial" w:hAnsi="Arial"/>
          <w:sz w:val="19"/>
          <w:szCs w:val="19"/>
          <w:u w:val="single" w:color="auto"/>
          <w:color w:val="auto"/>
        </w:rPr>
        <w:t>QFC</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6" w:lineRule="exact"/>
        <w:rPr>
          <w:sz w:val="20"/>
          <w:szCs w:val="20"/>
          <w:color w:val="auto"/>
        </w:rPr>
      </w:pPr>
    </w:p>
    <w:p>
      <w:pPr>
        <w:jc w:val="both"/>
        <w:ind w:left="660" w:firstLine="266"/>
        <w:spacing w:after="0" w:line="286" w:lineRule="auto"/>
        <w:tabs>
          <w:tab w:leader="none" w:pos="1440" w:val="left"/>
        </w:tabs>
        <w:numPr>
          <w:ilvl w:val="1"/>
          <w:numId w:val="332"/>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1" w:lineRule="exact"/>
        <w:rPr>
          <w:rFonts w:ascii="Arial" w:cs="Arial" w:eastAsia="Arial" w:hAnsi="Arial"/>
          <w:sz w:val="19"/>
          <w:szCs w:val="19"/>
          <w:color w:val="auto"/>
        </w:rPr>
      </w:pPr>
    </w:p>
    <w:p>
      <w:pPr>
        <w:ind w:left="1320" w:hanging="448"/>
        <w:spacing w:after="0"/>
        <w:tabs>
          <w:tab w:leader="none" w:pos="1320" w:val="left"/>
        </w:tabs>
        <w:numPr>
          <w:ilvl w:val="0"/>
          <w:numId w:val="333"/>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11.22</w:t>
      </w:r>
      <w:r>
        <w:rPr>
          <w:rFonts w:ascii="Arial" w:cs="Arial" w:eastAsia="Arial" w:hAnsi="Arial"/>
          <w:sz w:val="22"/>
          <w:szCs w:val="22"/>
          <w:color w:val="auto"/>
        </w:rPr>
        <w:t>, the following terms have the following meanings:</w:t>
      </w:r>
    </w:p>
    <w:p>
      <w:pPr>
        <w:spacing w:after="0" w:line="220" w:lineRule="exact"/>
        <w:rPr>
          <w:sz w:val="20"/>
          <w:szCs w:val="20"/>
          <w:color w:val="auto"/>
        </w:rPr>
      </w:pPr>
    </w:p>
    <w:p>
      <w:pPr>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ectPr>
          <w:pgSz w:w="11900" w:h="16838" w:orient="portrait"/>
          <w:cols w:equalWidth="0" w:num="1">
            <w:col w:w="11240"/>
          </w:cols>
          <w:pgMar w:left="320" w:top="1427" w:right="339" w:bottom="1440" w:gutter="0" w:footer="0" w:header="0"/>
        </w:sectPr>
      </w:pPr>
    </w:p>
    <w:bookmarkStart w:id="433" w:name="page434"/>
    <w:bookmarkEnd w:id="433"/>
    <w:p>
      <w:pPr>
        <w:jc w:val="both"/>
        <w:ind w:lef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69" w:lineRule="exact"/>
        <w:rPr>
          <w:sz w:val="20"/>
          <w:szCs w:val="20"/>
          <w:color w:val="auto"/>
        </w:rPr>
      </w:pPr>
    </w:p>
    <w:p>
      <w:pPr>
        <w:jc w:val="both"/>
        <w:ind w:left="180"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159</w:t>
      </w:r>
    </w:p>
    <w:p>
      <w:pPr>
        <w:sectPr>
          <w:pgSz w:w="11900" w:h="16838" w:orient="portrait"/>
          <w:cols w:equalWidth="0" w:num="1">
            <w:col w:w="10120"/>
          </w:cols>
          <w:pgMar w:left="1440" w:top="1427" w:right="339" w:bottom="1440" w:gutter="0" w:footer="0" w:header="0"/>
        </w:sectPr>
      </w:pPr>
    </w:p>
    <w:bookmarkStart w:id="434" w:name="page435"/>
    <w:bookmarkEnd w:id="434"/>
    <w:p>
      <w:pPr>
        <w:jc w:val="right"/>
        <w:spacing w:after="0"/>
        <w:rPr>
          <w:sz w:val="20"/>
          <w:szCs w:val="20"/>
          <w:color w:val="auto"/>
        </w:rPr>
      </w:pPr>
      <w:r>
        <w:rPr>
          <w:rFonts w:ascii="Arial" w:cs="Arial" w:eastAsia="Arial" w:hAnsi="Arial"/>
          <w:sz w:val="22"/>
          <w:szCs w:val="22"/>
          <w:i w:val="1"/>
          <w:iCs w:val="1"/>
          <w:color w:val="auto"/>
        </w:rPr>
        <w:t xml:space="preserve">IN WITNESS WHEREOF, </w:t>
      </w:r>
      <w:r>
        <w:rPr>
          <w:rFonts w:ascii="Arial" w:cs="Arial" w:eastAsia="Arial" w:hAnsi="Arial"/>
          <w:sz w:val="22"/>
          <w:szCs w:val="22"/>
          <w:color w:val="auto"/>
        </w:rPr>
        <w:t>the parties hereto have caused this Agreement to be duly executed as of the date first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250"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LEONARDO DRS, INC.</w:t>
      </w:r>
    </w:p>
    <w:p>
      <w:pPr>
        <w:spacing w:after="0" w:line="33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24130</wp:posOffset>
            </wp:positionV>
            <wp:extent cx="30943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8"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92"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[GUARANTOR]</w:t>
      </w:r>
    </w:p>
    <w:p>
      <w:pPr>
        <w:spacing w:after="0" w:line="6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24130</wp:posOffset>
            </wp:positionV>
            <wp:extent cx="30943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08"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92"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[GUARANTOR]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24130</wp:posOffset>
            </wp:positionV>
            <wp:extent cx="30943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1"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92"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[GUARANTOR]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24130</wp:posOffset>
            </wp:positionV>
            <wp:extent cx="30943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1"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1220"/>
          </w:cols>
          <w:pgMar w:left="320" w:top="1427" w:right="359" w:bottom="1440" w:gutter="0" w:footer="0" w:header="0"/>
        </w:sectPr>
      </w:pPr>
    </w:p>
    <w:bookmarkStart w:id="435" w:name="page436"/>
    <w:bookmarkEnd w:id="435"/>
    <w:p>
      <w:pPr>
        <w:spacing w:after="0" w:line="36" w:lineRule="exact"/>
        <w:rPr>
          <w:sz w:val="20"/>
          <w:szCs w:val="20"/>
          <w:color w:val="auto"/>
        </w:rPr>
      </w:pPr>
    </w:p>
    <w:p>
      <w:pPr>
        <w:ind w:left="4380"/>
        <w:spacing w:after="0"/>
        <w:rPr>
          <w:sz w:val="20"/>
          <w:szCs w:val="20"/>
          <w:color w:val="auto"/>
        </w:rPr>
      </w:pPr>
      <w:r>
        <w:rPr>
          <w:rFonts w:ascii="Arial" w:cs="Arial" w:eastAsia="Arial" w:hAnsi="Arial"/>
          <w:sz w:val="21"/>
          <w:szCs w:val="21"/>
          <w:b w:val="1"/>
          <w:bCs w:val="1"/>
          <w:color w:val="auto"/>
        </w:rPr>
        <w:t xml:space="preserve">BANK OF AMERICA, N.A., </w:t>
      </w:r>
      <w:r>
        <w:rPr>
          <w:rFonts w:ascii="Arial" w:cs="Arial" w:eastAsia="Arial" w:hAnsi="Arial"/>
          <w:sz w:val="21"/>
          <w:szCs w:val="21"/>
          <w:color w:val="auto"/>
        </w:rPr>
        <w:t>as</w:t>
      </w:r>
    </w:p>
    <w:p>
      <w:pPr>
        <w:spacing w:after="0" w:line="75"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Administrative Agent</w:t>
      </w:r>
    </w:p>
    <w:p>
      <w:pPr>
        <w:spacing w:after="0" w:line="32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24130</wp:posOffset>
            </wp:positionV>
            <wp:extent cx="30689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436" w:name="page437"/>
    <w:bookmarkEnd w:id="436"/>
    <w:p>
      <w:pPr>
        <w:spacing w:after="0" w:line="36" w:lineRule="exact"/>
        <w:rPr>
          <w:sz w:val="20"/>
          <w:szCs w:val="20"/>
          <w:color w:val="auto"/>
        </w:rPr>
      </w:pPr>
    </w:p>
    <w:p>
      <w:pPr>
        <w:ind w:left="6340"/>
        <w:spacing w:after="0"/>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w:t>
      </w:r>
    </w:p>
    <w:p>
      <w:pPr>
        <w:spacing w:after="0" w:line="64" w:lineRule="exact"/>
        <w:rPr>
          <w:sz w:val="20"/>
          <w:szCs w:val="20"/>
          <w:color w:val="auto"/>
        </w:rPr>
      </w:pPr>
    </w:p>
    <w:p>
      <w:pPr>
        <w:ind w:left="6340"/>
        <w:spacing w:after="0"/>
        <w:rPr>
          <w:sz w:val="20"/>
          <w:szCs w:val="20"/>
          <w:color w:val="auto"/>
        </w:rPr>
      </w:pPr>
      <w:r>
        <w:rPr>
          <w:rFonts w:ascii="Arial" w:cs="Arial" w:eastAsia="Arial" w:hAnsi="Arial"/>
          <w:sz w:val="19"/>
          <w:szCs w:val="19"/>
          <w:color w:val="auto"/>
        </w:rPr>
        <w:t>a Lender, [an] L/C Issuer and Swing Line</w:t>
      </w:r>
    </w:p>
    <w:p>
      <w:pPr>
        <w:spacing w:after="0" w:line="56"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Lender</w:t>
      </w:r>
    </w:p>
    <w:p>
      <w:pPr>
        <w:spacing w:after="0" w:line="310"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24130</wp:posOffset>
            </wp:positionV>
            <wp:extent cx="20148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38"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940"/>
          </w:cols>
          <w:pgMar w:left="1440" w:top="1440" w:right="519" w:bottom="1440" w:gutter="0" w:footer="0" w:header="0"/>
        </w:sectPr>
      </w:pPr>
    </w:p>
    <w:bookmarkStart w:id="437" w:name="page438"/>
    <w:bookmarkEnd w:id="437"/>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BOFA SECURITIES, INC., </w:t>
      </w:r>
      <w:r>
        <w:rPr>
          <w:rFonts w:ascii="Arial" w:cs="Arial" w:eastAsia="Arial" w:hAnsi="Arial"/>
          <w:sz w:val="22"/>
          <w:szCs w:val="22"/>
          <w:color w:val="auto"/>
        </w:rPr>
        <w:t>as</w:t>
      </w:r>
    </w:p>
    <w:p>
      <w:pPr>
        <w:spacing w:after="0" w:line="64"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Lead Arranger and Bookrunner,</w:t>
      </w:r>
    </w:p>
    <w:p>
      <w:pPr>
        <w:spacing w:after="0" w:line="362"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24130</wp:posOffset>
            </wp:positionV>
            <wp:extent cx="19716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200"/>
          </w:cols>
          <w:pgMar w:left="1440" w:top="1440" w:right="1259" w:bottom="1440" w:gutter="0" w:footer="0" w:header="0"/>
        </w:sectPr>
      </w:pPr>
    </w:p>
    <w:bookmarkStart w:id="438" w:name="page439"/>
    <w:bookmarkEnd w:id="438"/>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GOLDMAN SACHS BANK USA, </w:t>
      </w:r>
      <w:r>
        <w:rPr>
          <w:rFonts w:ascii="Arial" w:cs="Arial" w:eastAsia="Arial" w:hAnsi="Arial"/>
          <w:sz w:val="22"/>
          <w:szCs w:val="22"/>
          <w:color w:val="auto"/>
        </w:rPr>
        <w:t>as</w:t>
      </w:r>
    </w:p>
    <w:p>
      <w:pPr>
        <w:spacing w:after="0" w:line="64" w:lineRule="exact"/>
        <w:rPr>
          <w:sz w:val="20"/>
          <w:szCs w:val="20"/>
          <w:color w:val="auto"/>
        </w:rPr>
      </w:pPr>
    </w:p>
    <w:p>
      <w:pPr>
        <w:ind w:left="6400"/>
        <w:spacing w:after="0"/>
        <w:rPr>
          <w:sz w:val="20"/>
          <w:szCs w:val="20"/>
          <w:color w:val="auto"/>
        </w:rPr>
      </w:pPr>
      <w:r>
        <w:rPr>
          <w:rFonts w:ascii="Arial" w:cs="Arial" w:eastAsia="Arial" w:hAnsi="Arial"/>
          <w:sz w:val="21"/>
          <w:szCs w:val="21"/>
          <w:color w:val="auto"/>
        </w:rPr>
        <w:t>Syndication Agent, Lead Arranger,</w:t>
      </w:r>
    </w:p>
    <w:p>
      <w:pPr>
        <w:spacing w:after="0" w:line="33" w:lineRule="exact"/>
        <w:rPr>
          <w:sz w:val="20"/>
          <w:szCs w:val="20"/>
          <w:color w:val="auto"/>
        </w:rPr>
      </w:pPr>
    </w:p>
    <w:p>
      <w:pPr>
        <w:ind w:left="6260"/>
        <w:spacing w:after="0"/>
        <w:rPr>
          <w:sz w:val="20"/>
          <w:szCs w:val="20"/>
          <w:color w:val="auto"/>
        </w:rPr>
      </w:pPr>
      <w:r>
        <w:rPr>
          <w:rFonts w:ascii="Arial" w:cs="Arial" w:eastAsia="Arial" w:hAnsi="Arial"/>
          <w:sz w:val="22"/>
          <w:szCs w:val="22"/>
          <w:color w:val="auto"/>
        </w:rPr>
        <w:t>Bookrunner and a Lender</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1"/>
          <w:szCs w:val="21"/>
          <w:i w:val="1"/>
          <w:iCs w:val="1"/>
          <w:color w:val="auto"/>
        </w:rPr>
        <w:t>[for Lenders requiring two signature</w:t>
      </w:r>
    </w:p>
    <w:p>
      <w:pPr>
        <w:spacing w:after="0" w:line="33"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760"/>
          </w:cols>
          <w:pgMar w:left="1440" w:top="1440" w:right="699" w:bottom="1440" w:gutter="0" w:footer="0" w:header="0"/>
        </w:sectPr>
      </w:pPr>
    </w:p>
    <w:bookmarkStart w:id="439" w:name="page440"/>
    <w:bookmarkEnd w:id="439"/>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JPMORGAN CHASE BANK, N.A., </w:t>
      </w:r>
      <w:r>
        <w:rPr>
          <w:rFonts w:ascii="Arial" w:cs="Arial" w:eastAsia="Arial" w:hAnsi="Arial"/>
          <w:sz w:val="22"/>
          <w:szCs w:val="22"/>
          <w:color w:val="auto"/>
        </w:rPr>
        <w:t>as</w:t>
      </w:r>
    </w:p>
    <w:p>
      <w:pPr>
        <w:spacing w:after="0" w:line="64"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Syndication Agent, Lead Arranger,</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22"/>
          <w:szCs w:val="22"/>
          <w:color w:val="auto"/>
        </w:rPr>
        <w:t>Bookrunner, and a Lender</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i w:val="1"/>
          <w:iCs w:val="1"/>
          <w:color w:val="auto"/>
        </w:rPr>
        <w:t>[for Lenders requiring two signature</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940"/>
          </w:cols>
          <w:pgMar w:left="1440" w:top="1440" w:right="519" w:bottom="1440" w:gutter="0" w:footer="0" w:header="0"/>
        </w:sectPr>
      </w:pPr>
    </w:p>
    <w:bookmarkStart w:id="440" w:name="page441"/>
    <w:bookmarkEnd w:id="440"/>
    <w:p>
      <w:pPr>
        <w:spacing w:after="0" w:line="36"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 xml:space="preserve">BARCLAYS BANK PLC, </w:t>
      </w:r>
      <w:r>
        <w:rPr>
          <w:rFonts w:ascii="Arial" w:cs="Arial" w:eastAsia="Arial" w:hAnsi="Arial"/>
          <w:sz w:val="22"/>
          <w:szCs w:val="22"/>
          <w:color w:val="auto"/>
        </w:rPr>
        <w:t>as</w:t>
      </w:r>
    </w:p>
    <w:p>
      <w:pPr>
        <w:spacing w:after="0" w:line="64"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Lead Arranger, Bookrunner,</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19"/>
          <w:szCs w:val="19"/>
          <w:color w:val="auto"/>
        </w:rPr>
        <w:t>Documentation Agent and a Lender</w:t>
      </w:r>
    </w:p>
    <w:p>
      <w:pPr>
        <w:spacing w:after="0" w:line="344"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19"/>
          <w:szCs w:val="19"/>
          <w:i w:val="1"/>
          <w:iCs w:val="1"/>
          <w:color w:val="auto"/>
        </w:rPr>
        <w:t>[for Lenders requiring two signature</w:t>
      </w:r>
    </w:p>
    <w:p>
      <w:pPr>
        <w:spacing w:after="0" w:line="56"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560"/>
          </w:cols>
          <w:pgMar w:left="1440" w:top="1440" w:right="899" w:bottom="1440" w:gutter="0" w:footer="0" w:header="0"/>
        </w:sectPr>
      </w:pPr>
    </w:p>
    <w:bookmarkStart w:id="441" w:name="page442"/>
    <w:bookmarkEnd w:id="441"/>
    <w:p>
      <w:pPr>
        <w:spacing w:after="0" w:line="36" w:lineRule="exact"/>
        <w:rPr>
          <w:sz w:val="20"/>
          <w:szCs w:val="20"/>
          <w:color w:val="auto"/>
        </w:rPr>
      </w:pPr>
    </w:p>
    <w:p>
      <w:pPr>
        <w:ind w:left="6400"/>
        <w:spacing w:after="0"/>
        <w:rPr>
          <w:sz w:val="20"/>
          <w:szCs w:val="20"/>
          <w:color w:val="auto"/>
        </w:rPr>
      </w:pPr>
      <w:r>
        <w:rPr>
          <w:rFonts w:ascii="Arial" w:cs="Arial" w:eastAsia="Arial" w:hAnsi="Arial"/>
          <w:sz w:val="21"/>
          <w:szCs w:val="21"/>
          <w:b w:val="1"/>
          <w:bCs w:val="1"/>
          <w:color w:val="auto"/>
        </w:rPr>
        <w:t>CITIBANK, N.A., LONDON BRANCH</w:t>
      </w:r>
    </w:p>
    <w:p>
      <w:pPr>
        <w:spacing w:after="0" w:line="39" w:lineRule="exact"/>
        <w:rPr>
          <w:sz w:val="20"/>
          <w:szCs w:val="20"/>
          <w:color w:val="auto"/>
        </w:rPr>
      </w:pPr>
    </w:p>
    <w:p>
      <w:pPr>
        <w:ind w:left="6260"/>
        <w:spacing w:after="0"/>
        <w:rPr>
          <w:sz w:val="20"/>
          <w:szCs w:val="20"/>
          <w:color w:val="auto"/>
        </w:rPr>
      </w:pPr>
      <w:r>
        <w:rPr>
          <w:rFonts w:ascii="Arial" w:cs="Arial" w:eastAsia="Arial" w:hAnsi="Arial"/>
          <w:sz w:val="22"/>
          <w:szCs w:val="22"/>
          <w:color w:val="auto"/>
        </w:rPr>
        <w:t>as</w:t>
      </w:r>
    </w:p>
    <w:p>
      <w:pPr>
        <w:spacing w:after="0" w:line="4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Lead Arranger, Bookrunner and</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22"/>
          <w:szCs w:val="22"/>
          <w:color w:val="auto"/>
        </w:rPr>
        <w:t>Documentation Agent</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i w:val="1"/>
          <w:iCs w:val="1"/>
          <w:color w:val="auto"/>
        </w:rPr>
        <w:t>[for Lenders requiring two signature</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060"/>
          </w:cols>
          <w:pgMar w:left="1440" w:top="1440" w:right="399" w:bottom="1440" w:gutter="0" w:footer="0" w:header="0"/>
        </w:sectPr>
      </w:pPr>
    </w:p>
    <w:bookmarkStart w:id="442" w:name="page443"/>
    <w:bookmarkEnd w:id="442"/>
    <w:p>
      <w:pPr>
        <w:spacing w:after="0" w:line="36"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 xml:space="preserve">CITIBANK N.A., </w:t>
      </w:r>
      <w:r>
        <w:rPr>
          <w:rFonts w:ascii="Arial" w:cs="Arial" w:eastAsia="Arial" w:hAnsi="Arial"/>
          <w:sz w:val="22"/>
          <w:szCs w:val="22"/>
          <w:color w:val="auto"/>
        </w:rPr>
        <w:t>as</w:t>
      </w:r>
    </w:p>
    <w:p>
      <w:pPr>
        <w:spacing w:after="0" w:line="64"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a Lender</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19"/>
          <w:szCs w:val="19"/>
          <w:i w:val="1"/>
          <w:iCs w:val="1"/>
          <w:color w:val="auto"/>
        </w:rPr>
        <w:t>[for Lenders requiring two signature</w:t>
      </w:r>
    </w:p>
    <w:p>
      <w:pPr>
        <w:spacing w:after="0" w:line="56"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560"/>
          </w:cols>
          <w:pgMar w:left="1440" w:top="1440" w:right="899" w:bottom="1440" w:gutter="0" w:footer="0" w:header="0"/>
        </w:sectPr>
      </w:pPr>
    </w:p>
    <w:bookmarkStart w:id="443" w:name="page444"/>
    <w:bookmarkEnd w:id="443"/>
    <w:p>
      <w:pPr>
        <w:spacing w:after="0" w:line="36" w:lineRule="exact"/>
        <w:rPr>
          <w:sz w:val="20"/>
          <w:szCs w:val="20"/>
          <w:color w:val="auto"/>
        </w:rPr>
      </w:pPr>
    </w:p>
    <w:p>
      <w:pPr>
        <w:ind w:left="6400"/>
        <w:spacing w:after="0"/>
        <w:rPr>
          <w:sz w:val="20"/>
          <w:szCs w:val="20"/>
          <w:color w:val="auto"/>
        </w:rPr>
      </w:pPr>
      <w:r>
        <w:rPr>
          <w:rFonts w:ascii="Arial" w:cs="Arial" w:eastAsia="Arial" w:hAnsi="Arial"/>
          <w:sz w:val="21"/>
          <w:szCs w:val="21"/>
          <w:b w:val="1"/>
          <w:bCs w:val="1"/>
          <w:color w:val="auto"/>
        </w:rPr>
        <w:t>CREDIT SUISSE LOAN FUNDING</w:t>
      </w:r>
    </w:p>
    <w:p>
      <w:pPr>
        <w:spacing w:after="0" w:line="39"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 xml:space="preserve">LLC, </w:t>
      </w:r>
      <w:r>
        <w:rPr>
          <w:rFonts w:ascii="Arial" w:cs="Arial" w:eastAsia="Arial" w:hAnsi="Arial"/>
          <w:sz w:val="22"/>
          <w:szCs w:val="22"/>
          <w:color w:val="auto"/>
        </w:rPr>
        <w:t>as</w:t>
      </w:r>
    </w:p>
    <w:p>
      <w:pPr>
        <w:spacing w:after="0" w:line="4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Lead Arranger, Bookrunner and</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22"/>
          <w:szCs w:val="22"/>
          <w:color w:val="auto"/>
        </w:rPr>
        <w:t>Documentation Agent</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1"/>
          <w:szCs w:val="21"/>
          <w:i w:val="1"/>
          <w:iCs w:val="1"/>
          <w:color w:val="auto"/>
        </w:rPr>
        <w:t>[for Lenders requiring two signature</w:t>
      </w:r>
    </w:p>
    <w:p>
      <w:pPr>
        <w:spacing w:after="0" w:line="33"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760"/>
          </w:cols>
          <w:pgMar w:left="1440" w:top="1440" w:right="699" w:bottom="1440" w:gutter="0" w:footer="0" w:header="0"/>
        </w:sectPr>
      </w:pPr>
    </w:p>
    <w:bookmarkStart w:id="444" w:name="page445"/>
    <w:bookmarkEnd w:id="444"/>
    <w:p>
      <w:pPr>
        <w:spacing w:after="0" w:line="36" w:lineRule="exact"/>
        <w:rPr>
          <w:sz w:val="20"/>
          <w:szCs w:val="20"/>
          <w:color w:val="auto"/>
        </w:rPr>
      </w:pPr>
    </w:p>
    <w:p>
      <w:pPr>
        <w:ind w:left="6400"/>
        <w:spacing w:after="0"/>
        <w:rPr>
          <w:sz w:val="20"/>
          <w:szCs w:val="20"/>
          <w:color w:val="auto"/>
        </w:rPr>
      </w:pPr>
      <w:r>
        <w:rPr>
          <w:rFonts w:ascii="Arial" w:cs="Arial" w:eastAsia="Arial" w:hAnsi="Arial"/>
          <w:sz w:val="21"/>
          <w:szCs w:val="21"/>
          <w:b w:val="1"/>
          <w:bCs w:val="1"/>
          <w:color w:val="auto"/>
        </w:rPr>
        <w:t>CREDIT SUISSE AG, NEW YORK</w:t>
      </w:r>
    </w:p>
    <w:p>
      <w:pPr>
        <w:spacing w:after="0" w:line="39"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BRANCH,</w:t>
      </w:r>
    </w:p>
    <w:p>
      <w:pPr>
        <w:spacing w:after="0" w:line="4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1"/>
          <w:szCs w:val="21"/>
          <w:i w:val="1"/>
          <w:iCs w:val="1"/>
          <w:color w:val="auto"/>
        </w:rPr>
        <w:t>[for Lenders requiring two signature</w:t>
      </w:r>
    </w:p>
    <w:p>
      <w:pPr>
        <w:spacing w:after="0" w:line="33"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740"/>
          </w:cols>
          <w:pgMar w:left="1440" w:top="1440" w:right="719" w:bottom="1440" w:gutter="0" w:footer="0" w:header="0"/>
        </w:sectPr>
      </w:pPr>
    </w:p>
    <w:bookmarkStart w:id="445" w:name="page446"/>
    <w:bookmarkEnd w:id="445"/>
    <w:p>
      <w:pPr>
        <w:spacing w:after="0" w:line="36"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MORGAN STANLEY SENIOR</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 xml:space="preserve">FUNDING INC., </w:t>
      </w:r>
      <w:r>
        <w:rPr>
          <w:rFonts w:ascii="Arial" w:cs="Arial" w:eastAsia="Arial" w:hAnsi="Arial"/>
          <w:sz w:val="22"/>
          <w:szCs w:val="22"/>
          <w:color w:val="auto"/>
        </w:rPr>
        <w:t>as</w:t>
      </w:r>
    </w:p>
    <w:p>
      <w:pPr>
        <w:spacing w:after="0" w:line="4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Lead Arranger, Bookrunner and</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22"/>
          <w:szCs w:val="22"/>
          <w:color w:val="auto"/>
        </w:rPr>
        <w:t>Documentation Agent</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19"/>
          <w:szCs w:val="19"/>
          <w:i w:val="1"/>
          <w:iCs w:val="1"/>
          <w:color w:val="auto"/>
        </w:rPr>
        <w:t>[for Lenders requiring two signature</w:t>
      </w:r>
    </w:p>
    <w:p>
      <w:pPr>
        <w:spacing w:after="0" w:line="56"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560"/>
          </w:cols>
          <w:pgMar w:left="1440" w:top="1440" w:right="899" w:bottom="1440" w:gutter="0" w:footer="0" w:header="0"/>
        </w:sectPr>
      </w:pPr>
    </w:p>
    <w:bookmarkStart w:id="446" w:name="page447"/>
    <w:bookmarkEnd w:id="446"/>
    <w:p>
      <w:pPr>
        <w:spacing w:after="0" w:line="36" w:lineRule="exact"/>
        <w:rPr>
          <w:sz w:val="20"/>
          <w:szCs w:val="20"/>
          <w:color w:val="auto"/>
        </w:rPr>
      </w:pPr>
    </w:p>
    <w:p>
      <w:pPr>
        <w:ind w:left="6400"/>
        <w:spacing w:after="0"/>
        <w:rPr>
          <w:sz w:val="20"/>
          <w:szCs w:val="20"/>
          <w:color w:val="auto"/>
        </w:rPr>
      </w:pPr>
      <w:r>
        <w:rPr>
          <w:rFonts w:ascii="Arial" w:cs="Arial" w:eastAsia="Arial" w:hAnsi="Arial"/>
          <w:sz w:val="21"/>
          <w:szCs w:val="21"/>
          <w:b w:val="1"/>
          <w:bCs w:val="1"/>
          <w:color w:val="auto"/>
        </w:rPr>
        <w:t xml:space="preserve">MORGAN STANLEY BANK, N.A., </w:t>
      </w:r>
      <w:r>
        <w:rPr>
          <w:rFonts w:ascii="Arial" w:cs="Arial" w:eastAsia="Arial" w:hAnsi="Arial"/>
          <w:sz w:val="21"/>
          <w:szCs w:val="21"/>
          <w:color w:val="auto"/>
        </w:rPr>
        <w:t>as</w:t>
      </w:r>
    </w:p>
    <w:p>
      <w:pPr>
        <w:spacing w:after="0" w:line="75"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a Lender</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i w:val="1"/>
          <w:iCs w:val="1"/>
          <w:color w:val="auto"/>
        </w:rPr>
        <w:t>[for Lenders requiring two signature</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960"/>
          </w:cols>
          <w:pgMar w:left="1440" w:top="1440" w:right="499" w:bottom="1440" w:gutter="0" w:footer="0" w:header="0"/>
        </w:sectPr>
      </w:pPr>
    </w:p>
    <w:bookmarkStart w:id="447" w:name="page448"/>
    <w:bookmarkEnd w:id="447"/>
    <w:p>
      <w:pPr>
        <w:spacing w:after="0" w:line="22"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MUFG UNION BANK, N.A.</w:t>
      </w:r>
      <w:r>
        <w:rPr>
          <w:rFonts w:ascii="Arial" w:cs="Arial" w:eastAsia="Arial" w:hAnsi="Arial"/>
          <w:sz w:val="22"/>
          <w:szCs w:val="22"/>
          <w:color w:val="auto"/>
        </w:rPr>
        <w:t>, as</w:t>
      </w:r>
    </w:p>
    <w:p>
      <w:pPr>
        <w:spacing w:after="0" w:line="64"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a Lender</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19"/>
          <w:szCs w:val="19"/>
          <w:i w:val="1"/>
          <w:iCs w:val="1"/>
          <w:color w:val="auto"/>
        </w:rPr>
        <w:t>[for Lenders requiring two signature</w:t>
      </w:r>
    </w:p>
    <w:p>
      <w:pPr>
        <w:spacing w:after="0" w:line="56"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560"/>
          </w:cols>
          <w:pgMar w:left="1440" w:top="1440" w:right="899" w:bottom="1440" w:gutter="0" w:footer="0" w:header="0"/>
        </w:sectPr>
      </w:pPr>
    </w:p>
    <w:bookmarkStart w:id="448" w:name="page449"/>
    <w:bookmarkEnd w:id="448"/>
    <w:p>
      <w:pPr>
        <w:spacing w:after="0" w:line="22" w:lineRule="exact"/>
        <w:rPr>
          <w:sz w:val="20"/>
          <w:szCs w:val="20"/>
          <w:color w:val="auto"/>
        </w:rPr>
      </w:pPr>
    </w:p>
    <w:p>
      <w:pPr>
        <w:ind w:left="6400"/>
        <w:spacing w:after="0"/>
        <w:rPr>
          <w:sz w:val="20"/>
          <w:szCs w:val="20"/>
          <w:color w:val="auto"/>
        </w:rPr>
      </w:pPr>
      <w:r>
        <w:rPr>
          <w:rFonts w:ascii="Arial" w:cs="Arial" w:eastAsia="Arial" w:hAnsi="Arial"/>
          <w:sz w:val="21"/>
          <w:szCs w:val="21"/>
          <w:b w:val="1"/>
          <w:bCs w:val="1"/>
          <w:color w:val="auto"/>
        </w:rPr>
        <w:t>CREDIT AGRICOLE CORPORATE</w:t>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 xml:space="preserve">AND INVESTMENT BANK, </w:t>
      </w:r>
      <w:r>
        <w:rPr>
          <w:rFonts w:ascii="Arial" w:cs="Arial" w:eastAsia="Arial" w:hAnsi="Arial"/>
          <w:sz w:val="22"/>
          <w:szCs w:val="22"/>
          <w:color w:val="auto"/>
        </w:rPr>
        <w:t>as</w:t>
      </w:r>
    </w:p>
    <w:p>
      <w:pPr>
        <w:spacing w:after="0" w:line="4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a Lender</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i w:val="1"/>
          <w:iCs w:val="1"/>
          <w:color w:val="auto"/>
        </w:rPr>
        <w:t>[for Lenders requiring two signature</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880"/>
          </w:cols>
          <w:pgMar w:left="1440" w:top="1440" w:right="579" w:bottom="1440" w:gutter="0" w:footer="0" w:header="0"/>
        </w:sectPr>
      </w:pPr>
    </w:p>
    <w:bookmarkStart w:id="449" w:name="page450"/>
    <w:bookmarkEnd w:id="449"/>
    <w:p>
      <w:pPr>
        <w:spacing w:after="0" w:line="22" w:lineRule="exact"/>
        <w:rPr>
          <w:sz w:val="20"/>
          <w:szCs w:val="20"/>
          <w:color w:val="auto"/>
        </w:rPr>
      </w:pPr>
    </w:p>
    <w:p>
      <w:pPr>
        <w:ind w:left="6400"/>
        <w:spacing w:after="0"/>
        <w:rPr>
          <w:sz w:val="20"/>
          <w:szCs w:val="20"/>
          <w:color w:val="auto"/>
        </w:rPr>
      </w:pPr>
      <w:r>
        <w:rPr>
          <w:rFonts w:ascii="Arial" w:cs="Arial" w:eastAsia="Arial" w:hAnsi="Arial"/>
          <w:sz w:val="19"/>
          <w:szCs w:val="19"/>
          <w:b w:val="1"/>
          <w:bCs w:val="1"/>
          <w:color w:val="auto"/>
        </w:rPr>
        <w:t>INTESA SANPAOLO S.P.A., NEW</w:t>
      </w:r>
    </w:p>
    <w:p>
      <w:pPr>
        <w:spacing w:after="0" w:line="49"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 xml:space="preserve">YORK BRANCH, </w:t>
      </w:r>
      <w:r>
        <w:rPr>
          <w:rFonts w:ascii="Arial" w:cs="Arial" w:eastAsia="Arial" w:hAnsi="Arial"/>
          <w:sz w:val="22"/>
          <w:szCs w:val="22"/>
          <w:color w:val="auto"/>
        </w:rPr>
        <w:t>as</w:t>
      </w:r>
    </w:p>
    <w:p>
      <w:pPr>
        <w:spacing w:after="0" w:line="4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a Lender</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19"/>
          <w:szCs w:val="19"/>
          <w:i w:val="1"/>
          <w:iCs w:val="1"/>
          <w:color w:val="auto"/>
        </w:rPr>
        <w:t>[for Lenders requiring two signature</w:t>
      </w:r>
    </w:p>
    <w:p>
      <w:pPr>
        <w:spacing w:after="0" w:line="56"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660"/>
          </w:cols>
          <w:pgMar w:left="1440" w:top="1440" w:right="799" w:bottom="1440" w:gutter="0" w:footer="0" w:header="0"/>
        </w:sectPr>
      </w:pPr>
    </w:p>
    <w:bookmarkStart w:id="450" w:name="page451"/>
    <w:bookmarkEnd w:id="450"/>
    <w:p>
      <w:pPr>
        <w:spacing w:after="0" w:line="22" w:lineRule="exact"/>
        <w:rPr>
          <w:sz w:val="20"/>
          <w:szCs w:val="20"/>
          <w:color w:val="auto"/>
        </w:rPr>
      </w:pPr>
    </w:p>
    <w:p>
      <w:pPr>
        <w:ind w:left="6400"/>
        <w:spacing w:after="0"/>
        <w:rPr>
          <w:sz w:val="20"/>
          <w:szCs w:val="20"/>
          <w:color w:val="auto"/>
        </w:rPr>
      </w:pPr>
      <w:r>
        <w:rPr>
          <w:rFonts w:ascii="Arial" w:cs="Arial" w:eastAsia="Arial" w:hAnsi="Arial"/>
          <w:sz w:val="21"/>
          <w:szCs w:val="21"/>
          <w:b w:val="1"/>
          <w:bCs w:val="1"/>
          <w:color w:val="auto"/>
        </w:rPr>
        <w:t>UNICREDIT S.P.A., NEW YORK</w:t>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22"/>
          <w:szCs w:val="22"/>
          <w:b w:val="1"/>
          <w:bCs w:val="1"/>
          <w:color w:val="auto"/>
        </w:rPr>
        <w:t>BRANCH,</w:t>
      </w:r>
    </w:p>
    <w:p>
      <w:pPr>
        <w:spacing w:after="0" w:line="4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400"/>
        <w:spacing w:after="0"/>
        <w:rPr>
          <w:sz w:val="20"/>
          <w:szCs w:val="20"/>
          <w:color w:val="auto"/>
        </w:rPr>
      </w:pPr>
      <w:r>
        <w:rPr>
          <w:rFonts w:ascii="Arial" w:cs="Arial" w:eastAsia="Arial" w:hAnsi="Arial"/>
          <w:sz w:val="19"/>
          <w:szCs w:val="19"/>
          <w:i w:val="1"/>
          <w:iCs w:val="1"/>
          <w:color w:val="auto"/>
        </w:rPr>
        <w:t>[for Lenders requiring two signature</w:t>
      </w:r>
    </w:p>
    <w:p>
      <w:pPr>
        <w:spacing w:after="0" w:line="56" w:lineRule="exact"/>
        <w:rPr>
          <w:sz w:val="20"/>
          <w:szCs w:val="20"/>
          <w:color w:val="auto"/>
        </w:rPr>
      </w:pPr>
    </w:p>
    <w:p>
      <w:pPr>
        <w:ind w:left="6260"/>
        <w:spacing w:after="0"/>
        <w:rPr>
          <w:sz w:val="20"/>
          <w:szCs w:val="20"/>
          <w:color w:val="auto"/>
        </w:rPr>
      </w:pPr>
      <w:r>
        <w:rPr>
          <w:rFonts w:ascii="Arial" w:cs="Arial" w:eastAsia="Arial" w:hAnsi="Arial"/>
          <w:sz w:val="22"/>
          <w:szCs w:val="22"/>
          <w:i w:val="1"/>
          <w:iCs w:val="1"/>
          <w:color w:val="auto"/>
        </w:rPr>
        <w:t>blocks]</w:t>
      </w:r>
    </w:p>
    <w:p>
      <w:pPr>
        <w:spacing w:after="0" w:line="31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24130</wp:posOffset>
            </wp:positionV>
            <wp:extent cx="21513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560"/>
          </w:cols>
          <w:pgMar w:left="1440" w:top="1440" w:right="899" w:bottom="1440" w:gutter="0" w:footer="0" w:header="0"/>
        </w:sectPr>
      </w:pPr>
    </w:p>
    <w:bookmarkStart w:id="451" w:name="page452"/>
    <w:bookmarkEnd w:id="451"/>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BRIDGE CREDIT AND GUARANTY AGREEMENT</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 , 2021</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among</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LEONARDO DRS,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Borrower</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CERTAIN SUBSIDIARIES OF LEONARDO DRS,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Guarantors,</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VARIOUS LENDERS,</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GOLDMAN SACHS BANK USA,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 xml:space="preserve">BOFA SECURITIES, INC. </w:t>
      </w:r>
      <w:r>
        <w:rPr>
          <w:rFonts w:ascii="Arial" w:cs="Arial" w:eastAsia="Arial" w:hAnsi="Arial"/>
          <w:sz w:val="22"/>
          <w:szCs w:val="22"/>
          <w:color w:val="auto"/>
        </w:rPr>
        <w:t>,</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JPMORGAN CHASE BANK, N.A.,</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BARCLAYS BANK PLC,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CITIBANK, N.A., LONDON BRANCH,</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CREDIT SUISSE LOAN FUNDING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MORGAN STANLEY SENIOR FUNDING,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Lead Arrangers and Bookrunners,</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GOLDMAN SACHS BANK USA,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JPMORGAN CHASE BANK, N.A.,</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Syndication Agents,</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GOLDMAN SACHS BANK USA,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Administrative Agent,</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BARCLAYS BANK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CITIBANK, N.A., LONDON BRANCH,</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CREDIT SUISSE LOAN FUNDING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MORGAN STANLEY SENIOR FUNDING,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Documentation Agents</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________________________________________________________</w:t>
      </w:r>
    </w:p>
    <w:p>
      <w:pPr>
        <w:spacing w:after="0" w:line="247"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$ 350,000,000 Term Loan</w:t>
      </w:r>
    </w:p>
    <w:p>
      <w:pPr>
        <w:sectPr>
          <w:pgSz w:w="11900" w:h="16838" w:orient="portrait"/>
          <w:cols w:equalWidth="0" w:num="1">
            <w:col w:w="10120"/>
          </w:cols>
          <w:pgMar w:left="1440" w:top="121" w:right="339" w:bottom="1440" w:gutter="0" w:footer="0" w:header="0"/>
        </w:sectPr>
      </w:pPr>
    </w:p>
    <w:bookmarkStart w:id="452" w:name="page453"/>
    <w:bookmarkEnd w:id="452"/>
    <w:p>
      <w:pPr>
        <w:jc w:val="center"/>
        <w:ind w:right="20"/>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233"/>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440" w:type="dxa"/>
            <w:vAlign w:val="bottom"/>
            <w:tcBorders>
              <w:bottom w:val="single" w:sz="8" w:color="auto"/>
            </w:tcBorders>
          </w:tcPr>
          <w:p>
            <w:pPr>
              <w:jc w:val="right"/>
              <w:spacing w:after="0" w:line="233" w:lineRule="exact"/>
              <w:rPr>
                <w:sz w:val="20"/>
                <w:szCs w:val="20"/>
                <w:color w:val="auto"/>
              </w:rPr>
            </w:pPr>
            <w:r>
              <w:rPr>
                <w:rFonts w:ascii="Arial" w:cs="Arial" w:eastAsia="Arial" w:hAnsi="Arial"/>
                <w:sz w:val="22"/>
                <w:szCs w:val="22"/>
                <w:b w:val="1"/>
                <w:bCs w:val="1"/>
                <w:color w:val="auto"/>
                <w:w w:val="79"/>
              </w:rPr>
              <w:t>Page</w:t>
            </w:r>
          </w:p>
        </w:tc>
      </w:tr>
      <w:tr>
        <w:trPr>
          <w:trHeight w:val="341"/>
        </w:trPr>
        <w:tc>
          <w:tcPr>
            <w:tcW w:w="10780" w:type="dxa"/>
            <w:vAlign w:val="bottom"/>
            <w:gridSpan w:val="3"/>
          </w:tcPr>
          <w:p>
            <w:pPr>
              <w:spacing w:after="0"/>
              <w:rPr>
                <w:sz w:val="20"/>
                <w:szCs w:val="20"/>
                <w:color w:val="auto"/>
              </w:rPr>
            </w:pPr>
            <w:r>
              <w:rPr>
                <w:rFonts w:ascii="Arial" w:cs="Arial" w:eastAsia="Arial" w:hAnsi="Arial"/>
                <w:sz w:val="22"/>
                <w:szCs w:val="22"/>
                <w:color w:val="auto"/>
              </w:rPr>
              <w:t>SECTION 1. DEFINITIONS AND INTERPRETATION</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1.1.</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Definitions</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1.2.</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Accounting Terms</w:t>
            </w:r>
          </w:p>
        </w:tc>
        <w:tc>
          <w:tcPr>
            <w:tcW w:w="4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1.3.</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Interpretation, Etc.</w:t>
            </w:r>
          </w:p>
        </w:tc>
        <w:tc>
          <w:tcPr>
            <w:tcW w:w="4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581"/>
        </w:trPr>
        <w:tc>
          <w:tcPr>
            <w:tcW w:w="10780" w:type="dxa"/>
            <w:vAlign w:val="bottom"/>
            <w:gridSpan w:val="3"/>
          </w:tcPr>
          <w:p>
            <w:pPr>
              <w:spacing w:after="0"/>
              <w:rPr>
                <w:sz w:val="20"/>
                <w:szCs w:val="20"/>
                <w:color w:val="auto"/>
              </w:rPr>
            </w:pPr>
            <w:r>
              <w:rPr>
                <w:rFonts w:ascii="Arial" w:cs="Arial" w:eastAsia="Arial" w:hAnsi="Arial"/>
                <w:sz w:val="22"/>
                <w:szCs w:val="22"/>
                <w:color w:val="auto"/>
              </w:rPr>
              <w:t>SECTION 2. LOANS</w:t>
            </w:r>
          </w:p>
        </w:tc>
        <w:tc>
          <w:tcPr>
            <w:tcW w:w="4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2.1.</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Term Loans</w:t>
            </w:r>
          </w:p>
        </w:tc>
        <w:tc>
          <w:tcPr>
            <w:tcW w:w="4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2.2.</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[Reserved].</w:t>
            </w:r>
          </w:p>
        </w:tc>
        <w:tc>
          <w:tcPr>
            <w:tcW w:w="4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2.3.</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[Reserved].</w:t>
            </w:r>
          </w:p>
        </w:tc>
        <w:tc>
          <w:tcPr>
            <w:tcW w:w="4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2.4.</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[Reserved].</w:t>
            </w:r>
          </w:p>
        </w:tc>
        <w:tc>
          <w:tcPr>
            <w:tcW w:w="4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2.5.</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Pro Rata Shares; Availability of Funds</w:t>
            </w:r>
          </w:p>
        </w:tc>
        <w:tc>
          <w:tcPr>
            <w:tcW w:w="4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2.6.</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Use of Proceeds</w:t>
            </w:r>
          </w:p>
        </w:tc>
        <w:tc>
          <w:tcPr>
            <w:tcW w:w="4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2.7.</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Evidence of Debt; Register; Lenders’ Books and Records; Notes</w:t>
            </w:r>
          </w:p>
        </w:tc>
        <w:tc>
          <w:tcPr>
            <w:tcW w:w="4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2.8.</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Interest on Loans</w:t>
            </w:r>
          </w:p>
        </w:tc>
        <w:tc>
          <w:tcPr>
            <w:tcW w:w="4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2.9.</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[Reserved].</w:t>
            </w:r>
          </w:p>
        </w:tc>
        <w:tc>
          <w:tcPr>
            <w:tcW w:w="4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2.10.</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Default Interest</w:t>
            </w:r>
          </w:p>
        </w:tc>
        <w:tc>
          <w:tcPr>
            <w:tcW w:w="4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10780" w:type="dxa"/>
            <w:vAlign w:val="bottom"/>
            <w:gridSpan w:val="3"/>
          </w:tcPr>
          <w:p>
            <w:pPr>
              <w:ind w:left="840"/>
              <w:spacing w:after="0"/>
              <w:rPr>
                <w:sz w:val="20"/>
                <w:szCs w:val="20"/>
                <w:color w:val="auto"/>
              </w:rPr>
            </w:pPr>
            <w:r>
              <w:rPr>
                <w:rFonts w:ascii="Arial" w:cs="Arial" w:eastAsia="Arial" w:hAnsi="Arial"/>
                <w:sz w:val="22"/>
                <w:szCs w:val="22"/>
                <w:b w:val="1"/>
                <w:bCs w:val="1"/>
                <w:color w:val="auto"/>
              </w:rPr>
              <w:t>2.11. Fees</w:t>
            </w:r>
          </w:p>
        </w:tc>
        <w:tc>
          <w:tcPr>
            <w:tcW w:w="4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2.12.</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Scheduled Payments</w:t>
            </w:r>
          </w:p>
        </w:tc>
        <w:tc>
          <w:tcPr>
            <w:tcW w:w="4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1"/>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2.13.</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Voluntary Prepayments</w:t>
            </w:r>
          </w:p>
        </w:tc>
        <w:tc>
          <w:tcPr>
            <w:tcW w:w="4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10780" w:type="dxa"/>
            <w:vAlign w:val="bottom"/>
            <w:gridSpan w:val="3"/>
          </w:tcPr>
          <w:p>
            <w:pPr>
              <w:ind w:left="840"/>
              <w:spacing w:after="0"/>
              <w:rPr>
                <w:sz w:val="20"/>
                <w:szCs w:val="20"/>
                <w:color w:val="auto"/>
              </w:rPr>
            </w:pPr>
            <w:r>
              <w:rPr>
                <w:rFonts w:ascii="Arial" w:cs="Arial" w:eastAsia="Arial" w:hAnsi="Arial"/>
                <w:sz w:val="22"/>
                <w:szCs w:val="22"/>
                <w:b w:val="1"/>
                <w:bCs w:val="1"/>
                <w:color w:val="auto"/>
              </w:rPr>
              <w:t>2.14. Mandatory Prepayments/Commitment Reductions</w:t>
            </w:r>
          </w:p>
        </w:tc>
        <w:tc>
          <w:tcPr>
            <w:tcW w:w="4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2.15.</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Application of Prepayments/Reductions</w:t>
            </w:r>
          </w:p>
        </w:tc>
        <w:tc>
          <w:tcPr>
            <w:tcW w:w="4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2.16.</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General Provisions Regarding Payments</w:t>
            </w:r>
          </w:p>
        </w:tc>
        <w:tc>
          <w:tcPr>
            <w:tcW w:w="4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2.17.</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Ratable Sharing</w:t>
            </w:r>
          </w:p>
        </w:tc>
        <w:tc>
          <w:tcPr>
            <w:tcW w:w="4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2.18.</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Making or Maintaining Eurodollar Rate Loans</w:t>
            </w:r>
          </w:p>
        </w:tc>
        <w:tc>
          <w:tcPr>
            <w:tcW w:w="4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2.19.</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Increased Costs; Capital Adequacy</w:t>
            </w:r>
          </w:p>
        </w:tc>
        <w:tc>
          <w:tcPr>
            <w:tcW w:w="4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1"/>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2.20.</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Taxes; Withholding, Etc.</w:t>
            </w:r>
          </w:p>
        </w:tc>
        <w:tc>
          <w:tcPr>
            <w:tcW w:w="4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2.21.</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Obligation to Mitigate</w:t>
            </w:r>
          </w:p>
        </w:tc>
        <w:tc>
          <w:tcPr>
            <w:tcW w:w="4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2.22.</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Defaulting Lenders</w:t>
            </w:r>
          </w:p>
        </w:tc>
        <w:tc>
          <w:tcPr>
            <w:tcW w:w="4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2.23.</w:t>
            </w:r>
          </w:p>
        </w:tc>
        <w:tc>
          <w:tcPr>
            <w:tcW w:w="9480" w:type="dxa"/>
            <w:vAlign w:val="bottom"/>
          </w:tcPr>
          <w:p>
            <w:pPr>
              <w:ind w:left="20"/>
              <w:spacing w:after="0"/>
              <w:rPr>
                <w:sz w:val="20"/>
                <w:szCs w:val="20"/>
                <w:color w:val="auto"/>
              </w:rPr>
            </w:pPr>
            <w:r>
              <w:rPr>
                <w:rFonts w:ascii="Arial" w:cs="Arial" w:eastAsia="Arial" w:hAnsi="Arial"/>
                <w:sz w:val="22"/>
                <w:szCs w:val="22"/>
                <w:b w:val="1"/>
                <w:bCs w:val="1"/>
                <w:color w:val="auto"/>
              </w:rPr>
              <w:t>Removal or Replacement of a Lender</w:t>
            </w:r>
          </w:p>
        </w:tc>
        <w:tc>
          <w:tcPr>
            <w:tcW w:w="4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80"/>
        </w:trPr>
        <w:tc>
          <w:tcPr>
            <w:tcW w:w="10780" w:type="dxa"/>
            <w:vAlign w:val="bottom"/>
            <w:gridSpan w:val="3"/>
          </w:tcPr>
          <w:p>
            <w:pPr>
              <w:spacing w:after="0"/>
              <w:rPr>
                <w:rFonts w:ascii="Arial" w:cs="Arial" w:eastAsia="Arial" w:hAnsi="Arial"/>
                <w:sz w:val="22"/>
                <w:szCs w:val="22"/>
                <w:color w:val="auto"/>
              </w:rPr>
            </w:pPr>
            <w:hyperlink w:anchor="page457">
              <w:r>
                <w:rPr>
                  <w:rFonts w:ascii="Arial" w:cs="Arial" w:eastAsia="Arial" w:hAnsi="Arial"/>
                  <w:sz w:val="22"/>
                  <w:szCs w:val="22"/>
                  <w:color w:val="auto"/>
                </w:rPr>
                <w:t>SECTION 3. CONDITIONS PRECEDENT</w:t>
              </w:r>
            </w:hyperlink>
          </w:p>
        </w:tc>
        <w:tc>
          <w:tcPr>
            <w:tcW w:w="4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3.1.</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Closing Date</w:t>
            </w:r>
          </w:p>
        </w:tc>
        <w:tc>
          <w:tcPr>
            <w:tcW w:w="4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3.2.</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Conditions to Each Credit Extension</w:t>
            </w:r>
          </w:p>
        </w:tc>
        <w:tc>
          <w:tcPr>
            <w:tcW w:w="4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580"/>
        </w:trPr>
        <w:tc>
          <w:tcPr>
            <w:tcW w:w="10780" w:type="dxa"/>
            <w:vAlign w:val="bottom"/>
            <w:gridSpan w:val="3"/>
          </w:tcPr>
          <w:p>
            <w:pPr>
              <w:spacing w:after="0"/>
              <w:rPr>
                <w:sz w:val="20"/>
                <w:szCs w:val="20"/>
                <w:color w:val="auto"/>
              </w:rPr>
            </w:pPr>
            <w:r>
              <w:rPr>
                <w:rFonts w:ascii="Arial" w:cs="Arial" w:eastAsia="Arial" w:hAnsi="Arial"/>
                <w:sz w:val="22"/>
                <w:szCs w:val="22"/>
                <w:color w:val="auto"/>
              </w:rPr>
              <w:t>SECTION 4. REPRESENTATIONS AND WARRANTIES</w:t>
            </w:r>
          </w:p>
        </w:tc>
        <w:tc>
          <w:tcPr>
            <w:tcW w:w="4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4.1.</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Organization; Requisite Power and Authority; Qualification</w:t>
            </w:r>
          </w:p>
        </w:tc>
        <w:tc>
          <w:tcPr>
            <w:tcW w:w="4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4.2.</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Equity Interests and Ownership</w:t>
            </w:r>
          </w:p>
        </w:tc>
        <w:tc>
          <w:tcPr>
            <w:tcW w:w="4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4.3.</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Due Authorization</w:t>
            </w:r>
          </w:p>
        </w:tc>
        <w:tc>
          <w:tcPr>
            <w:tcW w:w="4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4.4.</w:t>
            </w:r>
          </w:p>
        </w:tc>
        <w:tc>
          <w:tcPr>
            <w:tcW w:w="9580" w:type="dxa"/>
            <w:vAlign w:val="bottom"/>
            <w:gridSpan w:val="2"/>
          </w:tcPr>
          <w:p>
            <w:pPr>
              <w:ind w:left="20"/>
              <w:spacing w:after="0"/>
              <w:rPr>
                <w:sz w:val="20"/>
                <w:szCs w:val="20"/>
                <w:color w:val="auto"/>
              </w:rPr>
            </w:pPr>
            <w:r>
              <w:rPr>
                <w:rFonts w:ascii="Arial" w:cs="Arial" w:eastAsia="Arial" w:hAnsi="Arial"/>
                <w:sz w:val="22"/>
                <w:szCs w:val="22"/>
                <w:b w:val="1"/>
                <w:bCs w:val="1"/>
                <w:color w:val="auto"/>
              </w:rPr>
              <w:t>No Conflict</w:t>
            </w:r>
          </w:p>
        </w:tc>
        <w:tc>
          <w:tcPr>
            <w:tcW w:w="440" w:type="dxa"/>
            <w:vAlign w:val="bottom"/>
          </w:tcPr>
          <w:p>
            <w:pPr>
              <w:jc w:val="right"/>
              <w:spacing w:after="0"/>
              <w:rPr>
                <w:sz w:val="20"/>
                <w:szCs w:val="20"/>
                <w:color w:val="auto"/>
              </w:rPr>
            </w:pPr>
            <w:r>
              <w:rPr>
                <w:rFonts w:ascii="Arial" w:cs="Arial" w:eastAsia="Arial" w:hAnsi="Arial"/>
                <w:sz w:val="22"/>
                <w:szCs w:val="22"/>
                <w:color w:val="auto"/>
              </w:rPr>
              <w:t>62</w:t>
            </w:r>
          </w:p>
        </w:tc>
      </w:tr>
    </w:tbl>
    <w:p>
      <w:pPr>
        <w:spacing w:after="0" w:line="200" w:lineRule="exact"/>
        <w:rPr>
          <w:sz w:val="20"/>
          <w:szCs w:val="20"/>
          <w:color w:val="auto"/>
        </w:rPr>
      </w:pPr>
    </w:p>
    <w:p>
      <w:pPr>
        <w:sectPr>
          <w:pgSz w:w="11900" w:h="16838" w:orient="portrait"/>
          <w:cols w:equalWidth="0" w:num="1">
            <w:col w:w="11220"/>
          </w:cols>
          <w:pgMar w:left="340" w:top="1421" w:right="339" w:bottom="8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20"/>
          </w:cols>
          <w:pgMar w:left="340" w:top="1421" w:right="339" w:bottom="831" w:gutter="0" w:footer="0" w:header="0"/>
          <w:type w:val="continuous"/>
        </w:sectPr>
      </w:pPr>
    </w:p>
    <w:bookmarkStart w:id="453" w:name="page454"/>
    <w:bookmarkEnd w:id="45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4.5.</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Governmental Consents</w:t>
            </w:r>
          </w:p>
        </w:tc>
        <w:tc>
          <w:tcPr>
            <w:tcW w:w="23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4.6.</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Binding Obligation</w:t>
            </w:r>
          </w:p>
        </w:tc>
        <w:tc>
          <w:tcPr>
            <w:tcW w:w="23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4.7.</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Historical Financial Statements</w:t>
            </w:r>
          </w:p>
        </w:tc>
        <w:tc>
          <w:tcPr>
            <w:tcW w:w="23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4.8.</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Projections</w:t>
            </w:r>
          </w:p>
        </w:tc>
        <w:tc>
          <w:tcPr>
            <w:tcW w:w="23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4.9.</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No Material Adverse Effect</w:t>
            </w:r>
          </w:p>
        </w:tc>
        <w:tc>
          <w:tcPr>
            <w:tcW w:w="23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1"/>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4.10.</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[Reserved.]</w:t>
            </w:r>
          </w:p>
        </w:tc>
        <w:tc>
          <w:tcPr>
            <w:tcW w:w="23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1"/>
        </w:trPr>
        <w:tc>
          <w:tcPr>
            <w:tcW w:w="8880" w:type="dxa"/>
            <w:vAlign w:val="bottom"/>
            <w:gridSpan w:val="3"/>
          </w:tcPr>
          <w:p>
            <w:pPr>
              <w:ind w:left="840"/>
              <w:spacing w:after="0"/>
              <w:rPr>
                <w:sz w:val="20"/>
                <w:szCs w:val="20"/>
                <w:color w:val="auto"/>
              </w:rPr>
            </w:pPr>
            <w:r>
              <w:rPr>
                <w:rFonts w:ascii="Arial" w:cs="Arial" w:eastAsia="Arial" w:hAnsi="Arial"/>
                <w:sz w:val="22"/>
                <w:szCs w:val="22"/>
                <w:b w:val="1"/>
                <w:bCs w:val="1"/>
                <w:color w:val="auto"/>
              </w:rPr>
              <w:t>4.11. Adverse Proceedings, Etc.</w:t>
            </w:r>
          </w:p>
        </w:tc>
        <w:tc>
          <w:tcPr>
            <w:tcW w:w="23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4.12.</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Payment of Taxes</w:t>
            </w:r>
          </w:p>
        </w:tc>
        <w:tc>
          <w:tcPr>
            <w:tcW w:w="23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1"/>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4.13.</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Properties</w:t>
            </w:r>
          </w:p>
        </w:tc>
        <w:tc>
          <w:tcPr>
            <w:tcW w:w="23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4.14.</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Environmental Matters</w:t>
            </w:r>
          </w:p>
        </w:tc>
        <w:tc>
          <w:tcPr>
            <w:tcW w:w="23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4.15.</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[Reserved.]</w:t>
            </w:r>
          </w:p>
        </w:tc>
        <w:tc>
          <w:tcPr>
            <w:tcW w:w="23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4.16.</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[Reserved.]</w:t>
            </w:r>
          </w:p>
        </w:tc>
        <w:tc>
          <w:tcPr>
            <w:tcW w:w="23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4.17.</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Governmental Regulation</w:t>
            </w:r>
          </w:p>
        </w:tc>
        <w:tc>
          <w:tcPr>
            <w:tcW w:w="23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4.18.</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Federal Reserve Regulations; Exchange Act</w:t>
            </w:r>
          </w:p>
        </w:tc>
        <w:tc>
          <w:tcPr>
            <w:tcW w:w="23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4.19.</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Employee Matters</w:t>
            </w:r>
          </w:p>
        </w:tc>
        <w:tc>
          <w:tcPr>
            <w:tcW w:w="23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1"/>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4.20.</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Employee Benefit Plans</w:t>
            </w:r>
          </w:p>
        </w:tc>
        <w:tc>
          <w:tcPr>
            <w:tcW w:w="23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4.21.</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Certain Fees</w:t>
            </w:r>
          </w:p>
        </w:tc>
        <w:tc>
          <w:tcPr>
            <w:tcW w:w="232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1"/>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4.22.</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Solvency</w:t>
            </w:r>
          </w:p>
        </w:tc>
        <w:tc>
          <w:tcPr>
            <w:tcW w:w="232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4.23.</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[Reserved]</w:t>
            </w:r>
          </w:p>
        </w:tc>
        <w:tc>
          <w:tcPr>
            <w:tcW w:w="23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4.24.</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Compliance with Statutes, Etc.</w:t>
            </w:r>
          </w:p>
        </w:tc>
        <w:tc>
          <w:tcPr>
            <w:tcW w:w="23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4.25.</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Disclosure</w:t>
            </w:r>
          </w:p>
        </w:tc>
        <w:tc>
          <w:tcPr>
            <w:tcW w:w="23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4.26.</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Sanctioned Persons; Anti-Corruption Laws; PATRIOT Act</w:t>
            </w:r>
          </w:p>
        </w:tc>
        <w:tc>
          <w:tcPr>
            <w:tcW w:w="23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580"/>
        </w:trPr>
        <w:tc>
          <w:tcPr>
            <w:tcW w:w="8880" w:type="dxa"/>
            <w:vAlign w:val="bottom"/>
            <w:gridSpan w:val="3"/>
          </w:tcPr>
          <w:p>
            <w:pPr>
              <w:spacing w:after="0"/>
              <w:rPr>
                <w:sz w:val="20"/>
                <w:szCs w:val="20"/>
                <w:color w:val="auto"/>
              </w:rPr>
            </w:pPr>
            <w:r>
              <w:rPr>
                <w:rFonts w:ascii="Arial" w:cs="Arial" w:eastAsia="Arial" w:hAnsi="Arial"/>
                <w:sz w:val="22"/>
                <w:szCs w:val="22"/>
                <w:color w:val="auto"/>
              </w:rPr>
              <w:t>SECTION 5. AFFIRMATIVE COVENANTS</w:t>
            </w:r>
          </w:p>
        </w:tc>
        <w:tc>
          <w:tcPr>
            <w:tcW w:w="23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5.1.</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Financial Statements and Other Reports</w:t>
            </w:r>
          </w:p>
        </w:tc>
        <w:tc>
          <w:tcPr>
            <w:tcW w:w="23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5.2.</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Existence</w:t>
            </w:r>
          </w:p>
        </w:tc>
        <w:tc>
          <w:tcPr>
            <w:tcW w:w="23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5.3.</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Payment of Taxes and Claims</w:t>
            </w:r>
          </w:p>
        </w:tc>
        <w:tc>
          <w:tcPr>
            <w:tcW w:w="23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5.4.</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Maintenance of Properties</w:t>
            </w:r>
          </w:p>
        </w:tc>
        <w:tc>
          <w:tcPr>
            <w:tcW w:w="23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5.5.</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Insurance</w:t>
            </w:r>
          </w:p>
        </w:tc>
        <w:tc>
          <w:tcPr>
            <w:tcW w:w="23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5.6.</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Books and Records; Inspections</w:t>
            </w:r>
          </w:p>
        </w:tc>
        <w:tc>
          <w:tcPr>
            <w:tcW w:w="23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5.7.</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[Reserved]</w:t>
            </w:r>
          </w:p>
        </w:tc>
        <w:tc>
          <w:tcPr>
            <w:tcW w:w="23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5.8.</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Compliance with Laws</w:t>
            </w:r>
          </w:p>
        </w:tc>
        <w:tc>
          <w:tcPr>
            <w:tcW w:w="23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5.9.</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Environmental</w:t>
            </w:r>
          </w:p>
        </w:tc>
        <w:tc>
          <w:tcPr>
            <w:tcW w:w="23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5.10.</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Subsidiaries</w:t>
            </w:r>
          </w:p>
        </w:tc>
        <w:tc>
          <w:tcPr>
            <w:tcW w:w="23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1"/>
        </w:trPr>
        <w:tc>
          <w:tcPr>
            <w:tcW w:w="8880" w:type="dxa"/>
            <w:vAlign w:val="bottom"/>
            <w:gridSpan w:val="3"/>
          </w:tcPr>
          <w:p>
            <w:pPr>
              <w:ind w:left="840"/>
              <w:spacing w:after="0"/>
              <w:rPr>
                <w:sz w:val="20"/>
                <w:szCs w:val="20"/>
                <w:color w:val="auto"/>
              </w:rPr>
            </w:pPr>
            <w:r>
              <w:rPr>
                <w:rFonts w:ascii="Arial" w:cs="Arial" w:eastAsia="Arial" w:hAnsi="Arial"/>
                <w:sz w:val="22"/>
                <w:szCs w:val="22"/>
                <w:b w:val="1"/>
                <w:bCs w:val="1"/>
                <w:color w:val="auto"/>
              </w:rPr>
              <w:t>5.11. Further Assurances</w:t>
            </w:r>
          </w:p>
        </w:tc>
        <w:tc>
          <w:tcPr>
            <w:tcW w:w="23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5.12.</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Engagement Letter and Fee Letters.</w:t>
            </w:r>
          </w:p>
        </w:tc>
        <w:tc>
          <w:tcPr>
            <w:tcW w:w="23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1300" w:type="dxa"/>
            <w:vAlign w:val="bottom"/>
            <w:gridSpan w:val="2"/>
          </w:tcPr>
          <w:p>
            <w:pPr>
              <w:ind w:left="840"/>
              <w:spacing w:after="0"/>
              <w:rPr>
                <w:sz w:val="20"/>
                <w:szCs w:val="20"/>
                <w:color w:val="auto"/>
              </w:rPr>
            </w:pPr>
            <w:r>
              <w:rPr>
                <w:rFonts w:ascii="Arial" w:cs="Arial" w:eastAsia="Arial" w:hAnsi="Arial"/>
                <w:sz w:val="22"/>
                <w:szCs w:val="22"/>
                <w:b w:val="1"/>
                <w:bCs w:val="1"/>
                <w:color w:val="auto"/>
                <w:w w:val="89"/>
              </w:rPr>
              <w:t>5.13.</w:t>
            </w:r>
          </w:p>
        </w:tc>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Designation of Subsidiaries</w:t>
            </w:r>
          </w:p>
        </w:tc>
        <w:tc>
          <w:tcPr>
            <w:tcW w:w="23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580"/>
        </w:trPr>
        <w:tc>
          <w:tcPr>
            <w:tcW w:w="8880" w:type="dxa"/>
            <w:vAlign w:val="bottom"/>
            <w:gridSpan w:val="3"/>
          </w:tcPr>
          <w:p>
            <w:pPr>
              <w:spacing w:after="0"/>
              <w:rPr>
                <w:sz w:val="20"/>
                <w:szCs w:val="20"/>
                <w:color w:val="auto"/>
              </w:rPr>
            </w:pPr>
            <w:r>
              <w:rPr>
                <w:rFonts w:ascii="Arial" w:cs="Arial" w:eastAsia="Arial" w:hAnsi="Arial"/>
                <w:sz w:val="22"/>
                <w:szCs w:val="22"/>
                <w:color w:val="auto"/>
              </w:rPr>
              <w:t>SECTION 6. NEGATIVE COVENANTS</w:t>
            </w:r>
          </w:p>
        </w:tc>
        <w:tc>
          <w:tcPr>
            <w:tcW w:w="23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6.1.</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Indebtedness</w:t>
            </w:r>
          </w:p>
        </w:tc>
        <w:tc>
          <w:tcPr>
            <w:tcW w:w="23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6.2.</w:t>
            </w:r>
          </w:p>
        </w:tc>
        <w:tc>
          <w:tcPr>
            <w:tcW w:w="7680" w:type="dxa"/>
            <w:vAlign w:val="bottom"/>
            <w:gridSpan w:val="2"/>
          </w:tcPr>
          <w:p>
            <w:pPr>
              <w:ind w:left="20"/>
              <w:spacing w:after="0"/>
              <w:rPr>
                <w:sz w:val="20"/>
                <w:szCs w:val="20"/>
                <w:color w:val="auto"/>
              </w:rPr>
            </w:pPr>
            <w:r>
              <w:rPr>
                <w:rFonts w:ascii="Arial" w:cs="Arial" w:eastAsia="Arial" w:hAnsi="Arial"/>
                <w:sz w:val="22"/>
                <w:szCs w:val="22"/>
                <w:b w:val="1"/>
                <w:bCs w:val="1"/>
                <w:color w:val="auto"/>
              </w:rPr>
              <w:t>Liens</w:t>
            </w:r>
          </w:p>
        </w:tc>
        <w:tc>
          <w:tcPr>
            <w:tcW w:w="2320" w:type="dxa"/>
            <w:vAlign w:val="bottom"/>
          </w:tcPr>
          <w:p>
            <w:pPr>
              <w:jc w:val="right"/>
              <w:spacing w:after="0"/>
              <w:rPr>
                <w:sz w:val="20"/>
                <w:szCs w:val="20"/>
                <w:color w:val="auto"/>
              </w:rPr>
            </w:pPr>
            <w:r>
              <w:rPr>
                <w:rFonts w:ascii="Arial" w:cs="Arial" w:eastAsia="Arial" w:hAnsi="Arial"/>
                <w:sz w:val="22"/>
                <w:szCs w:val="22"/>
                <w:color w:val="auto"/>
              </w:rPr>
              <w:t>76</w:t>
            </w:r>
          </w:p>
        </w:tc>
      </w:tr>
    </w:tbl>
    <w:p>
      <w:pPr>
        <w:spacing w:after="0" w:line="200" w:lineRule="exact"/>
        <w:rPr>
          <w:sz w:val="20"/>
          <w:szCs w:val="20"/>
          <w:color w:val="auto"/>
        </w:rPr>
      </w:pPr>
    </w:p>
    <w:p>
      <w:pPr>
        <w:sectPr>
          <w:pgSz w:w="11900" w:h="16838" w:orient="portrait"/>
          <w:cols w:equalWidth="0" w:num="1">
            <w:col w:w="11200"/>
          </w:cols>
          <w:pgMar w:left="340" w:top="1440" w:right="359" w:bottom="6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200"/>
          </w:cols>
          <w:pgMar w:left="340" w:top="1440" w:right="359" w:bottom="683" w:gutter="0" w:footer="0" w:header="0"/>
          <w:type w:val="continuous"/>
        </w:sectPr>
      </w:pPr>
    </w:p>
    <w:bookmarkStart w:id="454" w:name="page455"/>
    <w:bookmarkEnd w:id="45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6.3.</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Equitable Lien</w:t>
            </w:r>
          </w:p>
        </w:tc>
        <w:tc>
          <w:tcPr>
            <w:tcW w:w="98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6.4.</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Restricted Junior Payments</w:t>
            </w:r>
          </w:p>
        </w:tc>
        <w:tc>
          <w:tcPr>
            <w:tcW w:w="98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6.5.</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Restrictions on Subsidiary Distributions</w:t>
            </w:r>
          </w:p>
        </w:tc>
        <w:tc>
          <w:tcPr>
            <w:tcW w:w="98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6.6.</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Investments</w:t>
            </w:r>
          </w:p>
        </w:tc>
        <w:tc>
          <w:tcPr>
            <w:tcW w:w="98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6.7.</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Financial Covenants</w:t>
            </w:r>
          </w:p>
        </w:tc>
        <w:tc>
          <w:tcPr>
            <w:tcW w:w="98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6.8.</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Fundamental Changes; Disposition of Assets; Acquisitions</w:t>
            </w:r>
          </w:p>
        </w:tc>
        <w:tc>
          <w:tcPr>
            <w:tcW w:w="98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6.9.</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[Reserved.]</w:t>
            </w:r>
          </w:p>
        </w:tc>
        <w:tc>
          <w:tcPr>
            <w:tcW w:w="9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10"/>
        </w:trPr>
        <w:tc>
          <w:tcPr>
            <w:tcW w:w="10220" w:type="dxa"/>
            <w:vAlign w:val="bottom"/>
            <w:gridSpan w:val="2"/>
          </w:tcPr>
          <w:p>
            <w:pPr>
              <w:ind w:left="840"/>
              <w:spacing w:after="0"/>
              <w:rPr>
                <w:sz w:val="20"/>
                <w:szCs w:val="20"/>
                <w:color w:val="auto"/>
              </w:rPr>
            </w:pPr>
            <w:r>
              <w:rPr>
                <w:rFonts w:ascii="Arial" w:cs="Arial" w:eastAsia="Arial" w:hAnsi="Arial"/>
                <w:sz w:val="22"/>
                <w:szCs w:val="22"/>
                <w:b w:val="1"/>
                <w:bCs w:val="1"/>
                <w:color w:val="auto"/>
              </w:rPr>
              <w:t>6.10. [Reserved]</w:t>
            </w:r>
          </w:p>
        </w:tc>
        <w:tc>
          <w:tcPr>
            <w:tcW w:w="9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11"/>
        </w:trPr>
        <w:tc>
          <w:tcPr>
            <w:tcW w:w="10220" w:type="dxa"/>
            <w:vAlign w:val="bottom"/>
            <w:gridSpan w:val="2"/>
          </w:tcPr>
          <w:p>
            <w:pPr>
              <w:ind w:left="840"/>
              <w:spacing w:after="0"/>
              <w:rPr>
                <w:sz w:val="20"/>
                <w:szCs w:val="20"/>
                <w:color w:val="auto"/>
              </w:rPr>
            </w:pPr>
            <w:r>
              <w:rPr>
                <w:rFonts w:ascii="Arial" w:cs="Arial" w:eastAsia="Arial" w:hAnsi="Arial"/>
                <w:sz w:val="22"/>
                <w:szCs w:val="22"/>
                <w:b w:val="1"/>
                <w:bCs w:val="1"/>
                <w:color w:val="auto"/>
              </w:rPr>
              <w:t>6.11. Transactions with Shareholders and Affiliates</w:t>
            </w:r>
          </w:p>
        </w:tc>
        <w:tc>
          <w:tcPr>
            <w:tcW w:w="9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10"/>
        </w:trPr>
        <w:tc>
          <w:tcPr>
            <w:tcW w:w="10220" w:type="dxa"/>
            <w:vAlign w:val="bottom"/>
            <w:gridSpan w:val="2"/>
          </w:tcPr>
          <w:p>
            <w:pPr>
              <w:ind w:left="840"/>
              <w:spacing w:after="0"/>
              <w:rPr>
                <w:sz w:val="20"/>
                <w:szCs w:val="20"/>
                <w:color w:val="auto"/>
              </w:rPr>
            </w:pPr>
            <w:r>
              <w:rPr>
                <w:rFonts w:ascii="Arial" w:cs="Arial" w:eastAsia="Arial" w:hAnsi="Arial"/>
                <w:sz w:val="22"/>
                <w:szCs w:val="22"/>
                <w:b w:val="1"/>
                <w:bCs w:val="1"/>
                <w:color w:val="auto"/>
              </w:rPr>
              <w:t>6.12. Conduct of Business</w:t>
            </w:r>
          </w:p>
        </w:tc>
        <w:tc>
          <w:tcPr>
            <w:tcW w:w="9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11"/>
        </w:trPr>
        <w:tc>
          <w:tcPr>
            <w:tcW w:w="10220" w:type="dxa"/>
            <w:vAlign w:val="bottom"/>
            <w:gridSpan w:val="2"/>
          </w:tcPr>
          <w:p>
            <w:pPr>
              <w:ind w:left="840"/>
              <w:spacing w:after="0"/>
              <w:rPr>
                <w:sz w:val="20"/>
                <w:szCs w:val="20"/>
                <w:color w:val="auto"/>
              </w:rPr>
            </w:pPr>
            <w:r>
              <w:rPr>
                <w:rFonts w:ascii="Arial" w:cs="Arial" w:eastAsia="Arial" w:hAnsi="Arial"/>
                <w:sz w:val="22"/>
                <w:szCs w:val="22"/>
                <w:b w:val="1"/>
                <w:bCs w:val="1"/>
                <w:color w:val="auto"/>
                <w:w w:val="96"/>
              </w:rPr>
              <w:t>6.13. Amendments or Waivers of Organizational Documents and Certain Related Agreements</w:t>
            </w:r>
          </w:p>
        </w:tc>
        <w:tc>
          <w:tcPr>
            <w:tcW w:w="9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10"/>
        </w:trPr>
        <w:tc>
          <w:tcPr>
            <w:tcW w:w="10220" w:type="dxa"/>
            <w:vAlign w:val="bottom"/>
            <w:gridSpan w:val="2"/>
          </w:tcPr>
          <w:p>
            <w:pPr>
              <w:ind w:left="840"/>
              <w:spacing w:after="0"/>
              <w:rPr>
                <w:sz w:val="20"/>
                <w:szCs w:val="20"/>
                <w:color w:val="auto"/>
              </w:rPr>
            </w:pPr>
            <w:r>
              <w:rPr>
                <w:rFonts w:ascii="Arial" w:cs="Arial" w:eastAsia="Arial" w:hAnsi="Arial"/>
                <w:sz w:val="22"/>
                <w:szCs w:val="22"/>
                <w:b w:val="1"/>
                <w:bCs w:val="1"/>
                <w:color w:val="auto"/>
              </w:rPr>
              <w:t>6.14. Amendments or Waivers of with respect to Certain Indebtedness</w:t>
            </w:r>
          </w:p>
        </w:tc>
        <w:tc>
          <w:tcPr>
            <w:tcW w:w="9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11"/>
        </w:trPr>
        <w:tc>
          <w:tcPr>
            <w:tcW w:w="10220" w:type="dxa"/>
            <w:vAlign w:val="bottom"/>
            <w:gridSpan w:val="2"/>
          </w:tcPr>
          <w:p>
            <w:pPr>
              <w:ind w:left="840"/>
              <w:spacing w:after="0"/>
              <w:rPr>
                <w:sz w:val="20"/>
                <w:szCs w:val="20"/>
                <w:color w:val="auto"/>
              </w:rPr>
            </w:pPr>
            <w:r>
              <w:rPr>
                <w:rFonts w:ascii="Arial" w:cs="Arial" w:eastAsia="Arial" w:hAnsi="Arial"/>
                <w:sz w:val="22"/>
                <w:szCs w:val="22"/>
                <w:b w:val="1"/>
                <w:bCs w:val="1"/>
                <w:color w:val="auto"/>
              </w:rPr>
              <w:t>6.15. Fiscal Year</w:t>
            </w:r>
          </w:p>
        </w:tc>
        <w:tc>
          <w:tcPr>
            <w:tcW w:w="9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581"/>
        </w:trPr>
        <w:tc>
          <w:tcPr>
            <w:tcW w:w="10220" w:type="dxa"/>
            <w:vAlign w:val="bottom"/>
            <w:gridSpan w:val="2"/>
          </w:tcPr>
          <w:p>
            <w:pPr>
              <w:spacing w:after="0"/>
              <w:rPr>
                <w:sz w:val="20"/>
                <w:szCs w:val="20"/>
                <w:color w:val="auto"/>
              </w:rPr>
            </w:pPr>
            <w:r>
              <w:rPr>
                <w:rFonts w:ascii="Arial" w:cs="Arial" w:eastAsia="Arial" w:hAnsi="Arial"/>
                <w:sz w:val="22"/>
                <w:szCs w:val="22"/>
                <w:color w:val="auto"/>
              </w:rPr>
              <w:t>SECTION 7. GUARANTY</w:t>
            </w:r>
          </w:p>
        </w:tc>
        <w:tc>
          <w:tcPr>
            <w:tcW w:w="9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7.1.</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Guaranty of the Obligations</w:t>
            </w:r>
          </w:p>
        </w:tc>
        <w:tc>
          <w:tcPr>
            <w:tcW w:w="9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7.2.</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Contribution by Guarantors</w:t>
            </w:r>
          </w:p>
        </w:tc>
        <w:tc>
          <w:tcPr>
            <w:tcW w:w="9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7.3.</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Payment by Guarantors</w:t>
            </w:r>
          </w:p>
        </w:tc>
        <w:tc>
          <w:tcPr>
            <w:tcW w:w="9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7.4.</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Liability of Guarantors Absolute</w:t>
            </w:r>
          </w:p>
        </w:tc>
        <w:tc>
          <w:tcPr>
            <w:tcW w:w="9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7.5.</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Waivers by Guarantors</w:t>
            </w:r>
          </w:p>
        </w:tc>
        <w:tc>
          <w:tcPr>
            <w:tcW w:w="98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7.6.</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Guarantors’ Rights of Subrogation, Contribution, Etc.</w:t>
            </w:r>
          </w:p>
        </w:tc>
        <w:tc>
          <w:tcPr>
            <w:tcW w:w="9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7.7.</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Subordination of Other Obligations</w:t>
            </w:r>
          </w:p>
        </w:tc>
        <w:tc>
          <w:tcPr>
            <w:tcW w:w="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7.8.</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Continuing Guaranty</w:t>
            </w:r>
          </w:p>
        </w:tc>
        <w:tc>
          <w:tcPr>
            <w:tcW w:w="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7.9.</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Authority of Guarantors or Borrower</w:t>
            </w:r>
          </w:p>
        </w:tc>
        <w:tc>
          <w:tcPr>
            <w:tcW w:w="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10"/>
        </w:trPr>
        <w:tc>
          <w:tcPr>
            <w:tcW w:w="10220" w:type="dxa"/>
            <w:vAlign w:val="bottom"/>
            <w:gridSpan w:val="2"/>
          </w:tcPr>
          <w:p>
            <w:pPr>
              <w:ind w:left="840"/>
              <w:spacing w:after="0"/>
              <w:rPr>
                <w:sz w:val="20"/>
                <w:szCs w:val="20"/>
                <w:color w:val="auto"/>
              </w:rPr>
            </w:pPr>
            <w:r>
              <w:rPr>
                <w:rFonts w:ascii="Arial" w:cs="Arial" w:eastAsia="Arial" w:hAnsi="Arial"/>
                <w:sz w:val="22"/>
                <w:szCs w:val="22"/>
                <w:b w:val="1"/>
                <w:bCs w:val="1"/>
                <w:color w:val="auto"/>
              </w:rPr>
              <w:t>7.10. Financial Condition of Borrower</w:t>
            </w:r>
          </w:p>
        </w:tc>
        <w:tc>
          <w:tcPr>
            <w:tcW w:w="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11"/>
        </w:trPr>
        <w:tc>
          <w:tcPr>
            <w:tcW w:w="10220" w:type="dxa"/>
            <w:vAlign w:val="bottom"/>
            <w:gridSpan w:val="2"/>
          </w:tcPr>
          <w:p>
            <w:pPr>
              <w:ind w:left="840"/>
              <w:spacing w:after="0"/>
              <w:rPr>
                <w:sz w:val="20"/>
                <w:szCs w:val="20"/>
                <w:color w:val="auto"/>
              </w:rPr>
            </w:pPr>
            <w:r>
              <w:rPr>
                <w:rFonts w:ascii="Arial" w:cs="Arial" w:eastAsia="Arial" w:hAnsi="Arial"/>
                <w:sz w:val="22"/>
                <w:szCs w:val="22"/>
                <w:b w:val="1"/>
                <w:bCs w:val="1"/>
                <w:color w:val="auto"/>
              </w:rPr>
              <w:t>7.11. Bankruptcy, Etc.</w:t>
            </w:r>
          </w:p>
        </w:tc>
        <w:tc>
          <w:tcPr>
            <w:tcW w:w="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10"/>
        </w:trPr>
        <w:tc>
          <w:tcPr>
            <w:tcW w:w="10220" w:type="dxa"/>
            <w:vAlign w:val="bottom"/>
            <w:gridSpan w:val="2"/>
          </w:tcPr>
          <w:p>
            <w:pPr>
              <w:ind w:left="840"/>
              <w:spacing w:after="0"/>
              <w:rPr>
                <w:sz w:val="20"/>
                <w:szCs w:val="20"/>
                <w:color w:val="auto"/>
              </w:rPr>
            </w:pPr>
            <w:r>
              <w:rPr>
                <w:rFonts w:ascii="Arial" w:cs="Arial" w:eastAsia="Arial" w:hAnsi="Arial"/>
                <w:sz w:val="22"/>
                <w:szCs w:val="22"/>
                <w:b w:val="1"/>
                <w:bCs w:val="1"/>
                <w:color w:val="auto"/>
              </w:rPr>
              <w:t>7.12. Discharge of Guaranty Upon Sale of Guarantor</w:t>
            </w:r>
          </w:p>
        </w:tc>
        <w:tc>
          <w:tcPr>
            <w:tcW w:w="9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580"/>
        </w:trPr>
        <w:tc>
          <w:tcPr>
            <w:tcW w:w="10220" w:type="dxa"/>
            <w:vAlign w:val="bottom"/>
            <w:gridSpan w:val="2"/>
          </w:tcPr>
          <w:p>
            <w:pPr>
              <w:spacing w:after="0"/>
              <w:rPr>
                <w:sz w:val="20"/>
                <w:szCs w:val="20"/>
                <w:color w:val="auto"/>
              </w:rPr>
            </w:pPr>
            <w:r>
              <w:rPr>
                <w:rFonts w:ascii="Arial" w:cs="Arial" w:eastAsia="Arial" w:hAnsi="Arial"/>
                <w:sz w:val="22"/>
                <w:szCs w:val="22"/>
                <w:color w:val="auto"/>
              </w:rPr>
              <w:t>SECTION 8. EVENTS OF DEFAULT</w:t>
            </w:r>
          </w:p>
        </w:tc>
        <w:tc>
          <w:tcPr>
            <w:tcW w:w="9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8.1.</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Events of Default</w:t>
            </w:r>
          </w:p>
        </w:tc>
        <w:tc>
          <w:tcPr>
            <w:tcW w:w="9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8.2.</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Borrower’s Right to Cure</w:t>
            </w:r>
          </w:p>
        </w:tc>
        <w:tc>
          <w:tcPr>
            <w:tcW w:w="9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580"/>
        </w:trPr>
        <w:tc>
          <w:tcPr>
            <w:tcW w:w="10220" w:type="dxa"/>
            <w:vAlign w:val="bottom"/>
            <w:gridSpan w:val="2"/>
          </w:tcPr>
          <w:p>
            <w:pPr>
              <w:spacing w:after="0"/>
              <w:rPr>
                <w:sz w:val="20"/>
                <w:szCs w:val="20"/>
                <w:color w:val="auto"/>
              </w:rPr>
            </w:pPr>
            <w:r>
              <w:rPr>
                <w:rFonts w:ascii="Arial" w:cs="Arial" w:eastAsia="Arial" w:hAnsi="Arial"/>
                <w:sz w:val="22"/>
                <w:szCs w:val="22"/>
                <w:color w:val="auto"/>
              </w:rPr>
              <w:t>SECTION 9. AGENTS</w:t>
            </w:r>
          </w:p>
        </w:tc>
        <w:tc>
          <w:tcPr>
            <w:tcW w:w="9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9.1.</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Appointment of Agents</w:t>
            </w:r>
          </w:p>
        </w:tc>
        <w:tc>
          <w:tcPr>
            <w:tcW w:w="9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9.2.</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Powers and Duties</w:t>
            </w:r>
          </w:p>
        </w:tc>
        <w:tc>
          <w:tcPr>
            <w:tcW w:w="98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9.3.</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General Immunity</w:t>
            </w:r>
          </w:p>
        </w:tc>
        <w:tc>
          <w:tcPr>
            <w:tcW w:w="9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9.4.</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Agents Entitled to Act as Lender</w:t>
            </w:r>
          </w:p>
        </w:tc>
        <w:tc>
          <w:tcPr>
            <w:tcW w:w="9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9.5.</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Lenders’ Representations, Warranties and Acknowledgment</w:t>
            </w:r>
          </w:p>
        </w:tc>
        <w:tc>
          <w:tcPr>
            <w:tcW w:w="98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10"/>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9.6.</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Right to Indemnity</w:t>
            </w:r>
          </w:p>
        </w:tc>
        <w:tc>
          <w:tcPr>
            <w:tcW w:w="98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11"/>
        </w:trPr>
        <w:tc>
          <w:tcPr>
            <w:tcW w:w="1200" w:type="dxa"/>
            <w:vAlign w:val="bottom"/>
          </w:tcPr>
          <w:p>
            <w:pPr>
              <w:ind w:left="840"/>
              <w:spacing w:after="0"/>
              <w:rPr>
                <w:sz w:val="20"/>
                <w:szCs w:val="20"/>
                <w:color w:val="auto"/>
              </w:rPr>
            </w:pPr>
            <w:r>
              <w:rPr>
                <w:rFonts w:ascii="Arial" w:cs="Arial" w:eastAsia="Arial" w:hAnsi="Arial"/>
                <w:sz w:val="22"/>
                <w:szCs w:val="22"/>
                <w:b w:val="1"/>
                <w:bCs w:val="1"/>
                <w:color w:val="auto"/>
                <w:w w:val="92"/>
              </w:rPr>
              <w:t>9.7.</w:t>
            </w:r>
          </w:p>
        </w:tc>
        <w:tc>
          <w:tcPr>
            <w:tcW w:w="9020" w:type="dxa"/>
            <w:vAlign w:val="bottom"/>
          </w:tcPr>
          <w:p>
            <w:pPr>
              <w:ind w:left="20"/>
              <w:spacing w:after="0"/>
              <w:rPr>
                <w:sz w:val="20"/>
                <w:szCs w:val="20"/>
                <w:color w:val="auto"/>
              </w:rPr>
            </w:pPr>
            <w:r>
              <w:rPr>
                <w:rFonts w:ascii="Arial" w:cs="Arial" w:eastAsia="Arial" w:hAnsi="Arial"/>
                <w:sz w:val="22"/>
                <w:szCs w:val="22"/>
                <w:b w:val="1"/>
                <w:bCs w:val="1"/>
                <w:color w:val="auto"/>
              </w:rPr>
              <w:t>Successor Administrative Agent</w:t>
            </w:r>
          </w:p>
        </w:tc>
        <w:tc>
          <w:tcPr>
            <w:tcW w:w="980" w:type="dxa"/>
            <w:vAlign w:val="bottom"/>
          </w:tcPr>
          <w:p>
            <w:pPr>
              <w:jc w:val="right"/>
              <w:spacing w:after="0"/>
              <w:rPr>
                <w:sz w:val="20"/>
                <w:szCs w:val="20"/>
                <w:color w:val="auto"/>
              </w:rPr>
            </w:pPr>
            <w:r>
              <w:rPr>
                <w:rFonts w:ascii="Arial" w:cs="Arial" w:eastAsia="Arial" w:hAnsi="Arial"/>
                <w:sz w:val="22"/>
                <w:szCs w:val="22"/>
                <w:color w:val="auto"/>
              </w:rPr>
              <w:t>97</w:t>
            </w:r>
          </w:p>
        </w:tc>
      </w:tr>
    </w:tbl>
    <w:p>
      <w:pPr>
        <w:spacing w:after="0" w:line="200" w:lineRule="exact"/>
        <w:rPr>
          <w:sz w:val="20"/>
          <w:szCs w:val="20"/>
          <w:color w:val="auto"/>
        </w:rPr>
      </w:pPr>
    </w:p>
    <w:p>
      <w:pPr>
        <w:sectPr>
          <w:pgSz w:w="11900" w:h="16838" w:orient="portrait"/>
          <w:cols w:equalWidth="0" w:num="1">
            <w:col w:w="11200"/>
          </w:cols>
          <w:pgMar w:left="340" w:top="1440" w:right="359" w:bottom="10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1200"/>
          </w:cols>
          <w:pgMar w:left="340" w:top="1440" w:right="359" w:bottom="1034" w:gutter="0" w:footer="0" w:header="0"/>
          <w:type w:val="continuous"/>
        </w:sectPr>
      </w:pPr>
    </w:p>
    <w:bookmarkStart w:id="455" w:name="page456"/>
    <w:bookmarkEnd w:id="455"/>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580" w:type="dxa"/>
            <w:vAlign w:val="bottom"/>
            <w:gridSpan w:val="3"/>
          </w:tcPr>
          <w:p>
            <w:pPr>
              <w:ind w:left="840"/>
              <w:spacing w:after="0"/>
              <w:rPr>
                <w:sz w:val="20"/>
                <w:szCs w:val="20"/>
                <w:color w:val="auto"/>
              </w:rPr>
            </w:pPr>
            <w:r>
              <w:rPr>
                <w:rFonts w:ascii="Arial" w:cs="Arial" w:eastAsia="Arial" w:hAnsi="Arial"/>
                <w:sz w:val="22"/>
                <w:szCs w:val="22"/>
                <w:b w:val="1"/>
                <w:bCs w:val="1"/>
                <w:color w:val="auto"/>
              </w:rPr>
              <w:t>9.8. Guaranty</w:t>
            </w:r>
          </w:p>
        </w:tc>
        <w:tc>
          <w:tcPr>
            <w:tcW w:w="16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11"/>
        </w:trPr>
        <w:tc>
          <w:tcPr>
            <w:tcW w:w="9580" w:type="dxa"/>
            <w:vAlign w:val="bottom"/>
            <w:gridSpan w:val="3"/>
          </w:tcPr>
          <w:p>
            <w:pPr>
              <w:ind w:left="840"/>
              <w:spacing w:after="0"/>
              <w:rPr>
                <w:sz w:val="20"/>
                <w:szCs w:val="20"/>
                <w:color w:val="auto"/>
              </w:rPr>
            </w:pPr>
            <w:r>
              <w:rPr>
                <w:rFonts w:ascii="Arial" w:cs="Arial" w:eastAsia="Arial" w:hAnsi="Arial"/>
                <w:sz w:val="22"/>
                <w:szCs w:val="22"/>
                <w:b w:val="1"/>
                <w:bCs w:val="1"/>
                <w:color w:val="auto"/>
              </w:rPr>
              <w:t>9.9. Withholding Taxes</w:t>
            </w:r>
          </w:p>
        </w:tc>
        <w:tc>
          <w:tcPr>
            <w:tcW w:w="16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310"/>
        </w:trPr>
        <w:tc>
          <w:tcPr>
            <w:tcW w:w="1300" w:type="dxa"/>
            <w:vAlign w:val="bottom"/>
          </w:tcPr>
          <w:p>
            <w:pPr>
              <w:ind w:left="840"/>
              <w:spacing w:after="0"/>
              <w:rPr>
                <w:sz w:val="20"/>
                <w:szCs w:val="20"/>
                <w:color w:val="auto"/>
              </w:rPr>
            </w:pPr>
            <w:r>
              <w:rPr>
                <w:rFonts w:ascii="Arial" w:cs="Arial" w:eastAsia="Arial" w:hAnsi="Arial"/>
                <w:sz w:val="22"/>
                <w:szCs w:val="22"/>
                <w:b w:val="1"/>
                <w:bCs w:val="1"/>
                <w:color w:val="auto"/>
                <w:w w:val="89"/>
              </w:rPr>
              <w:t>9.10.</w:t>
            </w:r>
          </w:p>
        </w:tc>
        <w:tc>
          <w:tcPr>
            <w:tcW w:w="8280" w:type="dxa"/>
            <w:vAlign w:val="bottom"/>
            <w:gridSpan w:val="2"/>
          </w:tcPr>
          <w:p>
            <w:pPr>
              <w:ind w:left="20"/>
              <w:spacing w:after="0"/>
              <w:rPr>
                <w:sz w:val="20"/>
                <w:szCs w:val="20"/>
                <w:color w:val="auto"/>
              </w:rPr>
            </w:pPr>
            <w:r>
              <w:rPr>
                <w:rFonts w:ascii="Arial" w:cs="Arial" w:eastAsia="Arial" w:hAnsi="Arial"/>
                <w:sz w:val="22"/>
                <w:szCs w:val="22"/>
                <w:b w:val="1"/>
                <w:bCs w:val="1"/>
                <w:color w:val="auto"/>
              </w:rPr>
              <w:t>Administrative Agent May File Bankruptcy Disclosure and Proofs of Claim</w:t>
            </w:r>
          </w:p>
        </w:tc>
        <w:tc>
          <w:tcPr>
            <w:tcW w:w="16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581"/>
        </w:trPr>
        <w:tc>
          <w:tcPr>
            <w:tcW w:w="9580" w:type="dxa"/>
            <w:vAlign w:val="bottom"/>
            <w:gridSpan w:val="3"/>
          </w:tcPr>
          <w:p>
            <w:pPr>
              <w:spacing w:after="0"/>
              <w:rPr>
                <w:sz w:val="20"/>
                <w:szCs w:val="20"/>
                <w:color w:val="auto"/>
              </w:rPr>
            </w:pPr>
            <w:r>
              <w:rPr>
                <w:rFonts w:ascii="Arial" w:cs="Arial" w:eastAsia="Arial" w:hAnsi="Arial"/>
                <w:sz w:val="22"/>
                <w:szCs w:val="22"/>
                <w:color w:val="auto"/>
              </w:rPr>
              <w:t>SECTION 10. MISCELLANEOUS</w:t>
            </w:r>
          </w:p>
        </w:tc>
        <w:tc>
          <w:tcPr>
            <w:tcW w:w="16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310"/>
        </w:trPr>
        <w:tc>
          <w:tcPr>
            <w:tcW w:w="1300" w:type="dxa"/>
            <w:vAlign w:val="bottom"/>
          </w:tcPr>
          <w:p>
            <w:pPr>
              <w:ind w:left="840"/>
              <w:spacing w:after="0"/>
              <w:rPr>
                <w:sz w:val="20"/>
                <w:szCs w:val="20"/>
                <w:color w:val="auto"/>
              </w:rPr>
            </w:pPr>
            <w:r>
              <w:rPr>
                <w:rFonts w:ascii="Arial" w:cs="Arial" w:eastAsia="Arial" w:hAnsi="Arial"/>
                <w:sz w:val="22"/>
                <w:szCs w:val="22"/>
                <w:b w:val="1"/>
                <w:bCs w:val="1"/>
                <w:color w:val="auto"/>
                <w:w w:val="89"/>
              </w:rPr>
              <w:t>10.1.</w:t>
            </w:r>
          </w:p>
        </w:tc>
        <w:tc>
          <w:tcPr>
            <w:tcW w:w="8280" w:type="dxa"/>
            <w:vAlign w:val="bottom"/>
            <w:gridSpan w:val="2"/>
          </w:tcPr>
          <w:p>
            <w:pPr>
              <w:ind w:left="20"/>
              <w:spacing w:after="0"/>
              <w:rPr>
                <w:sz w:val="20"/>
                <w:szCs w:val="20"/>
                <w:color w:val="auto"/>
              </w:rPr>
            </w:pPr>
            <w:r>
              <w:rPr>
                <w:rFonts w:ascii="Arial" w:cs="Arial" w:eastAsia="Arial" w:hAnsi="Arial"/>
                <w:sz w:val="22"/>
                <w:szCs w:val="22"/>
                <w:b w:val="1"/>
                <w:bCs w:val="1"/>
                <w:color w:val="auto"/>
              </w:rPr>
              <w:t>Notices</w:t>
            </w:r>
          </w:p>
        </w:tc>
        <w:tc>
          <w:tcPr>
            <w:tcW w:w="16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311"/>
        </w:trPr>
        <w:tc>
          <w:tcPr>
            <w:tcW w:w="1300" w:type="dxa"/>
            <w:vAlign w:val="bottom"/>
          </w:tcPr>
          <w:p>
            <w:pPr>
              <w:ind w:left="840"/>
              <w:spacing w:after="0"/>
              <w:rPr>
                <w:sz w:val="20"/>
                <w:szCs w:val="20"/>
                <w:color w:val="auto"/>
              </w:rPr>
            </w:pPr>
            <w:r>
              <w:rPr>
                <w:rFonts w:ascii="Arial" w:cs="Arial" w:eastAsia="Arial" w:hAnsi="Arial"/>
                <w:sz w:val="22"/>
                <w:szCs w:val="22"/>
                <w:b w:val="1"/>
                <w:bCs w:val="1"/>
                <w:color w:val="auto"/>
                <w:w w:val="89"/>
              </w:rPr>
              <w:t>10.2.</w:t>
            </w:r>
          </w:p>
        </w:tc>
        <w:tc>
          <w:tcPr>
            <w:tcW w:w="8280" w:type="dxa"/>
            <w:vAlign w:val="bottom"/>
            <w:gridSpan w:val="2"/>
          </w:tcPr>
          <w:p>
            <w:pPr>
              <w:ind w:left="20"/>
              <w:spacing w:after="0"/>
              <w:rPr>
                <w:sz w:val="20"/>
                <w:szCs w:val="20"/>
                <w:color w:val="auto"/>
              </w:rPr>
            </w:pPr>
            <w:r>
              <w:rPr>
                <w:rFonts w:ascii="Arial" w:cs="Arial" w:eastAsia="Arial" w:hAnsi="Arial"/>
                <w:sz w:val="22"/>
                <w:szCs w:val="22"/>
                <w:b w:val="1"/>
                <w:bCs w:val="1"/>
                <w:color w:val="auto"/>
              </w:rPr>
              <w:t>Expenses</w:t>
            </w:r>
          </w:p>
        </w:tc>
        <w:tc>
          <w:tcPr>
            <w:tcW w:w="162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311"/>
        </w:trPr>
        <w:tc>
          <w:tcPr>
            <w:tcW w:w="1300" w:type="dxa"/>
            <w:vAlign w:val="bottom"/>
          </w:tcPr>
          <w:p>
            <w:pPr>
              <w:ind w:left="840"/>
              <w:spacing w:after="0"/>
              <w:rPr>
                <w:sz w:val="20"/>
                <w:szCs w:val="20"/>
                <w:color w:val="auto"/>
              </w:rPr>
            </w:pPr>
            <w:r>
              <w:rPr>
                <w:rFonts w:ascii="Arial" w:cs="Arial" w:eastAsia="Arial" w:hAnsi="Arial"/>
                <w:sz w:val="22"/>
                <w:szCs w:val="22"/>
                <w:b w:val="1"/>
                <w:bCs w:val="1"/>
                <w:color w:val="auto"/>
                <w:w w:val="89"/>
              </w:rPr>
              <w:t>10.3.</w:t>
            </w:r>
          </w:p>
        </w:tc>
        <w:tc>
          <w:tcPr>
            <w:tcW w:w="8280" w:type="dxa"/>
            <w:vAlign w:val="bottom"/>
            <w:gridSpan w:val="2"/>
          </w:tcPr>
          <w:p>
            <w:pPr>
              <w:ind w:left="20"/>
              <w:spacing w:after="0"/>
              <w:rPr>
                <w:sz w:val="20"/>
                <w:szCs w:val="20"/>
                <w:color w:val="auto"/>
              </w:rPr>
            </w:pPr>
            <w:r>
              <w:rPr>
                <w:rFonts w:ascii="Arial" w:cs="Arial" w:eastAsia="Arial" w:hAnsi="Arial"/>
                <w:sz w:val="22"/>
                <w:szCs w:val="22"/>
                <w:b w:val="1"/>
                <w:bCs w:val="1"/>
                <w:color w:val="auto"/>
              </w:rPr>
              <w:t>Indemnity</w:t>
            </w:r>
          </w:p>
        </w:tc>
        <w:tc>
          <w:tcPr>
            <w:tcW w:w="162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310"/>
        </w:trPr>
        <w:tc>
          <w:tcPr>
            <w:tcW w:w="1300" w:type="dxa"/>
            <w:vAlign w:val="bottom"/>
          </w:tcPr>
          <w:p>
            <w:pPr>
              <w:ind w:left="840"/>
              <w:spacing w:after="0"/>
              <w:rPr>
                <w:sz w:val="20"/>
                <w:szCs w:val="20"/>
                <w:color w:val="auto"/>
              </w:rPr>
            </w:pPr>
            <w:r>
              <w:rPr>
                <w:rFonts w:ascii="Arial" w:cs="Arial" w:eastAsia="Arial" w:hAnsi="Arial"/>
                <w:sz w:val="22"/>
                <w:szCs w:val="22"/>
                <w:b w:val="1"/>
                <w:bCs w:val="1"/>
                <w:color w:val="auto"/>
                <w:w w:val="89"/>
              </w:rPr>
              <w:t>10.4.</w:t>
            </w:r>
          </w:p>
        </w:tc>
        <w:tc>
          <w:tcPr>
            <w:tcW w:w="8280" w:type="dxa"/>
            <w:vAlign w:val="bottom"/>
            <w:gridSpan w:val="2"/>
          </w:tcPr>
          <w:p>
            <w:pPr>
              <w:ind w:left="20"/>
              <w:spacing w:after="0" w:line="253" w:lineRule="exact"/>
              <w:rPr>
                <w:sz w:val="20"/>
                <w:szCs w:val="20"/>
                <w:color w:val="auto"/>
              </w:rPr>
            </w:pPr>
            <w:r>
              <w:rPr>
                <w:rFonts w:ascii="Arial" w:cs="Arial" w:eastAsia="Arial" w:hAnsi="Arial"/>
                <w:sz w:val="22"/>
                <w:szCs w:val="22"/>
                <w:b w:val="1"/>
                <w:bCs w:val="1"/>
                <w:color w:val="auto"/>
              </w:rPr>
              <w:t>Set</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Off</w:t>
            </w:r>
          </w:p>
        </w:tc>
        <w:tc>
          <w:tcPr>
            <w:tcW w:w="16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311"/>
        </w:trPr>
        <w:tc>
          <w:tcPr>
            <w:tcW w:w="9580" w:type="dxa"/>
            <w:vAlign w:val="bottom"/>
            <w:gridSpan w:val="3"/>
          </w:tcPr>
          <w:p>
            <w:pPr>
              <w:ind w:left="840"/>
              <w:spacing w:after="0"/>
              <w:rPr>
                <w:sz w:val="20"/>
                <w:szCs w:val="20"/>
                <w:color w:val="auto"/>
              </w:rPr>
            </w:pPr>
            <w:r>
              <w:rPr>
                <w:rFonts w:ascii="Arial" w:cs="Arial" w:eastAsia="Arial" w:hAnsi="Arial"/>
                <w:sz w:val="22"/>
                <w:szCs w:val="22"/>
                <w:b w:val="1"/>
                <w:bCs w:val="1"/>
                <w:color w:val="auto"/>
              </w:rPr>
              <w:t>10.5. Amendments and Waivers</w:t>
            </w:r>
          </w:p>
        </w:tc>
        <w:tc>
          <w:tcPr>
            <w:tcW w:w="16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310"/>
        </w:trPr>
        <w:tc>
          <w:tcPr>
            <w:tcW w:w="1300" w:type="dxa"/>
            <w:vAlign w:val="bottom"/>
          </w:tcPr>
          <w:p>
            <w:pPr>
              <w:ind w:left="840"/>
              <w:spacing w:after="0"/>
              <w:rPr>
                <w:sz w:val="20"/>
                <w:szCs w:val="20"/>
                <w:color w:val="auto"/>
              </w:rPr>
            </w:pPr>
            <w:r>
              <w:rPr>
                <w:rFonts w:ascii="Arial" w:cs="Arial" w:eastAsia="Arial" w:hAnsi="Arial"/>
                <w:sz w:val="22"/>
                <w:szCs w:val="22"/>
                <w:b w:val="1"/>
                <w:bCs w:val="1"/>
                <w:color w:val="auto"/>
                <w:w w:val="89"/>
              </w:rPr>
              <w:t>10.6.</w:t>
            </w:r>
          </w:p>
        </w:tc>
        <w:tc>
          <w:tcPr>
            <w:tcW w:w="8280" w:type="dxa"/>
            <w:vAlign w:val="bottom"/>
            <w:gridSpan w:val="2"/>
          </w:tcPr>
          <w:p>
            <w:pPr>
              <w:ind w:left="20"/>
              <w:spacing w:after="0"/>
              <w:rPr>
                <w:sz w:val="20"/>
                <w:szCs w:val="20"/>
                <w:color w:val="auto"/>
              </w:rPr>
            </w:pPr>
            <w:r>
              <w:rPr>
                <w:rFonts w:ascii="Arial" w:cs="Arial" w:eastAsia="Arial" w:hAnsi="Arial"/>
                <w:sz w:val="22"/>
                <w:szCs w:val="22"/>
                <w:b w:val="1"/>
                <w:bCs w:val="1"/>
                <w:color w:val="auto"/>
              </w:rPr>
              <w:t>Successors and Assigns; Participations</w:t>
            </w:r>
          </w:p>
        </w:tc>
        <w:tc>
          <w:tcPr>
            <w:tcW w:w="1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311"/>
        </w:trPr>
        <w:tc>
          <w:tcPr>
            <w:tcW w:w="1300" w:type="dxa"/>
            <w:vAlign w:val="bottom"/>
          </w:tcPr>
          <w:p>
            <w:pPr>
              <w:ind w:left="840"/>
              <w:spacing w:after="0"/>
              <w:rPr>
                <w:sz w:val="20"/>
                <w:szCs w:val="20"/>
                <w:color w:val="auto"/>
              </w:rPr>
            </w:pPr>
            <w:r>
              <w:rPr>
                <w:rFonts w:ascii="Arial" w:cs="Arial" w:eastAsia="Arial" w:hAnsi="Arial"/>
                <w:sz w:val="22"/>
                <w:szCs w:val="22"/>
                <w:b w:val="1"/>
                <w:bCs w:val="1"/>
                <w:color w:val="auto"/>
                <w:w w:val="89"/>
              </w:rPr>
              <w:t>10.7.</w:t>
            </w:r>
          </w:p>
        </w:tc>
        <w:tc>
          <w:tcPr>
            <w:tcW w:w="8280" w:type="dxa"/>
            <w:vAlign w:val="bottom"/>
            <w:gridSpan w:val="2"/>
          </w:tcPr>
          <w:p>
            <w:pPr>
              <w:ind w:left="20"/>
              <w:spacing w:after="0"/>
              <w:rPr>
                <w:sz w:val="20"/>
                <w:szCs w:val="20"/>
                <w:color w:val="auto"/>
              </w:rPr>
            </w:pPr>
            <w:r>
              <w:rPr>
                <w:rFonts w:ascii="Arial" w:cs="Arial" w:eastAsia="Arial" w:hAnsi="Arial"/>
                <w:sz w:val="22"/>
                <w:szCs w:val="22"/>
                <w:b w:val="1"/>
                <w:bCs w:val="1"/>
                <w:color w:val="auto"/>
              </w:rPr>
              <w:t>Independence of Covenants</w:t>
            </w:r>
          </w:p>
        </w:tc>
        <w:tc>
          <w:tcPr>
            <w:tcW w:w="16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310"/>
        </w:trPr>
        <w:tc>
          <w:tcPr>
            <w:tcW w:w="1300" w:type="dxa"/>
            <w:vAlign w:val="bottom"/>
          </w:tcPr>
          <w:p>
            <w:pPr>
              <w:ind w:left="840"/>
              <w:spacing w:after="0"/>
              <w:rPr>
                <w:sz w:val="20"/>
                <w:szCs w:val="20"/>
                <w:color w:val="auto"/>
              </w:rPr>
            </w:pPr>
            <w:r>
              <w:rPr>
                <w:rFonts w:ascii="Arial" w:cs="Arial" w:eastAsia="Arial" w:hAnsi="Arial"/>
                <w:sz w:val="22"/>
                <w:szCs w:val="22"/>
                <w:b w:val="1"/>
                <w:bCs w:val="1"/>
                <w:color w:val="auto"/>
                <w:w w:val="89"/>
              </w:rPr>
              <w:t>10.8.</w:t>
            </w:r>
          </w:p>
        </w:tc>
        <w:tc>
          <w:tcPr>
            <w:tcW w:w="8280" w:type="dxa"/>
            <w:vAlign w:val="bottom"/>
            <w:gridSpan w:val="2"/>
          </w:tcPr>
          <w:p>
            <w:pPr>
              <w:ind w:left="20"/>
              <w:spacing w:after="0"/>
              <w:rPr>
                <w:sz w:val="20"/>
                <w:szCs w:val="20"/>
                <w:color w:val="auto"/>
              </w:rPr>
            </w:pPr>
            <w:r>
              <w:rPr>
                <w:rFonts w:ascii="Arial" w:cs="Arial" w:eastAsia="Arial" w:hAnsi="Arial"/>
                <w:sz w:val="22"/>
                <w:szCs w:val="22"/>
                <w:b w:val="1"/>
                <w:bCs w:val="1"/>
                <w:color w:val="auto"/>
              </w:rPr>
              <w:t>Survival of Representations, Warranties and Agreements</w:t>
            </w:r>
          </w:p>
        </w:tc>
        <w:tc>
          <w:tcPr>
            <w:tcW w:w="16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311"/>
        </w:trPr>
        <w:tc>
          <w:tcPr>
            <w:tcW w:w="1300" w:type="dxa"/>
            <w:vAlign w:val="bottom"/>
          </w:tcPr>
          <w:p>
            <w:pPr>
              <w:ind w:left="840"/>
              <w:spacing w:after="0"/>
              <w:rPr>
                <w:sz w:val="20"/>
                <w:szCs w:val="20"/>
                <w:color w:val="auto"/>
              </w:rPr>
            </w:pPr>
            <w:r>
              <w:rPr>
                <w:rFonts w:ascii="Arial" w:cs="Arial" w:eastAsia="Arial" w:hAnsi="Arial"/>
                <w:sz w:val="22"/>
                <w:szCs w:val="22"/>
                <w:b w:val="1"/>
                <w:bCs w:val="1"/>
                <w:color w:val="auto"/>
                <w:w w:val="89"/>
              </w:rPr>
              <w:t>10.9.</w:t>
            </w:r>
          </w:p>
        </w:tc>
        <w:tc>
          <w:tcPr>
            <w:tcW w:w="8280" w:type="dxa"/>
            <w:vAlign w:val="bottom"/>
            <w:gridSpan w:val="2"/>
          </w:tcPr>
          <w:p>
            <w:pPr>
              <w:ind w:left="20"/>
              <w:spacing w:after="0"/>
              <w:rPr>
                <w:sz w:val="20"/>
                <w:szCs w:val="20"/>
                <w:color w:val="auto"/>
              </w:rPr>
            </w:pPr>
            <w:r>
              <w:rPr>
                <w:rFonts w:ascii="Arial" w:cs="Arial" w:eastAsia="Arial" w:hAnsi="Arial"/>
                <w:sz w:val="22"/>
                <w:szCs w:val="22"/>
                <w:b w:val="1"/>
                <w:bCs w:val="1"/>
                <w:color w:val="auto"/>
              </w:rPr>
              <w:t>No Waiver; Remedies Cumulative</w:t>
            </w:r>
          </w:p>
        </w:tc>
        <w:tc>
          <w:tcPr>
            <w:tcW w:w="16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311"/>
        </w:trPr>
        <w:tc>
          <w:tcPr>
            <w:tcW w:w="1420" w:type="dxa"/>
            <w:vAlign w:val="bottom"/>
            <w:gridSpan w:val="2"/>
          </w:tcPr>
          <w:p>
            <w:pPr>
              <w:ind w:left="840"/>
              <w:spacing w:after="0"/>
              <w:rPr>
                <w:sz w:val="20"/>
                <w:szCs w:val="20"/>
                <w:color w:val="auto"/>
              </w:rPr>
            </w:pPr>
            <w:r>
              <w:rPr>
                <w:rFonts w:ascii="Arial" w:cs="Arial" w:eastAsia="Arial" w:hAnsi="Arial"/>
                <w:sz w:val="22"/>
                <w:szCs w:val="22"/>
                <w:b w:val="1"/>
                <w:bCs w:val="1"/>
                <w:color w:val="auto"/>
                <w:w w:val="91"/>
              </w:rPr>
              <w:t>10.10.</w:t>
            </w:r>
          </w:p>
        </w:tc>
        <w:tc>
          <w:tcPr>
            <w:tcW w:w="8160" w:type="dxa"/>
            <w:vAlign w:val="bottom"/>
          </w:tcPr>
          <w:p>
            <w:pPr>
              <w:ind w:left="20"/>
              <w:spacing w:after="0"/>
              <w:rPr>
                <w:sz w:val="20"/>
                <w:szCs w:val="20"/>
                <w:color w:val="auto"/>
              </w:rPr>
            </w:pPr>
            <w:r>
              <w:rPr>
                <w:rFonts w:ascii="Arial" w:cs="Arial" w:eastAsia="Arial" w:hAnsi="Arial"/>
                <w:sz w:val="22"/>
                <w:szCs w:val="22"/>
                <w:b w:val="1"/>
                <w:bCs w:val="1"/>
                <w:color w:val="auto"/>
              </w:rPr>
              <w:t>Marshalling; Payments Set Aside</w:t>
            </w:r>
          </w:p>
        </w:tc>
        <w:tc>
          <w:tcPr>
            <w:tcW w:w="16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310"/>
        </w:trPr>
        <w:tc>
          <w:tcPr>
            <w:tcW w:w="9580" w:type="dxa"/>
            <w:vAlign w:val="bottom"/>
            <w:gridSpan w:val="3"/>
          </w:tcPr>
          <w:p>
            <w:pPr>
              <w:ind w:left="840"/>
              <w:spacing w:after="0"/>
              <w:rPr>
                <w:sz w:val="20"/>
                <w:szCs w:val="20"/>
                <w:color w:val="auto"/>
              </w:rPr>
            </w:pPr>
            <w:r>
              <w:rPr>
                <w:rFonts w:ascii="Arial" w:cs="Arial" w:eastAsia="Arial" w:hAnsi="Arial"/>
                <w:sz w:val="22"/>
                <w:szCs w:val="22"/>
                <w:b w:val="1"/>
                <w:bCs w:val="1"/>
                <w:color w:val="auto"/>
              </w:rPr>
              <w:t>10.11. Severability</w:t>
            </w:r>
          </w:p>
        </w:tc>
        <w:tc>
          <w:tcPr>
            <w:tcW w:w="16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310"/>
        </w:trPr>
        <w:tc>
          <w:tcPr>
            <w:tcW w:w="1420" w:type="dxa"/>
            <w:vAlign w:val="bottom"/>
            <w:gridSpan w:val="2"/>
          </w:tcPr>
          <w:p>
            <w:pPr>
              <w:ind w:left="840"/>
              <w:spacing w:after="0"/>
              <w:rPr>
                <w:sz w:val="20"/>
                <w:szCs w:val="20"/>
                <w:color w:val="auto"/>
              </w:rPr>
            </w:pPr>
            <w:r>
              <w:rPr>
                <w:rFonts w:ascii="Arial" w:cs="Arial" w:eastAsia="Arial" w:hAnsi="Arial"/>
                <w:sz w:val="22"/>
                <w:szCs w:val="22"/>
                <w:b w:val="1"/>
                <w:bCs w:val="1"/>
                <w:color w:val="auto"/>
                <w:w w:val="91"/>
              </w:rPr>
              <w:t>10.12.</w:t>
            </w:r>
          </w:p>
        </w:tc>
        <w:tc>
          <w:tcPr>
            <w:tcW w:w="8160" w:type="dxa"/>
            <w:vAlign w:val="bottom"/>
          </w:tcPr>
          <w:p>
            <w:pPr>
              <w:ind w:left="20"/>
              <w:spacing w:after="0"/>
              <w:rPr>
                <w:sz w:val="20"/>
                <w:szCs w:val="20"/>
                <w:color w:val="auto"/>
              </w:rPr>
            </w:pPr>
            <w:r>
              <w:rPr>
                <w:rFonts w:ascii="Arial" w:cs="Arial" w:eastAsia="Arial" w:hAnsi="Arial"/>
                <w:sz w:val="22"/>
                <w:szCs w:val="22"/>
                <w:b w:val="1"/>
                <w:bCs w:val="1"/>
                <w:color w:val="auto"/>
              </w:rPr>
              <w:t>Obligations Several; Independent Nature of Lenders’ Rights</w:t>
            </w:r>
          </w:p>
        </w:tc>
        <w:tc>
          <w:tcPr>
            <w:tcW w:w="16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11"/>
        </w:trPr>
        <w:tc>
          <w:tcPr>
            <w:tcW w:w="1420" w:type="dxa"/>
            <w:vAlign w:val="bottom"/>
            <w:gridSpan w:val="2"/>
          </w:tcPr>
          <w:p>
            <w:pPr>
              <w:ind w:left="840"/>
              <w:spacing w:after="0"/>
              <w:rPr>
                <w:sz w:val="20"/>
                <w:szCs w:val="20"/>
                <w:color w:val="auto"/>
              </w:rPr>
            </w:pPr>
            <w:r>
              <w:rPr>
                <w:rFonts w:ascii="Arial" w:cs="Arial" w:eastAsia="Arial" w:hAnsi="Arial"/>
                <w:sz w:val="22"/>
                <w:szCs w:val="22"/>
                <w:b w:val="1"/>
                <w:bCs w:val="1"/>
                <w:color w:val="auto"/>
                <w:w w:val="91"/>
              </w:rPr>
              <w:t>10.13.</w:t>
            </w:r>
          </w:p>
        </w:tc>
        <w:tc>
          <w:tcPr>
            <w:tcW w:w="8160" w:type="dxa"/>
            <w:vAlign w:val="bottom"/>
          </w:tcPr>
          <w:p>
            <w:pPr>
              <w:ind w:left="20"/>
              <w:spacing w:after="0"/>
              <w:rPr>
                <w:sz w:val="20"/>
                <w:szCs w:val="20"/>
                <w:color w:val="auto"/>
              </w:rPr>
            </w:pPr>
            <w:r>
              <w:rPr>
                <w:rFonts w:ascii="Arial" w:cs="Arial" w:eastAsia="Arial" w:hAnsi="Arial"/>
                <w:sz w:val="22"/>
                <w:szCs w:val="22"/>
                <w:b w:val="1"/>
                <w:bCs w:val="1"/>
                <w:color w:val="auto"/>
              </w:rPr>
              <w:t>Headings</w:t>
            </w:r>
          </w:p>
        </w:tc>
        <w:tc>
          <w:tcPr>
            <w:tcW w:w="16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10"/>
        </w:trPr>
        <w:tc>
          <w:tcPr>
            <w:tcW w:w="9580" w:type="dxa"/>
            <w:vAlign w:val="bottom"/>
            <w:gridSpan w:val="3"/>
          </w:tcPr>
          <w:p>
            <w:pPr>
              <w:ind w:left="840"/>
              <w:spacing w:after="0"/>
              <w:rPr>
                <w:sz w:val="20"/>
                <w:szCs w:val="20"/>
                <w:color w:val="auto"/>
              </w:rPr>
            </w:pPr>
            <w:r>
              <w:rPr>
                <w:rFonts w:ascii="Arial" w:cs="Arial" w:eastAsia="Arial" w:hAnsi="Arial"/>
                <w:sz w:val="22"/>
                <w:szCs w:val="22"/>
                <w:b w:val="1"/>
                <w:bCs w:val="1"/>
                <w:color w:val="auto"/>
              </w:rPr>
              <w:t>10.14. APPLICABLE LAW</w:t>
            </w:r>
          </w:p>
        </w:tc>
        <w:tc>
          <w:tcPr>
            <w:tcW w:w="16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10"/>
        </w:trPr>
        <w:tc>
          <w:tcPr>
            <w:tcW w:w="9580" w:type="dxa"/>
            <w:vAlign w:val="bottom"/>
            <w:gridSpan w:val="3"/>
          </w:tcPr>
          <w:p>
            <w:pPr>
              <w:ind w:left="840"/>
              <w:spacing w:after="0"/>
              <w:rPr>
                <w:sz w:val="20"/>
                <w:szCs w:val="20"/>
                <w:color w:val="auto"/>
              </w:rPr>
            </w:pPr>
            <w:r>
              <w:rPr>
                <w:rFonts w:ascii="Arial" w:cs="Arial" w:eastAsia="Arial" w:hAnsi="Arial"/>
                <w:sz w:val="22"/>
                <w:szCs w:val="22"/>
                <w:b w:val="1"/>
                <w:bCs w:val="1"/>
                <w:color w:val="auto"/>
              </w:rPr>
              <w:t>10.15. CONSENT TO JURISDICTION</w:t>
            </w:r>
          </w:p>
        </w:tc>
        <w:tc>
          <w:tcPr>
            <w:tcW w:w="16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10"/>
        </w:trPr>
        <w:tc>
          <w:tcPr>
            <w:tcW w:w="9580" w:type="dxa"/>
            <w:vAlign w:val="bottom"/>
            <w:gridSpan w:val="3"/>
          </w:tcPr>
          <w:p>
            <w:pPr>
              <w:ind w:left="840"/>
              <w:spacing w:after="0"/>
              <w:rPr>
                <w:sz w:val="20"/>
                <w:szCs w:val="20"/>
                <w:color w:val="auto"/>
              </w:rPr>
            </w:pPr>
            <w:r>
              <w:rPr>
                <w:rFonts w:ascii="Arial" w:cs="Arial" w:eastAsia="Arial" w:hAnsi="Arial"/>
                <w:sz w:val="22"/>
                <w:szCs w:val="22"/>
                <w:b w:val="1"/>
                <w:bCs w:val="1"/>
                <w:color w:val="auto"/>
              </w:rPr>
              <w:t>10.16. WAIVER OF JURY TRIAL</w:t>
            </w:r>
          </w:p>
        </w:tc>
        <w:tc>
          <w:tcPr>
            <w:tcW w:w="16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310"/>
        </w:trPr>
        <w:tc>
          <w:tcPr>
            <w:tcW w:w="1420" w:type="dxa"/>
            <w:vAlign w:val="bottom"/>
            <w:gridSpan w:val="2"/>
          </w:tcPr>
          <w:p>
            <w:pPr>
              <w:ind w:left="840"/>
              <w:spacing w:after="0"/>
              <w:rPr>
                <w:sz w:val="20"/>
                <w:szCs w:val="20"/>
                <w:color w:val="auto"/>
              </w:rPr>
            </w:pPr>
            <w:r>
              <w:rPr>
                <w:rFonts w:ascii="Arial" w:cs="Arial" w:eastAsia="Arial" w:hAnsi="Arial"/>
                <w:sz w:val="22"/>
                <w:szCs w:val="22"/>
                <w:b w:val="1"/>
                <w:bCs w:val="1"/>
                <w:color w:val="auto"/>
                <w:w w:val="91"/>
              </w:rPr>
              <w:t>10.17.</w:t>
            </w:r>
          </w:p>
        </w:tc>
        <w:tc>
          <w:tcPr>
            <w:tcW w:w="8160" w:type="dxa"/>
            <w:vAlign w:val="bottom"/>
          </w:tcPr>
          <w:p>
            <w:pPr>
              <w:ind w:left="20"/>
              <w:spacing w:after="0"/>
              <w:rPr>
                <w:sz w:val="20"/>
                <w:szCs w:val="20"/>
                <w:color w:val="auto"/>
              </w:rPr>
            </w:pPr>
            <w:r>
              <w:rPr>
                <w:rFonts w:ascii="Arial" w:cs="Arial" w:eastAsia="Arial" w:hAnsi="Arial"/>
                <w:sz w:val="22"/>
                <w:szCs w:val="22"/>
                <w:b w:val="1"/>
                <w:bCs w:val="1"/>
                <w:color w:val="auto"/>
              </w:rPr>
              <w:t>Confidentiality</w:t>
            </w:r>
          </w:p>
        </w:tc>
        <w:tc>
          <w:tcPr>
            <w:tcW w:w="16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310"/>
        </w:trPr>
        <w:tc>
          <w:tcPr>
            <w:tcW w:w="1420" w:type="dxa"/>
            <w:vAlign w:val="bottom"/>
            <w:gridSpan w:val="2"/>
          </w:tcPr>
          <w:p>
            <w:pPr>
              <w:ind w:left="840"/>
              <w:spacing w:after="0"/>
              <w:rPr>
                <w:sz w:val="20"/>
                <w:szCs w:val="20"/>
                <w:color w:val="auto"/>
              </w:rPr>
            </w:pPr>
            <w:r>
              <w:rPr>
                <w:rFonts w:ascii="Arial" w:cs="Arial" w:eastAsia="Arial" w:hAnsi="Arial"/>
                <w:sz w:val="22"/>
                <w:szCs w:val="22"/>
                <w:b w:val="1"/>
                <w:bCs w:val="1"/>
                <w:color w:val="auto"/>
                <w:w w:val="91"/>
              </w:rPr>
              <w:t>10.18.</w:t>
            </w:r>
          </w:p>
        </w:tc>
        <w:tc>
          <w:tcPr>
            <w:tcW w:w="8160" w:type="dxa"/>
            <w:vAlign w:val="bottom"/>
          </w:tcPr>
          <w:p>
            <w:pPr>
              <w:ind w:left="20"/>
              <w:spacing w:after="0"/>
              <w:rPr>
                <w:sz w:val="20"/>
                <w:szCs w:val="20"/>
                <w:color w:val="auto"/>
              </w:rPr>
            </w:pPr>
            <w:r>
              <w:rPr>
                <w:rFonts w:ascii="Arial" w:cs="Arial" w:eastAsia="Arial" w:hAnsi="Arial"/>
                <w:sz w:val="22"/>
                <w:szCs w:val="22"/>
                <w:b w:val="1"/>
                <w:bCs w:val="1"/>
                <w:color w:val="auto"/>
              </w:rPr>
              <w:t>Usury Savings Clause</w:t>
            </w:r>
          </w:p>
        </w:tc>
        <w:tc>
          <w:tcPr>
            <w:tcW w:w="16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310"/>
        </w:trPr>
        <w:tc>
          <w:tcPr>
            <w:tcW w:w="1420" w:type="dxa"/>
            <w:vAlign w:val="bottom"/>
            <w:gridSpan w:val="2"/>
          </w:tcPr>
          <w:p>
            <w:pPr>
              <w:ind w:left="840"/>
              <w:spacing w:after="0"/>
              <w:rPr>
                <w:sz w:val="20"/>
                <w:szCs w:val="20"/>
                <w:color w:val="auto"/>
              </w:rPr>
            </w:pPr>
            <w:r>
              <w:rPr>
                <w:rFonts w:ascii="Arial" w:cs="Arial" w:eastAsia="Arial" w:hAnsi="Arial"/>
                <w:sz w:val="22"/>
                <w:szCs w:val="22"/>
                <w:b w:val="1"/>
                <w:bCs w:val="1"/>
                <w:color w:val="auto"/>
                <w:w w:val="91"/>
              </w:rPr>
              <w:t>10.19.</w:t>
            </w:r>
          </w:p>
        </w:tc>
        <w:tc>
          <w:tcPr>
            <w:tcW w:w="8160" w:type="dxa"/>
            <w:vAlign w:val="bottom"/>
          </w:tcPr>
          <w:p>
            <w:pPr>
              <w:ind w:left="20"/>
              <w:spacing w:after="0"/>
              <w:rPr>
                <w:sz w:val="20"/>
                <w:szCs w:val="20"/>
                <w:color w:val="auto"/>
              </w:rPr>
            </w:pPr>
            <w:r>
              <w:rPr>
                <w:rFonts w:ascii="Arial" w:cs="Arial" w:eastAsia="Arial" w:hAnsi="Arial"/>
                <w:sz w:val="22"/>
                <w:szCs w:val="22"/>
                <w:b w:val="1"/>
                <w:bCs w:val="1"/>
                <w:color w:val="auto"/>
              </w:rPr>
              <w:t>Effectiveness; Counterparts; Electronic Execution of Credit Documents</w:t>
            </w:r>
          </w:p>
        </w:tc>
        <w:tc>
          <w:tcPr>
            <w:tcW w:w="162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11"/>
        </w:trPr>
        <w:tc>
          <w:tcPr>
            <w:tcW w:w="1420" w:type="dxa"/>
            <w:vAlign w:val="bottom"/>
            <w:gridSpan w:val="2"/>
          </w:tcPr>
          <w:p>
            <w:pPr>
              <w:ind w:left="840"/>
              <w:spacing w:after="0"/>
              <w:rPr>
                <w:sz w:val="20"/>
                <w:szCs w:val="20"/>
                <w:color w:val="auto"/>
              </w:rPr>
            </w:pPr>
            <w:r>
              <w:rPr>
                <w:rFonts w:ascii="Arial" w:cs="Arial" w:eastAsia="Arial" w:hAnsi="Arial"/>
                <w:sz w:val="22"/>
                <w:szCs w:val="22"/>
                <w:b w:val="1"/>
                <w:bCs w:val="1"/>
                <w:color w:val="auto"/>
                <w:w w:val="91"/>
              </w:rPr>
              <w:t>10.20.</w:t>
            </w:r>
          </w:p>
        </w:tc>
        <w:tc>
          <w:tcPr>
            <w:tcW w:w="8160" w:type="dxa"/>
            <w:vAlign w:val="bottom"/>
          </w:tcPr>
          <w:p>
            <w:pPr>
              <w:ind w:left="20"/>
              <w:spacing w:after="0"/>
              <w:rPr>
                <w:sz w:val="20"/>
                <w:szCs w:val="20"/>
                <w:color w:val="auto"/>
              </w:rPr>
            </w:pPr>
            <w:r>
              <w:rPr>
                <w:rFonts w:ascii="Arial" w:cs="Arial" w:eastAsia="Arial" w:hAnsi="Arial"/>
                <w:sz w:val="22"/>
                <w:szCs w:val="22"/>
                <w:b w:val="1"/>
                <w:bCs w:val="1"/>
                <w:color w:val="auto"/>
              </w:rPr>
              <w:t>Acknowledgment and Consent to Bail-In of EEA Financial Institutions.</w:t>
            </w:r>
          </w:p>
        </w:tc>
        <w:tc>
          <w:tcPr>
            <w:tcW w:w="162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10"/>
        </w:trPr>
        <w:tc>
          <w:tcPr>
            <w:tcW w:w="9580" w:type="dxa"/>
            <w:vAlign w:val="bottom"/>
            <w:gridSpan w:val="3"/>
          </w:tcPr>
          <w:p>
            <w:pPr>
              <w:ind w:left="840"/>
              <w:spacing w:after="0"/>
              <w:rPr>
                <w:sz w:val="20"/>
                <w:szCs w:val="20"/>
                <w:color w:val="auto"/>
              </w:rPr>
            </w:pPr>
            <w:r>
              <w:rPr>
                <w:rFonts w:ascii="Arial" w:cs="Arial" w:eastAsia="Arial" w:hAnsi="Arial"/>
                <w:sz w:val="22"/>
                <w:szCs w:val="22"/>
                <w:b w:val="1"/>
                <w:bCs w:val="1"/>
                <w:color w:val="auto"/>
              </w:rPr>
              <w:t>10.21. PATRIOT Act</w:t>
            </w:r>
          </w:p>
        </w:tc>
        <w:tc>
          <w:tcPr>
            <w:tcW w:w="16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10"/>
        </w:trPr>
        <w:tc>
          <w:tcPr>
            <w:tcW w:w="1420" w:type="dxa"/>
            <w:vAlign w:val="bottom"/>
            <w:gridSpan w:val="2"/>
          </w:tcPr>
          <w:p>
            <w:pPr>
              <w:ind w:left="840"/>
              <w:spacing w:after="0"/>
              <w:rPr>
                <w:sz w:val="20"/>
                <w:szCs w:val="20"/>
                <w:color w:val="auto"/>
              </w:rPr>
            </w:pPr>
            <w:r>
              <w:rPr>
                <w:rFonts w:ascii="Arial" w:cs="Arial" w:eastAsia="Arial" w:hAnsi="Arial"/>
                <w:sz w:val="22"/>
                <w:szCs w:val="22"/>
                <w:b w:val="1"/>
                <w:bCs w:val="1"/>
                <w:color w:val="auto"/>
                <w:w w:val="91"/>
              </w:rPr>
              <w:t>10.22.</w:t>
            </w:r>
          </w:p>
        </w:tc>
        <w:tc>
          <w:tcPr>
            <w:tcW w:w="8160" w:type="dxa"/>
            <w:vAlign w:val="bottom"/>
          </w:tcPr>
          <w:p>
            <w:pPr>
              <w:ind w:left="20"/>
              <w:spacing w:after="0"/>
              <w:rPr>
                <w:sz w:val="20"/>
                <w:szCs w:val="20"/>
                <w:color w:val="auto"/>
              </w:rPr>
            </w:pPr>
            <w:r>
              <w:rPr>
                <w:rFonts w:ascii="Arial" w:cs="Arial" w:eastAsia="Arial" w:hAnsi="Arial"/>
                <w:sz w:val="22"/>
                <w:szCs w:val="22"/>
                <w:b w:val="1"/>
                <w:bCs w:val="1"/>
                <w:color w:val="auto"/>
              </w:rPr>
              <w:t>Electronic Execution of Assignments</w:t>
            </w:r>
          </w:p>
        </w:tc>
        <w:tc>
          <w:tcPr>
            <w:tcW w:w="16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10"/>
        </w:trPr>
        <w:tc>
          <w:tcPr>
            <w:tcW w:w="1420" w:type="dxa"/>
            <w:vAlign w:val="bottom"/>
            <w:gridSpan w:val="2"/>
          </w:tcPr>
          <w:p>
            <w:pPr>
              <w:ind w:left="840"/>
              <w:spacing w:after="0"/>
              <w:rPr>
                <w:sz w:val="20"/>
                <w:szCs w:val="20"/>
                <w:color w:val="auto"/>
              </w:rPr>
            </w:pPr>
            <w:r>
              <w:rPr>
                <w:rFonts w:ascii="Arial" w:cs="Arial" w:eastAsia="Arial" w:hAnsi="Arial"/>
                <w:sz w:val="22"/>
                <w:szCs w:val="22"/>
                <w:b w:val="1"/>
                <w:bCs w:val="1"/>
                <w:color w:val="auto"/>
                <w:w w:val="91"/>
              </w:rPr>
              <w:t>10.23.</w:t>
            </w:r>
          </w:p>
        </w:tc>
        <w:tc>
          <w:tcPr>
            <w:tcW w:w="8160" w:type="dxa"/>
            <w:vAlign w:val="bottom"/>
          </w:tcPr>
          <w:p>
            <w:pPr>
              <w:ind w:left="20"/>
              <w:spacing w:after="0"/>
              <w:rPr>
                <w:sz w:val="20"/>
                <w:szCs w:val="20"/>
                <w:color w:val="auto"/>
              </w:rPr>
            </w:pPr>
            <w:r>
              <w:rPr>
                <w:rFonts w:ascii="Arial" w:cs="Arial" w:eastAsia="Arial" w:hAnsi="Arial"/>
                <w:sz w:val="22"/>
                <w:szCs w:val="22"/>
                <w:b w:val="1"/>
                <w:bCs w:val="1"/>
                <w:color w:val="auto"/>
              </w:rPr>
              <w:t>No Fiduciary Duty</w:t>
            </w:r>
          </w:p>
        </w:tc>
        <w:tc>
          <w:tcPr>
            <w:tcW w:w="1620" w:type="dxa"/>
            <w:vAlign w:val="bottom"/>
          </w:tcPr>
          <w:p>
            <w:pPr>
              <w:jc w:val="right"/>
              <w:spacing w:after="0"/>
              <w:rPr>
                <w:sz w:val="20"/>
                <w:szCs w:val="20"/>
                <w:color w:val="auto"/>
              </w:rPr>
            </w:pPr>
            <w:r>
              <w:rPr>
                <w:rFonts w:ascii="Arial" w:cs="Arial" w:eastAsia="Arial" w:hAnsi="Arial"/>
                <w:sz w:val="22"/>
                <w:szCs w:val="22"/>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1200"/>
          </w:cols>
          <w:pgMar w:left="340" w:top="1440" w:right="359" w:bottom="1440" w:gutter="0" w:footer="0" w:header="0"/>
        </w:sectPr>
      </w:pPr>
    </w:p>
    <w:bookmarkStart w:id="456" w:name="page457"/>
    <w:bookmarkEnd w:id="456"/>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920" w:type="dxa"/>
            <w:vAlign w:val="bottom"/>
          </w:tcPr>
          <w:p>
            <w:pPr>
              <w:spacing w:after="0"/>
              <w:rPr>
                <w:sz w:val="20"/>
                <w:szCs w:val="20"/>
                <w:color w:val="auto"/>
              </w:rPr>
            </w:pPr>
            <w:r>
              <w:rPr>
                <w:rFonts w:ascii="Arial" w:cs="Arial" w:eastAsia="Arial" w:hAnsi="Arial"/>
                <w:sz w:val="22"/>
                <w:szCs w:val="22"/>
                <w:b w:val="1"/>
                <w:bCs w:val="1"/>
                <w:color w:val="auto"/>
              </w:rPr>
              <w:t>APPENDICES:</w:t>
            </w:r>
          </w:p>
        </w:tc>
        <w:tc>
          <w:tcPr>
            <w:tcW w:w="1140" w:type="dxa"/>
            <w:vAlign w:val="bottom"/>
          </w:tcPr>
          <w:p>
            <w:pPr>
              <w:ind w:left="480"/>
              <w:spacing w:after="0"/>
              <w:rPr>
                <w:sz w:val="20"/>
                <w:szCs w:val="20"/>
                <w:color w:val="auto"/>
              </w:rPr>
            </w:pPr>
            <w:r>
              <w:rPr>
                <w:rFonts w:ascii="Arial" w:cs="Arial" w:eastAsia="Arial" w:hAnsi="Arial"/>
                <w:sz w:val="22"/>
                <w:szCs w:val="22"/>
                <w:color w:val="auto"/>
              </w:rPr>
              <w:t>A-1</w:t>
            </w:r>
          </w:p>
        </w:tc>
        <w:tc>
          <w:tcPr>
            <w:tcW w:w="4620" w:type="dxa"/>
            <w:vAlign w:val="bottom"/>
          </w:tcPr>
          <w:p>
            <w:pPr>
              <w:ind w:left="300"/>
              <w:spacing w:after="0"/>
              <w:rPr>
                <w:sz w:val="20"/>
                <w:szCs w:val="20"/>
                <w:color w:val="auto"/>
              </w:rPr>
            </w:pPr>
            <w:r>
              <w:rPr>
                <w:rFonts w:ascii="Arial" w:cs="Arial" w:eastAsia="Arial" w:hAnsi="Arial"/>
                <w:sz w:val="22"/>
                <w:szCs w:val="22"/>
                <w:color w:val="auto"/>
              </w:rPr>
              <w:t>Term Loan Commitments</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B</w:t>
            </w:r>
          </w:p>
        </w:tc>
        <w:tc>
          <w:tcPr>
            <w:tcW w:w="4620" w:type="dxa"/>
            <w:vAlign w:val="bottom"/>
          </w:tcPr>
          <w:p>
            <w:pPr>
              <w:ind w:left="300"/>
              <w:spacing w:after="0"/>
              <w:rPr>
                <w:sz w:val="20"/>
                <w:szCs w:val="20"/>
                <w:color w:val="auto"/>
              </w:rPr>
            </w:pPr>
            <w:r>
              <w:rPr>
                <w:rFonts w:ascii="Arial" w:cs="Arial" w:eastAsia="Arial" w:hAnsi="Arial"/>
                <w:sz w:val="22"/>
                <w:szCs w:val="22"/>
                <w:color w:val="auto"/>
              </w:rPr>
              <w:t>Notice Addresses</w:t>
            </w:r>
          </w:p>
        </w:tc>
      </w:tr>
      <w:tr>
        <w:trPr>
          <w:trHeight w:val="580"/>
        </w:trPr>
        <w:tc>
          <w:tcPr>
            <w:tcW w:w="1920" w:type="dxa"/>
            <w:vAlign w:val="bottom"/>
          </w:tcPr>
          <w:p>
            <w:pPr>
              <w:spacing w:after="0"/>
              <w:rPr>
                <w:sz w:val="20"/>
                <w:szCs w:val="20"/>
                <w:color w:val="auto"/>
              </w:rPr>
            </w:pPr>
            <w:r>
              <w:rPr>
                <w:rFonts w:ascii="Arial" w:cs="Arial" w:eastAsia="Arial" w:hAnsi="Arial"/>
                <w:sz w:val="22"/>
                <w:szCs w:val="22"/>
                <w:b w:val="1"/>
                <w:bCs w:val="1"/>
                <w:color w:val="auto"/>
              </w:rPr>
              <w:t>SCHEDULES:</w:t>
            </w:r>
          </w:p>
        </w:tc>
        <w:tc>
          <w:tcPr>
            <w:tcW w:w="1140" w:type="dxa"/>
            <w:vAlign w:val="bottom"/>
          </w:tcPr>
          <w:p>
            <w:pPr>
              <w:ind w:left="480"/>
              <w:spacing w:after="0"/>
              <w:rPr>
                <w:sz w:val="20"/>
                <w:szCs w:val="20"/>
                <w:color w:val="auto"/>
              </w:rPr>
            </w:pPr>
            <w:r>
              <w:rPr>
                <w:rFonts w:ascii="Arial" w:cs="Arial" w:eastAsia="Arial" w:hAnsi="Arial"/>
                <w:sz w:val="22"/>
                <w:szCs w:val="22"/>
                <w:color w:val="auto"/>
              </w:rPr>
              <w:t>1.1</w:t>
            </w:r>
          </w:p>
        </w:tc>
        <w:tc>
          <w:tcPr>
            <w:tcW w:w="4620" w:type="dxa"/>
            <w:vAlign w:val="bottom"/>
          </w:tcPr>
          <w:p>
            <w:pPr>
              <w:ind w:left="300"/>
              <w:spacing w:after="0"/>
              <w:rPr>
                <w:sz w:val="20"/>
                <w:szCs w:val="20"/>
                <w:color w:val="auto"/>
              </w:rPr>
            </w:pPr>
            <w:r>
              <w:rPr>
                <w:rFonts w:ascii="Arial" w:cs="Arial" w:eastAsia="Arial" w:hAnsi="Arial"/>
                <w:sz w:val="22"/>
                <w:szCs w:val="22"/>
                <w:color w:val="auto"/>
              </w:rPr>
              <w:t>Disqualified Institutions</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4.1</w:t>
            </w:r>
          </w:p>
        </w:tc>
        <w:tc>
          <w:tcPr>
            <w:tcW w:w="4620" w:type="dxa"/>
            <w:vAlign w:val="bottom"/>
          </w:tcPr>
          <w:p>
            <w:pPr>
              <w:ind w:left="300"/>
              <w:spacing w:after="0"/>
              <w:rPr>
                <w:sz w:val="20"/>
                <w:szCs w:val="20"/>
                <w:color w:val="auto"/>
              </w:rPr>
            </w:pPr>
            <w:r>
              <w:rPr>
                <w:rFonts w:ascii="Arial" w:cs="Arial" w:eastAsia="Arial" w:hAnsi="Arial"/>
                <w:sz w:val="22"/>
                <w:szCs w:val="22"/>
                <w:color w:val="auto"/>
                <w:w w:val="96"/>
              </w:rPr>
              <w:t>Jurisdictions of Organization and Qualification</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4.2</w:t>
            </w:r>
          </w:p>
        </w:tc>
        <w:tc>
          <w:tcPr>
            <w:tcW w:w="4620" w:type="dxa"/>
            <w:vAlign w:val="bottom"/>
          </w:tcPr>
          <w:p>
            <w:pPr>
              <w:ind w:left="300"/>
              <w:spacing w:after="0"/>
              <w:rPr>
                <w:sz w:val="20"/>
                <w:szCs w:val="20"/>
                <w:color w:val="auto"/>
              </w:rPr>
            </w:pPr>
            <w:r>
              <w:rPr>
                <w:rFonts w:ascii="Arial" w:cs="Arial" w:eastAsia="Arial" w:hAnsi="Arial"/>
                <w:sz w:val="22"/>
                <w:szCs w:val="22"/>
                <w:color w:val="auto"/>
              </w:rPr>
              <w:t>Equity Interests and Ownership</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[4.5</w:t>
            </w:r>
          </w:p>
        </w:tc>
        <w:tc>
          <w:tcPr>
            <w:tcW w:w="4620" w:type="dxa"/>
            <w:vAlign w:val="bottom"/>
          </w:tcPr>
          <w:p>
            <w:pPr>
              <w:ind w:left="300"/>
              <w:spacing w:after="0"/>
              <w:rPr>
                <w:sz w:val="20"/>
                <w:szCs w:val="20"/>
                <w:color w:val="auto"/>
              </w:rPr>
            </w:pPr>
            <w:r>
              <w:rPr>
                <w:rFonts w:ascii="Arial" w:cs="Arial" w:eastAsia="Arial" w:hAnsi="Arial"/>
                <w:sz w:val="22"/>
                <w:szCs w:val="22"/>
                <w:color w:val="auto"/>
              </w:rPr>
              <w:t>Governmental Consents]</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6.1</w:t>
            </w:r>
          </w:p>
        </w:tc>
        <w:tc>
          <w:tcPr>
            <w:tcW w:w="4620" w:type="dxa"/>
            <w:vAlign w:val="bottom"/>
          </w:tcPr>
          <w:p>
            <w:pPr>
              <w:ind w:left="300"/>
              <w:spacing w:after="0"/>
              <w:rPr>
                <w:sz w:val="20"/>
                <w:szCs w:val="20"/>
                <w:color w:val="auto"/>
              </w:rPr>
            </w:pPr>
            <w:r>
              <w:rPr>
                <w:rFonts w:ascii="Arial" w:cs="Arial" w:eastAsia="Arial" w:hAnsi="Arial"/>
                <w:sz w:val="22"/>
                <w:szCs w:val="22"/>
                <w:color w:val="auto"/>
              </w:rPr>
              <w:t>Certain Indebtedness</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6.2</w:t>
            </w:r>
          </w:p>
        </w:tc>
        <w:tc>
          <w:tcPr>
            <w:tcW w:w="4620" w:type="dxa"/>
            <w:vAlign w:val="bottom"/>
          </w:tcPr>
          <w:p>
            <w:pPr>
              <w:ind w:left="300"/>
              <w:spacing w:after="0"/>
              <w:rPr>
                <w:sz w:val="20"/>
                <w:szCs w:val="20"/>
                <w:color w:val="auto"/>
              </w:rPr>
            </w:pPr>
            <w:r>
              <w:rPr>
                <w:rFonts w:ascii="Arial" w:cs="Arial" w:eastAsia="Arial" w:hAnsi="Arial"/>
                <w:sz w:val="22"/>
                <w:szCs w:val="22"/>
                <w:color w:val="auto"/>
              </w:rPr>
              <w:t>Certain Liens</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6.5</w:t>
            </w:r>
          </w:p>
        </w:tc>
        <w:tc>
          <w:tcPr>
            <w:tcW w:w="4620" w:type="dxa"/>
            <w:vAlign w:val="bottom"/>
          </w:tcPr>
          <w:p>
            <w:pPr>
              <w:ind w:left="300"/>
              <w:spacing w:after="0"/>
              <w:rPr>
                <w:sz w:val="20"/>
                <w:szCs w:val="20"/>
                <w:color w:val="auto"/>
              </w:rPr>
            </w:pPr>
            <w:r>
              <w:rPr>
                <w:rFonts w:ascii="Arial" w:cs="Arial" w:eastAsia="Arial" w:hAnsi="Arial"/>
                <w:sz w:val="22"/>
                <w:szCs w:val="22"/>
                <w:color w:val="auto"/>
                <w:w w:val="93"/>
              </w:rPr>
              <w:t>Certain Restrictions on Subsidiary Distributions</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6.6</w:t>
            </w:r>
          </w:p>
        </w:tc>
        <w:tc>
          <w:tcPr>
            <w:tcW w:w="4620" w:type="dxa"/>
            <w:vAlign w:val="bottom"/>
          </w:tcPr>
          <w:p>
            <w:pPr>
              <w:ind w:left="300"/>
              <w:spacing w:after="0"/>
              <w:rPr>
                <w:sz w:val="20"/>
                <w:szCs w:val="20"/>
                <w:color w:val="auto"/>
              </w:rPr>
            </w:pPr>
            <w:r>
              <w:rPr>
                <w:rFonts w:ascii="Arial" w:cs="Arial" w:eastAsia="Arial" w:hAnsi="Arial"/>
                <w:sz w:val="22"/>
                <w:szCs w:val="22"/>
                <w:color w:val="auto"/>
              </w:rPr>
              <w:t>Certain Investments</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6.11</w:t>
            </w:r>
          </w:p>
        </w:tc>
        <w:tc>
          <w:tcPr>
            <w:tcW w:w="4620" w:type="dxa"/>
            <w:vAlign w:val="bottom"/>
          </w:tcPr>
          <w:p>
            <w:pPr>
              <w:ind w:left="300"/>
              <w:spacing w:after="0"/>
              <w:rPr>
                <w:sz w:val="20"/>
                <w:szCs w:val="20"/>
                <w:color w:val="auto"/>
              </w:rPr>
            </w:pPr>
            <w:r>
              <w:rPr>
                <w:rFonts w:ascii="Arial" w:cs="Arial" w:eastAsia="Arial" w:hAnsi="Arial"/>
                <w:sz w:val="22"/>
                <w:szCs w:val="22"/>
                <w:color w:val="auto"/>
              </w:rPr>
              <w:t>Certain Affiliate Transactions</w:t>
            </w:r>
          </w:p>
        </w:tc>
      </w:tr>
      <w:tr>
        <w:trPr>
          <w:trHeight w:val="580"/>
        </w:trPr>
        <w:tc>
          <w:tcPr>
            <w:tcW w:w="192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1140" w:type="dxa"/>
            <w:vAlign w:val="bottom"/>
          </w:tcPr>
          <w:p>
            <w:pPr>
              <w:ind w:left="480"/>
              <w:spacing w:after="0"/>
              <w:rPr>
                <w:sz w:val="20"/>
                <w:szCs w:val="20"/>
                <w:color w:val="auto"/>
              </w:rPr>
            </w:pPr>
            <w:r>
              <w:rPr>
                <w:rFonts w:ascii="Arial" w:cs="Arial" w:eastAsia="Arial" w:hAnsi="Arial"/>
                <w:sz w:val="22"/>
                <w:szCs w:val="22"/>
                <w:color w:val="auto"/>
              </w:rPr>
              <w:t>A</w:t>
            </w:r>
          </w:p>
        </w:tc>
        <w:tc>
          <w:tcPr>
            <w:tcW w:w="4620" w:type="dxa"/>
            <w:vAlign w:val="bottom"/>
          </w:tcPr>
          <w:p>
            <w:pPr>
              <w:ind w:left="300"/>
              <w:spacing w:after="0"/>
              <w:rPr>
                <w:sz w:val="20"/>
                <w:szCs w:val="20"/>
                <w:color w:val="auto"/>
              </w:rPr>
            </w:pPr>
            <w:r>
              <w:rPr>
                <w:rFonts w:ascii="Arial" w:cs="Arial" w:eastAsia="Arial" w:hAnsi="Arial"/>
                <w:sz w:val="22"/>
                <w:szCs w:val="22"/>
                <w:color w:val="auto"/>
              </w:rPr>
              <w:t>Funding Notice</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B</w:t>
            </w:r>
          </w:p>
        </w:tc>
        <w:tc>
          <w:tcPr>
            <w:tcW w:w="4620" w:type="dxa"/>
            <w:vAlign w:val="bottom"/>
          </w:tcPr>
          <w:p>
            <w:pPr>
              <w:ind w:left="300"/>
              <w:spacing w:after="0"/>
              <w:rPr>
                <w:sz w:val="20"/>
                <w:szCs w:val="20"/>
                <w:color w:val="auto"/>
              </w:rPr>
            </w:pPr>
            <w:r>
              <w:rPr>
                <w:rFonts w:ascii="Arial" w:cs="Arial" w:eastAsia="Arial" w:hAnsi="Arial"/>
                <w:sz w:val="22"/>
                <w:szCs w:val="22"/>
                <w:color w:val="auto"/>
              </w:rPr>
              <w:t>Term Loan Note</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C</w:t>
            </w:r>
          </w:p>
        </w:tc>
        <w:tc>
          <w:tcPr>
            <w:tcW w:w="4620" w:type="dxa"/>
            <w:vAlign w:val="bottom"/>
          </w:tcPr>
          <w:p>
            <w:pPr>
              <w:ind w:left="300"/>
              <w:spacing w:after="0"/>
              <w:rPr>
                <w:sz w:val="20"/>
                <w:szCs w:val="20"/>
                <w:color w:val="auto"/>
              </w:rPr>
            </w:pPr>
            <w:r>
              <w:rPr>
                <w:rFonts w:ascii="Arial" w:cs="Arial" w:eastAsia="Arial" w:hAnsi="Arial"/>
                <w:sz w:val="22"/>
                <w:szCs w:val="22"/>
                <w:color w:val="auto"/>
              </w:rPr>
              <w:t>Compliance Certificate</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D</w:t>
            </w:r>
          </w:p>
        </w:tc>
        <w:tc>
          <w:tcPr>
            <w:tcW w:w="4620" w:type="dxa"/>
            <w:vAlign w:val="bottom"/>
          </w:tcPr>
          <w:p>
            <w:pPr>
              <w:ind w:left="300"/>
              <w:spacing w:after="0"/>
              <w:rPr>
                <w:sz w:val="20"/>
                <w:szCs w:val="20"/>
                <w:color w:val="auto"/>
              </w:rPr>
            </w:pPr>
            <w:r>
              <w:rPr>
                <w:rFonts w:ascii="Arial" w:cs="Arial" w:eastAsia="Arial" w:hAnsi="Arial"/>
                <w:sz w:val="22"/>
                <w:szCs w:val="22"/>
                <w:color w:val="auto"/>
              </w:rPr>
              <w:t>Assignment Agreement</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line="253" w:lineRule="exact"/>
              <w:rPr>
                <w:sz w:val="20"/>
                <w:szCs w:val="20"/>
                <w:color w:val="auto"/>
              </w:rPr>
            </w:pPr>
            <w:r>
              <w:rPr>
                <w:rFonts w:ascii="Arial" w:cs="Arial" w:eastAsia="Arial" w:hAnsi="Arial"/>
                <w:sz w:val="22"/>
                <w:szCs w:val="22"/>
                <w:color w:val="auto"/>
              </w:rPr>
              <w:t>E</w:t>
            </w:r>
            <w:r>
              <w:rPr>
                <w:rFonts w:ascii="MS PGothic" w:cs="MS PGothic" w:eastAsia="MS PGothic" w:hAnsi="MS PGothic"/>
                <w:sz w:val="22"/>
                <w:szCs w:val="22"/>
                <w:color w:val="auto"/>
              </w:rPr>
              <w:t>‑</w:t>
            </w:r>
            <w:r>
              <w:rPr>
                <w:rFonts w:ascii="Arial" w:cs="Arial" w:eastAsia="Arial" w:hAnsi="Arial"/>
                <w:sz w:val="22"/>
                <w:szCs w:val="22"/>
                <w:color w:val="auto"/>
              </w:rPr>
              <w:t>1</w:t>
            </w:r>
          </w:p>
        </w:tc>
        <w:tc>
          <w:tcPr>
            <w:tcW w:w="4620" w:type="dxa"/>
            <w:vAlign w:val="bottom"/>
          </w:tcPr>
          <w:p>
            <w:pPr>
              <w:ind w:left="300"/>
              <w:spacing w:after="0"/>
              <w:rPr>
                <w:sz w:val="20"/>
                <w:szCs w:val="20"/>
                <w:color w:val="auto"/>
              </w:rPr>
            </w:pPr>
            <w:r>
              <w:rPr>
                <w:rFonts w:ascii="Arial" w:cs="Arial" w:eastAsia="Arial" w:hAnsi="Arial"/>
                <w:sz w:val="22"/>
                <w:szCs w:val="22"/>
                <w:color w:val="auto"/>
              </w:rPr>
              <w:t>U.S. Tax Compliance Certificate</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line="253" w:lineRule="exact"/>
              <w:rPr>
                <w:sz w:val="20"/>
                <w:szCs w:val="20"/>
                <w:color w:val="auto"/>
              </w:rPr>
            </w:pPr>
            <w:r>
              <w:rPr>
                <w:rFonts w:ascii="Arial" w:cs="Arial" w:eastAsia="Arial" w:hAnsi="Arial"/>
                <w:sz w:val="22"/>
                <w:szCs w:val="22"/>
                <w:color w:val="auto"/>
              </w:rPr>
              <w:t>E</w:t>
            </w:r>
            <w:r>
              <w:rPr>
                <w:rFonts w:ascii="MS PGothic" w:cs="MS PGothic" w:eastAsia="MS PGothic" w:hAnsi="MS PGothic"/>
                <w:sz w:val="22"/>
                <w:szCs w:val="22"/>
                <w:color w:val="auto"/>
              </w:rPr>
              <w:t>‑</w:t>
            </w:r>
            <w:r>
              <w:rPr>
                <w:rFonts w:ascii="Arial" w:cs="Arial" w:eastAsia="Arial" w:hAnsi="Arial"/>
                <w:sz w:val="22"/>
                <w:szCs w:val="22"/>
                <w:color w:val="auto"/>
              </w:rPr>
              <w:t>2</w:t>
            </w:r>
          </w:p>
        </w:tc>
        <w:tc>
          <w:tcPr>
            <w:tcW w:w="4620" w:type="dxa"/>
            <w:vAlign w:val="bottom"/>
          </w:tcPr>
          <w:p>
            <w:pPr>
              <w:ind w:left="300"/>
              <w:spacing w:after="0"/>
              <w:rPr>
                <w:sz w:val="20"/>
                <w:szCs w:val="20"/>
                <w:color w:val="auto"/>
              </w:rPr>
            </w:pPr>
            <w:r>
              <w:rPr>
                <w:rFonts w:ascii="Arial" w:cs="Arial" w:eastAsia="Arial" w:hAnsi="Arial"/>
                <w:sz w:val="22"/>
                <w:szCs w:val="22"/>
                <w:color w:val="auto"/>
              </w:rPr>
              <w:t>U.S. Tax Compliance Certificate</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line="253" w:lineRule="exact"/>
              <w:rPr>
                <w:sz w:val="20"/>
                <w:szCs w:val="20"/>
                <w:color w:val="auto"/>
              </w:rPr>
            </w:pPr>
            <w:r>
              <w:rPr>
                <w:rFonts w:ascii="Arial" w:cs="Arial" w:eastAsia="Arial" w:hAnsi="Arial"/>
                <w:sz w:val="22"/>
                <w:szCs w:val="22"/>
                <w:color w:val="auto"/>
              </w:rPr>
              <w:t>E</w:t>
            </w:r>
            <w:r>
              <w:rPr>
                <w:rFonts w:ascii="MS PGothic" w:cs="MS PGothic" w:eastAsia="MS PGothic" w:hAnsi="MS PGothic"/>
                <w:sz w:val="22"/>
                <w:szCs w:val="22"/>
                <w:color w:val="auto"/>
              </w:rPr>
              <w:t>‑</w:t>
            </w:r>
            <w:r>
              <w:rPr>
                <w:rFonts w:ascii="Arial" w:cs="Arial" w:eastAsia="Arial" w:hAnsi="Arial"/>
                <w:sz w:val="22"/>
                <w:szCs w:val="22"/>
                <w:color w:val="auto"/>
              </w:rPr>
              <w:t>3</w:t>
            </w:r>
          </w:p>
        </w:tc>
        <w:tc>
          <w:tcPr>
            <w:tcW w:w="4620" w:type="dxa"/>
            <w:vAlign w:val="bottom"/>
          </w:tcPr>
          <w:p>
            <w:pPr>
              <w:ind w:left="300"/>
              <w:spacing w:after="0"/>
              <w:rPr>
                <w:sz w:val="20"/>
                <w:szCs w:val="20"/>
                <w:color w:val="auto"/>
              </w:rPr>
            </w:pPr>
            <w:r>
              <w:rPr>
                <w:rFonts w:ascii="Arial" w:cs="Arial" w:eastAsia="Arial" w:hAnsi="Arial"/>
                <w:sz w:val="22"/>
                <w:szCs w:val="22"/>
                <w:color w:val="auto"/>
              </w:rPr>
              <w:t>U.S. Tax Compliance Certificate</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line="253" w:lineRule="exact"/>
              <w:rPr>
                <w:sz w:val="20"/>
                <w:szCs w:val="20"/>
                <w:color w:val="auto"/>
              </w:rPr>
            </w:pPr>
            <w:r>
              <w:rPr>
                <w:rFonts w:ascii="Arial" w:cs="Arial" w:eastAsia="Arial" w:hAnsi="Arial"/>
                <w:sz w:val="22"/>
                <w:szCs w:val="22"/>
                <w:color w:val="auto"/>
              </w:rPr>
              <w:t>E</w:t>
            </w:r>
            <w:r>
              <w:rPr>
                <w:rFonts w:ascii="MS PGothic" w:cs="MS PGothic" w:eastAsia="MS PGothic" w:hAnsi="MS PGothic"/>
                <w:sz w:val="22"/>
                <w:szCs w:val="22"/>
                <w:color w:val="auto"/>
              </w:rPr>
              <w:t>‑</w:t>
            </w:r>
            <w:r>
              <w:rPr>
                <w:rFonts w:ascii="Arial" w:cs="Arial" w:eastAsia="Arial" w:hAnsi="Arial"/>
                <w:sz w:val="22"/>
                <w:szCs w:val="22"/>
                <w:color w:val="auto"/>
              </w:rPr>
              <w:t>4</w:t>
            </w:r>
          </w:p>
        </w:tc>
        <w:tc>
          <w:tcPr>
            <w:tcW w:w="4620" w:type="dxa"/>
            <w:vAlign w:val="bottom"/>
          </w:tcPr>
          <w:p>
            <w:pPr>
              <w:ind w:left="300"/>
              <w:spacing w:after="0"/>
              <w:rPr>
                <w:sz w:val="20"/>
                <w:szCs w:val="20"/>
                <w:color w:val="auto"/>
              </w:rPr>
            </w:pPr>
            <w:r>
              <w:rPr>
                <w:rFonts w:ascii="Arial" w:cs="Arial" w:eastAsia="Arial" w:hAnsi="Arial"/>
                <w:sz w:val="22"/>
                <w:szCs w:val="22"/>
                <w:color w:val="auto"/>
              </w:rPr>
              <w:t>U.S. Tax Compliance Certificate</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line="253" w:lineRule="exact"/>
              <w:rPr>
                <w:sz w:val="20"/>
                <w:szCs w:val="20"/>
                <w:color w:val="auto"/>
              </w:rPr>
            </w:pPr>
            <w:r>
              <w:rPr>
                <w:rFonts w:ascii="Arial" w:cs="Arial" w:eastAsia="Arial" w:hAnsi="Arial"/>
                <w:sz w:val="22"/>
                <w:szCs w:val="22"/>
                <w:color w:val="auto"/>
              </w:rPr>
              <w:t>F</w:t>
            </w:r>
            <w:r>
              <w:rPr>
                <w:rFonts w:ascii="MS PGothic" w:cs="MS PGothic" w:eastAsia="MS PGothic" w:hAnsi="MS PGothic"/>
                <w:sz w:val="22"/>
                <w:szCs w:val="22"/>
                <w:color w:val="auto"/>
              </w:rPr>
              <w:t>‑</w:t>
            </w:r>
            <w:r>
              <w:rPr>
                <w:rFonts w:ascii="Arial" w:cs="Arial" w:eastAsia="Arial" w:hAnsi="Arial"/>
                <w:sz w:val="22"/>
                <w:szCs w:val="22"/>
                <w:color w:val="auto"/>
              </w:rPr>
              <w:t>1</w:t>
            </w:r>
          </w:p>
        </w:tc>
        <w:tc>
          <w:tcPr>
            <w:tcW w:w="4620" w:type="dxa"/>
            <w:vAlign w:val="bottom"/>
          </w:tcPr>
          <w:p>
            <w:pPr>
              <w:ind w:left="300"/>
              <w:spacing w:after="0"/>
              <w:rPr>
                <w:sz w:val="20"/>
                <w:szCs w:val="20"/>
                <w:color w:val="auto"/>
              </w:rPr>
            </w:pPr>
            <w:r>
              <w:rPr>
                <w:rFonts w:ascii="Arial" w:cs="Arial" w:eastAsia="Arial" w:hAnsi="Arial"/>
                <w:sz w:val="22"/>
                <w:szCs w:val="22"/>
                <w:color w:val="auto"/>
              </w:rPr>
              <w:t>Closing Date Certificate</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line="253" w:lineRule="exact"/>
              <w:rPr>
                <w:sz w:val="20"/>
                <w:szCs w:val="20"/>
                <w:color w:val="auto"/>
              </w:rPr>
            </w:pPr>
            <w:r>
              <w:rPr>
                <w:rFonts w:ascii="Arial" w:cs="Arial" w:eastAsia="Arial" w:hAnsi="Arial"/>
                <w:sz w:val="22"/>
                <w:szCs w:val="22"/>
                <w:color w:val="auto"/>
              </w:rPr>
              <w:t>F</w:t>
            </w:r>
            <w:r>
              <w:rPr>
                <w:rFonts w:ascii="MS PGothic" w:cs="MS PGothic" w:eastAsia="MS PGothic" w:hAnsi="MS PGothic"/>
                <w:sz w:val="22"/>
                <w:szCs w:val="22"/>
                <w:color w:val="auto"/>
              </w:rPr>
              <w:t>‑</w:t>
            </w:r>
            <w:r>
              <w:rPr>
                <w:rFonts w:ascii="Arial" w:cs="Arial" w:eastAsia="Arial" w:hAnsi="Arial"/>
                <w:sz w:val="22"/>
                <w:szCs w:val="22"/>
                <w:color w:val="auto"/>
              </w:rPr>
              <w:t>2</w:t>
            </w:r>
          </w:p>
        </w:tc>
        <w:tc>
          <w:tcPr>
            <w:tcW w:w="4620" w:type="dxa"/>
            <w:vAlign w:val="bottom"/>
          </w:tcPr>
          <w:p>
            <w:pPr>
              <w:ind w:left="300"/>
              <w:spacing w:after="0"/>
              <w:rPr>
                <w:sz w:val="20"/>
                <w:szCs w:val="20"/>
                <w:color w:val="auto"/>
              </w:rPr>
            </w:pPr>
            <w:r>
              <w:rPr>
                <w:rFonts w:ascii="Arial" w:cs="Arial" w:eastAsia="Arial" w:hAnsi="Arial"/>
                <w:sz w:val="22"/>
                <w:szCs w:val="22"/>
                <w:color w:val="auto"/>
              </w:rPr>
              <w:t>Solvency Certificate</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G</w:t>
            </w:r>
          </w:p>
        </w:tc>
        <w:tc>
          <w:tcPr>
            <w:tcW w:w="4620" w:type="dxa"/>
            <w:vAlign w:val="bottom"/>
          </w:tcPr>
          <w:p>
            <w:pPr>
              <w:ind w:left="300"/>
              <w:spacing w:after="0"/>
              <w:rPr>
                <w:sz w:val="20"/>
                <w:szCs w:val="20"/>
                <w:color w:val="auto"/>
              </w:rPr>
            </w:pPr>
            <w:r>
              <w:rPr>
                <w:rFonts w:ascii="Arial" w:cs="Arial" w:eastAsia="Arial" w:hAnsi="Arial"/>
                <w:sz w:val="22"/>
                <w:szCs w:val="22"/>
                <w:color w:val="auto"/>
              </w:rPr>
              <w:t>Counterpart Agreement</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K</w:t>
            </w:r>
          </w:p>
        </w:tc>
        <w:tc>
          <w:tcPr>
            <w:tcW w:w="4620" w:type="dxa"/>
            <w:vAlign w:val="bottom"/>
          </w:tcPr>
          <w:p>
            <w:pPr>
              <w:ind w:left="300"/>
              <w:spacing w:after="0"/>
              <w:rPr>
                <w:sz w:val="20"/>
                <w:szCs w:val="20"/>
                <w:color w:val="auto"/>
              </w:rPr>
            </w:pPr>
            <w:r>
              <w:rPr>
                <w:rFonts w:ascii="Arial" w:cs="Arial" w:eastAsia="Arial" w:hAnsi="Arial"/>
                <w:sz w:val="22"/>
                <w:szCs w:val="22"/>
                <w:color w:val="auto"/>
              </w:rPr>
              <w:t>Intercompany Subordination Agreement</w:t>
            </w:r>
          </w:p>
        </w:tc>
      </w:tr>
      <w:tr>
        <w:trPr>
          <w:trHeight w:val="311"/>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L</w:t>
            </w:r>
          </w:p>
        </w:tc>
        <w:tc>
          <w:tcPr>
            <w:tcW w:w="4620" w:type="dxa"/>
            <w:vAlign w:val="bottom"/>
          </w:tcPr>
          <w:p>
            <w:pPr>
              <w:ind w:left="300"/>
              <w:spacing w:after="0"/>
              <w:rPr>
                <w:sz w:val="20"/>
                <w:szCs w:val="20"/>
                <w:color w:val="auto"/>
              </w:rPr>
            </w:pPr>
            <w:r>
              <w:rPr>
                <w:rFonts w:ascii="Arial" w:cs="Arial" w:eastAsia="Arial" w:hAnsi="Arial"/>
                <w:sz w:val="22"/>
                <w:szCs w:val="22"/>
                <w:color w:val="auto"/>
                <w:w w:val="89"/>
              </w:rPr>
              <w:t>Forms of Opinion of Counsel to the Credit Parties</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M</w:t>
            </w:r>
          </w:p>
        </w:tc>
        <w:tc>
          <w:tcPr>
            <w:tcW w:w="4620" w:type="dxa"/>
            <w:vAlign w:val="bottom"/>
          </w:tcPr>
          <w:p>
            <w:pPr>
              <w:ind w:left="300"/>
              <w:spacing w:after="0"/>
              <w:rPr>
                <w:sz w:val="20"/>
                <w:szCs w:val="20"/>
                <w:color w:val="auto"/>
              </w:rPr>
            </w:pPr>
            <w:r>
              <w:rPr>
                <w:rFonts w:ascii="Arial" w:cs="Arial" w:eastAsia="Arial" w:hAnsi="Arial"/>
                <w:sz w:val="22"/>
                <w:szCs w:val="22"/>
                <w:color w:val="auto"/>
              </w:rPr>
              <w:t>[Reserved]</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N</w:t>
            </w:r>
          </w:p>
        </w:tc>
        <w:tc>
          <w:tcPr>
            <w:tcW w:w="4620" w:type="dxa"/>
            <w:vAlign w:val="bottom"/>
          </w:tcPr>
          <w:p>
            <w:pPr>
              <w:ind w:left="300"/>
              <w:spacing w:after="0"/>
              <w:rPr>
                <w:sz w:val="20"/>
                <w:szCs w:val="20"/>
                <w:color w:val="auto"/>
              </w:rPr>
            </w:pPr>
            <w:r>
              <w:rPr>
                <w:rFonts w:ascii="Arial" w:cs="Arial" w:eastAsia="Arial" w:hAnsi="Arial"/>
                <w:sz w:val="22"/>
                <w:szCs w:val="22"/>
                <w:color w:val="auto"/>
              </w:rPr>
              <w:t>[Reserved]]</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O</w:t>
            </w:r>
          </w:p>
        </w:tc>
        <w:tc>
          <w:tcPr>
            <w:tcW w:w="4620" w:type="dxa"/>
            <w:vAlign w:val="bottom"/>
          </w:tcPr>
          <w:p>
            <w:pPr>
              <w:ind w:left="300"/>
              <w:spacing w:after="0"/>
              <w:rPr>
                <w:sz w:val="20"/>
                <w:szCs w:val="20"/>
                <w:color w:val="auto"/>
              </w:rPr>
            </w:pPr>
            <w:r>
              <w:rPr>
                <w:rFonts w:ascii="Arial" w:cs="Arial" w:eastAsia="Arial" w:hAnsi="Arial"/>
                <w:sz w:val="22"/>
                <w:szCs w:val="22"/>
                <w:color w:val="auto"/>
              </w:rPr>
              <w:t>[Reserved]</w:t>
            </w:r>
          </w:p>
        </w:tc>
      </w:tr>
      <w:tr>
        <w:trPr>
          <w:trHeight w:val="310"/>
        </w:trPr>
        <w:tc>
          <w:tcPr>
            <w:tcW w:w="192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Arial" w:cs="Arial" w:eastAsia="Arial" w:hAnsi="Arial"/>
                <w:sz w:val="22"/>
                <w:szCs w:val="22"/>
                <w:color w:val="auto"/>
              </w:rPr>
              <w:t>P</w:t>
            </w:r>
          </w:p>
        </w:tc>
        <w:tc>
          <w:tcPr>
            <w:tcW w:w="4620" w:type="dxa"/>
            <w:vAlign w:val="bottom"/>
          </w:tcPr>
          <w:p>
            <w:pPr>
              <w:ind w:left="300"/>
              <w:spacing w:after="0"/>
              <w:rPr>
                <w:sz w:val="20"/>
                <w:szCs w:val="20"/>
                <w:color w:val="auto"/>
              </w:rPr>
            </w:pPr>
            <w:r>
              <w:rPr>
                <w:rFonts w:ascii="Arial" w:cs="Arial" w:eastAsia="Arial" w:hAnsi="Arial"/>
                <w:sz w:val="22"/>
                <w:szCs w:val="22"/>
                <w:color w:val="auto"/>
              </w:rPr>
              <w:t>Incumbency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v</w:t>
      </w:r>
    </w:p>
    <w:p>
      <w:pPr>
        <w:sectPr>
          <w:pgSz w:w="11900" w:h="16838" w:orient="portrait"/>
          <w:cols w:equalWidth="0" w:num="1">
            <w:col w:w="10119"/>
          </w:cols>
          <w:pgMar w:left="340" w:top="1440" w:right="1440" w:bottom="1440" w:gutter="0" w:footer="0" w:header="0"/>
        </w:sectPr>
      </w:pPr>
    </w:p>
    <w:bookmarkStart w:id="457" w:name="page458"/>
    <w:bookmarkEnd w:id="457"/>
    <w:p>
      <w:pPr>
        <w:jc w:val="center"/>
        <w:spacing w:after="0"/>
        <w:rPr>
          <w:sz w:val="20"/>
          <w:szCs w:val="20"/>
          <w:color w:val="auto"/>
        </w:rPr>
      </w:pPr>
      <w:r>
        <w:rPr>
          <w:rFonts w:ascii="Arial" w:cs="Arial" w:eastAsia="Arial" w:hAnsi="Arial"/>
          <w:sz w:val="22"/>
          <w:szCs w:val="22"/>
          <w:b w:val="1"/>
          <w:bCs w:val="1"/>
          <w:color w:val="auto"/>
        </w:rPr>
        <w:t>BRIDGE CREDIT AND GUARANTY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BRIDGE CREDIT AND GUARANTY AGREEMENT</w:t>
      </w:r>
      <w:r>
        <w:rPr>
          <w:rFonts w:ascii="Arial" w:cs="Arial" w:eastAsia="Arial" w:hAnsi="Arial"/>
          <w:sz w:val="21"/>
          <w:szCs w:val="21"/>
          <w:color w:val="auto"/>
        </w:rPr>
        <w:t>, dated as of ___________, is entered into by and</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among </w:t>
      </w:r>
      <w:r>
        <w:rPr>
          <w:rFonts w:ascii="Arial" w:cs="Arial" w:eastAsia="Arial" w:hAnsi="Arial"/>
          <w:sz w:val="21"/>
          <w:szCs w:val="21"/>
          <w:b w:val="1"/>
          <w:bCs w:val="1"/>
          <w:color w:val="auto"/>
        </w:rPr>
        <w:t>LEONARDO DRS, INC.</w:t>
      </w:r>
      <w:r>
        <w:rPr>
          <w:rFonts w:ascii="Arial" w:cs="Arial" w:eastAsia="Arial" w:hAnsi="Arial"/>
          <w:sz w:val="21"/>
          <w:szCs w:val="21"/>
          <w:color w:val="auto"/>
        </w:rPr>
        <w:t>, a Delaware corporation (</w:t>
      </w:r>
      <w:r>
        <w:rPr>
          <w:rFonts w:ascii="Arial" w:cs="Arial" w:eastAsia="Arial" w:hAnsi="Arial"/>
          <w:sz w:val="21"/>
          <w:szCs w:val="21"/>
          <w:b w:val="1"/>
          <w:bCs w:val="1"/>
          <w:color w:val="auto"/>
        </w:rPr>
        <w:t>“Borrower”</w:t>
      </w:r>
      <w:r>
        <w:rPr>
          <w:rFonts w:ascii="Arial" w:cs="Arial" w:eastAsia="Arial" w:hAnsi="Arial"/>
          <w:sz w:val="21"/>
          <w:szCs w:val="21"/>
          <w:color w:val="auto"/>
        </w:rPr>
        <w:t xml:space="preserve">), </w:t>
      </w:r>
      <w:r>
        <w:rPr>
          <w:rFonts w:ascii="Arial" w:cs="Arial" w:eastAsia="Arial" w:hAnsi="Arial"/>
          <w:sz w:val="21"/>
          <w:szCs w:val="21"/>
          <w:b w:val="1"/>
          <w:bCs w:val="1"/>
          <w:color w:val="auto"/>
        </w:rPr>
        <w:t>CERTAIN SUBSIDIARIES OF BORROWER</w:t>
      </w:r>
      <w:r>
        <w:rPr>
          <w:rFonts w:ascii="Arial" w:cs="Arial" w:eastAsia="Arial" w:hAnsi="Arial"/>
          <w:sz w:val="21"/>
          <w:szCs w:val="21"/>
          <w:color w:val="auto"/>
        </w:rPr>
        <w:t xml:space="preserve">, as Guarantors, the Lenders party hereto from time to time, </w:t>
      </w:r>
      <w:r>
        <w:rPr>
          <w:rFonts w:ascii="Arial" w:cs="Arial" w:eastAsia="Arial" w:hAnsi="Arial"/>
          <w:sz w:val="21"/>
          <w:szCs w:val="21"/>
          <w:b w:val="1"/>
          <w:bCs w:val="1"/>
          <w:color w:val="auto"/>
        </w:rPr>
        <w:t>GOLDMAN SACHS BANK USA</w:t>
      </w:r>
      <w:r>
        <w:rPr>
          <w:rFonts w:ascii="Arial" w:cs="Arial" w:eastAsia="Arial" w:hAnsi="Arial"/>
          <w:sz w:val="21"/>
          <w:szCs w:val="21"/>
          <w:color w:val="auto"/>
        </w:rPr>
        <w:t xml:space="preserve"> (</w:t>
      </w:r>
      <w:r>
        <w:rPr>
          <w:rFonts w:ascii="Arial" w:cs="Arial" w:eastAsia="Arial" w:hAnsi="Arial"/>
          <w:sz w:val="21"/>
          <w:szCs w:val="21"/>
          <w:b w:val="1"/>
          <w:bCs w:val="1"/>
          <w:color w:val="auto"/>
        </w:rPr>
        <w:t>“Goldman Sachs”</w:t>
      </w:r>
      <w:r>
        <w:rPr>
          <w:rFonts w:ascii="Arial" w:cs="Arial" w:eastAsia="Arial" w:hAnsi="Arial"/>
          <w:sz w:val="21"/>
          <w:szCs w:val="21"/>
          <w:color w:val="auto"/>
        </w:rPr>
        <w:t xml:space="preserve">) and JPMorgan Chase Bank, N.A., as Syndication Agents (in such capacity, the </w:t>
      </w:r>
      <w:r>
        <w:rPr>
          <w:rFonts w:ascii="Arial" w:cs="Arial" w:eastAsia="Arial" w:hAnsi="Arial"/>
          <w:sz w:val="21"/>
          <w:szCs w:val="21"/>
          <w:b w:val="1"/>
          <w:bCs w:val="1"/>
          <w:color w:val="auto"/>
        </w:rPr>
        <w:t>“Syndication Agents”</w:t>
      </w:r>
      <w:r>
        <w:rPr>
          <w:rFonts w:ascii="Arial" w:cs="Arial" w:eastAsia="Arial" w:hAnsi="Arial"/>
          <w:sz w:val="21"/>
          <w:szCs w:val="21"/>
          <w:color w:val="auto"/>
        </w:rPr>
        <w:t xml:space="preserve">), Goldman Sachs, as Administrative Agent (together with its permitted successors in such capacity, </w:t>
      </w:r>
      <w:r>
        <w:rPr>
          <w:rFonts w:ascii="Arial" w:cs="Arial" w:eastAsia="Arial" w:hAnsi="Arial"/>
          <w:sz w:val="21"/>
          <w:szCs w:val="21"/>
          <w:b w:val="1"/>
          <w:bCs w:val="1"/>
          <w:color w:val="auto"/>
        </w:rPr>
        <w:t>“Administrative Agent”</w:t>
      </w:r>
      <w:r>
        <w:rPr>
          <w:rFonts w:ascii="Arial" w:cs="Arial" w:eastAsia="Arial" w:hAnsi="Arial"/>
          <w:sz w:val="21"/>
          <w:szCs w:val="21"/>
          <w:color w:val="auto"/>
        </w:rPr>
        <w:t xml:space="preserve">), Goldman Sachs, BofA Securities, Inc., JPMorgan Chase Bank, N.A., Barclays Bank PLC, Citibank, N.A., London Branch, Credit Suisse Loan Funding LLC, and Morgan Stanley Senior Funding, Inc., as Lead Arrangers (in such capacity, </w:t>
      </w:r>
      <w:r>
        <w:rPr>
          <w:rFonts w:ascii="Arial" w:cs="Arial" w:eastAsia="Arial" w:hAnsi="Arial"/>
          <w:sz w:val="21"/>
          <w:szCs w:val="21"/>
          <w:b w:val="1"/>
          <w:bCs w:val="1"/>
          <w:color w:val="auto"/>
        </w:rPr>
        <w:t>“Arrangers”</w:t>
      </w:r>
      <w:r>
        <w:rPr>
          <w:rFonts w:ascii="Arial" w:cs="Arial" w:eastAsia="Arial" w:hAnsi="Arial"/>
          <w:sz w:val="21"/>
          <w:szCs w:val="21"/>
          <w:color w:val="auto"/>
        </w:rPr>
        <w:t xml:space="preserve">) and Bookrunners; and Barclays Bank PLC, Citibank, N.A., London Branch, Credit Suisse Loan Funding LLC and Morgan Stanley Senior Funding, Inc., as Documentation Agent (in such capacity, </w:t>
      </w:r>
      <w:r>
        <w:rPr>
          <w:rFonts w:ascii="Arial" w:cs="Arial" w:eastAsia="Arial" w:hAnsi="Arial"/>
          <w:sz w:val="21"/>
          <w:szCs w:val="21"/>
          <w:b w:val="1"/>
          <w:bCs w:val="1"/>
          <w:color w:val="auto"/>
        </w:rPr>
        <w:t>“Documentation Agents”</w:t>
      </w:r>
      <w:r>
        <w:rPr>
          <w:rFonts w:ascii="Arial" w:cs="Arial" w:eastAsia="Arial" w:hAnsi="Arial"/>
          <w:sz w:val="21"/>
          <w:szCs w:val="21"/>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capitalized terms used in these Recitals shall have the respective meanings set forth for such terms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1.1 hereof;</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Lenders have agreed to extend certain credit facilities to Borrower, in an aggregate principal amount not to</w:t>
      </w:r>
      <w:r>
        <w:rPr>
          <w:rFonts w:ascii="Arial" w:cs="Arial" w:eastAsia="Arial" w:hAnsi="Arial"/>
          <w:sz w:val="22"/>
          <w:szCs w:val="22"/>
          <w:b w:val="1"/>
          <w:bCs w:val="1"/>
          <w:color w:val="auto"/>
        </w:rPr>
        <w:t xml:space="preserve"> </w:t>
      </w:r>
      <w:r>
        <w:rPr>
          <w:rFonts w:ascii="Arial" w:cs="Arial" w:eastAsia="Arial" w:hAnsi="Arial"/>
          <w:sz w:val="22"/>
          <w:szCs w:val="22"/>
          <w:color w:val="auto"/>
        </w:rPr>
        <w:t>exceed $350,000,000 aggregate principal amount of Term Loans, the proceeds of which will be used to refinance certain existing debt of the Borrower and certain of its subsidiaries (including existing debt to the Borrower’s direct or indirect parent entities), and (ii) to pay fees, commissions and expenses in connection with the Loans and the Senior Loans (in each case, as defined below;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Guarantors have agreed to guarantee the obligations of Borrower hereunder.</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agreements, provisions and covenants herein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agree as follows: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1. DEFINITIONS AND INTERPRETATION</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 Definitions. </w:t>
      </w:r>
      <w:r>
        <w:rPr>
          <w:rFonts w:ascii="Arial" w:cs="Arial" w:eastAsia="Arial" w:hAnsi="Arial"/>
          <w:sz w:val="22"/>
          <w:szCs w:val="22"/>
          <w:color w:val="auto"/>
        </w:rPr>
        <w:t>The following terms used herein, including in the preamble, recitals, exhibits and schedules hereto,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following meanings:</w:t>
      </w:r>
    </w:p>
    <w:p>
      <w:pPr>
        <w:spacing w:after="0" w:line="162"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“Adjusted Eurodollar Rate” </w:t>
      </w:r>
      <w:r>
        <w:rPr>
          <w:rFonts w:ascii="Arial" w:cs="Arial" w:eastAsia="Arial" w:hAnsi="Arial"/>
          <w:sz w:val="19"/>
          <w:szCs w:val="19"/>
          <w:color w:val="auto"/>
        </w:rPr>
        <w:t>means, for any Interest Rate Determination Date with respect to an Interest Period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a Eurodollar Rate Loan,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obtained by dividing (i) (a)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rate determined by Administrative Agent to be the London interbank offered rate administered by the ICE Benchmark Administration (or any other person which takes over the administration of that rate) for deposits (for delivery on the first day of such period) with a term equivalent to such period in Dollars displayed on the ICE LIBOR USD page of the Reuters Screen (or any replacement Reuters page which displays that rate) or on the appropriate page of such other information service which publishes that rate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1" w:right="339" w:bottom="1440" w:gutter="0" w:footer="0" w:header="0"/>
        </w:sectPr>
      </w:pPr>
    </w:p>
    <w:bookmarkStart w:id="458" w:name="page459"/>
    <w:bookmarkEnd w:id="458"/>
    <w:p>
      <w:pPr>
        <w:jc w:val="both"/>
        <w:spacing w:after="0" w:line="290" w:lineRule="auto"/>
        <w:rPr>
          <w:sz w:val="20"/>
          <w:szCs w:val="20"/>
          <w:color w:val="auto"/>
        </w:rPr>
      </w:pPr>
      <w:r>
        <w:rPr>
          <w:rFonts w:ascii="Arial" w:cs="Arial" w:eastAsia="Arial" w:hAnsi="Arial"/>
          <w:sz w:val="19"/>
          <w:szCs w:val="19"/>
          <w:color w:val="auto"/>
        </w:rPr>
        <w:t xml:space="preserve">time in place of Reuters, determined as of approximately 11:00 a.m. (London, England time) on such Interest Rate Determination Date, or (b) in the event the rate referenced in the preceding clause (a) is not available,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offered quotation rate to first class banks in the London interbank market by Bank of America, N.A. for deposits (for delivery on the first day of the relevant period) in Dollars of amounts in same day funds comparable to the principal amount of the applicable Loan of Administrative Agent, in its capacity as a Lender, for which the Adjusted Eurodollar Rate is then being determined with maturities comparable to such period as of approximately 11:00 a.m. (London, England time) on such Interest Rate Determination Date, by (ii) an amount equal to (a) one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Applicable Reserve Requirement;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the Adjusted Eurodollar Rate shall at no time be less than zero.</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“Administrative Agent” </w:t>
      </w:r>
      <w:r>
        <w:rPr>
          <w:rFonts w:ascii="Arial" w:cs="Arial" w:eastAsia="Arial" w:hAnsi="Arial"/>
          <w:sz w:val="22"/>
          <w:szCs w:val="22"/>
          <w:color w:val="auto"/>
        </w:rPr>
        <w:t>as defined in the preamble hereto.</w:t>
      </w:r>
    </w:p>
    <w:p>
      <w:pPr>
        <w:spacing w:after="0" w:line="220"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“Adverse Proceeding” </w:t>
      </w:r>
      <w:r>
        <w:rPr>
          <w:rFonts w:ascii="Arial" w:cs="Arial" w:eastAsia="Arial" w:hAnsi="Arial"/>
          <w:sz w:val="19"/>
          <w:szCs w:val="19"/>
          <w:color w:val="auto"/>
        </w:rPr>
        <w:t>means any action, suit, proceeding, hearing (in each case, whether administrative, judicial</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governmental investigation or arbitration (whether or not purportedly on behalf of the Borrower or any of its Subsidiaries) at law or in equity, or before or by any Governmental Authority, domestic or foreign (including any Environmental Claims), whether pending or, to the knowledge of the Borrower or any of its Subsidiaries, threatened against or affecting the Borrower or any of its Subsidiaries or any property of the Borrower or any of its Subsidiaries.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“Affected Lender” </w:t>
      </w:r>
      <w:r>
        <w:rPr>
          <w:rFonts w:ascii="Arial" w:cs="Arial" w:eastAsia="Arial" w:hAnsi="Arial"/>
          <w:sz w:val="22"/>
          <w:szCs w:val="22"/>
          <w:color w:val="auto"/>
        </w:rPr>
        <w:t>as defined in Section 2.18(b).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“Affected Loans” </w:t>
      </w:r>
      <w:r>
        <w:rPr>
          <w:rFonts w:ascii="Arial" w:cs="Arial" w:eastAsia="Arial" w:hAnsi="Arial"/>
          <w:sz w:val="22"/>
          <w:szCs w:val="22"/>
          <w:color w:val="auto"/>
        </w:rPr>
        <w:t>as defined in Section 2.18(b).</w:t>
      </w:r>
    </w:p>
    <w:p>
      <w:pPr>
        <w:spacing w:after="0" w:line="220"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“Affiliate” </w:t>
      </w:r>
      <w:r>
        <w:rPr>
          <w:rFonts w:ascii="Arial" w:cs="Arial" w:eastAsia="Arial" w:hAnsi="Arial"/>
          <w:sz w:val="21"/>
          <w:szCs w:val="21"/>
          <w:color w:val="auto"/>
        </w:rPr>
        <w:t>means, as applied to any Person, any other Person directly or indirectly controlling, controlled by, or</w:t>
      </w:r>
      <w:r>
        <w:rPr>
          <w:rFonts w:ascii="Arial" w:cs="Arial" w:eastAsia="Arial" w:hAnsi="Arial"/>
          <w:sz w:val="21"/>
          <w:szCs w:val="21"/>
          <w:b w:val="1"/>
          <w:bCs w:val="1"/>
          <w:color w:val="auto"/>
        </w:rPr>
        <w:t xml:space="preserve"> </w:t>
      </w:r>
      <w:r>
        <w:rPr>
          <w:rFonts w:ascii="Arial" w:cs="Arial" w:eastAsia="Arial" w:hAnsi="Arial"/>
          <w:sz w:val="21"/>
          <w:szCs w:val="21"/>
          <w:color w:val="auto"/>
        </w:rPr>
        <w:t>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170"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b w:val="1"/>
          <w:bCs w:val="1"/>
          <w:color w:val="auto"/>
        </w:rPr>
        <w:t xml:space="preserve">“Agent” </w:t>
      </w:r>
      <w:r>
        <w:rPr>
          <w:rFonts w:ascii="Arial" w:cs="Arial" w:eastAsia="Arial" w:hAnsi="Arial"/>
          <w:sz w:val="19"/>
          <w:szCs w:val="19"/>
          <w:color w:val="auto"/>
        </w:rPr>
        <w:t>means each of the following (i) Administrative Agent, (ii) Syndication Agents, (iii) Documentation</w:t>
      </w:r>
      <w:r>
        <w:rPr>
          <w:rFonts w:ascii="Arial" w:cs="Arial" w:eastAsia="Arial" w:hAnsi="Arial"/>
          <w:sz w:val="19"/>
          <w:szCs w:val="19"/>
          <w:b w:val="1"/>
          <w:bCs w:val="1"/>
          <w:color w:val="auto"/>
        </w:rPr>
        <w:t xml:space="preserve"> </w:t>
      </w:r>
      <w:r>
        <w:rPr>
          <w:rFonts w:ascii="Arial" w:cs="Arial" w:eastAsia="Arial" w:hAnsi="Arial"/>
          <w:sz w:val="19"/>
          <w:szCs w:val="19"/>
          <w:color w:val="auto"/>
        </w:rPr>
        <w:t>Agents, (iv) Bookrunners and (v) any other Person appointed under the Credit Documents to serve in an agent or similar capacity.</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“Agent Affiliates” </w:t>
      </w:r>
      <w:r>
        <w:rPr>
          <w:rFonts w:ascii="Arial" w:cs="Arial" w:eastAsia="Arial" w:hAnsi="Arial"/>
          <w:sz w:val="22"/>
          <w:szCs w:val="22"/>
          <w:color w:val="auto"/>
        </w:rPr>
        <w:t>as defined in Section 10.1(b)(iii).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“Aggregate Amounts Due” </w:t>
      </w:r>
      <w:r>
        <w:rPr>
          <w:rFonts w:ascii="Arial" w:cs="Arial" w:eastAsia="Arial" w:hAnsi="Arial"/>
          <w:sz w:val="22"/>
          <w:szCs w:val="22"/>
          <w:color w:val="auto"/>
        </w:rPr>
        <w:t>as defined in Section 2.17.</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“Aggregate Payments” </w:t>
      </w:r>
      <w:r>
        <w:rPr>
          <w:rFonts w:ascii="Arial" w:cs="Arial" w:eastAsia="Arial" w:hAnsi="Arial"/>
          <w:sz w:val="22"/>
          <w:szCs w:val="22"/>
          <w:color w:val="auto"/>
        </w:rPr>
        <w:t>as defined in Section 7.2.</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means this Credit and Guaranty Agreement, as it may be amended, restated, supplemented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459" w:name="page460"/>
    <w:bookmarkEnd w:id="459"/>
    <w:p>
      <w:pPr>
        <w:ind w:left="1300"/>
        <w:spacing w:after="0"/>
        <w:rPr>
          <w:sz w:val="20"/>
          <w:szCs w:val="20"/>
          <w:color w:val="auto"/>
        </w:rPr>
      </w:pPr>
      <w:r>
        <w:rPr>
          <w:rFonts w:ascii="Arial" w:cs="Arial" w:eastAsia="Arial" w:hAnsi="Arial"/>
          <w:sz w:val="22"/>
          <w:szCs w:val="22"/>
          <w:b w:val="1"/>
          <w:bCs w:val="1"/>
          <w:color w:val="auto"/>
        </w:rPr>
        <w:t xml:space="preserve">“Anti-Corruption Laws” </w:t>
      </w:r>
      <w:r>
        <w:rPr>
          <w:rFonts w:ascii="Arial" w:cs="Arial" w:eastAsia="Arial" w:hAnsi="Arial"/>
          <w:sz w:val="22"/>
          <w:szCs w:val="22"/>
          <w:color w:val="auto"/>
        </w:rPr>
        <w:t>as defined in Section 4.25.</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“Applicable Margin” </w:t>
      </w:r>
      <w:r>
        <w:rPr>
          <w:rFonts w:ascii="Arial" w:cs="Arial" w:eastAsia="Arial" w:hAnsi="Arial"/>
          <w:sz w:val="22"/>
          <w:szCs w:val="22"/>
          <w:color w:val="auto"/>
        </w:rPr>
        <w:t>means (i) for Eurodollar Rate Loans, 225 basis point per annum, and (ii) for Base Rate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Loans, 125 basis point per annum, in each case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Spread.</w:t>
      </w:r>
    </w:p>
    <w:p>
      <w:pPr>
        <w:spacing w:after="0" w:line="16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“Applicable Reserve Requirement” </w:t>
      </w:r>
      <w:r>
        <w:rPr>
          <w:rFonts w:ascii="Arial" w:cs="Arial" w:eastAsia="Arial" w:hAnsi="Arial"/>
          <w:sz w:val="19"/>
          <w:szCs w:val="19"/>
          <w:color w:val="auto"/>
        </w:rPr>
        <w:t>means, at any time, for any Eurodollar Rate Loan, the maximum rate,</w:t>
      </w:r>
      <w:r>
        <w:rPr>
          <w:rFonts w:ascii="Arial" w:cs="Arial" w:eastAsia="Arial" w:hAnsi="Arial"/>
          <w:sz w:val="19"/>
          <w:szCs w:val="19"/>
          <w:b w:val="1"/>
          <w:bCs w:val="1"/>
          <w:color w:val="auto"/>
        </w:rPr>
        <w:t xml:space="preserve"> </w:t>
      </w:r>
      <w:r>
        <w:rPr>
          <w:rFonts w:ascii="Arial" w:cs="Arial" w:eastAsia="Arial" w:hAnsi="Arial"/>
          <w:sz w:val="19"/>
          <w:szCs w:val="19"/>
          <w:color w:val="auto"/>
        </w:rPr>
        <w:t>expressed as a decimal, at which reserves (including any basic marginal, special, supplemental, emergency or other reserves) are required to be maintained with respect thereto against “Eurocurrency liabilities” (as such term is defined in Regulation D) under regulations issued from time to time by the Board of Governors or other applicable banking regulator. Without limiting the effect of the foregoing, the Applicable Reserve Requirement shall reflect any other reserves required to be maintained by such member banks with respect to (i) any category of liabilities which includes deposits by reference to which the applicable Adjusted Eurodollar Rate or any other interest rate of a Loan is to be determined, or (ii) any category of extensions of credit or other assets which include Eurodollar Rate Loans. A Eurodollar Rate Loan shall be deemed to constitute Eurocurrency liabilities and as such shall be deemed subject to reserve requirements without benefits of credit for proration, exceptions or offsets that may be available from time to time to the applicable Lender. The rate of interest on Eurodollar Rate Loans shall be adjusted automatically on and as of the effective date of any change in the Applicable Reserve Requirement.</w:t>
      </w:r>
    </w:p>
    <w:p>
      <w:pPr>
        <w:spacing w:after="0" w:line="15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“Approved Electronic Communications” </w:t>
      </w:r>
      <w:r>
        <w:rPr>
          <w:rFonts w:ascii="Arial" w:cs="Arial" w:eastAsia="Arial" w:hAnsi="Arial"/>
          <w:sz w:val="22"/>
          <w:szCs w:val="22"/>
          <w:color w:val="auto"/>
        </w:rPr>
        <w:t>means any notice, demand, communication, information, document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material that any Credit Party provides to Administrative Agent pursuant to any Credit Document or the transactions contemplated therein which is distributed to Agents or Lenders by means of electronic communications pursuant to Section 10.1(b).</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“Arranger” </w:t>
      </w:r>
      <w:r>
        <w:rPr>
          <w:rFonts w:ascii="Arial" w:cs="Arial" w:eastAsia="Arial" w:hAnsi="Arial"/>
          <w:sz w:val="22"/>
          <w:szCs w:val="22"/>
          <w:color w:val="auto"/>
        </w:rPr>
        <w:t>as defined in the preamble hereto.</w:t>
      </w:r>
    </w:p>
    <w:p>
      <w:pPr>
        <w:spacing w:after="0" w:line="22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“Asset Sale” </w:t>
      </w:r>
      <w:r>
        <w:rPr>
          <w:rFonts w:ascii="Arial" w:cs="Arial" w:eastAsia="Arial" w:hAnsi="Arial"/>
          <w:sz w:val="19"/>
          <w:szCs w:val="19"/>
          <w:color w:val="auto"/>
        </w:rPr>
        <w:t>means a sale, lease or sub-lease (as lessor or sublessor), sale and leaseback, assignment, conveyance,</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license (as licensor or sublicensor), transfer or other disposition to, or any exchange of property with, any Person (other than the Borrower or any Guarantor), in one transaction or a series of transactions, of all or any part of the Borrower’s or any of its Subsidiaries’ businesses, assets or properties of any kind, whether real, personal, or mixed and whether tangible or intangible, whether now owned or hereafter acquired, leased or licensed, including the Equity Interests of any of the Borrower’s Subsidiaries, other than (i) inventory (or other assets) sold, leased or licensed out in the ordinary course of business (excluding any such sales, leases or licenses out by operations or divisions discontinued or to be discontinued), (ii) sales, leases or licenses out of other assets for aggregate consideration of less than $5,000,000 with respect to any transaction or series of related transactions and less than $20,000,000 in the aggregate during any Fiscal Year and (iii) the issuance or sale of Equity Interests in, or Indebtedness or other securities of, an Unrestricted Subsidiary.</w:t>
      </w:r>
    </w:p>
    <w:p>
      <w:pPr>
        <w:spacing w:after="0" w:line="15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b w:val="1"/>
          <w:bCs w:val="1"/>
          <w:color w:val="auto"/>
        </w:rPr>
        <w:t xml:space="preserve">“Assignment Agreement” </w:t>
      </w:r>
      <w:r>
        <w:rPr>
          <w:rFonts w:ascii="Arial" w:cs="Arial" w:eastAsia="Arial" w:hAnsi="Arial"/>
          <w:sz w:val="21"/>
          <w:szCs w:val="21"/>
          <w:color w:val="auto"/>
        </w:rPr>
        <w:t>means an Assignment and Assumption Agreement substantially in the form of Exhibit</w:t>
      </w:r>
      <w:r>
        <w:rPr>
          <w:rFonts w:ascii="Arial" w:cs="Arial" w:eastAsia="Arial" w:hAnsi="Arial"/>
          <w:sz w:val="21"/>
          <w:szCs w:val="21"/>
          <w:b w:val="1"/>
          <w:bCs w:val="1"/>
          <w:color w:val="auto"/>
        </w:rPr>
        <w:t xml:space="preserve"> </w:t>
      </w:r>
      <w:r>
        <w:rPr>
          <w:rFonts w:ascii="Arial" w:cs="Arial" w:eastAsia="Arial" w:hAnsi="Arial"/>
          <w:sz w:val="21"/>
          <w:szCs w:val="21"/>
          <w:color w:val="auto"/>
        </w:rPr>
        <w:t>D, with such amendments or modifications as may be approved by Administrative Agent and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460" w:name="page461"/>
    <w:bookmarkEnd w:id="460"/>
    <w:p>
      <w:pPr>
        <w:ind w:left="1300"/>
        <w:spacing w:after="0"/>
        <w:rPr>
          <w:sz w:val="20"/>
          <w:szCs w:val="20"/>
          <w:color w:val="auto"/>
        </w:rPr>
      </w:pPr>
      <w:r>
        <w:rPr>
          <w:rFonts w:ascii="Arial" w:cs="Arial" w:eastAsia="Arial" w:hAnsi="Arial"/>
          <w:sz w:val="22"/>
          <w:szCs w:val="22"/>
          <w:b w:val="1"/>
          <w:bCs w:val="1"/>
          <w:color w:val="auto"/>
        </w:rPr>
        <w:t xml:space="preserve">“Assignment Effective Date” </w:t>
      </w:r>
      <w:r>
        <w:rPr>
          <w:rFonts w:ascii="Arial" w:cs="Arial" w:eastAsia="Arial" w:hAnsi="Arial"/>
          <w:sz w:val="22"/>
          <w:szCs w:val="22"/>
          <w:color w:val="auto"/>
        </w:rPr>
        <w:t>as defined in Section 10.6(b).</w:t>
      </w:r>
    </w:p>
    <w:p>
      <w:pPr>
        <w:spacing w:after="0" w:line="22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“Authorized Officer” </w:t>
      </w:r>
      <w:r>
        <w:rPr>
          <w:rFonts w:ascii="Arial" w:cs="Arial" w:eastAsia="Arial" w:hAnsi="Arial"/>
          <w:sz w:val="21"/>
          <w:szCs w:val="21"/>
          <w:color w:val="auto"/>
        </w:rPr>
        <w:t>means, as applied to any Person, any individual holding the position of chairman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board (if an officer), chief executive officer, president, vice president (or the equivalent thereof), chief financial officer or treasurer of such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secretary or assistant secretary of such Person shall have delivered an incumbency certificate to Administrative Agent as to the authority of such Authorized Officer.</w:t>
      </w:r>
    </w:p>
    <w:p>
      <w:pPr>
        <w:spacing w:after="0" w:line="16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“Bankruptcy Code” </w:t>
      </w:r>
      <w:r>
        <w:rPr>
          <w:rFonts w:ascii="Arial" w:cs="Arial" w:eastAsia="Arial" w:hAnsi="Arial"/>
          <w:sz w:val="22"/>
          <w:szCs w:val="22"/>
          <w:color w:val="auto"/>
        </w:rPr>
        <w:t>means Title 11 of the United States Code entitled “Bankruptcy,” as now and hereafter in</w:t>
      </w:r>
      <w:r>
        <w:rPr>
          <w:rFonts w:ascii="Arial" w:cs="Arial" w:eastAsia="Arial" w:hAnsi="Arial"/>
          <w:sz w:val="22"/>
          <w:szCs w:val="22"/>
          <w:b w:val="1"/>
          <w:bCs w:val="1"/>
          <w:color w:val="auto"/>
        </w:rPr>
        <w:t xml:space="preserve"> </w:t>
      </w:r>
      <w:r>
        <w:rPr>
          <w:rFonts w:ascii="Arial" w:cs="Arial" w:eastAsia="Arial" w:hAnsi="Arial"/>
          <w:sz w:val="22"/>
          <w:szCs w:val="22"/>
          <w:color w:val="auto"/>
        </w:rPr>
        <w:t>effect, or any successor statute.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“Base Rate” </w:t>
      </w:r>
      <w:r>
        <w:rPr>
          <w:rFonts w:ascii="Arial" w:cs="Arial" w:eastAsia="Arial" w:hAnsi="Arial"/>
          <w:sz w:val="19"/>
          <w:szCs w:val="19"/>
          <w:color w:val="auto"/>
        </w:rPr>
        <w:t>means, for any day, a rate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per annum</w:t>
      </w:r>
      <w:r>
        <w:rPr>
          <w:rFonts w:ascii="Arial" w:cs="Arial" w:eastAsia="Arial" w:hAnsi="Arial"/>
          <w:sz w:val="19"/>
          <w:szCs w:val="19"/>
          <w:b w:val="1"/>
          <w:bCs w:val="1"/>
          <w:color w:val="auto"/>
        </w:rPr>
        <w:t xml:space="preserve"> </w:t>
      </w:r>
      <w:r>
        <w:rPr>
          <w:rFonts w:ascii="Arial" w:cs="Arial" w:eastAsia="Arial" w:hAnsi="Arial"/>
          <w:sz w:val="19"/>
          <w:szCs w:val="19"/>
          <w:color w:val="auto"/>
        </w:rPr>
        <w:t>equal to the greatest of (i) the Prime Rate in effect on such day,</w:t>
      </w:r>
    </w:p>
    <w:p>
      <w:pPr>
        <w:spacing w:after="0" w:line="62" w:lineRule="exact"/>
        <w:rPr>
          <w:sz w:val="20"/>
          <w:szCs w:val="20"/>
          <w:color w:val="auto"/>
        </w:rPr>
      </w:pPr>
    </w:p>
    <w:p>
      <w:pPr>
        <w:jc w:val="both"/>
        <w:ind w:firstLine="8"/>
        <w:spacing w:after="0" w:line="292" w:lineRule="auto"/>
        <w:tabs>
          <w:tab w:leader="none" w:pos="336" w:val="left"/>
        </w:tabs>
        <w:numPr>
          <w:ilvl w:val="0"/>
          <w:numId w:val="334"/>
        </w:numPr>
        <w:rPr>
          <w:rFonts w:ascii="Arial" w:cs="Arial" w:eastAsia="Arial" w:hAnsi="Arial"/>
          <w:sz w:val="19"/>
          <w:szCs w:val="19"/>
          <w:color w:val="auto"/>
        </w:rPr>
      </w:pPr>
      <w:r>
        <w:rPr>
          <w:rFonts w:ascii="Arial" w:cs="Arial" w:eastAsia="Arial" w:hAnsi="Arial"/>
          <w:sz w:val="19"/>
          <w:szCs w:val="19"/>
          <w:color w:val="auto"/>
        </w:rPr>
        <w:t>the Federal Funds Effective Rate in effect on such day plus ½ of 1% and (iii) the sum of (a) the Adjusted Eurodollar Rate (after giving effect to any Adjusted Eurodollar Rate “floor”) that would be payable on such day for a Eurodollar Rate Loan with a one-month interest period plus (b) the difference between the Applicable Margin for Eurodollar Rate Loans and the Applicable Margin for Base Rate Loans. Any change in the Base Rate due to a change in the Prime Rate or the Federal Funds Effective Rate shall be effective on the effective day of such change in the Prime Rate or the Federal Funds Effective Rate, respectively.</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“Base Rate Loan” </w:t>
      </w:r>
      <w:r>
        <w:rPr>
          <w:rFonts w:ascii="Arial" w:cs="Arial" w:eastAsia="Arial" w:hAnsi="Arial"/>
          <w:sz w:val="21"/>
          <w:szCs w:val="21"/>
          <w:color w:val="auto"/>
        </w:rPr>
        <w:t>means a Loan bearing interest at a rate determined by reference to the Base Rate.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“Beneficiary” </w:t>
      </w:r>
      <w:r>
        <w:rPr>
          <w:rFonts w:ascii="Arial" w:cs="Arial" w:eastAsia="Arial" w:hAnsi="Arial"/>
          <w:sz w:val="22"/>
          <w:szCs w:val="22"/>
          <w:color w:val="auto"/>
        </w:rPr>
        <w:t>means each Agent and Lender.</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“Benefit Plan” </w:t>
      </w:r>
      <w:r>
        <w:rPr>
          <w:rFonts w:ascii="Arial" w:cs="Arial" w:eastAsia="Arial" w:hAnsi="Arial"/>
          <w:sz w:val="22"/>
          <w:szCs w:val="22"/>
          <w:color w:val="auto"/>
        </w:rPr>
        <w:t>means any of (a) an “employee benefit plan” (as defined in ERISA) that is subject to Title I of</w:t>
      </w:r>
      <w:r>
        <w:rPr>
          <w:rFonts w:ascii="Arial" w:cs="Arial" w:eastAsia="Arial" w:hAnsi="Arial"/>
          <w:sz w:val="22"/>
          <w:szCs w:val="22"/>
          <w:b w:val="1"/>
          <w:bCs w:val="1"/>
          <w:color w:val="auto"/>
        </w:rPr>
        <w:t xml:space="preserve"> </w:t>
      </w:r>
      <w:r>
        <w:rPr>
          <w:rFonts w:ascii="Arial" w:cs="Arial" w:eastAsia="Arial" w:hAnsi="Arial"/>
          <w:sz w:val="22"/>
          <w:szCs w:val="22"/>
          <w:color w:val="auto"/>
        </w:rPr>
        <w:t>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“Board of Governors” </w:t>
      </w:r>
      <w:r>
        <w:rPr>
          <w:rFonts w:ascii="Arial" w:cs="Arial" w:eastAsia="Arial" w:hAnsi="Arial"/>
          <w:sz w:val="22"/>
          <w:szCs w:val="22"/>
          <w:color w:val="auto"/>
        </w:rPr>
        <w:t>means the Board of Governors of the United States Federal Reserve System,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thereto.</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“Bookrunners” </w:t>
      </w:r>
      <w:r>
        <w:rPr>
          <w:rFonts w:ascii="Arial" w:cs="Arial" w:eastAsia="Arial" w:hAnsi="Arial"/>
          <w:sz w:val="22"/>
          <w:szCs w:val="22"/>
          <w:color w:val="auto"/>
        </w:rPr>
        <w:t>means the Arrangers, in their capacity as lead arrangers and bookrunners.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“Borrower” </w:t>
      </w:r>
      <w:r>
        <w:rPr>
          <w:rFonts w:ascii="Arial" w:cs="Arial" w:eastAsia="Arial" w:hAnsi="Arial"/>
          <w:sz w:val="22"/>
          <w:szCs w:val="22"/>
          <w:color w:val="auto"/>
        </w:rPr>
        <w:t>as defined in the preamble hereto.</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 (i) any day excluding Saturday, Sunday and any day which is a legal holiday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laws of the State of New York or is a day on which banking institutions located in such state are authorized or required by law or other governmental action to close and (ii) with respect to all notices, determinations, fundings and payments in connection with the Adjusted Eurodollar Rate or any Eurodollar Rate Loans, the term </w:t>
      </w:r>
      <w:r>
        <w:rPr>
          <w:rFonts w:ascii="Arial" w:cs="Arial" w:eastAsia="Arial" w:hAnsi="Arial"/>
          <w:sz w:val="22"/>
          <w:szCs w:val="22"/>
          <w:b w:val="1"/>
          <w:bCs w:val="1"/>
          <w:color w:val="auto"/>
        </w:rPr>
        <w:t>“Business Day”</w:t>
      </w:r>
      <w:r>
        <w:rPr>
          <w:rFonts w:ascii="Arial" w:cs="Arial" w:eastAsia="Arial" w:hAnsi="Arial"/>
          <w:sz w:val="22"/>
          <w:szCs w:val="22"/>
          <w:color w:val="auto"/>
        </w:rPr>
        <w:t xml:space="preserve"> means any day which is a Business Day described in clause (i) and which is also a day for trading by and between banks in Dollar deposits in the London interbank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461" w:name="page462"/>
    <w:bookmarkEnd w:id="461"/>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“Capital Lease” </w:t>
      </w:r>
      <w:r>
        <w:rPr>
          <w:rFonts w:ascii="Arial" w:cs="Arial" w:eastAsia="Arial" w:hAnsi="Arial"/>
          <w:sz w:val="22"/>
          <w:szCs w:val="22"/>
          <w:color w:val="auto"/>
        </w:rPr>
        <w:t>means, as applied to any Person, any lease of any property (whether real, personal or mixed) by</w:t>
      </w:r>
      <w:r>
        <w:rPr>
          <w:rFonts w:ascii="Arial" w:cs="Arial" w:eastAsia="Arial" w:hAnsi="Arial"/>
          <w:sz w:val="22"/>
          <w:szCs w:val="22"/>
          <w:b w:val="1"/>
          <w:bCs w:val="1"/>
          <w:color w:val="auto"/>
        </w:rPr>
        <w:t xml:space="preserve"> </w:t>
      </w:r>
      <w:r>
        <w:rPr>
          <w:rFonts w:ascii="Arial" w:cs="Arial" w:eastAsia="Arial" w:hAnsi="Arial"/>
          <w:sz w:val="22"/>
          <w:szCs w:val="22"/>
          <w:color w:val="auto"/>
        </w:rPr>
        <w:t>that Person as lessee that, in conformity with GAAP, is or should be accounted for as a capital lease on the balance sheet of that Person.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“Cash” </w:t>
      </w:r>
      <w:r>
        <w:rPr>
          <w:rFonts w:ascii="Arial" w:cs="Arial" w:eastAsia="Arial" w:hAnsi="Arial"/>
          <w:sz w:val="22"/>
          <w:szCs w:val="22"/>
          <w:color w:val="auto"/>
        </w:rPr>
        <w:t>means money, currency or a credit balance in any demand or Deposit Account.</w:t>
      </w:r>
    </w:p>
    <w:p>
      <w:pPr>
        <w:spacing w:after="0" w:line="220"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b w:val="1"/>
          <w:bCs w:val="1"/>
          <w:color w:val="auto"/>
        </w:rPr>
        <w:t xml:space="preserve">“Cash Equivalents” </w:t>
      </w:r>
      <w:r>
        <w:rPr>
          <w:rFonts w:ascii="Arial" w:cs="Arial" w:eastAsia="Arial" w:hAnsi="Arial"/>
          <w:sz w:val="19"/>
          <w:szCs w:val="19"/>
          <w:color w:val="auto"/>
        </w:rPr>
        <w:t>means, as at any date of determination, any of the following: (i) marketable securities (a)</w:t>
      </w:r>
      <w:r>
        <w:rPr>
          <w:rFonts w:ascii="Arial" w:cs="Arial" w:eastAsia="Arial" w:hAnsi="Arial"/>
          <w:sz w:val="19"/>
          <w:szCs w:val="19"/>
          <w:b w:val="1"/>
          <w:bCs w:val="1"/>
          <w:color w:val="auto"/>
        </w:rPr>
        <w:t xml:space="preserve"> </w:t>
      </w:r>
      <w:r>
        <w:rPr>
          <w:rFonts w:ascii="Arial" w:cs="Arial" w:eastAsia="Arial" w:hAnsi="Arial"/>
          <w:sz w:val="19"/>
          <w:szCs w:val="19"/>
          <w:color w:val="auto"/>
        </w:rPr>
        <w:t>issued or directly and unconditionally guaranteed as to interest and principal by the United States Government or (b) issued by any agency of the United States the obligations of which are backed by the full faith and credit of the United States, in the case of each of subclauses (a) and (b), maturing within one year after such date; (ii)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A-2 from S&amp;P or at least P-2 from Moody’s; (iii) commercial paper maturing no more than one year from the date of creation thereof and having, at the time of the acquisition thereof, a rating of at least A-2 from S&amp;P or at least P-2 from Moody’s; (iv) certificates of deposit or bankers’ acceptances (or, in the case of Foreign Subsidiaries, the foreign equivalent) maturing within one year after such date and issued or accepted by any Lender or by any commercial bank organized under the laws of the United States of America or any state thereof or the District of Columbia that (a) is at least “adequately capitalized” (as defined in the regulations of its primary Federal banking regulator) and (b) has Tier 1 capital (as defined in such regulations) of not less than $250,000,000 (or, in the case of Foreign Subsidiaries, any local office of any commercial bank organized under the law of the relevant jurisdiction or any political subdivision thereof which has combined capital and surplus and undivided profits in excess of $250,000,000 or the foreign currency equivalent); (v) repurchase obligations for underlying securities of the types described in clauses (i) through (iv) above; and (vi) shares of any money market mutual fund that (a) has substantially all of its assets invested continuously in the types of investments referred to in clauses (i) and (ii) above, (b) has net assets of not less than $500,000,000, and (c) has one of the two highest ratings obtainable from either S&amp;P or Moody’s. In the case of any Investment by any Foreign Subsidiary of the Borrower, “Cash Equivalents” shall also include: (x) direct obligations of the sovereign nation (or any agency thereof) in which such Foreign Subsidiary is organized and is conducting business or in obligations fully and unconditionally guaranteed by such sovereign nation (or any agency thereof), in each case, maturing within a year after such date and having, at the time of the acquisition thereof, a rating equivalent to at least A-2 from S&amp;P and at least P-2 from Moody’s, (y) investments of the type and maturity described in clauses (i) through (vi) above of foreign obligors, which Investments or obligors (or the parents of such obligors) have ratings described in such clauses or equivalent ratings from comparable foreign rating agencies and (z) shares of any money market mutual or similar fund that has substantially all its assets invested continuously in the types of investments otherwise satisfying the requirements of this definition.</w:t>
      </w:r>
    </w:p>
    <w:p>
      <w:pPr>
        <w:spacing w:after="0" w:line="200" w:lineRule="exact"/>
        <w:rPr>
          <w:sz w:val="20"/>
          <w:szCs w:val="20"/>
          <w:color w:val="auto"/>
        </w:rPr>
      </w:pPr>
    </w:p>
    <w:p>
      <w:pPr>
        <w:spacing w:after="0" w:line="22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“Change in Law” </w:t>
      </w:r>
      <w:r>
        <w:rPr>
          <w:rFonts w:ascii="Arial" w:cs="Arial" w:eastAsia="Arial" w:hAnsi="Arial"/>
          <w:sz w:val="22"/>
          <w:szCs w:val="22"/>
          <w:color w:val="auto"/>
        </w:rPr>
        <w:t>means the occurrence, after the date of this Agreement, of any of the following: (a) the</w:t>
      </w:r>
      <w:r>
        <w:rPr>
          <w:rFonts w:ascii="Arial" w:cs="Arial" w:eastAsia="Arial" w:hAnsi="Arial"/>
          <w:sz w:val="22"/>
          <w:szCs w:val="22"/>
          <w:b w:val="1"/>
          <w:bCs w:val="1"/>
          <w:color w:val="auto"/>
        </w:rPr>
        <w:t xml:space="preserve"> </w:t>
      </w:r>
      <w:r>
        <w:rPr>
          <w:rFonts w:ascii="Arial" w:cs="Arial" w:eastAsia="Arial" w:hAnsi="Arial"/>
          <w:sz w:val="22"/>
          <w:szCs w:val="22"/>
          <w:color w:val="auto"/>
        </w:rPr>
        <w:t>adoption or taking effect of any law, rule, regulation or treaty, (b)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462" w:name="page463"/>
    <w:bookmarkEnd w:id="462"/>
    <w:p>
      <w:pPr>
        <w:jc w:val="both"/>
        <w:spacing w:after="0" w:line="259" w:lineRule="auto"/>
        <w:rPr>
          <w:sz w:val="20"/>
          <w:szCs w:val="20"/>
          <w:color w:val="auto"/>
        </w:rPr>
      </w:pPr>
      <w:r>
        <w:rPr>
          <w:rFonts w:ascii="Arial" w:cs="Arial" w:eastAsia="Arial" w:hAnsi="Arial"/>
          <w:sz w:val="21"/>
          <w:szCs w:val="21"/>
          <w:color w:val="auto"/>
        </w:rPr>
        <w:t xml:space="preserve">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“Change of Control” </w:t>
      </w:r>
      <w:r>
        <w:rPr>
          <w:rFonts w:ascii="Arial" w:cs="Arial" w:eastAsia="Arial" w:hAnsi="Arial"/>
          <w:sz w:val="21"/>
          <w:szCs w:val="21"/>
          <w:color w:val="auto"/>
        </w:rPr>
        <w:t>means, (i) any Person or “group” (within the meaning of Rules 13d-3 and 13d-5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Exchange Act) other than Parent shall have acquired beneficial ownership of Equity Interests representing more than 35% of the aggregate ordinary voting power for the election of directors represented by the issued and outstanding Equity Interests of the Borrower and the percentage of aggregate ordinary voting power for the election of directors so acquired is in excess of the percentage of the aggregate ordinary voting power for the election of directors represented by the Equity Interests beneficially owned by the Parent at such time; or (ii) any “change of control” or similar event under the Senior Credit Agreement or the documentation relating to the Permanent Debt shall occur.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of Control Acceptance Notice” </w:t>
      </w:r>
      <w:r>
        <w:rPr>
          <w:rFonts w:ascii="Arial" w:cs="Arial" w:eastAsia="Arial" w:hAnsi="Arial"/>
          <w:sz w:val="22"/>
          <w:szCs w:val="22"/>
          <w:color w:val="auto"/>
        </w:rPr>
        <w:t>as defined in Section 2.14(e).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of Control Payment Date” </w:t>
      </w:r>
      <w:r>
        <w:rPr>
          <w:rFonts w:ascii="Arial" w:cs="Arial" w:eastAsia="Arial" w:hAnsi="Arial"/>
          <w:sz w:val="22"/>
          <w:szCs w:val="22"/>
          <w:color w:val="auto"/>
        </w:rPr>
        <w:t>as defined in Section 2.14(e).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“Change of Control Prepayment Offer” </w:t>
      </w:r>
      <w:r>
        <w:rPr>
          <w:rFonts w:ascii="Arial" w:cs="Arial" w:eastAsia="Arial" w:hAnsi="Arial"/>
          <w:sz w:val="22"/>
          <w:szCs w:val="22"/>
          <w:color w:val="auto"/>
        </w:rPr>
        <w:t>as defined in Section 2.14(e).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“Closing Date” </w:t>
      </w:r>
      <w:r>
        <w:rPr>
          <w:rFonts w:ascii="Arial" w:cs="Arial" w:eastAsia="Arial" w:hAnsi="Arial"/>
          <w:sz w:val="22"/>
          <w:szCs w:val="22"/>
          <w:color w:val="auto"/>
        </w:rPr>
        <w:t>means the date on which the Term Loans are made.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“Closing Date Certificate” </w:t>
      </w:r>
      <w:r>
        <w:rPr>
          <w:rFonts w:ascii="Arial" w:cs="Arial" w:eastAsia="Arial" w:hAnsi="Arial"/>
          <w:sz w:val="22"/>
          <w:szCs w:val="22"/>
          <w:color w:val="auto"/>
        </w:rPr>
        <w:t>means a Closing Date Certificate substantially in the form of Exhibit F-1.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“Commitment” </w:t>
      </w:r>
      <w:r>
        <w:rPr>
          <w:rFonts w:ascii="Arial" w:cs="Arial" w:eastAsia="Arial" w:hAnsi="Arial"/>
          <w:sz w:val="22"/>
          <w:szCs w:val="22"/>
          <w:color w:val="auto"/>
        </w:rPr>
        <w:t>means any Term Loan Commitment.</w:t>
      </w:r>
    </w:p>
    <w:p>
      <w:pPr>
        <w:spacing w:after="0" w:line="220"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b w:val="1"/>
          <w:bCs w:val="1"/>
          <w:color w:val="auto"/>
        </w:rPr>
        <w:t xml:space="preserve">“Commodity Exchange Act” </w:t>
      </w:r>
      <w:r>
        <w:rPr>
          <w:rFonts w:ascii="Arial" w:cs="Arial" w:eastAsia="Arial" w:hAnsi="Arial"/>
          <w:sz w:val="22"/>
          <w:szCs w:val="22"/>
          <w:color w:val="auto"/>
        </w:rPr>
        <w:t>means the Commodity Exchange Act (7 U.S.C. § 1</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et seq</w:t>
      </w:r>
      <w:r>
        <w:rPr>
          <w:rFonts w:ascii="Arial" w:cs="Arial" w:eastAsia="Arial" w:hAnsi="Arial"/>
          <w:sz w:val="22"/>
          <w:szCs w:val="22"/>
          <w:color w:val="auto"/>
        </w:rPr>
        <w:t>.), as amended from time</w:t>
      </w:r>
      <w:r>
        <w:rPr>
          <w:rFonts w:ascii="Arial" w:cs="Arial" w:eastAsia="Arial" w:hAnsi="Arial"/>
          <w:sz w:val="22"/>
          <w:szCs w:val="22"/>
          <w:b w:val="1"/>
          <w:bCs w:val="1"/>
          <w:color w:val="auto"/>
        </w:rPr>
        <w:t xml:space="preserve"> </w:t>
      </w:r>
      <w:r>
        <w:rPr>
          <w:rFonts w:ascii="Arial" w:cs="Arial" w:eastAsia="Arial" w:hAnsi="Arial"/>
          <w:sz w:val="22"/>
          <w:szCs w:val="22"/>
          <w:color w:val="auto"/>
        </w:rPr>
        <w:t>to time, and any successor statute.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“Compliance Certificate” </w:t>
      </w:r>
      <w:r>
        <w:rPr>
          <w:rFonts w:ascii="Arial" w:cs="Arial" w:eastAsia="Arial" w:hAnsi="Arial"/>
          <w:sz w:val="22"/>
          <w:szCs w:val="22"/>
          <w:color w:val="auto"/>
        </w:rPr>
        <w:t>means a Compliance Certificate substantially in the form of Exhibit C.</w:t>
      </w:r>
    </w:p>
    <w:p>
      <w:pPr>
        <w:spacing w:after="0" w:line="220" w:lineRule="exact"/>
        <w:rPr>
          <w:sz w:val="20"/>
          <w:szCs w:val="20"/>
          <w:color w:val="auto"/>
        </w:rPr>
      </w:pPr>
    </w:p>
    <w:p>
      <w:pPr>
        <w:ind w:right="48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b w:val="1"/>
          <w:bCs w:val="1"/>
          <w:color w:val="auto"/>
        </w:rPr>
        <w:t xml:space="preserve">“Consolidated Adjusted EBITDA” </w:t>
      </w:r>
      <w:r>
        <w:rPr>
          <w:rFonts w:ascii="Arial" w:cs="Arial" w:eastAsia="Arial" w:hAnsi="Arial"/>
          <w:sz w:val="22"/>
          <w:szCs w:val="22"/>
          <w:color w:val="auto"/>
        </w:rPr>
        <w:t>means, for any period, an amount determined for the Borrower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on a consolidated basis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7" w:right="339" w:bottom="1440" w:gutter="0" w:footer="0" w:header="0"/>
        </w:sectPr>
      </w:pPr>
    </w:p>
    <w:bookmarkStart w:id="463" w:name="page464"/>
    <w:bookmarkEnd w:id="463"/>
    <w:p>
      <w:pPr>
        <w:ind w:left="1560" w:hanging="256"/>
        <w:spacing w:after="0"/>
        <w:tabs>
          <w:tab w:leader="none" w:pos="1560" w:val="left"/>
        </w:tabs>
        <w:numPr>
          <w:ilvl w:val="0"/>
          <w:numId w:val="335"/>
        </w:numPr>
        <w:rPr>
          <w:rFonts w:ascii="Arial" w:cs="Arial" w:eastAsia="Arial" w:hAnsi="Arial"/>
          <w:sz w:val="19"/>
          <w:szCs w:val="19"/>
          <w:color w:val="auto"/>
        </w:rPr>
      </w:pPr>
      <w:r>
        <w:rPr>
          <w:rFonts w:ascii="Arial" w:cs="Arial" w:eastAsia="Arial" w:hAnsi="Arial"/>
          <w:sz w:val="19"/>
          <w:szCs w:val="19"/>
          <w:color w:val="auto"/>
        </w:rPr>
        <w:t xml:space="preserve">Consolidated Net Income, </w:t>
      </w:r>
      <w:r>
        <w:rPr>
          <w:rFonts w:ascii="Arial" w:cs="Arial" w:eastAsia="Arial" w:hAnsi="Arial"/>
          <w:sz w:val="19"/>
          <w:szCs w:val="19"/>
          <w:u w:val="single" w:color="auto"/>
          <w:color w:val="auto"/>
        </w:rPr>
        <w:t>plus</w:t>
      </w:r>
      <w:r>
        <w:rPr>
          <w:rFonts w:ascii="Arial" w:cs="Arial" w:eastAsia="Arial" w:hAnsi="Arial"/>
          <w:sz w:val="19"/>
          <w:szCs w:val="19"/>
          <w:color w:val="auto"/>
        </w:rPr>
        <w:t>, to the extent reducing Consolidated Net Income, the sum, without duplication,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amounts for:</w:t>
      </w:r>
    </w:p>
    <w:p>
      <w:pPr>
        <w:spacing w:after="0" w:line="201" w:lineRule="exact"/>
        <w:rPr>
          <w:rFonts w:ascii="Arial" w:cs="Arial" w:eastAsia="Arial" w:hAnsi="Arial"/>
          <w:sz w:val="19"/>
          <w:szCs w:val="19"/>
          <w:color w:val="auto"/>
        </w:rPr>
      </w:pPr>
    </w:p>
    <w:p>
      <w:pPr>
        <w:ind w:left="2080" w:hanging="452"/>
        <w:spacing w:after="0"/>
        <w:tabs>
          <w:tab w:leader="none" w:pos="208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consolidated interest expense;</w:t>
      </w:r>
    </w:p>
    <w:p>
      <w:pPr>
        <w:spacing w:after="0" w:line="219" w:lineRule="exact"/>
        <w:rPr>
          <w:rFonts w:ascii="Arial" w:cs="Arial" w:eastAsia="Arial" w:hAnsi="Arial"/>
          <w:sz w:val="22"/>
          <w:szCs w:val="22"/>
          <w:color w:val="auto"/>
        </w:rPr>
      </w:pPr>
    </w:p>
    <w:p>
      <w:pPr>
        <w:ind w:left="2100" w:hanging="472"/>
        <w:spacing w:after="0"/>
        <w:tabs>
          <w:tab w:leader="none" w:pos="21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provisions for taxes based on income;</w:t>
      </w:r>
    </w:p>
    <w:p>
      <w:pPr>
        <w:spacing w:after="0" w:line="219" w:lineRule="exact"/>
        <w:rPr>
          <w:rFonts w:ascii="Arial" w:cs="Arial" w:eastAsia="Arial" w:hAnsi="Arial"/>
          <w:sz w:val="22"/>
          <w:szCs w:val="22"/>
          <w:color w:val="auto"/>
        </w:rPr>
      </w:pPr>
    </w:p>
    <w:p>
      <w:pPr>
        <w:ind w:left="2080" w:hanging="452"/>
        <w:spacing w:after="0"/>
        <w:tabs>
          <w:tab w:leader="none" w:pos="208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total depreciation expense;</w:t>
      </w:r>
    </w:p>
    <w:p>
      <w:pPr>
        <w:spacing w:after="0" w:line="219" w:lineRule="exact"/>
        <w:rPr>
          <w:rFonts w:ascii="Arial" w:cs="Arial" w:eastAsia="Arial" w:hAnsi="Arial"/>
          <w:sz w:val="22"/>
          <w:szCs w:val="22"/>
          <w:color w:val="auto"/>
        </w:rPr>
      </w:pPr>
    </w:p>
    <w:p>
      <w:pPr>
        <w:ind w:left="2100" w:hanging="472"/>
        <w:spacing w:after="0"/>
        <w:tabs>
          <w:tab w:leader="none" w:pos="21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total amortization expense;</w:t>
      </w:r>
    </w:p>
    <w:p>
      <w:pPr>
        <w:spacing w:after="0" w:line="219" w:lineRule="exact"/>
        <w:rPr>
          <w:rFonts w:ascii="Arial" w:cs="Arial" w:eastAsia="Arial" w:hAnsi="Arial"/>
          <w:sz w:val="22"/>
          <w:szCs w:val="22"/>
          <w:color w:val="auto"/>
        </w:rPr>
      </w:pPr>
    </w:p>
    <w:p>
      <w:pPr>
        <w:jc w:val="both"/>
        <w:ind w:left="1960" w:hanging="332"/>
        <w:spacing w:after="0" w:line="250" w:lineRule="auto"/>
        <w:tabs>
          <w:tab w:leader="none" w:pos="2369" w:val="left"/>
        </w:tabs>
        <w:numPr>
          <w:ilvl w:val="1"/>
          <w:numId w:val="335"/>
        </w:numPr>
        <w:rPr>
          <w:rFonts w:ascii="Arial" w:cs="Arial" w:eastAsia="Arial" w:hAnsi="Arial"/>
          <w:sz w:val="22"/>
          <w:szCs w:val="22"/>
          <w:color w:val="auto"/>
        </w:rPr>
      </w:pPr>
      <w:r>
        <w:rPr>
          <w:rFonts w:ascii="Arial" w:cs="Arial" w:eastAsia="Arial" w:hAnsi="Arial"/>
          <w:sz w:val="22"/>
          <w:szCs w:val="22"/>
          <w:color w:val="auto"/>
        </w:rPr>
        <w:t>other non-Cash charges, expenses or losses reducing Consolidated Net Income (including any impairment) (excluding any such non-Cash charge to the extent that it represents an accrual or reserve for potential Cash charge in any future period or amortization of a prepaid Cash charge that was paid in a prior period);</w:t>
      </w:r>
    </w:p>
    <w:p>
      <w:pPr>
        <w:spacing w:after="0" w:line="187" w:lineRule="exact"/>
        <w:rPr>
          <w:rFonts w:ascii="Arial" w:cs="Arial" w:eastAsia="Arial" w:hAnsi="Arial"/>
          <w:sz w:val="22"/>
          <w:szCs w:val="22"/>
          <w:color w:val="auto"/>
        </w:rPr>
      </w:pPr>
    </w:p>
    <w:p>
      <w:pPr>
        <w:jc w:val="both"/>
        <w:ind w:left="1960" w:hanging="332"/>
        <w:spacing w:after="0" w:line="250" w:lineRule="auto"/>
        <w:tabs>
          <w:tab w:leader="none" w:pos="2225" w:val="left"/>
        </w:tabs>
        <w:numPr>
          <w:ilvl w:val="1"/>
          <w:numId w:val="335"/>
        </w:numPr>
        <w:rPr>
          <w:rFonts w:ascii="Arial" w:cs="Arial" w:eastAsia="Arial" w:hAnsi="Arial"/>
          <w:sz w:val="22"/>
          <w:szCs w:val="22"/>
          <w:color w:val="auto"/>
        </w:rPr>
      </w:pPr>
      <w:r>
        <w:rPr>
          <w:rFonts w:ascii="Arial" w:cs="Arial" w:eastAsia="Arial" w:hAnsi="Arial"/>
          <w:sz w:val="22"/>
          <w:szCs w:val="22"/>
          <w:color w:val="auto"/>
        </w:rPr>
        <w:t xml:space="preserve">the actual amount of any restructuring charges;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that amounts added back pursuant to this subclause (f), when aggregated with amounts added back pursuant to subclause (g) below, shall not exceed 25% of Consolidated Adjusted EBITDA (calculated before giving effect to such adjustments) during such period;</w:t>
      </w:r>
    </w:p>
    <w:p>
      <w:pPr>
        <w:spacing w:after="0" w:line="187" w:lineRule="exact"/>
        <w:rPr>
          <w:rFonts w:ascii="Arial" w:cs="Arial" w:eastAsia="Arial" w:hAnsi="Arial"/>
          <w:sz w:val="22"/>
          <w:szCs w:val="22"/>
          <w:color w:val="auto"/>
        </w:rPr>
      </w:pPr>
    </w:p>
    <w:p>
      <w:pPr>
        <w:jc w:val="both"/>
        <w:ind w:left="1960" w:hanging="332"/>
        <w:spacing w:after="0" w:line="287" w:lineRule="auto"/>
        <w:tabs>
          <w:tab w:leader="none" w:pos="2222" w:val="left"/>
        </w:tabs>
        <w:numPr>
          <w:ilvl w:val="1"/>
          <w:numId w:val="335"/>
        </w:numPr>
        <w:rPr>
          <w:rFonts w:ascii="Arial" w:cs="Arial" w:eastAsia="Arial" w:hAnsi="Arial"/>
          <w:sz w:val="19"/>
          <w:szCs w:val="19"/>
          <w:color w:val="auto"/>
        </w:rPr>
      </w:pPr>
      <w:r>
        <w:rPr>
          <w:rFonts w:ascii="Arial" w:cs="Arial" w:eastAsia="Arial" w:hAnsi="Arial"/>
          <w:sz w:val="19"/>
          <w:szCs w:val="19"/>
          <w:color w:val="auto"/>
        </w:rPr>
        <w:t xml:space="preserve">the amount of net cost savings and synergies projected by the Borrower in good faith as a result of actions taken or expected to be taken in connection with acquisitions, and dispositions of assets, net of the amount of actual benefits realized during such period from such actions;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(A) such cost savings and synergies are reasonably identifiable and factually supportable, (B) such actions are taken or expected to be taken within twelve (12) months after the consummation of the relevant acquisition or disposition, (C) no cost savings shall be added pursuant to this subclause (g) to the extent duplicative of any such expenses or charges added back pursuant to subclauses (e) above, or (h) below, and (D) the benefits resulting therefrom are anticipated by the Borrower to be realized within twelve (12) months of such actions having been taken, and (E) amounts added back pursuant to this subclause (g), when aggregated with amounts added back pursuant to subclause (f) above, shall not exceed 25% of Consolidated Adjusted EBITDA (calculated before giving effect to such adjustments) during such period;</w:t>
      </w:r>
    </w:p>
    <w:p>
      <w:pPr>
        <w:spacing w:after="0" w:line="163" w:lineRule="exact"/>
        <w:rPr>
          <w:rFonts w:ascii="Arial" w:cs="Arial" w:eastAsia="Arial" w:hAnsi="Arial"/>
          <w:sz w:val="19"/>
          <w:szCs w:val="19"/>
          <w:color w:val="auto"/>
        </w:rPr>
      </w:pPr>
    </w:p>
    <w:p>
      <w:pPr>
        <w:ind w:left="2100" w:hanging="472"/>
        <w:spacing w:after="0"/>
        <w:tabs>
          <w:tab w:leader="none" w:pos="21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all extraordinary, unusual or nonrecurring expenses, losses and charges for such period;</w:t>
      </w:r>
    </w:p>
    <w:p>
      <w:pPr>
        <w:spacing w:after="0" w:line="219" w:lineRule="exact"/>
        <w:rPr>
          <w:rFonts w:ascii="Arial" w:cs="Arial" w:eastAsia="Arial" w:hAnsi="Arial"/>
          <w:sz w:val="22"/>
          <w:szCs w:val="22"/>
          <w:color w:val="auto"/>
        </w:rPr>
      </w:pPr>
    </w:p>
    <w:p>
      <w:pPr>
        <w:ind w:left="1960" w:hanging="332"/>
        <w:spacing w:after="0" w:line="263" w:lineRule="auto"/>
        <w:tabs>
          <w:tab w:leader="none" w:pos="213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expenses, losses and charges relating to the Transactions, the Initial Public Offering or any Asset Sale, regardless of when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464" w:name="page465"/>
    <w:bookmarkEnd w:id="464"/>
    <w:p>
      <w:pPr>
        <w:jc w:val="both"/>
        <w:ind w:left="1960" w:hanging="332"/>
        <w:spacing w:after="0" w:line="302" w:lineRule="auto"/>
        <w:tabs>
          <w:tab w:leader="none" w:pos="2161" w:val="left"/>
        </w:tabs>
        <w:numPr>
          <w:ilvl w:val="0"/>
          <w:numId w:val="336"/>
        </w:numPr>
        <w:rPr>
          <w:rFonts w:ascii="Arial" w:cs="Arial" w:eastAsia="Arial" w:hAnsi="Arial"/>
          <w:sz w:val="19"/>
          <w:szCs w:val="19"/>
          <w:color w:val="auto"/>
        </w:rPr>
      </w:pPr>
      <w:r>
        <w:rPr>
          <w:rFonts w:ascii="Arial" w:cs="Arial" w:eastAsia="Arial" w:hAnsi="Arial"/>
          <w:sz w:val="19"/>
          <w:szCs w:val="19"/>
          <w:color w:val="auto"/>
        </w:rPr>
        <w:t>proceeds of business interruption insurance (whether or not received, so long as the Borrower or any Subsidiary is expected to receive the same within the next four fiscal quarters (it being understood that to the extent not actually received within such four fiscal quarter period, such proceeds shall be deducted in calculating Consolidated Adjusted EBITDA for the next four fiscal quarter period)); and</w:t>
      </w:r>
    </w:p>
    <w:p>
      <w:pPr>
        <w:spacing w:after="0" w:line="142" w:lineRule="exact"/>
        <w:rPr>
          <w:rFonts w:ascii="Arial" w:cs="Arial" w:eastAsia="Arial" w:hAnsi="Arial"/>
          <w:sz w:val="19"/>
          <w:szCs w:val="19"/>
          <w:color w:val="auto"/>
        </w:rPr>
      </w:pPr>
    </w:p>
    <w:p>
      <w:pPr>
        <w:ind w:left="1960" w:hanging="332"/>
        <w:spacing w:after="0" w:line="263" w:lineRule="auto"/>
        <w:tabs>
          <w:tab w:leader="none" w:pos="2183" w:val="left"/>
        </w:tabs>
        <w:numPr>
          <w:ilvl w:val="0"/>
          <w:numId w:val="336"/>
        </w:numPr>
        <w:rPr>
          <w:rFonts w:ascii="Arial" w:cs="Arial" w:eastAsia="Arial" w:hAnsi="Arial"/>
          <w:sz w:val="22"/>
          <w:szCs w:val="22"/>
          <w:color w:val="auto"/>
        </w:rPr>
      </w:pPr>
      <w:r>
        <w:rPr>
          <w:rFonts w:ascii="Arial" w:cs="Arial" w:eastAsia="Arial" w:hAnsi="Arial"/>
          <w:sz w:val="22"/>
          <w:szCs w:val="22"/>
          <w:color w:val="auto"/>
        </w:rPr>
        <w:t>the amount of any minority interest expense deducted from subsidiary income attributable to minority equity interests of third parties in any non-wholly owned subsidiary;</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sum of (a) non-Cash gains increasing Consolidated Net Income for such period (excluding any such non-Cash gain to the extent it represents the reversal of an accrual or reserve for potential Cash gain in any prior period) and (b) all extraordinary, unusual or nonrecurring income or gains for such period.</w:t>
      </w:r>
    </w:p>
    <w:p>
      <w:pPr>
        <w:spacing w:after="0" w:line="179"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“Consolidated Net Interest Expense” </w:t>
      </w:r>
      <w:r>
        <w:rPr>
          <w:rFonts w:ascii="Arial" w:cs="Arial" w:eastAsia="Arial" w:hAnsi="Arial"/>
          <w:sz w:val="19"/>
          <w:szCs w:val="19"/>
          <w:color w:val="auto"/>
        </w:rPr>
        <w:t>means, for any period, total interest expense (including that portion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attributable to Capital Leases in accordance with GAAP and capitalized interest) of the Borrower and its Subsidiaries on a consolidated basis with respect to all outstanding Indebtedness of the Borrower and its Subsidiaries, including all commissions, discounts and other fees and charges owed with respect to letters of credit and net costs under Interest Rate Agreements, but excluding, however, any amount not payable in Cash and any amounts referred to in Section 2.11(d) payable on or before the Closing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total cash interest income of the Borrower and its Subsidiaries on a consolidated basis for such period. Notwithstanding anything to the contrary contained herein, for purposes of determining Consolidated Net Interest Expense for any period that would otherwise start before the Closing Date, such period shall instead start on the Closing Date and Consolidated Net Interest Expense shall be an amount equal to Consolidated Net Interest Expense from the Closing Date through the last day of such period multiplied by a fraction the numerator of which is 365 and the denominator of which is the number of days from the Closing Date through the last day of such period.</w:t>
      </w:r>
    </w:p>
    <w:p>
      <w:pPr>
        <w:spacing w:after="0" w:line="15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“Consolidated Net Income” </w:t>
      </w:r>
      <w:r>
        <w:rPr>
          <w:rFonts w:ascii="Arial" w:cs="Arial" w:eastAsia="Arial" w:hAnsi="Arial"/>
          <w:sz w:val="19"/>
          <w:szCs w:val="19"/>
          <w:color w:val="auto"/>
        </w:rPr>
        <w:t>means, for any period, (i) the net income (or loss) of the Borrower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Subsidiaries on a consolidated basis for such period taken as a single accounting period determined in conformity with GAAP,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 the income (or loss) of any Person (other than a Subsidiary of the Borrower) in which any other Person (other than the Borrower or any of its Subsidiaries) has a joint interest or any Person that is an Unrestricted Subsidiary, except to the extent of the amount of dividends or other distributions actually paid to the Borrower or any of its Subsidiaries by such Person during such period, (b) the income (or loss) of any Person or any Unrestricted Subsidiary accrued prior to the date it becomes a Subsidiary of the Borrower or is redesignated a Restricted Subsidiary, as applicable, or is merged into or consolidated with the Borrower or any of its Subsidiaries or that Person’s assets are acquired by the Borrower or any of its Subsidiaries, (c) the income of any Subsidiary of the Borrower to the extent that the declaration or payment of dividends or similar distributions by that Subsidiary of that income is not at the time permitted by operation of the terms of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7" w:right="339" w:bottom="1440" w:gutter="0" w:footer="0" w:header="0"/>
        </w:sectPr>
      </w:pPr>
    </w:p>
    <w:bookmarkStart w:id="465" w:name="page466"/>
    <w:bookmarkEnd w:id="465"/>
    <w:p>
      <w:pPr>
        <w:spacing w:after="0"/>
        <w:rPr>
          <w:sz w:val="20"/>
          <w:szCs w:val="20"/>
          <w:color w:val="auto"/>
        </w:rPr>
      </w:pPr>
      <w:r>
        <w:rPr>
          <w:rFonts w:ascii="Arial" w:cs="Arial" w:eastAsia="Arial" w:hAnsi="Arial"/>
          <w:sz w:val="19"/>
          <w:szCs w:val="19"/>
          <w:color w:val="auto"/>
        </w:rPr>
        <w:t>or any agreement, instrument, judgment, decree, order, statute, rule or governmental regulation applicable to that Subsidiary,</w:t>
      </w:r>
    </w:p>
    <w:p>
      <w:pPr>
        <w:spacing w:after="0" w:line="56" w:lineRule="exact"/>
        <w:rPr>
          <w:sz w:val="20"/>
          <w:szCs w:val="20"/>
          <w:color w:val="auto"/>
        </w:rPr>
      </w:pPr>
    </w:p>
    <w:p>
      <w:pPr>
        <w:jc w:val="both"/>
        <w:ind w:firstLine="8"/>
        <w:spacing w:after="0" w:line="245" w:lineRule="auto"/>
        <w:tabs>
          <w:tab w:leader="none" w:pos="309" w:val="left"/>
        </w:tabs>
        <w:numPr>
          <w:ilvl w:val="0"/>
          <w:numId w:val="337"/>
        </w:numPr>
        <w:rPr>
          <w:rFonts w:ascii="Arial" w:cs="Arial" w:eastAsia="Arial" w:hAnsi="Arial"/>
          <w:sz w:val="22"/>
          <w:szCs w:val="22"/>
          <w:color w:val="auto"/>
        </w:rPr>
      </w:pPr>
      <w:r>
        <w:rPr>
          <w:rFonts w:ascii="Arial" w:cs="Arial" w:eastAsia="Arial" w:hAnsi="Arial"/>
          <w:sz w:val="22"/>
          <w:szCs w:val="22"/>
          <w:color w:val="auto"/>
        </w:rPr>
        <w:t>any after-tax gains or losses attributable to Asset Sales or returned surplus assets of any Pension Plan, (e) the income (or loss) attributable to the early extinguishment of Indebtedness and (f) (to the extent not included in clauses (a) through (e) above) any net extraordinary gains or net extraordinary losses.</w:t>
      </w:r>
    </w:p>
    <w:p>
      <w:pPr>
        <w:spacing w:after="0" w:line="18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“Consolidated Total Net Debt” </w:t>
      </w:r>
      <w:r>
        <w:rPr>
          <w:rFonts w:ascii="Arial" w:cs="Arial" w:eastAsia="Arial" w:hAnsi="Arial"/>
          <w:sz w:val="22"/>
          <w:szCs w:val="22"/>
          <w:color w:val="auto"/>
        </w:rPr>
        <w:t>means, as of any date of determination, (a) the aggregate par value or stated face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amount of all Indebtedness under clauses (i) through (iii) and (to the extent drawn and unreimbursed) (vi) of the definition thereof of the Borrower and its Subsidiaries determined on a consolidated basis in accordance with GAAP,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aggregate amount of Unrestricted Cash included in the consolidated balance sheet of the Borrower and its Subsidiaries as of such date. For clarity, Consolidated Total Net Debt does not include Indebtedness outstanding under credit card or receivables factoring programs.</w:t>
      </w:r>
    </w:p>
    <w:p>
      <w:pPr>
        <w:spacing w:after="0" w:line="18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color w:val="auto"/>
        </w:rPr>
        <w:t xml:space="preserve">“Contractual Obligation” </w:t>
      </w:r>
      <w:r>
        <w:rPr>
          <w:rFonts w:ascii="Arial" w:cs="Arial" w:eastAsia="Arial" w:hAnsi="Arial"/>
          <w:sz w:val="21"/>
          <w:szCs w:val="21"/>
          <w:color w:val="auto"/>
        </w:rPr>
        <w:t>means, as applied to any Person, any provision of any Security issued by that Person</w:t>
      </w:r>
      <w:r>
        <w:rPr>
          <w:rFonts w:ascii="Arial" w:cs="Arial" w:eastAsia="Arial" w:hAnsi="Arial"/>
          <w:sz w:val="21"/>
          <w:szCs w:val="21"/>
          <w:b w:val="1"/>
          <w:bCs w:val="1"/>
          <w:color w:val="auto"/>
        </w:rPr>
        <w:t xml:space="preserve"> </w:t>
      </w:r>
      <w:r>
        <w:rPr>
          <w:rFonts w:ascii="Arial" w:cs="Arial" w:eastAsia="Arial" w:hAnsi="Arial"/>
          <w:sz w:val="21"/>
          <w:szCs w:val="21"/>
          <w:color w:val="auto"/>
        </w:rPr>
        <w:t>or of any indenture, mortgage, deed of trust, contract, undertaking, agreement or other instrument to which that Person is a party or by which it or any of its properties is bound or to which it or any of its properties is subject.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“Contributing Guarantors” </w:t>
      </w:r>
      <w:r>
        <w:rPr>
          <w:rFonts w:ascii="Arial" w:cs="Arial" w:eastAsia="Arial" w:hAnsi="Arial"/>
          <w:sz w:val="22"/>
          <w:szCs w:val="22"/>
          <w:color w:val="auto"/>
        </w:rPr>
        <w:t>as defined in Section 7.2.</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“Counterpart Agreement” </w:t>
      </w:r>
      <w:r>
        <w:rPr>
          <w:rFonts w:ascii="Arial" w:cs="Arial" w:eastAsia="Arial" w:hAnsi="Arial"/>
          <w:sz w:val="22"/>
          <w:szCs w:val="22"/>
          <w:color w:val="auto"/>
        </w:rPr>
        <w:t>means a Counterpart Agreement substantially in the form of Exhibit G delivered by a</w:t>
      </w:r>
      <w:r>
        <w:rPr>
          <w:rFonts w:ascii="Arial" w:cs="Arial" w:eastAsia="Arial" w:hAnsi="Arial"/>
          <w:sz w:val="22"/>
          <w:szCs w:val="22"/>
          <w:b w:val="1"/>
          <w:bCs w:val="1"/>
          <w:color w:val="auto"/>
        </w:rPr>
        <w:t xml:space="preserve"> </w:t>
      </w:r>
      <w:r>
        <w:rPr>
          <w:rFonts w:ascii="Arial" w:cs="Arial" w:eastAsia="Arial" w:hAnsi="Arial"/>
          <w:sz w:val="22"/>
          <w:szCs w:val="22"/>
          <w:color w:val="auto"/>
        </w:rPr>
        <w:t>Credit Party pursuant to Section 5.10.</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“Credit Date” </w:t>
      </w:r>
      <w:r>
        <w:rPr>
          <w:rFonts w:ascii="Arial" w:cs="Arial" w:eastAsia="Arial" w:hAnsi="Arial"/>
          <w:sz w:val="22"/>
          <w:szCs w:val="22"/>
          <w:color w:val="auto"/>
        </w:rPr>
        <w:t>means the date of a Credit Extension.</w:t>
      </w:r>
    </w:p>
    <w:p>
      <w:pPr>
        <w:spacing w:after="0" w:line="220"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b w:val="1"/>
          <w:bCs w:val="1"/>
          <w:color w:val="auto"/>
        </w:rPr>
        <w:t xml:space="preserve">“Credit Document” </w:t>
      </w:r>
      <w:r>
        <w:rPr>
          <w:rFonts w:ascii="Arial" w:cs="Arial" w:eastAsia="Arial" w:hAnsi="Arial"/>
          <w:sz w:val="22"/>
          <w:szCs w:val="22"/>
          <w:color w:val="auto"/>
        </w:rPr>
        <w:t>means any of this Agreement, the Notes, if any, and all other documents, certificates,</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instruments or agreements executed and delivered by or on behalf of a Credit Party for the benefit of any Agent or any Lender in connection herewith on or after the date hereof.</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“Credit Extension” </w:t>
      </w:r>
      <w:r>
        <w:rPr>
          <w:rFonts w:ascii="Arial" w:cs="Arial" w:eastAsia="Arial" w:hAnsi="Arial"/>
          <w:sz w:val="22"/>
          <w:szCs w:val="22"/>
          <w:color w:val="auto"/>
        </w:rPr>
        <w:t>means the making of a Loan.</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“Credit Party” </w:t>
      </w:r>
      <w:r>
        <w:rPr>
          <w:rFonts w:ascii="Arial" w:cs="Arial" w:eastAsia="Arial" w:hAnsi="Arial"/>
          <w:sz w:val="22"/>
          <w:szCs w:val="22"/>
          <w:color w:val="auto"/>
        </w:rPr>
        <w:t>means each Person (other than any Agent or any Lender or any other representative thereof)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party to a Credit Document.</w:t>
      </w:r>
    </w:p>
    <w:p>
      <w:pPr>
        <w:spacing w:after="0" w:line="162"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“Cumulative Amount” </w:t>
      </w:r>
      <w:r>
        <w:rPr>
          <w:rFonts w:ascii="Arial" w:cs="Arial" w:eastAsia="Arial" w:hAnsi="Arial"/>
          <w:sz w:val="22"/>
          <w:szCs w:val="22"/>
          <w:color w:val="auto"/>
        </w:rPr>
        <w:t>means at any time (the</w:t>
      </w:r>
      <w:r>
        <w:rPr>
          <w:rFonts w:ascii="Arial" w:cs="Arial" w:eastAsia="Arial" w:hAnsi="Arial"/>
          <w:sz w:val="22"/>
          <w:szCs w:val="22"/>
          <w:b w:val="1"/>
          <w:bCs w:val="1"/>
          <w:color w:val="auto"/>
        </w:rPr>
        <w:t xml:space="preserve"> “Cumulative Amount Reference Time”</w:t>
      </w:r>
      <w:r>
        <w:rPr>
          <w:rFonts w:ascii="Arial" w:cs="Arial" w:eastAsia="Arial" w:hAnsi="Arial"/>
          <w:sz w:val="22"/>
          <w:szCs w:val="22"/>
          <w:color w:val="auto"/>
        </w:rPr>
        <w:t>), an amount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less than zero) equal to:</w:t>
      </w:r>
    </w:p>
    <w:p>
      <w:pPr>
        <w:spacing w:after="0" w:line="168" w:lineRule="exact"/>
        <w:rPr>
          <w:sz w:val="20"/>
          <w:szCs w:val="20"/>
          <w:color w:val="auto"/>
        </w:rPr>
      </w:pPr>
    </w:p>
    <w:p>
      <w:pPr>
        <w:jc w:val="both"/>
        <w:ind w:firstLine="1304"/>
        <w:spacing w:after="0" w:line="253" w:lineRule="auto"/>
        <w:tabs>
          <w:tab w:leader="none" w:pos="1603" w:val="left"/>
        </w:tabs>
        <w:numPr>
          <w:ilvl w:val="0"/>
          <w:numId w:val="338"/>
        </w:numPr>
        <w:rPr>
          <w:rFonts w:ascii="Arial" w:cs="Arial" w:eastAsia="Arial" w:hAnsi="Arial"/>
          <w:sz w:val="22"/>
          <w:szCs w:val="22"/>
          <w:color w:val="auto"/>
        </w:rPr>
      </w:pPr>
      <w:r>
        <w:rPr>
          <w:rFonts w:ascii="Arial" w:cs="Arial" w:eastAsia="Arial" w:hAnsi="Arial"/>
          <w:sz w:val="22"/>
          <w:szCs w:val="22"/>
          <w:color w:val="auto"/>
        </w:rPr>
        <w:t xml:space="preserve">50% of the Consolidated Net Income of the Borrower and its Subsidiaries for the period (taken as one accounting period) beginning on the first day of the Fiscal Quarter in which the Closing Date occurs to the end of the most recently ended Fiscal Quarter at the Cumulative Amount Reference Time; </w:t>
      </w:r>
      <w:r>
        <w:rPr>
          <w:rFonts w:ascii="Arial" w:cs="Arial" w:eastAsia="Arial" w:hAnsi="Arial"/>
          <w:sz w:val="22"/>
          <w:szCs w:val="22"/>
          <w:u w:val="single" w:color="auto"/>
          <w:color w:val="auto"/>
        </w:rPr>
        <w:t>plus</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617" w:val="left"/>
        </w:tabs>
        <w:numPr>
          <w:ilvl w:val="0"/>
          <w:numId w:val="338"/>
        </w:numPr>
        <w:rPr>
          <w:rFonts w:ascii="Arial" w:cs="Arial" w:eastAsia="Arial" w:hAnsi="Arial"/>
          <w:sz w:val="22"/>
          <w:szCs w:val="22"/>
          <w:color w:val="auto"/>
        </w:rPr>
      </w:pPr>
      <w:r>
        <w:rPr>
          <w:rFonts w:ascii="Arial" w:cs="Arial" w:eastAsia="Arial" w:hAnsi="Arial"/>
          <w:sz w:val="22"/>
          <w:szCs w:val="22"/>
          <w:color w:val="auto"/>
        </w:rPr>
        <w:t>the amount of Net Equity Proceeds received by the Borrower from any cash capital contributions or the sale or issuance of any Equity Interests Not Otherwise Applied during the period from and including the Business Day immediately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466" w:name="page467"/>
    <w:bookmarkEnd w:id="466"/>
    <w:p>
      <w:pPr>
        <w:spacing w:after="0" w:line="263" w:lineRule="auto"/>
        <w:rPr>
          <w:sz w:val="20"/>
          <w:szCs w:val="20"/>
          <w:color w:val="auto"/>
        </w:rPr>
      </w:pPr>
      <w:r>
        <w:rPr>
          <w:rFonts w:ascii="Arial" w:cs="Arial" w:eastAsia="Arial" w:hAnsi="Arial"/>
          <w:sz w:val="22"/>
          <w:szCs w:val="22"/>
          <w:color w:val="auto"/>
        </w:rPr>
        <w:t xml:space="preserve">through and including the Cumulative Amount Reference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clause (ii) excludes sales of Disqualified Equity Interests and Specified Equity Contributions; </w:t>
      </w:r>
      <w:r>
        <w:rPr>
          <w:rFonts w:ascii="Arial" w:cs="Arial" w:eastAsia="Arial" w:hAnsi="Arial"/>
          <w:sz w:val="22"/>
          <w:szCs w:val="22"/>
          <w:u w:val="single" w:color="auto"/>
          <w:color w:val="auto"/>
        </w:rPr>
        <w:t>plus</w:t>
      </w:r>
    </w:p>
    <w:p>
      <w:pPr>
        <w:spacing w:after="0" w:line="175" w:lineRule="exact"/>
        <w:rPr>
          <w:sz w:val="20"/>
          <w:szCs w:val="20"/>
          <w:color w:val="auto"/>
        </w:rPr>
      </w:pPr>
    </w:p>
    <w:p>
      <w:pPr>
        <w:ind w:left="1680" w:hanging="376"/>
        <w:spacing w:after="0"/>
        <w:tabs>
          <w:tab w:leader="none" w:pos="168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the cumulative net cash proceeds from the sale of any Investments made pursuant to Section 6.6(i); plus</w:t>
      </w:r>
    </w:p>
    <w:p>
      <w:pPr>
        <w:spacing w:after="0" w:line="254" w:lineRule="exact"/>
        <w:rPr>
          <w:rFonts w:ascii="Arial" w:cs="Arial" w:eastAsia="Arial" w:hAnsi="Arial"/>
          <w:sz w:val="19"/>
          <w:szCs w:val="19"/>
          <w:color w:val="auto"/>
        </w:rPr>
      </w:pPr>
    </w:p>
    <w:p>
      <w:pPr>
        <w:jc w:val="both"/>
        <w:ind w:firstLine="1304"/>
        <w:spacing w:after="0" w:line="253" w:lineRule="auto"/>
        <w:tabs>
          <w:tab w:leader="none" w:pos="1663" w:val="left"/>
        </w:tabs>
        <w:numPr>
          <w:ilvl w:val="0"/>
          <w:numId w:val="339"/>
        </w:numPr>
        <w:rPr>
          <w:rFonts w:ascii="Arial" w:cs="Arial" w:eastAsia="Arial" w:hAnsi="Arial"/>
          <w:sz w:val="22"/>
          <w:szCs w:val="22"/>
          <w:color w:val="auto"/>
        </w:rPr>
      </w:pPr>
      <w:r>
        <w:rPr>
          <w:rFonts w:ascii="Arial" w:cs="Arial" w:eastAsia="Arial" w:hAnsi="Arial"/>
          <w:sz w:val="22"/>
          <w:szCs w:val="22"/>
          <w:color w:val="auto"/>
        </w:rPr>
        <w:t>the cumulative amount of returns (including dividends, interest, distributions, returns of principal, repayments, income and similar amounts) received by the Borrower or any Restricted Subsidiary in cash or Cash Equivalents in respect of any Investments made pursuant to Section 6.4(c); plus</w:t>
      </w:r>
    </w:p>
    <w:p>
      <w:pPr>
        <w:spacing w:after="0" w:line="185" w:lineRule="exact"/>
        <w:rPr>
          <w:rFonts w:ascii="Arial" w:cs="Arial" w:eastAsia="Arial" w:hAnsi="Arial"/>
          <w:sz w:val="22"/>
          <w:szCs w:val="22"/>
          <w:color w:val="auto"/>
        </w:rPr>
      </w:pPr>
    </w:p>
    <w:p>
      <w:pPr>
        <w:jc w:val="both"/>
        <w:ind w:firstLine="1304"/>
        <w:spacing w:after="0" w:line="260" w:lineRule="auto"/>
        <w:tabs>
          <w:tab w:leader="none" w:pos="1609" w:val="left"/>
        </w:tabs>
        <w:numPr>
          <w:ilvl w:val="0"/>
          <w:numId w:val="339"/>
        </w:numPr>
        <w:rPr>
          <w:rFonts w:ascii="Arial" w:cs="Arial" w:eastAsia="Arial" w:hAnsi="Arial"/>
          <w:sz w:val="21"/>
          <w:szCs w:val="21"/>
          <w:color w:val="auto"/>
        </w:rPr>
      </w:pPr>
      <w:r>
        <w:rPr>
          <w:rFonts w:ascii="Arial" w:cs="Arial" w:eastAsia="Arial" w:hAnsi="Arial"/>
          <w:sz w:val="21"/>
          <w:szCs w:val="21"/>
          <w:color w:val="auto"/>
        </w:rPr>
        <w:t xml:space="preserve">in the event any Unrestricted Subsidiary has been redesignated as a Restricted Subsidiary or has been merged, consolidated or amalgamated with or into, or transfers or conveys its assets to, or is liquidated into, the Borrower or any of its Restricted Subsidiaries, the lesser of (x) the fair market value of the Investments of the Borrower or the applicable Restricted Subsidiary made with the Cumulative Credit in such Unrestricted Subsidiary at the time of such redesignation, merger or consolidation (or of the assets transferred or conveyed, as applicable) and (y) the fair market value of the original Investments by the Borrower or the applicable Restricted Subsidiary made with the Cumulative Credit in such Unrestricted Subsidiary, in each case, as determined by the Borrower in good faith; </w:t>
      </w:r>
      <w:r>
        <w:rPr>
          <w:rFonts w:ascii="Arial" w:cs="Arial" w:eastAsia="Arial" w:hAnsi="Arial"/>
          <w:sz w:val="21"/>
          <w:szCs w:val="21"/>
          <w:u w:val="single" w:color="auto"/>
          <w:color w:val="auto"/>
        </w:rPr>
        <w:t>minus</w:t>
      </w:r>
    </w:p>
    <w:p>
      <w:pPr>
        <w:spacing w:after="0" w:line="180" w:lineRule="exact"/>
        <w:rPr>
          <w:rFonts w:ascii="Arial" w:cs="Arial" w:eastAsia="Arial" w:hAnsi="Arial"/>
          <w:sz w:val="21"/>
          <w:szCs w:val="21"/>
          <w:color w:val="auto"/>
        </w:rPr>
      </w:pPr>
    </w:p>
    <w:p>
      <w:pPr>
        <w:jc w:val="both"/>
        <w:ind w:firstLine="1304"/>
        <w:spacing w:after="0" w:line="250" w:lineRule="auto"/>
        <w:tabs>
          <w:tab w:leader="none" w:pos="1673" w:val="left"/>
        </w:tabs>
        <w:numPr>
          <w:ilvl w:val="0"/>
          <w:numId w:val="339"/>
        </w:numPr>
        <w:rPr>
          <w:rFonts w:ascii="Arial" w:cs="Arial" w:eastAsia="Arial" w:hAnsi="Arial"/>
          <w:sz w:val="22"/>
          <w:szCs w:val="22"/>
          <w:color w:val="auto"/>
        </w:rPr>
      </w:pPr>
      <w:r>
        <w:rPr>
          <w:rFonts w:ascii="Arial" w:cs="Arial" w:eastAsia="Arial" w:hAnsi="Arial"/>
          <w:sz w:val="22"/>
          <w:szCs w:val="22"/>
          <w:color w:val="auto"/>
        </w:rPr>
        <w:t>the aggregate amount of any Investments made pursuant to Section 6.6(i) and any Restricted Junior Payment made pursuant to Section 6.4(c), in each case, during the period commencing on the Closing Date and ending on or prior to the Cumulative Amount Reference Time (and, for purposes of this clause (vi), without taking account of the intended usage of the Cumulative Amount at such Cumulative Amount Reference Time).</w:t>
      </w:r>
    </w:p>
    <w:p>
      <w:pPr>
        <w:spacing w:after="0" w:line="182"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“Currency Agreement” </w:t>
      </w:r>
      <w:r>
        <w:rPr>
          <w:rFonts w:ascii="Arial" w:cs="Arial" w:eastAsia="Arial" w:hAnsi="Arial"/>
          <w:sz w:val="19"/>
          <w:szCs w:val="19"/>
          <w:color w:val="auto"/>
        </w:rPr>
        <w:t>means any foreign exchange contract, currency swap agreement, futures contract, option</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 synthetic cap or other similar agreement or arrangement, each of which is for the purpose of hedging the foreign currency risk associated with the Borrower’s and its Subsidiaries’ operations and not for speculative purposes.</w:t>
      </w:r>
    </w:p>
    <w:p>
      <w:pPr>
        <w:spacing w:after="0" w:line="12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color w:val="auto"/>
        </w:rPr>
        <w:t xml:space="preserve">“Debtor Relief Laws” </w:t>
      </w:r>
      <w:r>
        <w:rPr>
          <w:rFonts w:ascii="Arial" w:cs="Arial" w:eastAsia="Arial" w:hAnsi="Arial"/>
          <w:sz w:val="21"/>
          <w:szCs w:val="21"/>
          <w:color w:val="auto"/>
        </w:rPr>
        <w:t>means the Bankruptcy Code, and all other liquidation, conservatorship, bankruptcy,</w:t>
      </w:r>
      <w:r>
        <w:rPr>
          <w:rFonts w:ascii="Arial" w:cs="Arial" w:eastAsia="Arial" w:hAnsi="Arial"/>
          <w:sz w:val="21"/>
          <w:szCs w:val="21"/>
          <w:b w:val="1"/>
          <w:bCs w:val="1"/>
          <w:color w:val="auto"/>
        </w:rPr>
        <w:t xml:space="preserve"> </w:t>
      </w:r>
      <w:r>
        <w:rPr>
          <w:rFonts w:ascii="Arial" w:cs="Arial" w:eastAsia="Arial" w:hAnsi="Arial"/>
          <w:sz w:val="21"/>
          <w:szCs w:val="21"/>
          <w:color w:val="auto"/>
        </w:rPr>
        <w:t>assignment for the benefit of creditors, moratorium, rearrangement, receivership, insolvency, reorganization, or similar debtor relief laws of the United States or other applicable jurisdictions from time to time in effect.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“Default” </w:t>
      </w:r>
      <w:r>
        <w:rPr>
          <w:rFonts w:ascii="Arial" w:cs="Arial" w:eastAsia="Arial" w:hAnsi="Arial"/>
          <w:sz w:val="19"/>
          <w:szCs w:val="19"/>
          <w:color w:val="auto"/>
        </w:rPr>
        <w:t>means a condition or event that, after notice or lapse of time or both, would constitute an Event of</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Default.</w:t>
      </w:r>
    </w:p>
    <w:p>
      <w:pPr>
        <w:spacing w:after="0" w:line="19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“Defaulting Lender” </w:t>
      </w:r>
      <w:r>
        <w:rPr>
          <w:rFonts w:ascii="Arial" w:cs="Arial" w:eastAsia="Arial" w:hAnsi="Arial"/>
          <w:sz w:val="19"/>
          <w:szCs w:val="19"/>
          <w:color w:val="auto"/>
        </w:rPr>
        <w:t>means subject to Section 2.22(b), any Lender that (a) has failed to (i) fund all or any portion</w:t>
      </w:r>
      <w:r>
        <w:rPr>
          <w:rFonts w:ascii="Arial" w:cs="Arial" w:eastAsia="Arial" w:hAnsi="Arial"/>
          <w:sz w:val="19"/>
          <w:szCs w:val="19"/>
          <w:b w:val="1"/>
          <w:bCs w:val="1"/>
          <w:color w:val="auto"/>
        </w:rPr>
        <w:t xml:space="preserve"> </w:t>
      </w:r>
      <w:r>
        <w:rPr>
          <w:rFonts w:ascii="Arial" w:cs="Arial" w:eastAsia="Arial" w:hAnsi="Arial"/>
          <w:sz w:val="19"/>
          <w:szCs w:val="19"/>
          <w:color w:val="auto"/>
        </w:rPr>
        <w:t>of its Loans within two Business Days of the date such Loans were required to be funded hereunder or (ii) pay to Administrative Agent or any other Lender any other amount required to be paid by it hereunder within two Business Days of the date when due,</w:t>
      </w:r>
    </w:p>
    <w:p>
      <w:pPr>
        <w:spacing w:after="0" w:line="1" w:lineRule="exact"/>
        <w:rPr>
          <w:sz w:val="20"/>
          <w:szCs w:val="20"/>
          <w:color w:val="auto"/>
        </w:rPr>
      </w:pPr>
    </w:p>
    <w:p>
      <w:pPr>
        <w:ind w:firstLine="8"/>
        <w:spacing w:after="0" w:line="246" w:lineRule="auto"/>
        <w:tabs>
          <w:tab w:leader="none" w:pos="341" w:val="left"/>
        </w:tabs>
        <w:numPr>
          <w:ilvl w:val="0"/>
          <w:numId w:val="340"/>
        </w:numPr>
        <w:rPr>
          <w:rFonts w:ascii="Arial" w:cs="Arial" w:eastAsia="Arial" w:hAnsi="Arial"/>
          <w:sz w:val="22"/>
          <w:szCs w:val="22"/>
          <w:color w:val="auto"/>
        </w:rPr>
      </w:pPr>
      <w:r>
        <w:rPr>
          <w:rFonts w:ascii="Arial" w:cs="Arial" w:eastAsia="Arial" w:hAnsi="Arial"/>
          <w:sz w:val="22"/>
          <w:szCs w:val="22"/>
          <w:color w:val="auto"/>
        </w:rPr>
        <w:t>has notified Borrower or Administrative Agent in writing that it does not intend to comply with its funding obligations hereunder, or has made a public statement to that effect,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467" w:name="page468"/>
    <w:bookmarkEnd w:id="467"/>
    <w:p>
      <w:pPr>
        <w:jc w:val="both"/>
        <w:spacing w:after="0" w:line="286" w:lineRule="auto"/>
        <w:rPr>
          <w:sz w:val="20"/>
          <w:szCs w:val="20"/>
          <w:color w:val="auto"/>
        </w:rPr>
      </w:pPr>
      <w:r>
        <w:rPr>
          <w:rFonts w:ascii="Arial" w:cs="Arial" w:eastAsia="Arial" w:hAnsi="Arial"/>
          <w:sz w:val="19"/>
          <w:szCs w:val="19"/>
          <w:color w:val="auto"/>
        </w:rPr>
        <w:t>has failed, within three Business Days after written request by Administrative Agent or Borrower, to confirm in writing to Administrative Agent and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Administrative Agent and Borrower), or (d) Administrative Agent has received notification that such Lender has, or has a direct or indirect parent company that is (i) insolvent, or is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5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b w:val="1"/>
          <w:bCs w:val="1"/>
          <w:color w:val="auto"/>
        </w:rPr>
        <w:t xml:space="preserve">“Deposit Account” </w:t>
      </w:r>
      <w:r>
        <w:rPr>
          <w:rFonts w:ascii="Arial" w:cs="Arial" w:eastAsia="Arial" w:hAnsi="Arial"/>
          <w:sz w:val="21"/>
          <w:szCs w:val="21"/>
          <w:color w:val="auto"/>
        </w:rPr>
        <w:t>means a demand, time, savings, passbook or like account with a bank, savings and loan</w:t>
      </w:r>
      <w:r>
        <w:rPr>
          <w:rFonts w:ascii="Arial" w:cs="Arial" w:eastAsia="Arial" w:hAnsi="Arial"/>
          <w:sz w:val="21"/>
          <w:szCs w:val="21"/>
          <w:b w:val="1"/>
          <w:bCs w:val="1"/>
          <w:color w:val="auto"/>
        </w:rPr>
        <w:t xml:space="preserve"> </w:t>
      </w:r>
      <w:r>
        <w:rPr>
          <w:rFonts w:ascii="Arial" w:cs="Arial" w:eastAsia="Arial" w:hAnsi="Arial"/>
          <w:sz w:val="21"/>
          <w:szCs w:val="21"/>
          <w:color w:val="auto"/>
        </w:rPr>
        <w:t>association, credit union or like organization, other than an account evidenced by a negotiable certificate of deposit.</w:t>
      </w:r>
    </w:p>
    <w:p>
      <w:pPr>
        <w:spacing w:after="0" w:line="13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color w:val="auto"/>
        </w:rPr>
        <w:t xml:space="preserve">“Designated Non-Cash Consideration” </w:t>
      </w:r>
      <w:r>
        <w:rPr>
          <w:rFonts w:ascii="Arial" w:cs="Arial" w:eastAsia="Arial" w:hAnsi="Arial"/>
          <w:sz w:val="21"/>
          <w:szCs w:val="21"/>
          <w:color w:val="auto"/>
        </w:rPr>
        <w:t>means the fair market value of non-cash consideration received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an Asset Sale pursuant to Section 6.8(c) that is designated as Designated Non-Cash Consideration pursuant to a certificate of an Authorized Officer of the Borrower, setting forth the basis of such valuation.</w:t>
      </w:r>
    </w:p>
    <w:p>
      <w:pPr>
        <w:spacing w:after="0" w:line="15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“Disqualified Equity Interests” </w:t>
      </w:r>
      <w:r>
        <w:rPr>
          <w:rFonts w:ascii="Arial" w:cs="Arial" w:eastAsia="Arial" w:hAnsi="Arial"/>
          <w:sz w:val="19"/>
          <w:szCs w:val="19"/>
          <w:color w:val="auto"/>
        </w:rPr>
        <w:t>means any Equity Interest which, by its terms (or by the terms of any security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Equity Interests into which it is convertible or for which it is exchangeable), or upon the happening of any event or condition (i) matures or is mandatorily redeemable (other than solely for Equity Interests which are not otherwise Disqualified Equity Interests), pursuant to a sinking fund obligation or otherwise, (ii) is redeemable at the option of the holder thereof (other than solely for Equity Interests which are not otherwise Disqualified Equity Interests), in whole or in part, or (iii) is or becomes convertible into or exchangeable for Indebtedness or any other Equity Interests that would constitute Disqualified Equity Interests, in each case, prior to the date that is 91 days after the Latest Maturity Date except, in the case of clauses (i) and (ii), if as a result of a change of control or asset sale, so long as any rights of the holders thereof upon the occurrence of such a change of control or asset sale event are subject to the prior payment in full of all Obligations and the termination of the Commitments.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“Disqualified Institution” </w:t>
      </w:r>
      <w:r>
        <w:rPr>
          <w:rFonts w:ascii="Arial" w:cs="Arial" w:eastAsia="Arial" w:hAnsi="Arial"/>
          <w:sz w:val="22"/>
          <w:szCs w:val="22"/>
          <w:color w:val="auto"/>
        </w:rPr>
        <w:t>means each Person listed on Schedule 1.1.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“Documentation Agents” </w:t>
      </w:r>
      <w:r>
        <w:rPr>
          <w:rFonts w:ascii="Arial" w:cs="Arial" w:eastAsia="Arial" w:hAnsi="Arial"/>
          <w:sz w:val="22"/>
          <w:szCs w:val="22"/>
          <w:color w:val="auto"/>
        </w:rPr>
        <w:t>as defined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7" w:right="339" w:bottom="1440" w:gutter="0" w:footer="0" w:header="0"/>
        </w:sectPr>
      </w:pPr>
    </w:p>
    <w:bookmarkStart w:id="468" w:name="page469"/>
    <w:bookmarkEnd w:id="468"/>
    <w:p>
      <w:pPr>
        <w:ind w:left="1300"/>
        <w:spacing w:after="0"/>
        <w:rPr>
          <w:sz w:val="20"/>
          <w:szCs w:val="20"/>
          <w:color w:val="auto"/>
        </w:rPr>
      </w:pPr>
      <w:r>
        <w:rPr>
          <w:rFonts w:ascii="Arial" w:cs="Arial" w:eastAsia="Arial" w:hAnsi="Arial"/>
          <w:sz w:val="22"/>
          <w:szCs w:val="22"/>
          <w:b w:val="1"/>
          <w:bCs w:val="1"/>
          <w:color w:val="auto"/>
        </w:rPr>
        <w:t xml:space="preserve">“Dollars” </w:t>
      </w:r>
      <w:r>
        <w:rPr>
          <w:rFonts w:ascii="Arial" w:cs="Arial" w:eastAsia="Arial" w:hAnsi="Arial"/>
          <w:sz w:val="22"/>
          <w:szCs w:val="22"/>
          <w:color w:val="auto"/>
        </w:rPr>
        <w:t>and the sign</w:t>
      </w:r>
      <w:r>
        <w:rPr>
          <w:rFonts w:ascii="Arial" w:cs="Arial" w:eastAsia="Arial" w:hAnsi="Arial"/>
          <w:sz w:val="22"/>
          <w:szCs w:val="22"/>
          <w:b w:val="1"/>
          <w:bCs w:val="1"/>
          <w:color w:val="auto"/>
        </w:rPr>
        <w:t xml:space="preserve"> “$” </w:t>
      </w:r>
      <w:r>
        <w:rPr>
          <w:rFonts w:ascii="Arial" w:cs="Arial" w:eastAsia="Arial" w:hAnsi="Arial"/>
          <w:sz w:val="22"/>
          <w:szCs w:val="22"/>
          <w:color w:val="auto"/>
        </w:rPr>
        <w:t>mean the lawful money of the United States of America.</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“Domestic Subsidiary” </w:t>
      </w:r>
      <w:r>
        <w:rPr>
          <w:rFonts w:ascii="Arial" w:cs="Arial" w:eastAsia="Arial" w:hAnsi="Arial"/>
          <w:sz w:val="22"/>
          <w:szCs w:val="22"/>
          <w:color w:val="auto"/>
        </w:rPr>
        <w:t>means any Subsidiary organized under the laws of the United States of America, any</w:t>
      </w:r>
      <w:r>
        <w:rPr>
          <w:rFonts w:ascii="Arial" w:cs="Arial" w:eastAsia="Arial" w:hAnsi="Arial"/>
          <w:sz w:val="22"/>
          <w:szCs w:val="22"/>
          <w:b w:val="1"/>
          <w:bCs w:val="1"/>
          <w:color w:val="auto"/>
        </w:rPr>
        <w:t xml:space="preserve"> </w:t>
      </w:r>
      <w:r>
        <w:rPr>
          <w:rFonts w:ascii="Arial" w:cs="Arial" w:eastAsia="Arial" w:hAnsi="Arial"/>
          <w:sz w:val="22"/>
          <w:szCs w:val="22"/>
          <w:color w:val="auto"/>
        </w:rPr>
        <w:t>State thereof or the District of Columbia.</w:t>
      </w:r>
    </w:p>
    <w:p>
      <w:pPr>
        <w:spacing w:after="0" w:line="16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EEA Financial Institution</w:t>
      </w:r>
      <w:r>
        <w:rPr>
          <w:rFonts w:ascii="Arial" w:cs="Arial" w:eastAsia="Arial" w:hAnsi="Arial"/>
          <w:sz w:val="22"/>
          <w:szCs w:val="22"/>
          <w:b w:val="1"/>
          <w:bCs w:val="1"/>
          <w:color w:val="auto"/>
        </w:rPr>
        <w:t xml:space="preserve">” </w:t>
      </w:r>
      <w:r>
        <w:rPr>
          <w:rFonts w:ascii="Arial" w:cs="Arial" w:eastAsia="Arial" w:hAnsi="Arial"/>
          <w:sz w:val="22"/>
          <w:szCs w:val="22"/>
          <w:color w:val="auto"/>
        </w:rPr>
        <w:t>means (a) any credit institution or investment firm established in any EEA Member</w:t>
      </w:r>
      <w:r>
        <w:rPr>
          <w:rFonts w:ascii="Arial" w:cs="Arial" w:eastAsia="Arial" w:hAnsi="Arial"/>
          <w:sz w:val="22"/>
          <w:szCs w:val="22"/>
          <w:b w:val="1"/>
          <w:bCs w:val="1"/>
          <w:color w:val="auto"/>
        </w:rPr>
        <w:t xml:space="preserve"> </w:t>
      </w:r>
      <w:r>
        <w:rPr>
          <w:rFonts w:ascii="Arial" w:cs="Arial" w:eastAsia="Arial" w:hAnsi="Arial"/>
          <w:sz w:val="22"/>
          <w:szCs w:val="22"/>
          <w:color w:val="auto"/>
        </w:rPr>
        <w:t>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9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EEA Resolution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any public administrative authority or any Person entrusted with public</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authority of any EEA Member Country (including any delegee) having responsibility for the resolution of any EEA Financial Institution.</w:t>
      </w:r>
    </w:p>
    <w:p>
      <w:pPr>
        <w:spacing w:after="0" w:line="176"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“Eligible Assignee” </w:t>
      </w:r>
      <w:r>
        <w:rPr>
          <w:rFonts w:ascii="Arial" w:cs="Arial" w:eastAsia="Arial" w:hAnsi="Arial"/>
          <w:sz w:val="19"/>
          <w:szCs w:val="19"/>
          <w:color w:val="auto"/>
        </w:rPr>
        <w:t>means any Person other than a Natural Person that is (i) a Lender, an affiliate of any Lender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a Related Fund (any two or more Related Funds being treated as a single Eligible Assignee for all purposes hereof), or (ii) a commercial bank, insurance company, investment or mutual fund or other entity that is an “accredited investor” (as defined in Regulation D under the Securities Act) and which extends credit or buys loans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no Defaulting Lender, Disqualified Institution, Credit Party or Affiliate of a Credit Party shall be an Eligible Assignee.</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“Employee Benefit Plan” </w:t>
      </w:r>
      <w:r>
        <w:rPr>
          <w:rFonts w:ascii="Arial" w:cs="Arial" w:eastAsia="Arial" w:hAnsi="Arial"/>
          <w:sz w:val="22"/>
          <w:szCs w:val="22"/>
          <w:color w:val="auto"/>
        </w:rPr>
        <w:t>means any “employee benefit plan” as defined in Section 3(3) of ERISA which is or</w:t>
      </w:r>
      <w:r>
        <w:rPr>
          <w:rFonts w:ascii="Arial" w:cs="Arial" w:eastAsia="Arial" w:hAnsi="Arial"/>
          <w:sz w:val="22"/>
          <w:szCs w:val="22"/>
          <w:b w:val="1"/>
          <w:bCs w:val="1"/>
          <w:color w:val="auto"/>
        </w:rPr>
        <w:t xml:space="preserve"> </w:t>
      </w:r>
      <w:r>
        <w:rPr>
          <w:rFonts w:ascii="Arial" w:cs="Arial" w:eastAsia="Arial" w:hAnsi="Arial"/>
          <w:sz w:val="22"/>
          <w:szCs w:val="22"/>
          <w:color w:val="auto"/>
        </w:rPr>
        <w:t>was sponsored, maintained or contributed to by, or required to be contributed by, the Borrower, any of its Subsidiaries or any of their respective ERISA Affiliates.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“Engagement Letter” </w:t>
      </w:r>
      <w:r>
        <w:rPr>
          <w:rFonts w:ascii="Arial" w:cs="Arial" w:eastAsia="Arial" w:hAnsi="Arial"/>
          <w:sz w:val="22"/>
          <w:szCs w:val="22"/>
          <w:color w:val="auto"/>
        </w:rPr>
        <w:t>as defined in Section 3.1(g).</w:t>
      </w:r>
    </w:p>
    <w:p>
      <w:pPr>
        <w:spacing w:after="0" w:line="220"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“Environmental Claim” </w:t>
      </w:r>
      <w:r>
        <w:rPr>
          <w:rFonts w:ascii="Arial" w:cs="Arial" w:eastAsia="Arial" w:hAnsi="Arial"/>
          <w:sz w:val="19"/>
          <w:szCs w:val="19"/>
          <w:color w:val="auto"/>
        </w:rPr>
        <w:t>means any investigation, notice, notice of violation, claim, action, suit, proceeding,</w:t>
      </w:r>
      <w:r>
        <w:rPr>
          <w:rFonts w:ascii="Arial" w:cs="Arial" w:eastAsia="Arial" w:hAnsi="Arial"/>
          <w:sz w:val="19"/>
          <w:szCs w:val="19"/>
          <w:b w:val="1"/>
          <w:bCs w:val="1"/>
          <w:color w:val="auto"/>
        </w:rPr>
        <w:t xml:space="preserve"> </w:t>
      </w:r>
      <w:r>
        <w:rPr>
          <w:rFonts w:ascii="Arial" w:cs="Arial" w:eastAsia="Arial" w:hAnsi="Arial"/>
          <w:sz w:val="19"/>
          <w:szCs w:val="19"/>
          <w:color w:val="auto"/>
        </w:rPr>
        <w:t>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“Environmental Laws” </w:t>
      </w:r>
      <w:r>
        <w:rPr>
          <w:rFonts w:ascii="Arial" w:cs="Arial" w:eastAsia="Arial" w:hAnsi="Arial"/>
          <w:sz w:val="22"/>
          <w:szCs w:val="22"/>
          <w:color w:val="auto"/>
        </w:rPr>
        <w:t>means any and all current or future foreign or domestic, federal or state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subdivision of either of them), statutes, ordinances, orders, rules, regulations, judgments, Governmental Authorizations, or any other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1" w:right="339" w:bottom="1440" w:gutter="0" w:footer="0" w:header="0"/>
        </w:sectPr>
      </w:pPr>
    </w:p>
    <w:bookmarkStart w:id="469" w:name="page470"/>
    <w:bookmarkEnd w:id="469"/>
    <w:p>
      <w:pPr>
        <w:spacing w:after="0"/>
        <w:rPr>
          <w:sz w:val="20"/>
          <w:szCs w:val="20"/>
          <w:color w:val="auto"/>
        </w:rPr>
      </w:pPr>
      <w:r>
        <w:rPr>
          <w:rFonts w:ascii="Arial" w:cs="Arial" w:eastAsia="Arial" w:hAnsi="Arial"/>
          <w:sz w:val="19"/>
          <w:szCs w:val="19"/>
          <w:color w:val="auto"/>
        </w:rPr>
        <w:t>Governmental Authorities relating to (i) environmental matters, including those relating to any Hazardous Materials Activity;</w:t>
      </w:r>
    </w:p>
    <w:p>
      <w:pPr>
        <w:spacing w:after="0" w:line="56" w:lineRule="exact"/>
        <w:rPr>
          <w:sz w:val="20"/>
          <w:szCs w:val="20"/>
          <w:color w:val="auto"/>
        </w:rPr>
      </w:pPr>
    </w:p>
    <w:p>
      <w:pPr>
        <w:jc w:val="both"/>
        <w:ind w:firstLine="8"/>
        <w:spacing w:after="0" w:line="245" w:lineRule="auto"/>
        <w:tabs>
          <w:tab w:leader="none" w:pos="366" w:val="left"/>
        </w:tabs>
        <w:numPr>
          <w:ilvl w:val="0"/>
          <w:numId w:val="341"/>
        </w:numPr>
        <w:rPr>
          <w:rFonts w:ascii="Arial" w:cs="Arial" w:eastAsia="Arial" w:hAnsi="Arial"/>
          <w:sz w:val="22"/>
          <w:szCs w:val="22"/>
          <w:color w:val="auto"/>
        </w:rPr>
      </w:pPr>
      <w:r>
        <w:rPr>
          <w:rFonts w:ascii="Arial" w:cs="Arial" w:eastAsia="Arial" w:hAnsi="Arial"/>
          <w:sz w:val="22"/>
          <w:szCs w:val="22"/>
          <w:color w:val="auto"/>
        </w:rPr>
        <w:t>the generation, use, storage, transportation or disposal of Hazardous Materials; or (iii) occupational safety and health, industrial hygiene, land use or the protection of human, plant or animal health or welfare, in any manner applicable to the Borrower or any of its Subsidiaries or any Facility.</w:t>
      </w:r>
    </w:p>
    <w:p>
      <w:pPr>
        <w:spacing w:after="0" w:line="187"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“Equity Interests” </w:t>
      </w:r>
      <w:r>
        <w:rPr>
          <w:rFonts w:ascii="Arial" w:cs="Arial" w:eastAsia="Arial" w:hAnsi="Arial"/>
          <w:sz w:val="22"/>
          <w:szCs w:val="22"/>
          <w:color w:val="auto"/>
        </w:rPr>
        <w:t>means any and all shares, interests, participations or other equivalents (however designated) of</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means the Employee Retirement Income Security Act of 1974, as amended from time to time,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thereto.</w:t>
      </w:r>
    </w:p>
    <w:p>
      <w:pPr>
        <w:spacing w:after="0" w:line="16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b w:val="1"/>
          <w:bCs w:val="1"/>
          <w:color w:val="auto"/>
        </w:rPr>
        <w:t xml:space="preserve">“ERISA Affiliate” </w:t>
      </w:r>
      <w:r>
        <w:rPr>
          <w:rFonts w:ascii="Arial" w:cs="Arial" w:eastAsia="Arial" w:hAnsi="Arial"/>
          <w:sz w:val="21"/>
          <w:szCs w:val="21"/>
          <w:color w:val="auto"/>
        </w:rPr>
        <w:t>means, as applied to any Person, (i) any corporation which is a member of a controlled group</w:t>
      </w:r>
      <w:r>
        <w:rPr>
          <w:rFonts w:ascii="Arial" w:cs="Arial" w:eastAsia="Arial" w:hAnsi="Arial"/>
          <w:sz w:val="21"/>
          <w:szCs w:val="21"/>
          <w:b w:val="1"/>
          <w:bCs w:val="1"/>
          <w:color w:val="auto"/>
        </w:rPr>
        <w:t xml:space="preserve"> </w:t>
      </w:r>
      <w:r>
        <w:rPr>
          <w:rFonts w:ascii="Arial" w:cs="Arial" w:eastAsia="Arial" w:hAnsi="Arial"/>
          <w:sz w:val="21"/>
          <w:szCs w:val="21"/>
          <w:color w:val="auto"/>
        </w:rPr>
        <w:t>of corporations within the meaning of Section 414(b) of the Internal Revenue Code of which that Person is a 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clause (i) above or any trade or business described in clause (ii) above is a member. Any former ERISA Affiliate of the Borrower or any of its Subsidiaries shall continue to be considered an ERISA Affiliate of the Borrower or any such Subsidiary within the meaning of this definition with respect to the period such entity was an ERISA Affiliate of the Borrower or such Subsidiary and with respect to liabilities arising after such period for which the Borrower or such Subsidiary could be liable under the Internal Revenue Code or ERISA.</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“ERISA Event” </w:t>
      </w:r>
      <w:r>
        <w:rPr>
          <w:rFonts w:ascii="Arial" w:cs="Arial" w:eastAsia="Arial" w:hAnsi="Arial"/>
          <w:sz w:val="19"/>
          <w:szCs w:val="19"/>
          <w:color w:val="auto"/>
        </w:rPr>
        <w:t>means (i) a “reportable event” within the meaning of Section 4043 of ERISA and the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issued thereunder with respect to any Pension Plan (excluding those for which the provision for 30-day notice to the PBGC has been waived by regulation); (ii) the failure to meet the minimum funding standard of Section 412 of the Internal Revenue Code with respect to any Pension Plan (whether or not waived in accordance with Section 412(c) of the Internal Revenue Code) or the failure to make by its due date a required installment under Section 430(j) of the Internal Revenue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the Borrower, any of its Subsidiaries or any of their respective ERISA Affiliates from any Pension Plan with two or more contributing sponsors or the termination of any such Pension Plan resulting in liability to the Borrower, any of its Subsidiaries or any of their respective Affiliates pursuant to Section 4063 or 4064 of ERISA; (v) the institution by the PBGC of proceedings to terminate any Pension Plan, or the occurrence of any event or condition which might constitute grounds under ERISA for the termination of, or the appointment of a trustee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470" w:name="page471"/>
    <w:bookmarkEnd w:id="470"/>
    <w:p>
      <w:pPr>
        <w:jc w:val="both"/>
        <w:spacing w:after="0" w:line="291" w:lineRule="auto"/>
        <w:rPr>
          <w:sz w:val="20"/>
          <w:szCs w:val="20"/>
          <w:color w:val="auto"/>
        </w:rPr>
      </w:pPr>
      <w:r>
        <w:rPr>
          <w:rFonts w:ascii="Arial" w:cs="Arial" w:eastAsia="Arial" w:hAnsi="Arial"/>
          <w:sz w:val="19"/>
          <w:szCs w:val="19"/>
          <w:color w:val="auto"/>
        </w:rPr>
        <w:t>administer, any Pension Plan; (vi) the imposition of liability on the Borrower, any of its Subsidiaries or any of their respective ERISA Affiliates pursuant to Section 4062(e) or 4069 of ERISA or by reason of the application of Section 4212(c) of ERISA;</w:t>
      </w:r>
    </w:p>
    <w:p>
      <w:pPr>
        <w:spacing w:after="0" w:line="1" w:lineRule="exact"/>
        <w:rPr>
          <w:sz w:val="20"/>
          <w:szCs w:val="20"/>
          <w:color w:val="auto"/>
        </w:rPr>
      </w:pPr>
    </w:p>
    <w:p>
      <w:pPr>
        <w:jc w:val="both"/>
        <w:ind w:firstLine="8"/>
        <w:spacing w:after="0" w:line="284" w:lineRule="auto"/>
        <w:tabs>
          <w:tab w:leader="none" w:pos="437" w:val="left"/>
        </w:tabs>
        <w:numPr>
          <w:ilvl w:val="0"/>
          <w:numId w:val="342"/>
        </w:numPr>
        <w:rPr>
          <w:rFonts w:ascii="Arial" w:cs="Arial" w:eastAsia="Arial" w:hAnsi="Arial"/>
          <w:sz w:val="19"/>
          <w:szCs w:val="19"/>
          <w:color w:val="auto"/>
        </w:rPr>
      </w:pPr>
      <w:r>
        <w:rPr>
          <w:rFonts w:ascii="Arial" w:cs="Arial" w:eastAsia="Arial" w:hAnsi="Arial"/>
          <w:sz w:val="19"/>
          <w:szCs w:val="19"/>
          <w:color w:val="auto"/>
        </w:rPr>
        <w:t>the withdrawal of the Borrower, any of its Subsidiaries or any of their respective ERISA Affiliates in a complete or partial withdrawal (within the meaning of Sections 4203 and 4205 of ERISA) from any Multiemployer Plan if there is any potential liability therefore, or the receipt by the Borrower, any of its Subsidiaries or any of their respective ERISA Affiliates of notice from any Multiemployer Plan that it is in reorganization or insolvency pursuant to Section 4241 or 4245 of ERISA, or that it intends to terminate or has terminated under Section 4041A or 4042 of ERISA; (viii) the occurrence of an act or omission which could give rise to the imposition on the Borrower, any of its Subsidiaries or any of their respective ERISA Affiliates of fines, penalties, taxes or related charges under Chapter 43 of the Internal Revenue Code or under Section 409, Section 502(c), (i) or (l), or Section 4071 of ERISA in respect of any Employee Benefit Plan; (ix) the assertion of a material claim (other than routine claims for benefits) against any Employee Benefit Plan other than a Multiemployer Plan or the assets thereof, or against the Borrower, any of its Subsidiaries or any of their respective ERISA Affiliates in connection with any Employee Benefit Plan; (x)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or (xi) the imposition of a Lien pursuant to Section 430(k) of the Internal Revenue Code or ERISA or a violation of Section 436 of the Internal Revenue Code.</w:t>
      </w:r>
    </w:p>
    <w:p>
      <w:pPr>
        <w:spacing w:after="0" w:line="200" w:lineRule="exact"/>
        <w:rPr>
          <w:sz w:val="20"/>
          <w:szCs w:val="20"/>
          <w:color w:val="auto"/>
        </w:rPr>
      </w:pP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“EU Bail-In Legislation Schedule” </w:t>
      </w:r>
      <w:r>
        <w:rPr>
          <w:rFonts w:ascii="Arial" w:cs="Arial" w:eastAsia="Arial" w:hAnsi="Arial"/>
          <w:sz w:val="22"/>
          <w:szCs w:val="22"/>
          <w:color w:val="auto"/>
        </w:rPr>
        <w:t>means the EU Bail-In Legislation Schedule published by the Loan Market</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Association (or any successor person), as in effect from time to time.</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“Eurodollar Rate Loan” </w:t>
      </w:r>
      <w:r>
        <w:rPr>
          <w:rFonts w:ascii="Arial" w:cs="Arial" w:eastAsia="Arial" w:hAnsi="Arial"/>
          <w:sz w:val="22"/>
          <w:szCs w:val="22"/>
          <w:color w:val="auto"/>
        </w:rPr>
        <w:t>means a Loan bearing interest at a rate determined by reference to the Adjusted</w:t>
      </w:r>
      <w:r>
        <w:rPr>
          <w:rFonts w:ascii="Arial" w:cs="Arial" w:eastAsia="Arial" w:hAnsi="Arial"/>
          <w:sz w:val="22"/>
          <w:szCs w:val="22"/>
          <w:b w:val="1"/>
          <w:bCs w:val="1"/>
          <w:color w:val="auto"/>
        </w:rPr>
        <w:t xml:space="preserve"> </w:t>
      </w:r>
      <w:r>
        <w:rPr>
          <w:rFonts w:ascii="Arial" w:cs="Arial" w:eastAsia="Arial" w:hAnsi="Arial"/>
          <w:sz w:val="22"/>
          <w:szCs w:val="22"/>
          <w:color w:val="auto"/>
        </w:rPr>
        <w:t>Eurodollar Rate.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“Event of Default” </w:t>
      </w:r>
      <w:r>
        <w:rPr>
          <w:rFonts w:ascii="Arial" w:cs="Arial" w:eastAsia="Arial" w:hAnsi="Arial"/>
          <w:sz w:val="22"/>
          <w:szCs w:val="22"/>
          <w:color w:val="auto"/>
        </w:rPr>
        <w:t>means each of the conditions or events set forth in Section 8.1.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“Exchange Act” </w:t>
      </w:r>
      <w:r>
        <w:rPr>
          <w:rFonts w:ascii="Arial" w:cs="Arial" w:eastAsia="Arial" w:hAnsi="Arial"/>
          <w:sz w:val="19"/>
          <w:szCs w:val="19"/>
          <w:color w:val="auto"/>
        </w:rPr>
        <w:t>means the Securities Exchange Act of 1934, as amended from time to time, and any successor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statute.</w:t>
      </w:r>
    </w:p>
    <w:p>
      <w:pPr>
        <w:spacing w:after="0" w:line="19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“Excluded Swap Obligation” </w:t>
      </w:r>
      <w:r>
        <w:rPr>
          <w:rFonts w:ascii="Arial" w:cs="Arial" w:eastAsia="Arial" w:hAnsi="Arial"/>
          <w:sz w:val="19"/>
          <w:szCs w:val="19"/>
          <w:color w:val="auto"/>
        </w:rPr>
        <w:t>means, with respect to any Guarantor at any time, any obligation (a</w:t>
      </w:r>
      <w:r>
        <w:rPr>
          <w:rFonts w:ascii="Arial" w:cs="Arial" w:eastAsia="Arial" w:hAnsi="Arial"/>
          <w:sz w:val="19"/>
          <w:szCs w:val="19"/>
          <w:b w:val="1"/>
          <w:bCs w:val="1"/>
          <w:color w:val="auto"/>
        </w:rPr>
        <w:t xml:space="preserve"> “Swap Obligation”</w:t>
      </w:r>
      <w:r>
        <w:rPr>
          <w:rFonts w:ascii="Arial" w:cs="Arial" w:eastAsia="Arial" w:hAnsi="Arial"/>
          <w:sz w:val="19"/>
          <w:szCs w:val="19"/>
          <w:color w:val="auto"/>
        </w:rPr>
        <w:t>) to pay or perform under any agreement, contract or transaction that constitutes a “swap” within the meaning of</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1a(47) of the Commodity Exchange Act, if, and to the extent that, all or a portion of the guarantee of such Guarantor of, or the grant by such Guarantor of a security interest to secure, such Swap Obligation (or any guarantee thereof) is illegal at such time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471" w:name="page472"/>
    <w:bookmarkEnd w:id="471"/>
    <w:p>
      <w:pPr>
        <w:spacing w:after="0"/>
        <w:rPr>
          <w:sz w:val="20"/>
          <w:szCs w:val="20"/>
          <w:color w:val="auto"/>
        </w:rPr>
      </w:pPr>
      <w:r>
        <w:rPr>
          <w:rFonts w:ascii="Arial" w:cs="Arial" w:eastAsia="Arial" w:hAnsi="Arial"/>
          <w:sz w:val="22"/>
          <w:szCs w:val="22"/>
          <w:color w:val="auto"/>
        </w:rPr>
        <w:t>guarantee or grant of a security interest becomes effective with respect to such related Swap Obligation.</w:t>
      </w:r>
    </w:p>
    <w:p>
      <w:pPr>
        <w:spacing w:after="0" w:line="214" w:lineRule="exact"/>
        <w:rPr>
          <w:sz w:val="20"/>
          <w:szCs w:val="20"/>
          <w:color w:val="auto"/>
        </w:rPr>
      </w:pPr>
    </w:p>
    <w:p>
      <w:pPr>
        <w:ind w:right="40"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means any of the following Taxes imposed on or with respect to a Lender or required to be withheld or deducted from a payment to a Lender, (a) Taxes imposed on or measured by net income (however denominated), franchise Taxes, and branch profits Taxes, in each case, (i) imposed as a result of such Lender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pursuant to a law in effect on the date on which (i) such Lender acquires such interest in the Loan (other than with respect to a Lender that becomes a Lender pursuant to Section 2.23) or (ii) such Lender changes its lending office, except in each case to the extent that amounts with respect to such Taxes were payable either to such Lender's assignor immediately before such Lender became a party hereto or to such Lender immediately before it changed its lending office, (c) Taxes attributable to such Lender’s failure to comply with Section 2.20(c), Section 2.20(d) or Section 2.20(e), and (d) any withholding Taxes imposed under FATCA.</w:t>
      </w:r>
    </w:p>
    <w:p>
      <w:pPr>
        <w:spacing w:after="0" w:line="15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“Existing Indebtedness” </w:t>
      </w:r>
      <w:r>
        <w:rPr>
          <w:rFonts w:ascii="Arial" w:cs="Arial" w:eastAsia="Arial" w:hAnsi="Arial"/>
          <w:sz w:val="22"/>
          <w:szCs w:val="22"/>
          <w:color w:val="auto"/>
        </w:rPr>
        <w:t>means Indebtedness and other obligations under that certain agreement dated as of [___]</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Borrower and [___], as amended prior to the Closing Date.</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“Facility” </w:t>
      </w:r>
      <w:r>
        <w:rPr>
          <w:rFonts w:ascii="Arial" w:cs="Arial" w:eastAsia="Arial" w:hAnsi="Arial"/>
          <w:sz w:val="22"/>
          <w:szCs w:val="22"/>
          <w:color w:val="auto"/>
        </w:rPr>
        <w:t>means any real property (including all buildings, fixtures or other improvements located thereon) now,</w:t>
      </w:r>
      <w:r>
        <w:rPr>
          <w:rFonts w:ascii="Arial" w:cs="Arial" w:eastAsia="Arial" w:hAnsi="Arial"/>
          <w:sz w:val="22"/>
          <w:szCs w:val="22"/>
          <w:b w:val="1"/>
          <w:bCs w:val="1"/>
          <w:color w:val="auto"/>
        </w:rPr>
        <w:t xml:space="preserve"> </w:t>
      </w:r>
      <w:r>
        <w:rPr>
          <w:rFonts w:ascii="Arial" w:cs="Arial" w:eastAsia="Arial" w:hAnsi="Arial"/>
          <w:sz w:val="22"/>
          <w:szCs w:val="22"/>
          <w:color w:val="auto"/>
        </w:rPr>
        <w:t>hereafter or heretofore owned, leased, operated or used by the Borrower or any of its Subsidiaries or any of their respective predecessors or Affiliates.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“Fair Share” </w:t>
      </w:r>
      <w:r>
        <w:rPr>
          <w:rFonts w:ascii="Arial" w:cs="Arial" w:eastAsia="Arial" w:hAnsi="Arial"/>
          <w:sz w:val="22"/>
          <w:szCs w:val="22"/>
          <w:color w:val="auto"/>
        </w:rPr>
        <w:t>as defined in Section 7.2.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“Fair Share Contribution Amount” </w:t>
      </w:r>
      <w:r>
        <w:rPr>
          <w:rFonts w:ascii="Arial" w:cs="Arial" w:eastAsia="Arial" w:hAnsi="Arial"/>
          <w:sz w:val="22"/>
          <w:szCs w:val="22"/>
          <w:color w:val="auto"/>
        </w:rPr>
        <w:t>as defined in Section 7.2.</w:t>
      </w:r>
    </w:p>
    <w:p>
      <w:pPr>
        <w:spacing w:after="0" w:line="220"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“FATCA” </w:t>
      </w:r>
      <w:r>
        <w:rPr>
          <w:rFonts w:ascii="Arial" w:cs="Arial" w:eastAsia="Arial" w:hAnsi="Arial"/>
          <w:sz w:val="19"/>
          <w:szCs w:val="19"/>
          <w:color w:val="auto"/>
        </w:rPr>
        <w:t>means Sections 1471 through 1474 of the Internal Revenue Code, as of the date hereof (or any</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or successor version that is substantively comparable and not materially more onerous to comply with), any current or future regulations or official interpretations thereof, any agreement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4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“Federal Funds Effective Rate” </w:t>
      </w:r>
      <w:r>
        <w:rPr>
          <w:rFonts w:ascii="Arial" w:cs="Arial" w:eastAsia="Arial" w:hAnsi="Arial"/>
          <w:sz w:val="22"/>
          <w:szCs w:val="22"/>
          <w:color w:val="auto"/>
        </w:rPr>
        <w:t>means for any day, the rate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per annum</w:t>
      </w:r>
      <w:r>
        <w:rPr>
          <w:rFonts w:ascii="Arial" w:cs="Arial" w:eastAsia="Arial" w:hAnsi="Arial"/>
          <w:sz w:val="22"/>
          <w:szCs w:val="22"/>
          <w:b w:val="1"/>
          <w:bCs w:val="1"/>
          <w:color w:val="auto"/>
        </w:rPr>
        <w:t xml:space="preserve"> </w:t>
      </w:r>
      <w:r>
        <w:rPr>
          <w:rFonts w:ascii="Arial" w:cs="Arial" w:eastAsia="Arial" w:hAnsi="Arial"/>
          <w:sz w:val="22"/>
          <w:szCs w:val="22"/>
          <w:color w:val="auto"/>
        </w:rPr>
        <w:t>equal to the weighted average of the rates</w:t>
      </w:r>
      <w:r>
        <w:rPr>
          <w:rFonts w:ascii="Arial" w:cs="Arial" w:eastAsia="Arial" w:hAnsi="Arial"/>
          <w:sz w:val="22"/>
          <w:szCs w:val="22"/>
          <w:b w:val="1"/>
          <w:bCs w:val="1"/>
          <w:color w:val="auto"/>
        </w:rPr>
        <w:t xml:space="preserve"> </w:t>
      </w:r>
      <w:r>
        <w:rPr>
          <w:rFonts w:ascii="Arial" w:cs="Arial" w:eastAsia="Arial" w:hAnsi="Arial"/>
          <w:sz w:val="22"/>
          <w:szCs w:val="22"/>
          <w:color w:val="auto"/>
        </w:rPr>
        <w:t>on overnight Federal funds transactions with members of the Federal Reserve System arranged by Federal funds brokers on such day, as published by the Federal Reserve Bank of New York on the Business Day next succeeding such day; provided, (i) if such day is not a Business Day, the Federal Funds Effective Rate for such day shall be such rate on such transactions on the next preceding Business Day as so published on the next succeeding Business Day, and (ii) if no such rate is so published on such next succeeding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7" w:right="339" w:bottom="1440" w:gutter="0" w:footer="0" w:header="0"/>
        </w:sectPr>
      </w:pPr>
    </w:p>
    <w:bookmarkStart w:id="472" w:name="page473"/>
    <w:bookmarkEnd w:id="472"/>
    <w:p>
      <w:pPr>
        <w:jc w:val="both"/>
        <w:spacing w:after="0" w:line="263" w:lineRule="auto"/>
        <w:rPr>
          <w:sz w:val="20"/>
          <w:szCs w:val="20"/>
          <w:color w:val="auto"/>
        </w:rPr>
      </w:pPr>
      <w:r>
        <w:rPr>
          <w:rFonts w:ascii="Arial" w:cs="Arial" w:eastAsia="Arial" w:hAnsi="Arial"/>
          <w:sz w:val="22"/>
          <w:szCs w:val="22"/>
          <w:color w:val="auto"/>
        </w:rPr>
        <w:t>Business Day, the Federal Funds Effective Rate for such day shall be the average rate charged to Administrative Agent on such day on such transactions as determined by Administrative Agent.</w:t>
      </w:r>
    </w:p>
    <w:p>
      <w:pPr>
        <w:spacing w:after="0" w:line="16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“Fee Letter” </w:t>
      </w:r>
      <w:r>
        <w:rPr>
          <w:rFonts w:ascii="Arial" w:cs="Arial" w:eastAsia="Arial" w:hAnsi="Arial"/>
          <w:sz w:val="22"/>
          <w:szCs w:val="22"/>
          <w:color w:val="auto"/>
        </w:rPr>
        <w:t>means any Fee Letter entered into between any of the Arrangers or the Administrative Agent,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case may be, on the one side, and the Borrower, on the other side, setting out certain fees payable by the Borrower in connection with the transactions contemplated by this Agreement and/or the Senior Credit Agreement, as amended, restated, supplemented or otherwise modified from time to time.</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“Financial Officer” </w:t>
      </w:r>
      <w:r>
        <w:rPr>
          <w:rFonts w:ascii="Arial" w:cs="Arial" w:eastAsia="Arial" w:hAnsi="Arial"/>
          <w:sz w:val="22"/>
          <w:szCs w:val="22"/>
          <w:color w:val="auto"/>
        </w:rPr>
        <w:t>means, with respect to any Person, the Chief Financial Officer, principal accounting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Treasurer, Assistant Treasurer or Controller of such Person (and, in the case of the Borrower, shall also mean each person performing similar duties as the foregoing).</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“Financial Officer Certification” </w:t>
      </w:r>
      <w:r>
        <w:rPr>
          <w:rFonts w:ascii="Arial" w:cs="Arial" w:eastAsia="Arial" w:hAnsi="Arial"/>
          <w:sz w:val="22"/>
          <w:szCs w:val="22"/>
          <w:color w:val="auto"/>
        </w:rPr>
        <w:t>means, with respect to the financial statements for which such certification is</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the certification of a Financial Officer of the Borrower that such financial statements fairly present, in all material respects, the financial condition of the Borrower and its Subsidiaries on a consolidated basis as at the dates indicated and the results of their operations and their cash flows for the periods indicated, subject to changes resulting from audit and normal year-end adjustments.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“Financial Plan” </w:t>
      </w:r>
      <w:r>
        <w:rPr>
          <w:rFonts w:ascii="Arial" w:cs="Arial" w:eastAsia="Arial" w:hAnsi="Arial"/>
          <w:sz w:val="22"/>
          <w:szCs w:val="22"/>
          <w:color w:val="auto"/>
        </w:rPr>
        <w:t>as defined in Section 5.1(i).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“Fiscal Quarter” </w:t>
      </w:r>
      <w:r>
        <w:rPr>
          <w:rFonts w:ascii="Arial" w:cs="Arial" w:eastAsia="Arial" w:hAnsi="Arial"/>
          <w:sz w:val="22"/>
          <w:szCs w:val="22"/>
          <w:color w:val="auto"/>
        </w:rPr>
        <w:t>means a fiscal quarter of any Fiscal Year.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“Fiscal Year” </w:t>
      </w:r>
      <w:r>
        <w:rPr>
          <w:rFonts w:ascii="Arial" w:cs="Arial" w:eastAsia="Arial" w:hAnsi="Arial"/>
          <w:sz w:val="19"/>
          <w:szCs w:val="19"/>
          <w:color w:val="auto"/>
        </w:rPr>
        <w:t>means the fiscal year of the Borrower and its Subsidiaries ending on December 31 of each calendar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year.</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“Foreign Subsidiary” </w:t>
      </w:r>
      <w:r>
        <w:rPr>
          <w:rFonts w:ascii="Arial" w:cs="Arial" w:eastAsia="Arial" w:hAnsi="Arial"/>
          <w:sz w:val="22"/>
          <w:szCs w:val="22"/>
          <w:color w:val="auto"/>
        </w:rPr>
        <w:t>means any Subsidiary that is not a Domestic Subsidiary.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“Funding Guarantors” </w:t>
      </w:r>
      <w:r>
        <w:rPr>
          <w:rFonts w:ascii="Arial" w:cs="Arial" w:eastAsia="Arial" w:hAnsi="Arial"/>
          <w:sz w:val="22"/>
          <w:szCs w:val="22"/>
          <w:color w:val="auto"/>
        </w:rPr>
        <w:t>as defined in Section 7.2.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“Funding Notice” </w:t>
      </w:r>
      <w:r>
        <w:rPr>
          <w:rFonts w:ascii="Arial" w:cs="Arial" w:eastAsia="Arial" w:hAnsi="Arial"/>
          <w:sz w:val="22"/>
          <w:szCs w:val="22"/>
          <w:color w:val="auto"/>
        </w:rPr>
        <w:t>means a notice substantially in the form of Exhibit A.</w:t>
      </w:r>
    </w:p>
    <w:p>
      <w:pPr>
        <w:spacing w:after="0" w:line="22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“GAAP” </w:t>
      </w:r>
      <w:r>
        <w:rPr>
          <w:rFonts w:ascii="Arial" w:cs="Arial" w:eastAsia="Arial" w:hAnsi="Arial"/>
          <w:sz w:val="22"/>
          <w:szCs w:val="22"/>
          <w:color w:val="auto"/>
        </w:rPr>
        <w:t>means, subject to the provisions of Section 1.2, United States generally accepted accounting principles</w:t>
      </w:r>
      <w:r>
        <w:rPr>
          <w:rFonts w:ascii="Arial" w:cs="Arial" w:eastAsia="Arial" w:hAnsi="Arial"/>
          <w:sz w:val="22"/>
          <w:szCs w:val="22"/>
          <w:b w:val="1"/>
          <w:bCs w:val="1"/>
          <w:color w:val="auto"/>
        </w:rPr>
        <w:t xml:space="preserve"> </w:t>
      </w:r>
      <w:r>
        <w:rPr>
          <w:rFonts w:ascii="Arial" w:cs="Arial" w:eastAsia="Arial" w:hAnsi="Arial"/>
          <w:sz w:val="22"/>
          <w:szCs w:val="22"/>
          <w:color w:val="auto"/>
        </w:rPr>
        <w:t>in effect as of the date of determination thereof.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 Change Event</w:t>
      </w:r>
      <w:r>
        <w:rPr>
          <w:rFonts w:ascii="Arial" w:cs="Arial" w:eastAsia="Arial" w:hAnsi="Arial"/>
          <w:sz w:val="22"/>
          <w:szCs w:val="22"/>
          <w:color w:val="auto"/>
        </w:rPr>
        <w:t>” as defined in Section 1.2(a).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“Goldman Sachs” </w:t>
      </w:r>
      <w:r>
        <w:rPr>
          <w:rFonts w:ascii="Arial" w:cs="Arial" w:eastAsia="Arial" w:hAnsi="Arial"/>
          <w:sz w:val="22"/>
          <w:szCs w:val="22"/>
          <w:color w:val="auto"/>
        </w:rPr>
        <w:t>as defined in the preamble hereto.</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“Governmental Acts” </w:t>
      </w:r>
      <w:r>
        <w:rPr>
          <w:rFonts w:ascii="Arial" w:cs="Arial" w:eastAsia="Arial" w:hAnsi="Arial"/>
          <w:sz w:val="22"/>
          <w:szCs w:val="22"/>
          <w:color w:val="auto"/>
        </w:rPr>
        <w:t>means any act or omission, whether rightful or wrongful, of any present or future de jure</w:t>
      </w:r>
      <w:r>
        <w:rPr>
          <w:rFonts w:ascii="Arial" w:cs="Arial" w:eastAsia="Arial" w:hAnsi="Arial"/>
          <w:sz w:val="22"/>
          <w:szCs w:val="22"/>
          <w:b w:val="1"/>
          <w:bCs w:val="1"/>
          <w:color w:val="auto"/>
        </w:rPr>
        <w:t xml:space="preserve"> </w:t>
      </w:r>
      <w:r>
        <w:rPr>
          <w:rFonts w:ascii="Arial" w:cs="Arial" w:eastAsia="Arial" w:hAnsi="Arial"/>
          <w:sz w:val="22"/>
          <w:szCs w:val="22"/>
          <w:color w:val="auto"/>
        </w:rPr>
        <w:t>or de facto government or Governmental Authority.</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“Governmental Authority” </w:t>
      </w:r>
      <w:r>
        <w:rPr>
          <w:rFonts w:ascii="Arial" w:cs="Arial" w:eastAsia="Arial" w:hAnsi="Arial"/>
          <w:sz w:val="22"/>
          <w:szCs w:val="22"/>
          <w:color w:val="auto"/>
        </w:rPr>
        <w:t>means any federal, state, municipal, national or other government,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department, commission, board, bureau, court, agency or instrumentality or political subdivision thereof or any entity, officer or examiner exercising</w:t>
      </w: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427" w:right="339" w:bottom="1440" w:gutter="0" w:footer="0" w:header="0"/>
          <w:type w:val="continuous"/>
        </w:sectPr>
      </w:pPr>
    </w:p>
    <w:bookmarkStart w:id="473" w:name="page474"/>
    <w:bookmarkEnd w:id="473"/>
    <w:p>
      <w:pPr>
        <w:jc w:val="both"/>
        <w:spacing w:after="0" w:line="287" w:lineRule="auto"/>
        <w:rPr>
          <w:sz w:val="20"/>
          <w:szCs w:val="20"/>
          <w:color w:val="auto"/>
        </w:rPr>
      </w:pPr>
      <w:r>
        <w:rPr>
          <w:rFonts w:ascii="Arial" w:cs="Arial" w:eastAsia="Arial" w:hAnsi="Arial"/>
          <w:sz w:val="21"/>
          <w:szCs w:val="21"/>
          <w:color w:val="auto"/>
        </w:rPr>
        <w:t>executive, legislative, judicial, regulatory or administrative functions of or pertaining to any government or any court, in each case whether associated with a state of the United States, the United States, or a foreign entity or government.</w:t>
      </w:r>
    </w:p>
    <w:p>
      <w:pPr>
        <w:spacing w:after="0" w:line="14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“Governmental Authorization” </w:t>
      </w:r>
      <w:r>
        <w:rPr>
          <w:rFonts w:ascii="Arial" w:cs="Arial" w:eastAsia="Arial" w:hAnsi="Arial"/>
          <w:sz w:val="22"/>
          <w:szCs w:val="22"/>
          <w:color w:val="auto"/>
        </w:rPr>
        <w:t>means any permit, license, authorization, plan, directive, consent order or</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decree of or from any Governmental Authority.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“Guaranteed Obligations” </w:t>
      </w:r>
      <w:r>
        <w:rPr>
          <w:rFonts w:ascii="Arial" w:cs="Arial" w:eastAsia="Arial" w:hAnsi="Arial"/>
          <w:sz w:val="22"/>
          <w:szCs w:val="22"/>
          <w:color w:val="auto"/>
        </w:rPr>
        <w:t>as defined in Section 7.1.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“Guarantor” </w:t>
      </w:r>
      <w:r>
        <w:rPr>
          <w:rFonts w:ascii="Arial" w:cs="Arial" w:eastAsia="Arial" w:hAnsi="Arial"/>
          <w:sz w:val="22"/>
          <w:szCs w:val="22"/>
          <w:color w:val="auto"/>
        </w:rPr>
        <w:t>means each Domestic Subsidiary of the Borrower.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“Guaranty” </w:t>
      </w:r>
      <w:r>
        <w:rPr>
          <w:rFonts w:ascii="Arial" w:cs="Arial" w:eastAsia="Arial" w:hAnsi="Arial"/>
          <w:sz w:val="22"/>
          <w:szCs w:val="22"/>
          <w:color w:val="auto"/>
        </w:rPr>
        <w:t>means the guaranty of each Guarantor set forth in Section 7.</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“Hazardous Materials” </w:t>
      </w:r>
      <w:r>
        <w:rPr>
          <w:rFonts w:ascii="Arial" w:cs="Arial" w:eastAsia="Arial" w:hAnsi="Arial"/>
          <w:sz w:val="22"/>
          <w:szCs w:val="22"/>
          <w:color w:val="auto"/>
        </w:rPr>
        <w:t>means any chemical, material or substance, exposure to which is prohibited, limited or</w:t>
      </w:r>
      <w:r>
        <w:rPr>
          <w:rFonts w:ascii="Arial" w:cs="Arial" w:eastAsia="Arial" w:hAnsi="Arial"/>
          <w:sz w:val="22"/>
          <w:szCs w:val="22"/>
          <w:b w:val="1"/>
          <w:bCs w:val="1"/>
          <w:color w:val="auto"/>
        </w:rPr>
        <w:t xml:space="preserve"> </w:t>
      </w:r>
      <w:r>
        <w:rPr>
          <w:rFonts w:ascii="Arial" w:cs="Arial" w:eastAsia="Arial" w:hAnsi="Arial"/>
          <w:sz w:val="22"/>
          <w:szCs w:val="22"/>
          <w:color w:val="auto"/>
        </w:rPr>
        <w:t>regulated by any Governmental Authority or which may or could pose a hazard to the health and safety of the owners, occupants or any Persons in the vicinity of any Facility or to the indoor or outdoor environment.</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“Hazardous Materials Activity” </w:t>
      </w:r>
      <w:r>
        <w:rPr>
          <w:rFonts w:ascii="Arial" w:cs="Arial" w:eastAsia="Arial" w:hAnsi="Arial"/>
          <w:sz w:val="22"/>
          <w:szCs w:val="22"/>
          <w:color w:val="auto"/>
        </w:rPr>
        <w:t>means any past, current, proposed or threatened activity, event or occurrence</w:t>
      </w:r>
      <w:r>
        <w:rPr>
          <w:rFonts w:ascii="Arial" w:cs="Arial" w:eastAsia="Arial" w:hAnsi="Arial"/>
          <w:sz w:val="22"/>
          <w:szCs w:val="22"/>
          <w:b w:val="1"/>
          <w:bCs w:val="1"/>
          <w:color w:val="auto"/>
        </w:rPr>
        <w:t xml:space="preserve"> </w:t>
      </w:r>
      <w:r>
        <w:rPr>
          <w:rFonts w:ascii="Arial" w:cs="Arial" w:eastAsia="Arial" w:hAnsi="Arial"/>
          <w:sz w:val="22"/>
          <w:szCs w:val="22"/>
          <w:color w:val="auto"/>
        </w:rPr>
        <w:t>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“Hedge Agreement” </w:t>
      </w:r>
      <w:r>
        <w:rPr>
          <w:rFonts w:ascii="Arial" w:cs="Arial" w:eastAsia="Arial" w:hAnsi="Arial"/>
          <w:sz w:val="19"/>
          <w:szCs w:val="19"/>
          <w:color w:val="auto"/>
        </w:rPr>
        <w:t>means an Interest Rate Agreement or a Currency Agreement entered into with a Lender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Counterparty.</w:t>
      </w:r>
    </w:p>
    <w:p>
      <w:pPr>
        <w:spacing w:after="0" w:line="19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“Highest Lawful Rate” </w:t>
      </w:r>
      <w:r>
        <w:rPr>
          <w:rFonts w:ascii="Arial" w:cs="Arial" w:eastAsia="Arial" w:hAnsi="Arial"/>
          <w:sz w:val="22"/>
          <w:szCs w:val="22"/>
          <w:color w:val="auto"/>
        </w:rPr>
        <w:t>means the maximum lawful interest rate, if any, that at any time or from time to time may</w:t>
      </w:r>
      <w:r>
        <w:rPr>
          <w:rFonts w:ascii="Arial" w:cs="Arial" w:eastAsia="Arial" w:hAnsi="Arial"/>
          <w:sz w:val="22"/>
          <w:szCs w:val="22"/>
          <w:b w:val="1"/>
          <w:bCs w:val="1"/>
          <w:color w:val="auto"/>
        </w:rPr>
        <w:t xml:space="preserve"> </w:t>
      </w:r>
      <w:r>
        <w:rPr>
          <w:rFonts w:ascii="Arial" w:cs="Arial" w:eastAsia="Arial" w:hAnsi="Arial"/>
          <w:sz w:val="22"/>
          <w:szCs w:val="22"/>
          <w:color w:val="auto"/>
        </w:rPr>
        <w:t>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8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“Historical Financial Statements” </w:t>
      </w:r>
      <w:r>
        <w:rPr>
          <w:rFonts w:ascii="Arial" w:cs="Arial" w:eastAsia="Arial" w:hAnsi="Arial"/>
          <w:sz w:val="19"/>
          <w:szCs w:val="19"/>
          <w:color w:val="auto"/>
        </w:rPr>
        <w:t>means as of the Closing Date, (i) audited consolidated financial statements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 and its Subsidiaries, for each of the three (3) most recent Fiscal Years ended at least sixty days prior to the Closing Date, consisting of balance sheets and the related statements of income, stockholders’ equity and cash flows for such Fiscal Years, and (ii) the unaudited consolidated financial statements of the Borrower and its subsidiaries for any Fiscal Quarter (other than the fourth Fiscal Quarter) ended after the date of the most recent audited financial statements delivered pursuant to clause (i) above (and corresponding periods of any prior year) and at least forty-five days prior to the Closing Date, consisting of a balance sheet and the related consolidated statements of income, stockholders’ equity and cash flows for the three, six or nine month period, as applicable, ending on such date and, , in each case (a) prepared in accordance with GAAP and (b) certified by the chief financial officer of Borrower that they fairly present, in all material respects, the financial condition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7" w:right="339" w:bottom="1440" w:gutter="0" w:footer="0" w:header="0"/>
        </w:sectPr>
      </w:pPr>
    </w:p>
    <w:bookmarkStart w:id="474" w:name="page475"/>
    <w:bookmarkEnd w:id="474"/>
    <w:p>
      <w:pPr>
        <w:jc w:val="both"/>
        <w:ind w:right="20"/>
        <w:spacing w:after="0" w:line="263" w:lineRule="auto"/>
        <w:rPr>
          <w:sz w:val="20"/>
          <w:szCs w:val="20"/>
          <w:color w:val="auto"/>
        </w:rPr>
      </w:pPr>
      <w:r>
        <w:rPr>
          <w:rFonts w:ascii="Arial" w:cs="Arial" w:eastAsia="Arial" w:hAnsi="Arial"/>
          <w:sz w:val="22"/>
          <w:szCs w:val="22"/>
          <w:color w:val="auto"/>
        </w:rPr>
        <w:t>Borrower and its Subsidiaries as at the dates indicated and the results of their operations and their cash flows for the periods indicated, subject to changes resulting from audit and normal year-end adjustments.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“Increased-Cost Lenders” </w:t>
      </w:r>
      <w:r>
        <w:rPr>
          <w:rFonts w:ascii="Arial" w:cs="Arial" w:eastAsia="Arial" w:hAnsi="Arial"/>
          <w:sz w:val="22"/>
          <w:szCs w:val="22"/>
          <w:color w:val="auto"/>
        </w:rPr>
        <w:t>as defined in Section 2.23.</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the Borrower under any Credit Document and (b) to the extent not otherwise described in (a), Other Taxes.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“Indebtedness” </w:t>
      </w:r>
      <w:r>
        <w:rPr>
          <w:rFonts w:ascii="Arial" w:cs="Arial" w:eastAsia="Arial" w:hAnsi="Arial"/>
          <w:sz w:val="19"/>
          <w:szCs w:val="19"/>
          <w:color w:val="auto"/>
        </w:rPr>
        <w:t>means, as applied to any Person, without duplication, (i) all indebtedness for borrowed money;</w:t>
      </w:r>
    </w:p>
    <w:p>
      <w:pPr>
        <w:spacing w:after="0" w:line="62" w:lineRule="exact"/>
        <w:rPr>
          <w:sz w:val="20"/>
          <w:szCs w:val="20"/>
          <w:color w:val="auto"/>
        </w:rPr>
      </w:pPr>
    </w:p>
    <w:p>
      <w:pPr>
        <w:jc w:val="both"/>
        <w:ind w:firstLine="8"/>
        <w:spacing w:after="0" w:line="281" w:lineRule="auto"/>
        <w:tabs>
          <w:tab w:leader="none" w:pos="357" w:val="left"/>
        </w:tabs>
        <w:numPr>
          <w:ilvl w:val="0"/>
          <w:numId w:val="343"/>
        </w:numPr>
        <w:rPr>
          <w:rFonts w:ascii="Arial" w:cs="Arial" w:eastAsia="Arial" w:hAnsi="Arial"/>
          <w:sz w:val="19"/>
          <w:szCs w:val="19"/>
          <w:color w:val="auto"/>
        </w:rPr>
      </w:pPr>
      <w:r>
        <w:rPr>
          <w:rFonts w:ascii="Arial" w:cs="Arial" w:eastAsia="Arial" w:hAnsi="Arial"/>
          <w:sz w:val="19"/>
          <w:szCs w:val="19"/>
          <w:color w:val="auto"/>
        </w:rPr>
        <w:t>that portion of obligations with respect to Capital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including any earn-out obligations (excluding any such obligations incurred under ERISA), which purchase price is</w:t>
      </w:r>
    </w:p>
    <w:p>
      <w:pPr>
        <w:spacing w:after="0" w:line="2" w:lineRule="exact"/>
        <w:rPr>
          <w:rFonts w:ascii="Arial" w:cs="Arial" w:eastAsia="Arial" w:hAnsi="Arial"/>
          <w:sz w:val="19"/>
          <w:szCs w:val="19"/>
          <w:color w:val="auto"/>
        </w:rPr>
      </w:pPr>
    </w:p>
    <w:p>
      <w:pPr>
        <w:jc w:val="both"/>
        <w:ind w:firstLine="8"/>
        <w:spacing w:after="0" w:line="284" w:lineRule="auto"/>
        <w:tabs>
          <w:tab w:leader="none" w:pos="296" w:val="left"/>
        </w:tabs>
        <w:numPr>
          <w:ilvl w:val="0"/>
          <w:numId w:val="344"/>
        </w:numPr>
        <w:rPr>
          <w:rFonts w:ascii="Arial" w:cs="Arial" w:eastAsia="Arial" w:hAnsi="Arial"/>
          <w:sz w:val="19"/>
          <w:szCs w:val="19"/>
          <w:color w:val="auto"/>
        </w:rPr>
      </w:pPr>
      <w:r>
        <w:rPr>
          <w:rFonts w:ascii="Arial" w:cs="Arial" w:eastAsia="Arial" w:hAnsi="Arial"/>
          <w:sz w:val="19"/>
          <w:szCs w:val="19"/>
          <w:color w:val="auto"/>
        </w:rPr>
        <w:t xml:space="preserve">due more than six months from the date of incurrence of the obligation in respect thereof or (b) evidenced by a note or similar written instrument; (v) all indebtedness secured by any Lien on any property or asset owned or held by that Person regardless of whether the indebtedness secured thereby shall have been assumed by that Person or is nonrecourse to the credit of that Person; (vi) the face amount of any letter of credit issued for the account of that Person or as to which that Person is otherwise liable for reimbursement of drawings; (vii) Disqualified Equity Interests; (viii) the discounting with recourse or sale with recourse by such Person of the obligation of another Person; (ix) any liability of such Person for Indebtedness described in the other clauses of this definition of another Person through any agreement (contingent or otherwise) (a) to purchase, repurchase or otherwise acquire such Indebtedness or any security therefor, or to provide funds for the payment or discharge of such Indebtedness (whether in the form of loans, advances, stock purchases, capital contributions or otherwise) or (b) to maintain the solvency or any balance sheet item, level of income or financial condition of another if, in the case of any agreement described under subclauses (a) or (b) of this clause (x), the primary purpose or intent thereof is as described in clause (ix) above; and (x) all obligations of such Person in respect of any exchange traded or over the counter derivative transaction, including under any Interest Rate Agreement or Currency Agreement, in each case, whether entered into for hedging or speculative purposes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in no event shall obligations under any Hedge Agreement be deemed “Indebtedness” for any purpose under Section 6.7 unless such obligations relate to a derivatives transaction which has been terminated.</w:t>
      </w:r>
    </w:p>
    <w:p>
      <w:pPr>
        <w:spacing w:after="0" w:line="16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“Indemnified Liabilities” </w:t>
      </w:r>
      <w:r>
        <w:rPr>
          <w:rFonts w:ascii="Arial" w:cs="Arial" w:eastAsia="Arial" w:hAnsi="Arial"/>
          <w:sz w:val="22"/>
          <w:szCs w:val="22"/>
          <w:color w:val="auto"/>
        </w:rPr>
        <w:t>means, collectively, any and all liabilities, obligations, losses, damages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natural resource damages), penalties, claims (including Environmental Claims), actions, judgments, suits, costs (including the costs of any investigation, study, sampling, testing, abatement, cleanup, removal, remediation or other response action necessary to remove, remediate, clean up or abate any Hazardous Materials Activity), and reasonable, documented and invoiced out-of-pocket expenses and disbursements of any kind or nature whatsoever (including the reasonable, documented and invoiced fees and disbursements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7" w:right="339" w:bottom="1440" w:gutter="0" w:footer="0" w:header="0"/>
        </w:sectPr>
      </w:pPr>
    </w:p>
    <w:bookmarkStart w:id="475" w:name="page476"/>
    <w:bookmarkEnd w:id="475"/>
    <w:p>
      <w:pPr>
        <w:jc w:val="both"/>
        <w:spacing w:after="0" w:line="285" w:lineRule="auto"/>
        <w:rPr>
          <w:sz w:val="20"/>
          <w:szCs w:val="20"/>
          <w:color w:val="auto"/>
        </w:rPr>
      </w:pPr>
      <w:r>
        <w:rPr>
          <w:rFonts w:ascii="Arial" w:cs="Arial" w:eastAsia="Arial" w:hAnsi="Arial"/>
          <w:sz w:val="19"/>
          <w:szCs w:val="19"/>
          <w:color w:val="auto"/>
        </w:rPr>
        <w:t xml:space="preserve">of one outside counsel for all Indemnitees taken as a whole (and in the case of an actual conflict of interest, an additional counsel for all Indemnities subject to such conflict taken as a whole), in connection with any investigative, administrative or judicial proceeding or hearing commenced or threatened by any Person, whether or not any such Indemnitee shall be designated as a party or a potential party thereto, and any reasonable, documented and invoiced fees or out-of-pocket expenses incurred by Indemnitees in enforcing this indemnity),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any such Indemnitee, in any manner relating to or arising out of (i) this Agreement or the other Credit Documents or the transactions contemplated hereby or thereby (including the Lenders’ agreement to make Credit Extensions, the syndication of the credit facilities provided for herein or the use or intended use of the proceeds thereof), any amendments, waivers or consents with respect to any provision of this Agreement or any of the other Credit Documents, or any enforcement of any of the Credit Documents (including the enforcement of the Guaranty)); (ii) any engagement letter (and any related fee letter) delivered by any Agent or any Lender to Borrower with respect to the transactions contemplated by this Agreement; or (iii) any Environmental Claim or any Hazardous Materials Activity relating to or arising from, directly or indirectly, any past or present activity, operation, land ownership, or practice of the Borrower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Indemnified Liabilities shall not include any special, indirect, consequential or punitive damages, except to the extent any such special, indirect, consequential or punitive damages are included in a claim by a third party unaffiliated with the applicable Indemnitee that is covered by this definition.</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“Indemnitee” </w:t>
      </w:r>
      <w:r>
        <w:rPr>
          <w:rFonts w:ascii="Arial" w:cs="Arial" w:eastAsia="Arial" w:hAnsi="Arial"/>
          <w:sz w:val="22"/>
          <w:szCs w:val="22"/>
          <w:color w:val="auto"/>
        </w:rPr>
        <w:t>as defined in Section 10.3(a).</w:t>
      </w:r>
    </w:p>
    <w:p>
      <w:pPr>
        <w:spacing w:after="0" w:line="220"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“Initial Public Offering” </w:t>
      </w:r>
      <w:r>
        <w:rPr>
          <w:rFonts w:ascii="Arial" w:cs="Arial" w:eastAsia="Arial" w:hAnsi="Arial"/>
          <w:sz w:val="19"/>
          <w:szCs w:val="19"/>
          <w:color w:val="auto"/>
        </w:rPr>
        <w:t>means the initial underwritten secondary public offering of the common stock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by the selling stockholder, Leonardo US Holding Inc., a wholly owned subsidiary of the Parent, pursuant to an effective registration statement filed with the U.S. Securities and Exchange Commission in accordance with the Securities Act.</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“Installment” </w:t>
      </w:r>
      <w:r>
        <w:rPr>
          <w:rFonts w:ascii="Arial" w:cs="Arial" w:eastAsia="Arial" w:hAnsi="Arial"/>
          <w:sz w:val="22"/>
          <w:szCs w:val="22"/>
          <w:color w:val="auto"/>
        </w:rPr>
        <w:t>as defined in Section 2.12.</w:t>
      </w:r>
    </w:p>
    <w:p>
      <w:pPr>
        <w:spacing w:after="0" w:line="220"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b w:val="1"/>
          <w:bCs w:val="1"/>
          <w:color w:val="auto"/>
        </w:rPr>
        <w:t xml:space="preserve">“Intercompany Subordination Agreement” </w:t>
      </w:r>
      <w:r>
        <w:rPr>
          <w:rFonts w:ascii="Arial" w:cs="Arial" w:eastAsia="Arial" w:hAnsi="Arial"/>
          <w:sz w:val="19"/>
          <w:szCs w:val="19"/>
          <w:color w:val="auto"/>
        </w:rPr>
        <w:t>means the Intercompany Subordination Agreement among the</w:t>
      </w:r>
      <w:r>
        <w:rPr>
          <w:rFonts w:ascii="Arial" w:cs="Arial" w:eastAsia="Arial" w:hAnsi="Arial"/>
          <w:sz w:val="19"/>
          <w:szCs w:val="19"/>
          <w:b w:val="1"/>
          <w:bCs w:val="1"/>
          <w:color w:val="auto"/>
        </w:rPr>
        <w:t xml:space="preserve"> </w:t>
      </w:r>
      <w:r>
        <w:rPr>
          <w:rFonts w:ascii="Arial" w:cs="Arial" w:eastAsia="Arial" w:hAnsi="Arial"/>
          <w:sz w:val="19"/>
          <w:szCs w:val="19"/>
          <w:color w:val="auto"/>
        </w:rPr>
        <w:t>Credit Parties, the other Subsidiaries party thereto, and the Administrative Agent, substantially in the form of Exhibit K.</w:t>
      </w:r>
    </w:p>
    <w:p>
      <w:pPr>
        <w:spacing w:after="0" w:line="9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“Interest Payment Date” </w:t>
      </w:r>
      <w:r>
        <w:rPr>
          <w:rFonts w:ascii="Arial" w:cs="Arial" w:eastAsia="Arial" w:hAnsi="Arial"/>
          <w:sz w:val="22"/>
          <w:szCs w:val="22"/>
          <w:color w:val="auto"/>
        </w:rPr>
        <w:t>means with respect to (i) any Loan that is a Base Rate Loan, the last Business Day of</w:t>
      </w:r>
      <w:r>
        <w:rPr>
          <w:rFonts w:ascii="Arial" w:cs="Arial" w:eastAsia="Arial" w:hAnsi="Arial"/>
          <w:sz w:val="22"/>
          <w:szCs w:val="22"/>
          <w:b w:val="1"/>
          <w:bCs w:val="1"/>
          <w:color w:val="auto"/>
        </w:rPr>
        <w:t xml:space="preserve"> </w:t>
      </w:r>
      <w:r>
        <w:rPr>
          <w:rFonts w:ascii="Arial" w:cs="Arial" w:eastAsia="Arial" w:hAnsi="Arial"/>
          <w:sz w:val="22"/>
          <w:szCs w:val="22"/>
          <w:color w:val="auto"/>
        </w:rPr>
        <w:t>March, June, September and December of each year, commencing on the first such date to occur after the Closing Date and the final maturity date of such Loan; and (ii) any Loan that is a Eurodollar Rate Loan, the last day of each Interest Period applicable to such Loan.</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“Interest Period” </w:t>
      </w:r>
      <w:r>
        <w:rPr>
          <w:rFonts w:ascii="Arial" w:cs="Arial" w:eastAsia="Arial" w:hAnsi="Arial"/>
          <w:sz w:val="22"/>
          <w:szCs w:val="22"/>
          <w:color w:val="auto"/>
        </w:rPr>
        <w:t>means, in connection with a Eurodollar Rate Loan (or, solely for the purpose of determining the</w:t>
      </w:r>
      <w:r>
        <w:rPr>
          <w:rFonts w:ascii="Arial" w:cs="Arial" w:eastAsia="Arial" w:hAnsi="Arial"/>
          <w:sz w:val="22"/>
          <w:szCs w:val="22"/>
          <w:b w:val="1"/>
          <w:bCs w:val="1"/>
          <w:color w:val="auto"/>
        </w:rPr>
        <w:t xml:space="preserve"> </w:t>
      </w:r>
      <w:r>
        <w:rPr>
          <w:rFonts w:ascii="Arial" w:cs="Arial" w:eastAsia="Arial" w:hAnsi="Arial"/>
          <w:sz w:val="22"/>
          <w:szCs w:val="22"/>
          <w:color w:val="auto"/>
        </w:rPr>
        <w:t>Spread, a Base Rate Loan), an interest period (i) initially, commencing on the Credit Date or thereof and ending on the numerically corresponding day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7" w:right="339" w:bottom="1440" w:gutter="0" w:footer="0" w:header="0"/>
        </w:sectPr>
      </w:pPr>
    </w:p>
    <w:bookmarkStart w:id="476" w:name="page477"/>
    <w:bookmarkEnd w:id="476"/>
    <w:p>
      <w:pPr>
        <w:spacing w:after="0" w:line="294" w:lineRule="auto"/>
        <w:rPr>
          <w:sz w:val="20"/>
          <w:szCs w:val="20"/>
          <w:color w:val="auto"/>
        </w:rPr>
      </w:pPr>
      <w:r>
        <w:rPr>
          <w:rFonts w:ascii="Arial" w:cs="Arial" w:eastAsia="Arial" w:hAnsi="Arial"/>
          <w:sz w:val="19"/>
          <w:szCs w:val="19"/>
          <w:color w:val="auto"/>
        </w:rPr>
        <w:t xml:space="preserve">is three months thereafter (the </w:t>
      </w:r>
      <w:r>
        <w:rPr>
          <w:rFonts w:ascii="Arial" w:cs="Arial" w:eastAsia="Arial" w:hAnsi="Arial"/>
          <w:sz w:val="19"/>
          <w:szCs w:val="19"/>
          <w:b w:val="1"/>
          <w:bCs w:val="1"/>
          <w:color w:val="auto"/>
        </w:rPr>
        <w:t>“First Interest Period”</w:t>
      </w:r>
      <w:r>
        <w:rPr>
          <w:rFonts w:ascii="Arial" w:cs="Arial" w:eastAsia="Arial" w:hAnsi="Arial"/>
          <w:sz w:val="19"/>
          <w:szCs w:val="19"/>
          <w:color w:val="auto"/>
        </w:rPr>
        <w:t xml:space="preserve">); and (ii) thereafter, any period beginning on the date of expiration of the immediately preceding Interest Period and ending on the numerically corresponding day that is three months thereafter, </w:t>
      </w:r>
      <w:r>
        <w:rPr>
          <w:rFonts w:ascii="Arial" w:cs="Arial" w:eastAsia="Arial" w:hAnsi="Arial"/>
          <w:sz w:val="19"/>
          <w:szCs w:val="19"/>
          <w:u w:val="single" w:color="auto"/>
          <w:color w:val="auto"/>
        </w:rPr>
        <w:t>provided</w:t>
      </w:r>
    </w:p>
    <w:p>
      <w:pPr>
        <w:spacing w:after="0" w:line="2" w:lineRule="exact"/>
        <w:rPr>
          <w:sz w:val="20"/>
          <w:szCs w:val="20"/>
          <w:color w:val="auto"/>
        </w:rPr>
      </w:pPr>
    </w:p>
    <w:p>
      <w:pPr>
        <w:jc w:val="both"/>
        <w:ind w:firstLine="8"/>
        <w:spacing w:after="0" w:line="257" w:lineRule="auto"/>
        <w:tabs>
          <w:tab w:leader="none" w:pos="302" w:val="left"/>
        </w:tabs>
        <w:numPr>
          <w:ilvl w:val="0"/>
          <w:numId w:val="345"/>
        </w:numPr>
        <w:rPr>
          <w:rFonts w:ascii="Arial" w:cs="Arial" w:eastAsia="Arial" w:hAnsi="Arial"/>
          <w:sz w:val="21"/>
          <w:szCs w:val="21"/>
          <w:color w:val="auto"/>
        </w:rPr>
      </w:pPr>
      <w:r>
        <w:rPr>
          <w:rFonts w:ascii="Arial" w:cs="Arial" w:eastAsia="Arial" w:hAnsi="Arial"/>
          <w:sz w:val="21"/>
          <w:szCs w:val="21"/>
          <w:color w:val="auto"/>
        </w:rPr>
        <w:t>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(b) any Interest Period that begins on the last Business Day of a calendar month (or on a day for which there is no numerically corresponding day in the calendar month at the end of such Interest Period) shall, subject to clauses (c) of this definition, end on the last Business Day of a calendar month; and (c) no Interest Period with respect to any portion of the Term Loans shall extend beyond the Maturity Date.</w:t>
      </w:r>
    </w:p>
    <w:p>
      <w:pPr>
        <w:spacing w:after="0" w:line="18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“Interest Rate Agreement” </w:t>
      </w:r>
      <w:r>
        <w:rPr>
          <w:rFonts w:ascii="Arial" w:cs="Arial" w:eastAsia="Arial" w:hAnsi="Arial"/>
          <w:sz w:val="22"/>
          <w:szCs w:val="22"/>
          <w:color w:val="auto"/>
        </w:rPr>
        <w:t>means any interest rate swap agreement, interest rate cap agreement, interest rate</w:t>
      </w:r>
      <w:r>
        <w:rPr>
          <w:rFonts w:ascii="Arial" w:cs="Arial" w:eastAsia="Arial" w:hAnsi="Arial"/>
          <w:sz w:val="22"/>
          <w:szCs w:val="22"/>
          <w:b w:val="1"/>
          <w:bCs w:val="1"/>
          <w:color w:val="auto"/>
        </w:rPr>
        <w:t xml:space="preserve"> </w:t>
      </w:r>
      <w:r>
        <w:rPr>
          <w:rFonts w:ascii="Arial" w:cs="Arial" w:eastAsia="Arial" w:hAnsi="Arial"/>
          <w:sz w:val="22"/>
          <w:szCs w:val="22"/>
          <w:color w:val="auto"/>
        </w:rPr>
        <w:t>collar agreement, interest rate hedging agreement or other similar agreement or arrangement, each of which is for the purpose of hedging the interest rate exposure associated with the Borrower’ and its Subsidiaries’ operations and not for speculative purposes.</w:t>
      </w:r>
    </w:p>
    <w:p>
      <w:pPr>
        <w:spacing w:after="0" w:line="18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“Interest Rate Determination Date” </w:t>
      </w:r>
      <w:r>
        <w:rPr>
          <w:rFonts w:ascii="Arial" w:cs="Arial" w:eastAsia="Arial" w:hAnsi="Arial"/>
          <w:sz w:val="22"/>
          <w:szCs w:val="22"/>
          <w:color w:val="auto"/>
        </w:rPr>
        <w:t>means, with respect to any Interest Period, the date that is two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Days prior to the first day of such Interest Period.</w:t>
      </w:r>
    </w:p>
    <w:p>
      <w:pPr>
        <w:spacing w:after="0" w:line="162"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“Internal Revenue Code” </w:t>
      </w:r>
      <w:r>
        <w:rPr>
          <w:rFonts w:ascii="Arial" w:cs="Arial" w:eastAsia="Arial" w:hAnsi="Arial"/>
          <w:sz w:val="22"/>
          <w:szCs w:val="22"/>
          <w:color w:val="auto"/>
        </w:rPr>
        <w:t>means the Internal Revenue Code of 1986, as amended to the date hereof and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hereafter, and any successor statute.</w:t>
      </w:r>
    </w:p>
    <w:p>
      <w:pPr>
        <w:spacing w:after="0" w:line="16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“Investment” </w:t>
      </w:r>
      <w:r>
        <w:rPr>
          <w:rFonts w:ascii="Arial" w:cs="Arial" w:eastAsia="Arial" w:hAnsi="Arial"/>
          <w:sz w:val="19"/>
          <w:szCs w:val="19"/>
          <w:color w:val="auto"/>
        </w:rPr>
        <w:t>means (i) any direct or indirect purchase or other acquisition by the Borrower or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of, or of a beneficial interest in, any of the Securities of any other Person (other than a Guarantor); (ii) any direct or indirect redemption, retirement, purchase or other acquisition for value, by any Subsidiary of the Borrower from any Person (other than the Borrower or any Guarantor), of any Equity Interests of such Person; (iii) any direct or indirect loan, advance (other than advances to employees for moving, entertainment and travel expenses, drawing accounts and similar expenditures in the ordinary course of business) or capital contributions by the Borrower or any of its Subsidiaries to any other Person (other than the Borrower or any Guarantor), including all indebtedness and accounts receivable from that other Person that are not current assets or did not arise from sales to that other Person in the ordinary course of business and (iv) all investments consisting of any exchange traded or over the counter derivative transaction, including any Interest Rate Agreement and Currency Agreement, whether entered into for hedging or speculative purposes or otherwise. The amount of any Investment of the type described in clauses (i), (ii) and (iii) shall be the original cost of such Investment, plus the cost of all additions thereto, without any adjustments for increases or decreases in value, or write-ups, write-downs or write-offs with respect to such Investment, minus the amount of any repayments of principal in the case of Investments in the form of loans and any return of capital or return on Investment in the case of equity Investments (whether as a distribution, dividend, redemption or sale but not in excess of the amount of the initial Investment).</w:t>
      </w:r>
    </w:p>
    <w:p>
      <w:pPr>
        <w:spacing w:after="0" w:line="200" w:lineRule="exact"/>
        <w:rPr>
          <w:sz w:val="20"/>
          <w:szCs w:val="20"/>
          <w:color w:val="auto"/>
        </w:rPr>
      </w:pPr>
    </w:p>
    <w:p>
      <w:pPr>
        <w:spacing w:after="0" w:line="218"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b w:val="1"/>
          <w:bCs w:val="1"/>
          <w:color w:val="auto"/>
        </w:rPr>
        <w:t xml:space="preserve">“Joint Venture” </w:t>
      </w:r>
      <w:r>
        <w:rPr>
          <w:rFonts w:ascii="Arial" w:cs="Arial" w:eastAsia="Arial" w:hAnsi="Arial"/>
          <w:sz w:val="22"/>
          <w:szCs w:val="22"/>
          <w:color w:val="auto"/>
        </w:rPr>
        <w:t>means a joint venture, partnership or other similar arrangement, whether in corporate,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partnership or other legal form; </w:t>
      </w:r>
      <w:r>
        <w:rPr>
          <w:rFonts w:ascii="Arial" w:cs="Arial" w:eastAsia="Arial" w:hAnsi="Arial"/>
          <w:sz w:val="22"/>
          <w:szCs w:val="22"/>
          <w:u w:val="single" w:color="auto"/>
          <w:color w:val="auto"/>
        </w:rPr>
        <w:t>provided</w:t>
      </w:r>
      <w:r>
        <w:rPr>
          <w:rFonts w:ascii="Arial" w:cs="Arial" w:eastAsia="Arial" w:hAnsi="Arial"/>
          <w:sz w:val="22"/>
          <w:szCs w:val="22"/>
          <w:color w:val="auto"/>
        </w:rPr>
        <w:t>, in no event shall any corporate Subsidiary of any Person be considered to be a Joint Venture to which such Person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1" w:right="339" w:bottom="1440" w:gutter="0" w:footer="0" w:header="0"/>
        </w:sectPr>
      </w:pPr>
    </w:p>
    <w:bookmarkStart w:id="477" w:name="page478"/>
    <w:bookmarkEnd w:id="477"/>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“Latest Maturity Date” </w:t>
      </w:r>
      <w:r>
        <w:rPr>
          <w:rFonts w:ascii="Arial" w:cs="Arial" w:eastAsia="Arial" w:hAnsi="Arial"/>
          <w:sz w:val="22"/>
          <w:szCs w:val="22"/>
          <w:color w:val="auto"/>
        </w:rPr>
        <w:t>means, at any date of determination, the latest maturity or expiration date applicable to</w:t>
      </w:r>
      <w:r>
        <w:rPr>
          <w:rFonts w:ascii="Arial" w:cs="Arial" w:eastAsia="Arial" w:hAnsi="Arial"/>
          <w:sz w:val="22"/>
          <w:szCs w:val="22"/>
          <w:b w:val="1"/>
          <w:bCs w:val="1"/>
          <w:color w:val="auto"/>
        </w:rPr>
        <w:t xml:space="preserve"> </w:t>
      </w:r>
      <w:r>
        <w:rPr>
          <w:rFonts w:ascii="Arial" w:cs="Arial" w:eastAsia="Arial" w:hAnsi="Arial"/>
          <w:sz w:val="22"/>
          <w:szCs w:val="22"/>
          <w:color w:val="auto"/>
        </w:rPr>
        <w:t>any Loan or Commitment hereunder at such time.</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“Lender” </w:t>
      </w:r>
      <w:r>
        <w:rPr>
          <w:rFonts w:ascii="Arial" w:cs="Arial" w:eastAsia="Arial" w:hAnsi="Arial"/>
          <w:sz w:val="22"/>
          <w:szCs w:val="22"/>
          <w:color w:val="auto"/>
        </w:rPr>
        <w:t>means each financial institution listed on the signature pages hereto as a Lender, and any other Person</w:t>
      </w:r>
      <w:r>
        <w:rPr>
          <w:rFonts w:ascii="Arial" w:cs="Arial" w:eastAsia="Arial" w:hAnsi="Arial"/>
          <w:sz w:val="22"/>
          <w:szCs w:val="22"/>
          <w:b w:val="1"/>
          <w:bCs w:val="1"/>
          <w:color w:val="auto"/>
        </w:rPr>
        <w:t xml:space="preserve"> </w:t>
      </w:r>
      <w:r>
        <w:rPr>
          <w:rFonts w:ascii="Arial" w:cs="Arial" w:eastAsia="Arial" w:hAnsi="Arial"/>
          <w:sz w:val="22"/>
          <w:szCs w:val="22"/>
          <w:color w:val="auto"/>
        </w:rPr>
        <w:t>that becomes a party hereto pursuant to an Assignment Agreement.</w:t>
      </w:r>
    </w:p>
    <w:p>
      <w:pPr>
        <w:spacing w:after="0" w:line="162"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“Lender Counterparty” </w:t>
      </w:r>
      <w:r>
        <w:rPr>
          <w:rFonts w:ascii="Arial" w:cs="Arial" w:eastAsia="Arial" w:hAnsi="Arial"/>
          <w:sz w:val="19"/>
          <w:szCs w:val="19"/>
          <w:color w:val="auto"/>
        </w:rPr>
        <w:t>means each Lender, each Agent and each of their respective Affiliates counterparty to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Hedge Agreement (including any Person who is an Agent or a Lender (and any Affiliate thereof) as of the Closing Date but subsequently, whether before or after entering into a Hedge Agreement, ceases to be an Agent or a Lender,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at the time of entering into a Hedge Agreement, no Lender Counterparty shall be a Defaulting Lender.</w:t>
      </w:r>
    </w:p>
    <w:p>
      <w:pPr>
        <w:spacing w:after="0" w:line="13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“Lien” </w:t>
      </w:r>
      <w:r>
        <w:rPr>
          <w:rFonts w:ascii="Arial" w:cs="Arial" w:eastAsia="Arial" w:hAnsi="Arial"/>
          <w:sz w:val="22"/>
          <w:szCs w:val="22"/>
          <w:color w:val="auto"/>
        </w:rPr>
        <w:t>means (i) any lien, mortgage, pledge, assignment, security interest, charge or encumbrance of any kind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(including any conditional sale or other title retention agreement, and any lease or license in the nature thereof) and any option, trust or other preferential arrangement having the practical effect of any of the foregoing and (ii) in the case of Securities (other than Securities representing an interest in a Joint Venture that is not a Subsidiary), any purchase option, call or similar right of a third party with respect to such Securities;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an operating lease or an agreement to sell be deemed to constitute a Lien.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“Loan” </w:t>
      </w:r>
      <w:r>
        <w:rPr>
          <w:rFonts w:ascii="Arial" w:cs="Arial" w:eastAsia="Arial" w:hAnsi="Arial"/>
          <w:sz w:val="22"/>
          <w:szCs w:val="22"/>
          <w:color w:val="auto"/>
        </w:rPr>
        <w:t>means a Term Loan.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“Margin Stock” </w:t>
      </w:r>
      <w:r>
        <w:rPr>
          <w:rFonts w:ascii="Arial" w:cs="Arial" w:eastAsia="Arial" w:hAnsi="Arial"/>
          <w:sz w:val="22"/>
          <w:szCs w:val="22"/>
          <w:color w:val="auto"/>
        </w:rPr>
        <w:t>as defined in Regulation U.</w:t>
      </w:r>
    </w:p>
    <w:p>
      <w:pPr>
        <w:spacing w:after="0" w:line="22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“Material Adverse Effect” </w:t>
      </w:r>
      <w:r>
        <w:rPr>
          <w:rFonts w:ascii="Arial" w:cs="Arial" w:eastAsia="Arial" w:hAnsi="Arial"/>
          <w:sz w:val="21"/>
          <w:szCs w:val="21"/>
          <w:color w:val="auto"/>
        </w:rPr>
        <w:t>means a material adverse effect on (i) the business, operations, properties, assets or</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condition of the Borrower and its Subsidiaries taken as a whole; (ii) the ability of the Credit Parties to perform the Obligations; or (iii) the legality, validity, binding effect or enforceability of the Credit Documents; or (iv) the rights, remedies and benefits available to, or conferred upon, any Agent or any Lender under the Credit Documents.</w:t>
      </w:r>
    </w:p>
    <w:p>
      <w:pPr>
        <w:spacing w:after="0" w:line="16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“Material Contract” </w:t>
      </w:r>
      <w:r>
        <w:rPr>
          <w:rFonts w:ascii="Arial" w:cs="Arial" w:eastAsia="Arial" w:hAnsi="Arial"/>
          <w:sz w:val="22"/>
          <w:szCs w:val="22"/>
          <w:color w:val="auto"/>
        </w:rPr>
        <w:t>means any contract or other arrangement to which the Borrower or any of its Subsidiaries is</w:t>
      </w:r>
      <w:r>
        <w:rPr>
          <w:rFonts w:ascii="Arial" w:cs="Arial" w:eastAsia="Arial" w:hAnsi="Arial"/>
          <w:sz w:val="22"/>
          <w:szCs w:val="22"/>
          <w:b w:val="1"/>
          <w:bCs w:val="1"/>
          <w:color w:val="auto"/>
        </w:rPr>
        <w:t xml:space="preserve"> </w:t>
      </w:r>
      <w:r>
        <w:rPr>
          <w:rFonts w:ascii="Arial" w:cs="Arial" w:eastAsia="Arial" w:hAnsi="Arial"/>
          <w:sz w:val="22"/>
          <w:szCs w:val="22"/>
          <w:color w:val="auto"/>
        </w:rPr>
        <w:t>a party (other than the Credit Documents) for which breach, nonperformance, cancellation or failure to renew could reasonably be expected to have a Material Adverse Effect.</w:t>
      </w:r>
    </w:p>
    <w:p>
      <w:pPr>
        <w:spacing w:after="0" w:line="17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“Maturity Date” </w:t>
      </w:r>
      <w:r>
        <w:rPr>
          <w:rFonts w:ascii="Arial" w:cs="Arial" w:eastAsia="Arial" w:hAnsi="Arial"/>
          <w:sz w:val="22"/>
          <w:szCs w:val="22"/>
          <w:color w:val="auto"/>
        </w:rPr>
        <w:t>means, with respect to the Term Loans, the earlier of (a)the date that is 364 days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Closing Date, and (b) the date on which all Term Loans shall become due and payable in full hereunder, whether by acceleration or otherwise.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“Moody’s” </w:t>
      </w:r>
      <w:r>
        <w:rPr>
          <w:rFonts w:ascii="Arial" w:cs="Arial" w:eastAsia="Arial" w:hAnsi="Arial"/>
          <w:sz w:val="22"/>
          <w:szCs w:val="22"/>
          <w:color w:val="auto"/>
        </w:rPr>
        <w:t>means Moody’s Investors Service, Inc.</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“Multiemployer Plan” </w:t>
      </w:r>
      <w:r>
        <w:rPr>
          <w:rFonts w:ascii="Arial" w:cs="Arial" w:eastAsia="Arial" w:hAnsi="Arial"/>
          <w:sz w:val="22"/>
          <w:szCs w:val="22"/>
          <w:color w:val="auto"/>
        </w:rPr>
        <w:t>means any Employee Benefit Plan which is a “multiemployer plan” as defined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3(37)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1" w:right="339" w:bottom="1440" w:gutter="0" w:footer="0" w:header="0"/>
        </w:sectPr>
      </w:pPr>
    </w:p>
    <w:bookmarkStart w:id="478" w:name="page479"/>
    <w:bookmarkEnd w:id="478"/>
    <w:p>
      <w:pPr>
        <w:ind w:left="1300"/>
        <w:spacing w:after="0"/>
        <w:rPr>
          <w:sz w:val="20"/>
          <w:szCs w:val="20"/>
          <w:color w:val="auto"/>
        </w:rPr>
      </w:pPr>
      <w:r>
        <w:rPr>
          <w:rFonts w:ascii="Arial" w:cs="Arial" w:eastAsia="Arial" w:hAnsi="Arial"/>
          <w:sz w:val="22"/>
          <w:szCs w:val="22"/>
          <w:b w:val="1"/>
          <w:bCs w:val="1"/>
          <w:color w:val="auto"/>
        </w:rPr>
        <w:t xml:space="preserve">“NAIC” </w:t>
      </w:r>
      <w:r>
        <w:rPr>
          <w:rFonts w:ascii="Arial" w:cs="Arial" w:eastAsia="Arial" w:hAnsi="Arial"/>
          <w:sz w:val="22"/>
          <w:szCs w:val="22"/>
          <w:color w:val="auto"/>
        </w:rPr>
        <w:t>means The National Association of Insurance Commissioners, and any successor thereto.</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“Narrative Report” </w:t>
      </w:r>
      <w:r>
        <w:rPr>
          <w:rFonts w:ascii="Arial" w:cs="Arial" w:eastAsia="Arial" w:hAnsi="Arial"/>
          <w:sz w:val="22"/>
          <w:szCs w:val="22"/>
          <w:color w:val="auto"/>
        </w:rPr>
        <w:t>means, with respect to the financial statements for which such narrative report is required, a</w:t>
      </w:r>
      <w:r>
        <w:rPr>
          <w:rFonts w:ascii="Arial" w:cs="Arial" w:eastAsia="Arial" w:hAnsi="Arial"/>
          <w:sz w:val="22"/>
          <w:szCs w:val="22"/>
          <w:b w:val="1"/>
          <w:bCs w:val="1"/>
          <w:color w:val="auto"/>
        </w:rPr>
        <w:t xml:space="preserve"> </w:t>
      </w:r>
      <w:r>
        <w:rPr>
          <w:rFonts w:ascii="Arial" w:cs="Arial" w:eastAsia="Arial" w:hAnsi="Arial"/>
          <w:sz w:val="22"/>
          <w:szCs w:val="22"/>
          <w:color w:val="auto"/>
        </w:rPr>
        <w:t>narrative report describing the operations of the Borrower and its Subsidiaries for the applicable month, Fiscal Quarter or Fiscal Year and for the period from the beginning of the then current Fiscal Year to the end of such period to which such financial statements relate.</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“Natural Person” </w:t>
      </w:r>
      <w:r>
        <w:rPr>
          <w:rFonts w:ascii="Arial" w:cs="Arial" w:eastAsia="Arial" w:hAnsi="Arial"/>
          <w:sz w:val="22"/>
          <w:szCs w:val="22"/>
          <w:color w:val="auto"/>
        </w:rPr>
        <w:t>means a natural person, or a holding company, investment vehicle or trust for, or owned and</w:t>
      </w:r>
      <w:r>
        <w:rPr>
          <w:rFonts w:ascii="Arial" w:cs="Arial" w:eastAsia="Arial" w:hAnsi="Arial"/>
          <w:sz w:val="22"/>
          <w:szCs w:val="22"/>
          <w:b w:val="1"/>
          <w:bCs w:val="1"/>
          <w:color w:val="auto"/>
        </w:rPr>
        <w:t xml:space="preserve"> </w:t>
      </w:r>
      <w:r>
        <w:rPr>
          <w:rFonts w:ascii="Arial" w:cs="Arial" w:eastAsia="Arial" w:hAnsi="Arial"/>
          <w:sz w:val="22"/>
          <w:szCs w:val="22"/>
          <w:color w:val="auto"/>
        </w:rPr>
        <w:t>operated for the primary benefit of, a natural person.</w:t>
      </w:r>
    </w:p>
    <w:p>
      <w:pPr>
        <w:spacing w:after="0" w:line="16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“Net Asset Sale Proceeds” </w:t>
      </w:r>
      <w:r>
        <w:rPr>
          <w:rFonts w:ascii="Arial" w:cs="Arial" w:eastAsia="Arial" w:hAnsi="Arial"/>
          <w:sz w:val="19"/>
          <w:szCs w:val="19"/>
          <w:color w:val="auto"/>
        </w:rPr>
        <w:t>means, with respect to any Asset Sale, an amount equal to: (i) Cash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any Cash received by way of deferred payment pursuant to, or by monetization of, a note receivable or otherwise (including by way of milestone payment, if applicable), but only as and when so received) received by Borrower or any of its Subsidiaries from such Asset Sale,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any bona fide direct costs incurred in connection with such Asset Sale, including (a) income or gains taxes payable by the seller as a result of any gain recognized in connection with such Asset Sale, (b) payment of the outstanding principal amount of, premium or penalty, if any, and interest on any Indebtedness (other than the Loans)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Borrower or any of its Subsidiaries in connection with such Asset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release of any such reserve, the amount released shall be considered Net Asset Sale Proceeds.</w:t>
      </w:r>
    </w:p>
    <w:p>
      <w:pPr>
        <w:spacing w:after="0" w:line="200" w:lineRule="exact"/>
        <w:rPr>
          <w:sz w:val="20"/>
          <w:szCs w:val="20"/>
          <w:color w:val="auto"/>
        </w:rPr>
      </w:pPr>
    </w:p>
    <w:p>
      <w:pPr>
        <w:spacing w:after="0" w:line="207"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“Net Equity Proceeds” </w:t>
      </w:r>
      <w:r>
        <w:rPr>
          <w:rFonts w:ascii="Arial" w:cs="Arial" w:eastAsia="Arial" w:hAnsi="Arial"/>
          <w:sz w:val="19"/>
          <w:szCs w:val="19"/>
          <w:color w:val="auto"/>
        </w:rPr>
        <w:t>means an amount equal to any Cash proceeds from a capital contribution to, or the</w:t>
      </w:r>
      <w:r>
        <w:rPr>
          <w:rFonts w:ascii="Arial" w:cs="Arial" w:eastAsia="Arial" w:hAnsi="Arial"/>
          <w:sz w:val="19"/>
          <w:szCs w:val="19"/>
          <w:b w:val="1"/>
          <w:bCs w:val="1"/>
          <w:color w:val="auto"/>
        </w:rPr>
        <w:t xml:space="preserve"> </w:t>
      </w:r>
      <w:r>
        <w:rPr>
          <w:rFonts w:ascii="Arial" w:cs="Arial" w:eastAsia="Arial" w:hAnsi="Arial"/>
          <w:sz w:val="19"/>
          <w:szCs w:val="19"/>
          <w:color w:val="auto"/>
        </w:rPr>
        <w:t>issuance of any Equity Interests of, the Borrower or any of its Subsidiaries, net of underwriting discounts and commissions and other reasonable costs and expenses associated therewith, including reasonable legal fees and expenses.</w:t>
      </w:r>
    </w:p>
    <w:p>
      <w:pPr>
        <w:spacing w:after="0" w:line="12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b w:val="1"/>
          <w:bCs w:val="1"/>
          <w:color w:val="auto"/>
        </w:rPr>
        <w:t xml:space="preserve">“Net Insurance/Condemnation Proceeds” </w:t>
      </w:r>
      <w:r>
        <w:rPr>
          <w:rFonts w:ascii="Arial" w:cs="Arial" w:eastAsia="Arial" w:hAnsi="Arial"/>
          <w:sz w:val="19"/>
          <w:szCs w:val="19"/>
          <w:color w:val="auto"/>
        </w:rPr>
        <w:t>means an amount equal to: (i) any Cash payments or proceeds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by Borrower or any of its Subsidiaries (a) under any casualty insurance policy in respect of a covered loss thereunder or</w:t>
      </w:r>
    </w:p>
    <w:p>
      <w:pPr>
        <w:spacing w:after="0" w:line="2" w:lineRule="exact"/>
        <w:rPr>
          <w:sz w:val="20"/>
          <w:szCs w:val="20"/>
          <w:color w:val="auto"/>
        </w:rPr>
      </w:pPr>
    </w:p>
    <w:p>
      <w:pPr>
        <w:jc w:val="both"/>
        <w:ind w:firstLine="8"/>
        <w:spacing w:after="0" w:line="257" w:lineRule="auto"/>
        <w:tabs>
          <w:tab w:leader="none" w:pos="316" w:val="left"/>
        </w:tabs>
        <w:numPr>
          <w:ilvl w:val="0"/>
          <w:numId w:val="346"/>
        </w:numPr>
        <w:rPr>
          <w:rFonts w:ascii="Arial" w:cs="Arial" w:eastAsia="Arial" w:hAnsi="Arial"/>
          <w:sz w:val="21"/>
          <w:szCs w:val="21"/>
          <w:color w:val="auto"/>
        </w:rPr>
      </w:pPr>
      <w:r>
        <w:rPr>
          <w:rFonts w:ascii="Arial" w:cs="Arial" w:eastAsia="Arial" w:hAnsi="Arial"/>
          <w:sz w:val="21"/>
          <w:szCs w:val="21"/>
          <w:color w:val="auto"/>
        </w:rPr>
        <w:t xml:space="preserve">as a result of the taking of any assets of Borrower or any of its Subsidiaries by any Person pursuant to the power of eminent domain, condemnation or otherwise, or pursuant to a sale of any such assets to a purchaser with such power under threat of such a taking,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(ii) (a) any actual and reasonable costs incurred by Borrower or any of its Subsidiaries in connection with the adjustment or settlement of any claims of Borrower or such Subsidiary in respect thereof, and (b) any bona fide direct costs incurred in connection with any sale of such assets as referred to in clause (i)(b) of this definition, including income taxes payable as a result of any gain recognized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1" w:right="339" w:bottom="1440" w:gutter="0" w:footer="0" w:header="0"/>
        </w:sectPr>
      </w:pPr>
    </w:p>
    <w:bookmarkStart w:id="479" w:name="page480"/>
    <w:bookmarkEnd w:id="479"/>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“Net Interest Coverage Ratio” </w:t>
      </w:r>
      <w:r>
        <w:rPr>
          <w:rFonts w:ascii="Arial" w:cs="Arial" w:eastAsia="Arial" w:hAnsi="Arial"/>
          <w:sz w:val="22"/>
          <w:szCs w:val="22"/>
          <w:color w:val="auto"/>
        </w:rPr>
        <w:t>means the ratio as of the last day of any Fiscal Quarter of (i) Consolidated</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EBITDA for the four-Fiscal Quarter period ending on the same date to (ii) Consolidated Net Interest Expense for such four-Fiscal Quarter period.</w:t>
      </w:r>
    </w:p>
    <w:p>
      <w:pPr>
        <w:spacing w:after="0" w:line="17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“Net Mark-to-Market Exposure” </w:t>
      </w:r>
      <w:r>
        <w:rPr>
          <w:rFonts w:ascii="Arial" w:cs="Arial" w:eastAsia="Arial" w:hAnsi="Arial"/>
          <w:sz w:val="19"/>
          <w:szCs w:val="19"/>
          <w:color w:val="auto"/>
        </w:rPr>
        <w:t>of a Person means, as of any date of determination, the excess (if any) of all</w:t>
      </w:r>
      <w:r>
        <w:rPr>
          <w:rFonts w:ascii="Arial" w:cs="Arial" w:eastAsia="Arial" w:hAnsi="Arial"/>
          <w:sz w:val="19"/>
          <w:szCs w:val="19"/>
          <w:b w:val="1"/>
          <w:bCs w:val="1"/>
          <w:color w:val="auto"/>
        </w:rPr>
        <w:t xml:space="preserve"> </w:t>
      </w:r>
      <w:r>
        <w:rPr>
          <w:rFonts w:ascii="Arial" w:cs="Arial" w:eastAsia="Arial" w:hAnsi="Arial"/>
          <w:sz w:val="19"/>
          <w:szCs w:val="19"/>
          <w:color w:val="auto"/>
        </w:rPr>
        <w:t>unrealized losses over all unrealized profits of such Person arising from Hedge Agreements or other Indebtedness of the type described in clause (x) of the definition thereof. As used in this definition, “unrealized losses” means the fair market value of the cost to such Person of replacing such Hedge Agreement or such other Indebtedness as of the date of determination (assuming the Hedge Agreement or such other Indebtedness were to be terminated as of that date), and “unrealized profits” means the fair market value of the gain to such Person of replacing such Hedge Agreement or such other Indebtedness as of the date of determination (assuming such Hedge Agreement or such other Indebtedness were to be terminated as of that date).</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“Non-Consenting Lender” </w:t>
      </w:r>
      <w:r>
        <w:rPr>
          <w:rFonts w:ascii="Arial" w:cs="Arial" w:eastAsia="Arial" w:hAnsi="Arial"/>
          <w:sz w:val="22"/>
          <w:szCs w:val="22"/>
          <w:color w:val="auto"/>
        </w:rPr>
        <w:t>as defined in Section 2.23.</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“Non-Defaulting Lender” </w:t>
      </w:r>
      <w:r>
        <w:rPr>
          <w:rFonts w:ascii="Arial" w:cs="Arial" w:eastAsia="Arial" w:hAnsi="Arial"/>
          <w:sz w:val="21"/>
          <w:szCs w:val="21"/>
          <w:color w:val="auto"/>
        </w:rPr>
        <w:t>means, at any time, each Lender that is not a Defaulting Lender at such time.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“Non-US Lender” </w:t>
      </w:r>
      <w:r>
        <w:rPr>
          <w:rFonts w:ascii="Arial" w:cs="Arial" w:eastAsia="Arial" w:hAnsi="Arial"/>
          <w:sz w:val="22"/>
          <w:szCs w:val="22"/>
          <w:color w:val="auto"/>
        </w:rPr>
        <w:t>as defined in Section 2.20(d).</w:t>
      </w:r>
    </w:p>
    <w:p>
      <w:pPr>
        <w:spacing w:after="0" w:line="220"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“Not Otherwise Applied” </w:t>
      </w:r>
      <w:r>
        <w:rPr>
          <w:rFonts w:ascii="Arial" w:cs="Arial" w:eastAsia="Arial" w:hAnsi="Arial"/>
          <w:sz w:val="19"/>
          <w:szCs w:val="19"/>
          <w:color w:val="auto"/>
        </w:rPr>
        <w:t>means, with reference to any Net Equity Proceeds of any cash capital contributions or</w:t>
      </w:r>
      <w:r>
        <w:rPr>
          <w:rFonts w:ascii="Arial" w:cs="Arial" w:eastAsia="Arial" w:hAnsi="Arial"/>
          <w:sz w:val="19"/>
          <w:szCs w:val="19"/>
          <w:b w:val="1"/>
          <w:bCs w:val="1"/>
          <w:color w:val="auto"/>
        </w:rPr>
        <w:t xml:space="preserve"> </w:t>
      </w:r>
      <w:r>
        <w:rPr>
          <w:rFonts w:ascii="Arial" w:cs="Arial" w:eastAsia="Arial" w:hAnsi="Arial"/>
          <w:sz w:val="19"/>
          <w:szCs w:val="19"/>
          <w:color w:val="auto"/>
        </w:rPr>
        <w:t>Net Equity Proceeds from the sale or issuance of any common Equity Interests or any other transaction or event, or the Cumulative Amount that is proposed to be applied to a particular use or transaction, that such amount (a) was not required to prepay Loans pursuant to Section 2.14 and (b) was not previously applied in determining the permissibility of a transaction under the Loan Documents where such permissibility was (or may have been) contingent on the receipt or availability of such amount (including any application of Specified Equity Contributions pursuant to Section 8.2).</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means a Term Loan Note.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means a Funding Notice.</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b w:val="1"/>
          <w:bCs w:val="1"/>
          <w:color w:val="auto"/>
        </w:rPr>
        <w:t xml:space="preserve">“Obligations” </w:t>
      </w:r>
      <w:r>
        <w:rPr>
          <w:rFonts w:ascii="Arial" w:cs="Arial" w:eastAsia="Arial" w:hAnsi="Arial"/>
          <w:sz w:val="22"/>
          <w:szCs w:val="22"/>
          <w:color w:val="auto"/>
        </w:rPr>
        <w:t>means all obligations (whether now existing or hereafter arising, absolute or contingent, joint,</w:t>
      </w:r>
      <w:r>
        <w:rPr>
          <w:rFonts w:ascii="Arial" w:cs="Arial" w:eastAsia="Arial" w:hAnsi="Arial"/>
          <w:sz w:val="22"/>
          <w:szCs w:val="22"/>
          <w:b w:val="1"/>
          <w:bCs w:val="1"/>
          <w:color w:val="auto"/>
        </w:rPr>
        <w:t xml:space="preserve"> </w:t>
      </w:r>
      <w:r>
        <w:rPr>
          <w:rFonts w:ascii="Arial" w:cs="Arial" w:eastAsia="Arial" w:hAnsi="Arial"/>
          <w:sz w:val="22"/>
          <w:szCs w:val="22"/>
          <w:color w:val="auto"/>
        </w:rPr>
        <w:t>several or independent) of every nature of each Credit Party, including obligations from time to time owed to Agents (including former Agents), Lenders or any of them, under any Credit Document (provided, for the avoidance of doubt, that any Hedge Agreement shall be deemed not to be a “Credit Document” for purposes of this definition), whether for principal, interest (including interest which, but for the filing of a petition in bankruptcy with respect to such Credit Party, would have accrued on any Obligation, whether or not a claim is allowed against such Credit Party for such interest in the related bankruptcy proceeding), fees, expenses, indemnification or otherwise, excluding, with respect to any Guarantor, Excluded Swap Obligations with respect to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1" w:right="339" w:bottom="1440" w:gutter="0" w:footer="0" w:header="0"/>
        </w:sectPr>
      </w:pPr>
    </w:p>
    <w:bookmarkStart w:id="480" w:name="page481"/>
    <w:bookmarkEnd w:id="480"/>
    <w:p>
      <w:pPr>
        <w:ind w:left="1300"/>
        <w:spacing w:after="0"/>
        <w:rPr>
          <w:sz w:val="20"/>
          <w:szCs w:val="20"/>
          <w:color w:val="auto"/>
        </w:rPr>
      </w:pPr>
      <w:r>
        <w:rPr>
          <w:rFonts w:ascii="Arial" w:cs="Arial" w:eastAsia="Arial" w:hAnsi="Arial"/>
          <w:sz w:val="22"/>
          <w:szCs w:val="22"/>
          <w:b w:val="1"/>
          <w:bCs w:val="1"/>
          <w:color w:val="auto"/>
        </w:rPr>
        <w:t xml:space="preserve">“Obligee Guarantor” </w:t>
      </w:r>
      <w:r>
        <w:rPr>
          <w:rFonts w:ascii="Arial" w:cs="Arial" w:eastAsia="Arial" w:hAnsi="Arial"/>
          <w:sz w:val="22"/>
          <w:szCs w:val="22"/>
          <w:color w:val="auto"/>
        </w:rPr>
        <w:t>as defined in Section 7.7.</w:t>
      </w:r>
    </w:p>
    <w:p>
      <w:pPr>
        <w:spacing w:after="0" w:line="22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auto"/>
        </w:rPr>
        <w:t xml:space="preserve">“Organizational Documents” </w:t>
      </w:r>
      <w:r>
        <w:rPr>
          <w:rFonts w:ascii="Arial" w:cs="Arial" w:eastAsia="Arial" w:hAnsi="Arial"/>
          <w:sz w:val="19"/>
          <w:szCs w:val="19"/>
          <w:color w:val="auto"/>
        </w:rPr>
        <w:t>means (i) with respect to any corporation or company, its certificate, memorandum</w:t>
      </w:r>
      <w:r>
        <w:rPr>
          <w:rFonts w:ascii="Arial" w:cs="Arial" w:eastAsia="Arial" w:hAnsi="Arial"/>
          <w:sz w:val="19"/>
          <w:szCs w:val="19"/>
          <w:b w:val="1"/>
          <w:bCs w:val="1"/>
          <w:color w:val="auto"/>
        </w:rPr>
        <w:t xml:space="preserve"> </w:t>
      </w:r>
      <w:r>
        <w:rPr>
          <w:rFonts w:ascii="Arial" w:cs="Arial" w:eastAsia="Arial" w:hAnsi="Arial"/>
          <w:sz w:val="19"/>
          <w:szCs w:val="19"/>
          <w:color w:val="auto"/>
        </w:rPr>
        <w:t>or articles of incorporation, organization or association, as amended, and its by-laws, as amended, (ii) with respect to any limited partnership, its certificate or declaration of limited partnership, as amended, and its partnership agreement, as amended, (iii) with respect to any general partnership, its partnership agreement, as amended, and (iv) with respect to any limited liability company, its certificate or articles of formation or organization, as amended, and its limited liability company or operating agreement, as amended. In the event any term or condition of this Agreement or any other Credit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4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Connection Taxes</w:t>
      </w:r>
      <w:r>
        <w:rPr>
          <w:rFonts w:ascii="Arial" w:cs="Arial" w:eastAsia="Arial" w:hAnsi="Arial"/>
          <w:sz w:val="22"/>
          <w:szCs w:val="22"/>
          <w:color w:val="auto"/>
        </w:rPr>
        <w:t>” means, with respect to any Lender, Taxes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8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“Other Taxes” </w:t>
      </w:r>
      <w:r>
        <w:rPr>
          <w:rFonts w:ascii="Arial" w:cs="Arial" w:eastAsia="Arial" w:hAnsi="Arial"/>
          <w:sz w:val="22"/>
          <w:szCs w:val="22"/>
          <w:color w:val="auto"/>
        </w:rPr>
        <w:t>means any and all present or future stamp or documentary Taxes or any other excise or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Taxes, charges or similar levies (and interest, fines, penalties and additions related thereto) arising from any payment made hereunder or from the execution, delivery or enforcement of, or otherwise with respect to, this Agreement or any other Credit Document.</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“Parent” </w:t>
      </w:r>
      <w:r>
        <w:rPr>
          <w:rFonts w:ascii="Arial" w:cs="Arial" w:eastAsia="Arial" w:hAnsi="Arial"/>
          <w:sz w:val="22"/>
          <w:szCs w:val="22"/>
          <w:color w:val="auto"/>
        </w:rPr>
        <w:t>means Leonardo S.p.A., a joint stock company (</w:t>
      </w:r>
      <w:r>
        <w:rPr>
          <w:rFonts w:ascii="Arial" w:cs="Arial" w:eastAsia="Arial" w:hAnsi="Arial"/>
          <w:sz w:val="22"/>
          <w:szCs w:val="22"/>
          <w:i w:val="1"/>
          <w:iCs w:val="1"/>
          <w:color w:val="auto"/>
        </w:rPr>
        <w:t>società per azioni</w:t>
      </w:r>
      <w:r>
        <w:rPr>
          <w:rFonts w:ascii="Arial" w:cs="Arial" w:eastAsia="Arial" w:hAnsi="Arial"/>
          <w:sz w:val="22"/>
          <w:szCs w:val="22"/>
          <w:color w:val="auto"/>
        </w:rPr>
        <w:t>) organized under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Republic of Italy.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“Participant Register” </w:t>
      </w:r>
      <w:r>
        <w:rPr>
          <w:rFonts w:ascii="Arial" w:cs="Arial" w:eastAsia="Arial" w:hAnsi="Arial"/>
          <w:sz w:val="22"/>
          <w:szCs w:val="22"/>
          <w:color w:val="auto"/>
        </w:rPr>
        <w:t>as defined in Section 10.6(g)(i).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“PATRIOT Act” </w:t>
      </w:r>
      <w:r>
        <w:rPr>
          <w:rFonts w:ascii="Arial" w:cs="Arial" w:eastAsia="Arial" w:hAnsi="Arial"/>
          <w:sz w:val="22"/>
          <w:szCs w:val="22"/>
          <w:color w:val="auto"/>
        </w:rPr>
        <w:t>as defined in Section 3.1(x).</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“PBGC” </w:t>
      </w:r>
      <w:r>
        <w:rPr>
          <w:rFonts w:ascii="Arial" w:cs="Arial" w:eastAsia="Arial" w:hAnsi="Arial"/>
          <w:sz w:val="22"/>
          <w:szCs w:val="22"/>
          <w:color w:val="auto"/>
        </w:rPr>
        <w:t>means the Pension Benefit Guaranty Corporation or any successor thereto.</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“Pension Plan” </w:t>
      </w:r>
      <w:r>
        <w:rPr>
          <w:rFonts w:ascii="Arial" w:cs="Arial" w:eastAsia="Arial" w:hAnsi="Arial"/>
          <w:sz w:val="22"/>
          <w:szCs w:val="22"/>
          <w:color w:val="auto"/>
        </w:rPr>
        <w:t>means any Employee Benefit Plan, other than a Multiemployer Plan, which is subject to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412 of the Internal Revenue Code or Section 302 of ERISA.</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“Permanent Debt” </w:t>
      </w:r>
      <w:r>
        <w:rPr>
          <w:rFonts w:ascii="Arial" w:cs="Arial" w:eastAsia="Arial" w:hAnsi="Arial"/>
          <w:sz w:val="22"/>
          <w:szCs w:val="22"/>
          <w:color w:val="auto"/>
        </w:rPr>
        <w:t>as defined in Section 3.1(g).</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“Permitted Acquisition” </w:t>
      </w:r>
      <w:r>
        <w:rPr>
          <w:rFonts w:ascii="Arial" w:cs="Arial" w:eastAsia="Arial" w:hAnsi="Arial"/>
          <w:sz w:val="22"/>
          <w:szCs w:val="22"/>
          <w:color w:val="auto"/>
        </w:rPr>
        <w:t>means any acquisition, directly or indirectly, by Borrower or any of its Subsidiaries,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whether by purchase, merger or otherwise, of all or substantially all of the assets of, all of the Equity Interests of, or a business line or unit or a division of, any Person; </w:t>
      </w:r>
      <w:r>
        <w:rPr>
          <w:rFonts w:ascii="Arial" w:cs="Arial" w:eastAsia="Arial" w:hAnsi="Arial"/>
          <w:sz w:val="22"/>
          <w:szCs w:val="22"/>
          <w:u w:val="single" w:color="auto"/>
          <w:color w:val="auto"/>
        </w:rPr>
        <w:t>provided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1" w:right="339" w:bottom="1440" w:gutter="0" w:footer="0" w:header="0"/>
        </w:sectPr>
      </w:pPr>
    </w:p>
    <w:bookmarkStart w:id="481" w:name="page482"/>
    <w:bookmarkEnd w:id="481"/>
    <w:p>
      <w:pPr>
        <w:ind w:left="660" w:firstLine="1292"/>
        <w:spacing w:after="0" w:line="263" w:lineRule="auto"/>
        <w:tabs>
          <w:tab w:leader="none" w:pos="2532" w:val="left"/>
        </w:tabs>
        <w:numPr>
          <w:ilvl w:val="0"/>
          <w:numId w:val="347"/>
        </w:numPr>
        <w:rPr>
          <w:rFonts w:ascii="Arial" w:cs="Arial" w:eastAsia="Arial" w:hAnsi="Arial"/>
          <w:sz w:val="22"/>
          <w:szCs w:val="22"/>
          <w:color w:val="auto"/>
        </w:rPr>
      </w:pPr>
      <w:r>
        <w:rPr>
          <w:rFonts w:ascii="Arial" w:cs="Arial" w:eastAsia="Arial" w:hAnsi="Arial"/>
          <w:sz w:val="22"/>
          <w:szCs w:val="22"/>
          <w:color w:val="auto"/>
        </w:rPr>
        <w:t>immediately prior to, and after giving effect thereto, no Default or Event of Default shall have occurred and be continuing or would result therefrom;</w:t>
      </w:r>
    </w:p>
    <w:p>
      <w:pPr>
        <w:spacing w:after="0" w:line="174" w:lineRule="exact"/>
        <w:rPr>
          <w:rFonts w:ascii="Arial" w:cs="Arial" w:eastAsia="Arial" w:hAnsi="Arial"/>
          <w:sz w:val="22"/>
          <w:szCs w:val="22"/>
          <w:color w:val="auto"/>
        </w:rPr>
      </w:pPr>
    </w:p>
    <w:p>
      <w:pPr>
        <w:ind w:left="660" w:firstLine="1292"/>
        <w:spacing w:after="0" w:line="263" w:lineRule="auto"/>
        <w:tabs>
          <w:tab w:leader="none" w:pos="2455" w:val="left"/>
        </w:tabs>
        <w:numPr>
          <w:ilvl w:val="0"/>
          <w:numId w:val="347"/>
        </w:numPr>
        <w:rPr>
          <w:rFonts w:ascii="Arial" w:cs="Arial" w:eastAsia="Arial" w:hAnsi="Arial"/>
          <w:sz w:val="22"/>
          <w:szCs w:val="22"/>
          <w:color w:val="auto"/>
        </w:rPr>
      </w:pPr>
      <w:r>
        <w:rPr>
          <w:rFonts w:ascii="Arial" w:cs="Arial" w:eastAsia="Arial" w:hAnsi="Arial"/>
          <w:sz w:val="22"/>
          <w:szCs w:val="22"/>
          <w:color w:val="auto"/>
        </w:rPr>
        <w:t>all transactions in connection therewith shall be consummated, in all material respects, in accordance with all applicable laws and in conformity with all applicable Governmental Authorizations;</w:t>
      </w:r>
    </w:p>
    <w:p>
      <w:pPr>
        <w:spacing w:after="0" w:line="174" w:lineRule="exact"/>
        <w:rPr>
          <w:rFonts w:ascii="Arial" w:cs="Arial" w:eastAsia="Arial" w:hAnsi="Arial"/>
          <w:sz w:val="22"/>
          <w:szCs w:val="22"/>
          <w:color w:val="auto"/>
        </w:rPr>
      </w:pPr>
    </w:p>
    <w:p>
      <w:pPr>
        <w:jc w:val="both"/>
        <w:ind w:left="660" w:firstLine="1292"/>
        <w:spacing w:after="0" w:line="253" w:lineRule="auto"/>
        <w:tabs>
          <w:tab w:leader="none" w:pos="2578" w:val="left"/>
        </w:tabs>
        <w:numPr>
          <w:ilvl w:val="0"/>
          <w:numId w:val="347"/>
        </w:numPr>
        <w:rPr>
          <w:rFonts w:ascii="Arial" w:cs="Arial" w:eastAsia="Arial" w:hAnsi="Arial"/>
          <w:sz w:val="22"/>
          <w:szCs w:val="22"/>
          <w:color w:val="auto"/>
        </w:rPr>
      </w:pPr>
      <w:r>
        <w:rPr>
          <w:rFonts w:ascii="Arial" w:cs="Arial" w:eastAsia="Arial" w:hAnsi="Arial"/>
          <w:sz w:val="22"/>
          <w:szCs w:val="22"/>
          <w:color w:val="auto"/>
        </w:rPr>
        <w:t>the Borrower and its Subsidiaries shall be in compliance with the financial covenants set forth in Section 6.7 on a pro forma basis after giving effect to such acquisition as of the last day of the Fiscal Quarter most recently ended; and</w:t>
      </w:r>
    </w:p>
    <w:p>
      <w:pPr>
        <w:spacing w:after="0" w:line="185" w:lineRule="exact"/>
        <w:rPr>
          <w:rFonts w:ascii="Arial" w:cs="Arial" w:eastAsia="Arial" w:hAnsi="Arial"/>
          <w:sz w:val="22"/>
          <w:szCs w:val="22"/>
          <w:color w:val="auto"/>
        </w:rPr>
      </w:pPr>
    </w:p>
    <w:p>
      <w:pPr>
        <w:jc w:val="both"/>
        <w:ind w:left="660" w:firstLine="1292"/>
        <w:spacing w:after="0" w:line="253" w:lineRule="auto"/>
        <w:tabs>
          <w:tab w:leader="none" w:pos="2517" w:val="left"/>
        </w:tabs>
        <w:numPr>
          <w:ilvl w:val="0"/>
          <w:numId w:val="347"/>
        </w:numPr>
        <w:rPr>
          <w:rFonts w:ascii="Arial" w:cs="Arial" w:eastAsia="Arial" w:hAnsi="Arial"/>
          <w:sz w:val="22"/>
          <w:szCs w:val="22"/>
          <w:color w:val="auto"/>
        </w:rPr>
      </w:pPr>
      <w:r>
        <w:rPr>
          <w:rFonts w:ascii="Arial" w:cs="Arial" w:eastAsia="Arial" w:hAnsi="Arial"/>
          <w:sz w:val="22"/>
          <w:szCs w:val="22"/>
          <w:color w:val="auto"/>
        </w:rPr>
        <w:t>any Person or assets or division as acquired in accordance herewith (y) shall be in same business or lines of business in which Borrower and/or its Subsidiaries are engaged as of the Closing Date or similar or related businesses.</w:t>
      </w:r>
    </w:p>
    <w:p>
      <w:pPr>
        <w:spacing w:after="0" w:line="17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“Person” </w:t>
      </w:r>
      <w:r>
        <w:rPr>
          <w:rFonts w:ascii="Arial" w:cs="Arial" w:eastAsia="Arial" w:hAnsi="Arial"/>
          <w:sz w:val="19"/>
          <w:szCs w:val="19"/>
          <w:color w:val="auto"/>
        </w:rPr>
        <w:t>means and includes natural persons, corporations, limited partnerships, general partnerships,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“Platform” </w:t>
      </w:r>
      <w:r>
        <w:rPr>
          <w:rFonts w:ascii="Arial" w:cs="Arial" w:eastAsia="Arial" w:hAnsi="Arial"/>
          <w:sz w:val="22"/>
          <w:szCs w:val="22"/>
          <w:color w:val="auto"/>
        </w:rPr>
        <w:t>as defined in Section 5.1(o).</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“Prime Rate” </w:t>
      </w:r>
      <w:r>
        <w:rPr>
          <w:rFonts w:ascii="Arial" w:cs="Arial" w:eastAsia="Arial" w:hAnsi="Arial"/>
          <w:sz w:val="22"/>
          <w:szCs w:val="22"/>
          <w:color w:val="auto"/>
        </w:rPr>
        <w:t>means the rate of interest quoted in the print edition of</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The Wall Street Journal</w:t>
      </w:r>
      <w:r>
        <w:rPr>
          <w:rFonts w:ascii="Arial" w:cs="Arial" w:eastAsia="Arial" w:hAnsi="Arial"/>
          <w:sz w:val="22"/>
          <w:szCs w:val="22"/>
          <w:color w:val="auto"/>
        </w:rPr>
        <w:t>, Money Rates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as the Prime Rate (currently defined as the base rate on corporate loans posted by at least 75% of the nation’s thirty (30) 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spacing w:after="0" w:line="18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“Principal Office” </w:t>
      </w:r>
      <w:r>
        <w:rPr>
          <w:rFonts w:ascii="Arial" w:cs="Arial" w:eastAsia="Arial" w:hAnsi="Arial"/>
          <w:sz w:val="22"/>
          <w:szCs w:val="22"/>
          <w:color w:val="auto"/>
        </w:rPr>
        <w:t>means Administrative Agent’s “Principal Office” as set forth on Appendix B, or such other</w:t>
      </w:r>
      <w:r>
        <w:rPr>
          <w:rFonts w:ascii="Arial" w:cs="Arial" w:eastAsia="Arial" w:hAnsi="Arial"/>
          <w:sz w:val="22"/>
          <w:szCs w:val="22"/>
          <w:b w:val="1"/>
          <w:bCs w:val="1"/>
          <w:color w:val="auto"/>
        </w:rPr>
        <w:t xml:space="preserve"> </w:t>
      </w:r>
      <w:r>
        <w:rPr>
          <w:rFonts w:ascii="Arial" w:cs="Arial" w:eastAsia="Arial" w:hAnsi="Arial"/>
          <w:sz w:val="22"/>
          <w:szCs w:val="22"/>
          <w:color w:val="auto"/>
        </w:rPr>
        <w:t>office or office of a third party or sub-agent, as appropriate, as Administrative Agent may from time to time designate in writing to Borrower and each Lender.</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“Private Lenders” </w:t>
      </w:r>
      <w:r>
        <w:rPr>
          <w:rFonts w:ascii="Arial" w:cs="Arial" w:eastAsia="Arial" w:hAnsi="Arial"/>
          <w:sz w:val="22"/>
          <w:szCs w:val="22"/>
          <w:color w:val="auto"/>
        </w:rPr>
        <w:t>means Lenders that wish to receive Private-Side Information.</w:t>
      </w:r>
    </w:p>
    <w:p>
      <w:pPr>
        <w:spacing w:after="0" w:line="22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“Private-Side Information” </w:t>
      </w:r>
      <w:r>
        <w:rPr>
          <w:rFonts w:ascii="Arial" w:cs="Arial" w:eastAsia="Arial" w:hAnsi="Arial"/>
          <w:sz w:val="22"/>
          <w:szCs w:val="22"/>
          <w:color w:val="auto"/>
        </w:rPr>
        <w:t>means any information with respect to the Borrower and its Subsidiaries that is not</w:t>
      </w:r>
      <w:r>
        <w:rPr>
          <w:rFonts w:ascii="Arial" w:cs="Arial" w:eastAsia="Arial" w:hAnsi="Arial"/>
          <w:sz w:val="22"/>
          <w:szCs w:val="22"/>
          <w:b w:val="1"/>
          <w:bCs w:val="1"/>
          <w:color w:val="auto"/>
        </w:rPr>
        <w:t xml:space="preserve"> </w:t>
      </w:r>
      <w:r>
        <w:rPr>
          <w:rFonts w:ascii="Arial" w:cs="Arial" w:eastAsia="Arial" w:hAnsi="Arial"/>
          <w:sz w:val="22"/>
          <w:szCs w:val="22"/>
          <w:color w:val="auto"/>
        </w:rPr>
        <w:t>Public-Side Information.</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“Pro Rata Share” </w:t>
      </w:r>
      <w:r>
        <w:rPr>
          <w:rFonts w:ascii="Arial" w:cs="Arial" w:eastAsia="Arial" w:hAnsi="Arial"/>
          <w:sz w:val="22"/>
          <w:szCs w:val="22"/>
          <w:color w:val="auto"/>
        </w:rPr>
        <w:t>means, with respect to all payments, computations and other matters relating to the Term Loan</w:t>
      </w:r>
      <w:r>
        <w:rPr>
          <w:rFonts w:ascii="Arial" w:cs="Arial" w:eastAsia="Arial" w:hAnsi="Arial"/>
          <w:sz w:val="22"/>
          <w:szCs w:val="22"/>
          <w:b w:val="1"/>
          <w:bCs w:val="1"/>
          <w:color w:val="auto"/>
        </w:rPr>
        <w:t xml:space="preserve"> </w:t>
      </w:r>
      <w:r>
        <w:rPr>
          <w:rFonts w:ascii="Arial" w:cs="Arial" w:eastAsia="Arial" w:hAnsi="Arial"/>
          <w:sz w:val="22"/>
          <w:szCs w:val="22"/>
          <w:color w:val="auto"/>
        </w:rPr>
        <w:t>of any Lender, the percentage obtained by dividing (a) the Term Loan Exposure of that Lender by (b) the aggregate Term Loan Exposure of all Lenders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“Projections” </w:t>
      </w:r>
      <w:r>
        <w:rPr>
          <w:rFonts w:ascii="Arial" w:cs="Arial" w:eastAsia="Arial" w:hAnsi="Arial"/>
          <w:sz w:val="22"/>
          <w:szCs w:val="22"/>
          <w:color w:val="auto"/>
        </w:rPr>
        <w:t>as defined in Section 4.8.</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“PTE” </w:t>
      </w:r>
      <w:r>
        <w:rPr>
          <w:rFonts w:ascii="Arial" w:cs="Arial" w:eastAsia="Arial" w:hAnsi="Arial"/>
          <w:sz w:val="22"/>
          <w:szCs w:val="22"/>
          <w:color w:val="auto"/>
        </w:rPr>
        <w:t>means a prohibited transaction class exemption issued by the U.S. Department of Labor, as any such</w:t>
      </w:r>
      <w:r>
        <w:rPr>
          <w:rFonts w:ascii="Arial" w:cs="Arial" w:eastAsia="Arial" w:hAnsi="Arial"/>
          <w:sz w:val="22"/>
          <w:szCs w:val="22"/>
          <w:b w:val="1"/>
          <w:bCs w:val="1"/>
          <w:color w:val="auto"/>
        </w:rPr>
        <w:t xml:space="preserve"> </w:t>
      </w:r>
      <w:r>
        <w:rPr>
          <w:rFonts w:ascii="Arial" w:cs="Arial" w:eastAsia="Arial" w:hAnsi="Arial"/>
          <w:sz w:val="22"/>
          <w:szCs w:val="22"/>
          <w:color w:val="auto"/>
        </w:rPr>
        <w:t>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7" w:right="339" w:bottom="1440" w:gutter="0" w:footer="0" w:header="0"/>
        </w:sectPr>
      </w:pPr>
    </w:p>
    <w:bookmarkStart w:id="482" w:name="page483"/>
    <w:bookmarkEnd w:id="482"/>
    <w:p>
      <w:pPr>
        <w:ind w:left="1300"/>
        <w:spacing w:after="0"/>
        <w:rPr>
          <w:sz w:val="20"/>
          <w:szCs w:val="20"/>
          <w:color w:val="auto"/>
        </w:rPr>
      </w:pPr>
      <w:r>
        <w:rPr>
          <w:rFonts w:ascii="Arial" w:cs="Arial" w:eastAsia="Arial" w:hAnsi="Arial"/>
          <w:sz w:val="22"/>
          <w:szCs w:val="22"/>
          <w:b w:val="1"/>
          <w:bCs w:val="1"/>
          <w:color w:val="auto"/>
        </w:rPr>
        <w:t xml:space="preserve">“Public Lenders” </w:t>
      </w:r>
      <w:r>
        <w:rPr>
          <w:rFonts w:ascii="Arial" w:cs="Arial" w:eastAsia="Arial" w:hAnsi="Arial"/>
          <w:sz w:val="22"/>
          <w:szCs w:val="22"/>
          <w:color w:val="auto"/>
        </w:rPr>
        <w:t>means Lenders that do not wish to receive Private-Side Information.</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“Public-Side Information” </w:t>
      </w:r>
      <w:r>
        <w:rPr>
          <w:rFonts w:ascii="Arial" w:cs="Arial" w:eastAsia="Arial" w:hAnsi="Arial"/>
          <w:sz w:val="22"/>
          <w:szCs w:val="22"/>
          <w:color w:val="auto"/>
        </w:rPr>
        <w:t>means information that is not material non-public information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federal, state or other applicable securities laws).</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“Real Estate Asset” </w:t>
      </w:r>
      <w:r>
        <w:rPr>
          <w:rFonts w:ascii="Arial" w:cs="Arial" w:eastAsia="Arial" w:hAnsi="Arial"/>
          <w:sz w:val="22"/>
          <w:szCs w:val="22"/>
          <w:color w:val="auto"/>
        </w:rPr>
        <w:t>means, at any time of determination, any interest (fee, leasehold or otherwise) then owned by</w:t>
      </w:r>
      <w:r>
        <w:rPr>
          <w:rFonts w:ascii="Arial" w:cs="Arial" w:eastAsia="Arial" w:hAnsi="Arial"/>
          <w:sz w:val="22"/>
          <w:szCs w:val="22"/>
          <w:b w:val="1"/>
          <w:bCs w:val="1"/>
          <w:color w:val="auto"/>
        </w:rPr>
        <w:t xml:space="preserve"> </w:t>
      </w:r>
      <w:r>
        <w:rPr>
          <w:rFonts w:ascii="Arial" w:cs="Arial" w:eastAsia="Arial" w:hAnsi="Arial"/>
          <w:sz w:val="22"/>
          <w:szCs w:val="22"/>
          <w:color w:val="auto"/>
        </w:rPr>
        <w:t>any Credit Party in any real property.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“Refinance” </w:t>
      </w:r>
      <w:r>
        <w:rPr>
          <w:rFonts w:ascii="Arial" w:cs="Arial" w:eastAsia="Arial" w:hAnsi="Arial"/>
          <w:sz w:val="22"/>
          <w:szCs w:val="22"/>
          <w:color w:val="auto"/>
        </w:rPr>
        <w:t>as defined in the definition of “Refinancing Indebtedness”.</w:t>
      </w:r>
    </w:p>
    <w:p>
      <w:pPr>
        <w:spacing w:after="0" w:line="22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“Refinancing Indebtedness” </w:t>
      </w:r>
      <w:r>
        <w:rPr>
          <w:rFonts w:ascii="Arial" w:cs="Arial" w:eastAsia="Arial" w:hAnsi="Arial"/>
          <w:sz w:val="19"/>
          <w:szCs w:val="19"/>
          <w:color w:val="auto"/>
        </w:rPr>
        <w:t>means any Indebtedness issued in exchange for, or the net proceeds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used to extend, refinance, renew, replace, defease or refund (collectively, to “</w:t>
      </w:r>
      <w:r>
        <w:rPr>
          <w:rFonts w:ascii="Arial" w:cs="Arial" w:eastAsia="Arial" w:hAnsi="Arial"/>
          <w:sz w:val="19"/>
          <w:szCs w:val="19"/>
          <w:b w:val="1"/>
          <w:bCs w:val="1"/>
          <w:color w:val="auto"/>
        </w:rPr>
        <w:t>Refinance</w:t>
      </w:r>
      <w:r>
        <w:rPr>
          <w:rFonts w:ascii="Arial" w:cs="Arial" w:eastAsia="Arial" w:hAnsi="Arial"/>
          <w:sz w:val="19"/>
          <w:szCs w:val="19"/>
          <w:color w:val="auto"/>
        </w:rPr>
        <w:t xml:space="preserve">”) the Indebtedness being Refinanced (or previous refinancings thereof constituting Refinancing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principal amount (or accreted value, if applicable) of such Refinancing Indebtedness does not exceed the principal amount (or accreted value, if applicable) of the Indebtedness so Refinanced (plus the amount of unpaid accrued or capitalized interest and premiums thereon (including tender premiums), underwriting discounts, original issue discount, defeasance costs, fees (including upfront fees, underwriting fees, legal fees, accounting and audit fees and other similar or customary fees), commissions and expenses), (b) the weighted-average life to maturity of such Refinancing Indebtedness is greater than or equal to the weighted-average life to maturity of the Indebtedness being Refinanced, (c) if the Indebtedness being Refinanced is subordinated in right of payment to the Obligations, such Refinancing Indebtedness shall be subordinated in right of payment to such Obligations on terms at least as favorable taken as a whole to the Lenders as those contained in the documentation governing the Indebtedness being Refinanced (as determined in good faith and certified in writing to the Administrative Agent by an Authorized Officer of the Borrower); and (d) no Refinancing Indebtedness shall have different obligors, greater guarantees or substantially different collateral than, the Indebtedness being Refinanced (except to the extent that less collateral is granted to the holders of the Refinancing Indebtedness).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“Register” </w:t>
      </w:r>
      <w:r>
        <w:rPr>
          <w:rFonts w:ascii="Arial" w:cs="Arial" w:eastAsia="Arial" w:hAnsi="Arial"/>
          <w:sz w:val="22"/>
          <w:szCs w:val="22"/>
          <w:color w:val="auto"/>
        </w:rPr>
        <w:t>as defined in Section 2.7(b).</w:t>
      </w:r>
    </w:p>
    <w:p>
      <w:pPr>
        <w:spacing w:after="0" w:line="22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“Regulation D” </w:t>
      </w:r>
      <w:r>
        <w:rPr>
          <w:rFonts w:ascii="Arial" w:cs="Arial" w:eastAsia="Arial" w:hAnsi="Arial"/>
          <w:sz w:val="22"/>
          <w:szCs w:val="22"/>
          <w:color w:val="auto"/>
        </w:rPr>
        <w:t>means Regulation D of the Board of Governors, as in effect from time to time and all official</w:t>
      </w:r>
      <w:r>
        <w:rPr>
          <w:rFonts w:ascii="Arial" w:cs="Arial" w:eastAsia="Arial" w:hAnsi="Arial"/>
          <w:sz w:val="22"/>
          <w:szCs w:val="22"/>
          <w:b w:val="1"/>
          <w:bCs w:val="1"/>
          <w:color w:val="auto"/>
        </w:rPr>
        <w:t xml:space="preserve"> </w:t>
      </w:r>
      <w:r>
        <w:rPr>
          <w:rFonts w:ascii="Arial" w:cs="Arial" w:eastAsia="Arial" w:hAnsi="Arial"/>
          <w:sz w:val="22"/>
          <w:szCs w:val="22"/>
          <w:color w:val="auto"/>
        </w:rPr>
        <w:t>rulings and interpretations thereunder or thereof.</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“Regulation FD” </w:t>
      </w:r>
      <w:r>
        <w:rPr>
          <w:rFonts w:ascii="Arial" w:cs="Arial" w:eastAsia="Arial" w:hAnsi="Arial"/>
          <w:sz w:val="22"/>
          <w:szCs w:val="22"/>
          <w:color w:val="auto"/>
        </w:rPr>
        <w:t>means Regulation FD as promulgated by the U.S. Securities and Exchange Commission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Securities Act and Exchange Act as in effect from time to time.</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“Regulation T” </w:t>
      </w:r>
      <w:r>
        <w:rPr>
          <w:rFonts w:ascii="Arial" w:cs="Arial" w:eastAsia="Arial" w:hAnsi="Arial"/>
          <w:sz w:val="22"/>
          <w:szCs w:val="22"/>
          <w:color w:val="auto"/>
        </w:rPr>
        <w:t>means Regulation T of the Board of Governors, as in effect from time to time and all official</w:t>
      </w:r>
      <w:r>
        <w:rPr>
          <w:rFonts w:ascii="Arial" w:cs="Arial" w:eastAsia="Arial" w:hAnsi="Arial"/>
          <w:sz w:val="22"/>
          <w:szCs w:val="22"/>
          <w:b w:val="1"/>
          <w:bCs w:val="1"/>
          <w:color w:val="auto"/>
        </w:rPr>
        <w:t xml:space="preserve"> </w:t>
      </w:r>
      <w:r>
        <w:rPr>
          <w:rFonts w:ascii="Arial" w:cs="Arial" w:eastAsia="Arial" w:hAnsi="Arial"/>
          <w:sz w:val="22"/>
          <w:szCs w:val="22"/>
          <w:color w:val="auto"/>
        </w:rPr>
        <w:t>rulings and interpretations thereunder or thereof.</w:t>
      </w:r>
    </w:p>
    <w:p>
      <w:pPr>
        <w:spacing w:after="0" w:line="162"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“Regulation U” </w:t>
      </w:r>
      <w:r>
        <w:rPr>
          <w:rFonts w:ascii="Arial" w:cs="Arial" w:eastAsia="Arial" w:hAnsi="Arial"/>
          <w:sz w:val="22"/>
          <w:szCs w:val="22"/>
          <w:color w:val="auto"/>
        </w:rPr>
        <w:t>means Regulation U of the Board of Governors, as in effect from time to time and all official</w:t>
      </w:r>
      <w:r>
        <w:rPr>
          <w:rFonts w:ascii="Arial" w:cs="Arial" w:eastAsia="Arial" w:hAnsi="Arial"/>
          <w:sz w:val="22"/>
          <w:szCs w:val="22"/>
          <w:b w:val="1"/>
          <w:bCs w:val="1"/>
          <w:color w:val="auto"/>
        </w:rPr>
        <w:t xml:space="preserve"> </w:t>
      </w:r>
      <w:r>
        <w:rPr>
          <w:rFonts w:ascii="Arial" w:cs="Arial" w:eastAsia="Arial" w:hAnsi="Arial"/>
          <w:sz w:val="22"/>
          <w:szCs w:val="22"/>
          <w:color w:val="auto"/>
        </w:rPr>
        <w:t>rulings and interpretations thereunder 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1" w:right="339" w:bottom="1440" w:gutter="0" w:footer="0" w:header="0"/>
        </w:sectPr>
      </w:pPr>
    </w:p>
    <w:bookmarkStart w:id="483" w:name="page484"/>
    <w:bookmarkEnd w:id="483"/>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“Regulation X” </w:t>
      </w:r>
      <w:r>
        <w:rPr>
          <w:rFonts w:ascii="Arial" w:cs="Arial" w:eastAsia="Arial" w:hAnsi="Arial"/>
          <w:sz w:val="22"/>
          <w:szCs w:val="22"/>
          <w:color w:val="auto"/>
        </w:rPr>
        <w:t>means Regulation X of the Board of Governors, as in effect from time to time and all official</w:t>
      </w:r>
      <w:r>
        <w:rPr>
          <w:rFonts w:ascii="Arial" w:cs="Arial" w:eastAsia="Arial" w:hAnsi="Arial"/>
          <w:sz w:val="22"/>
          <w:szCs w:val="22"/>
          <w:b w:val="1"/>
          <w:bCs w:val="1"/>
          <w:color w:val="auto"/>
        </w:rPr>
        <w:t xml:space="preserve"> </w:t>
      </w:r>
      <w:r>
        <w:rPr>
          <w:rFonts w:ascii="Arial" w:cs="Arial" w:eastAsia="Arial" w:hAnsi="Arial"/>
          <w:sz w:val="22"/>
          <w:szCs w:val="22"/>
          <w:color w:val="auto"/>
        </w:rPr>
        <w:t>rulings and interpretations thereunder or thereof.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“Reimbursement Date” </w:t>
      </w:r>
      <w:r>
        <w:rPr>
          <w:rFonts w:ascii="Arial" w:cs="Arial" w:eastAsia="Arial" w:hAnsi="Arial"/>
          <w:sz w:val="22"/>
          <w:szCs w:val="22"/>
          <w:color w:val="auto"/>
        </w:rPr>
        <w:t>as defined in Section 2.4(d).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“Related Agreements” </w:t>
      </w:r>
      <w:r>
        <w:rPr>
          <w:rFonts w:ascii="Arial" w:cs="Arial" w:eastAsia="Arial" w:hAnsi="Arial"/>
          <w:sz w:val="22"/>
          <w:szCs w:val="22"/>
          <w:color w:val="auto"/>
        </w:rPr>
        <w:t>means the Senior Credit Agreement.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“Related Fund” </w:t>
      </w:r>
      <w:r>
        <w:rPr>
          <w:rFonts w:ascii="Arial" w:cs="Arial" w:eastAsia="Arial" w:hAnsi="Arial"/>
          <w:sz w:val="22"/>
          <w:szCs w:val="22"/>
          <w:color w:val="auto"/>
        </w:rPr>
        <w:t>means, with respect to any Lender that is an investment fund, any other investment fund that</w:t>
      </w:r>
      <w:r>
        <w:rPr>
          <w:rFonts w:ascii="Arial" w:cs="Arial" w:eastAsia="Arial" w:hAnsi="Arial"/>
          <w:sz w:val="22"/>
          <w:szCs w:val="22"/>
          <w:b w:val="1"/>
          <w:bCs w:val="1"/>
          <w:color w:val="auto"/>
        </w:rPr>
        <w:t xml:space="preserve"> </w:t>
      </w:r>
      <w:r>
        <w:rPr>
          <w:rFonts w:ascii="Arial" w:cs="Arial" w:eastAsia="Arial" w:hAnsi="Arial"/>
          <w:sz w:val="22"/>
          <w:szCs w:val="22"/>
          <w:color w:val="auto"/>
        </w:rPr>
        <w:t>invests in commercial loans and that is managed or advised by the same investment advisor as such Lender or by an Affiliate of such investment advisor.</w:t>
      </w:r>
    </w:p>
    <w:p>
      <w:pPr>
        <w:spacing w:after="0" w:line="176"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“Release” </w:t>
      </w:r>
      <w:r>
        <w:rPr>
          <w:rFonts w:ascii="Arial" w:cs="Arial" w:eastAsia="Arial" w:hAnsi="Arial"/>
          <w:sz w:val="19"/>
          <w:szCs w:val="19"/>
          <w:color w:val="auto"/>
        </w:rPr>
        <w:t>means any release, spill, emission, leaking, pumping, pouring, injection, escaping, deposit, disposal,</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“Replacement Lender” </w:t>
      </w:r>
      <w:r>
        <w:rPr>
          <w:rFonts w:ascii="Arial" w:cs="Arial" w:eastAsia="Arial" w:hAnsi="Arial"/>
          <w:sz w:val="22"/>
          <w:szCs w:val="22"/>
          <w:color w:val="auto"/>
        </w:rPr>
        <w:t>as defined in Section 2.23.</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“Required Prepayment Date” </w:t>
      </w:r>
      <w:r>
        <w:rPr>
          <w:rFonts w:ascii="Arial" w:cs="Arial" w:eastAsia="Arial" w:hAnsi="Arial"/>
          <w:sz w:val="22"/>
          <w:szCs w:val="22"/>
          <w:color w:val="auto"/>
        </w:rPr>
        <w:t>as defined in Section 2.15(c).</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“Requisite Lenders” </w:t>
      </w:r>
      <w:r>
        <w:rPr>
          <w:rFonts w:ascii="Arial" w:cs="Arial" w:eastAsia="Arial" w:hAnsi="Arial"/>
          <w:sz w:val="22"/>
          <w:szCs w:val="22"/>
          <w:color w:val="auto"/>
        </w:rPr>
        <w:t>means one or more Lenders having or holding Term Loan Exposure and representing more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than 50% of the aggregate Voting Power Determinants of all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Voting Power Determinants shall be determined with respect to any Defaulting Lender, by disregarding the Voting Power Determinants of such Defaulting Lender.</w:t>
      </w:r>
    </w:p>
    <w:p>
      <w:pPr>
        <w:spacing w:after="0" w:line="18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b w:val="1"/>
          <w:bCs w:val="1"/>
          <w:color w:val="auto"/>
        </w:rPr>
        <w:t xml:space="preserve">“Restricted Junior Payment” </w:t>
      </w:r>
      <w:r>
        <w:rPr>
          <w:rFonts w:ascii="Arial" w:cs="Arial" w:eastAsia="Arial" w:hAnsi="Arial"/>
          <w:sz w:val="21"/>
          <w:szCs w:val="21"/>
          <w:color w:val="auto"/>
        </w:rPr>
        <w:t>means (i) any dividend or other distribution, direct or indirect, on account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any class of stock of Borrower or any of its Subsidiaries (or any direct or indirect parent of Borrower) now or hereafter outstanding, except a dividend payable solely in shares of that class of stock to the holders of that class; (ii) any redemption, retirement, sinking fund or similar payment, purchase or other acquisition for value, direct or indirect, of any shares of any class of stock of Borrower or any of its respective Subsidiaries (or any direct or indirect parent of Borrower) now or hereafter outstanding; (iii) any payment made to retire, or to obtain the surrender of, any outstanding warrants, options or other rights to acquire shares of any class of stock of Borrower or any of its Subsidiaries (or any direct or indirect parent of Borrower) now or hereafter outstanding and (iv) any payment or prepayment of principal of, premium, if any, or interest on, or redemption, purchase, retirement, defeasance (including in-substance or legal defeasance), sinking fund or similar payment with respect to, any Subordinated Indebtedness.</w:t>
      </w:r>
    </w:p>
    <w:p>
      <w:pPr>
        <w:spacing w:after="0" w:line="17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“Restricted Subsidiary” </w:t>
      </w:r>
      <w:r>
        <w:rPr>
          <w:rFonts w:ascii="Arial" w:cs="Arial" w:eastAsia="Arial" w:hAnsi="Arial"/>
          <w:sz w:val="22"/>
          <w:szCs w:val="22"/>
          <w:color w:val="auto"/>
        </w:rPr>
        <w:t>means any subsidiary of the Borrower other than an Unrestricted Subsidiary;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upon the occurrence of any Unrestricted Subsidiary ceasing to be an Unrestricted Subsidiary, such subsidiary shall be included in the definition of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1" w:right="339" w:bottom="1440" w:gutter="0" w:footer="0" w:header="0"/>
        </w:sectPr>
      </w:pPr>
    </w:p>
    <w:bookmarkStart w:id="484" w:name="page485"/>
    <w:bookmarkEnd w:id="484"/>
    <w:p>
      <w:pPr>
        <w:ind w:left="1300"/>
        <w:spacing w:after="0"/>
        <w:rPr>
          <w:sz w:val="20"/>
          <w:szCs w:val="20"/>
          <w:color w:val="auto"/>
        </w:rPr>
      </w:pPr>
      <w:r>
        <w:rPr>
          <w:rFonts w:ascii="Arial" w:cs="Arial" w:eastAsia="Arial" w:hAnsi="Arial"/>
          <w:sz w:val="22"/>
          <w:szCs w:val="22"/>
          <w:b w:val="1"/>
          <w:bCs w:val="1"/>
          <w:color w:val="auto"/>
        </w:rPr>
        <w:t xml:space="preserve">“S&amp;P” </w:t>
      </w:r>
      <w:r>
        <w:rPr>
          <w:rFonts w:ascii="Arial" w:cs="Arial" w:eastAsia="Arial" w:hAnsi="Arial"/>
          <w:sz w:val="22"/>
          <w:szCs w:val="22"/>
          <w:color w:val="auto"/>
        </w:rPr>
        <w:t>means S&amp;P’s Global Ratings, a division of S&amp;P Global, Inc.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“Sanctions” </w:t>
      </w:r>
      <w:r>
        <w:rPr>
          <w:rFonts w:ascii="Arial" w:cs="Arial" w:eastAsia="Arial" w:hAnsi="Arial"/>
          <w:sz w:val="22"/>
          <w:szCs w:val="22"/>
          <w:color w:val="auto"/>
        </w:rPr>
        <w:t>as defined in Section 4.26.</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“Sanctions Laws” </w:t>
      </w:r>
      <w:r>
        <w:rPr>
          <w:rFonts w:ascii="Arial" w:cs="Arial" w:eastAsia="Arial" w:hAnsi="Arial"/>
          <w:sz w:val="22"/>
          <w:szCs w:val="22"/>
          <w:color w:val="auto"/>
        </w:rPr>
        <w:t>as defined in Section 4.26.</w:t>
      </w:r>
    </w:p>
    <w:p>
      <w:pPr>
        <w:spacing w:after="0" w:line="220"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“Securities” </w:t>
      </w:r>
      <w:r>
        <w:rPr>
          <w:rFonts w:ascii="Arial" w:cs="Arial" w:eastAsia="Arial" w:hAnsi="Arial"/>
          <w:sz w:val="21"/>
          <w:szCs w:val="21"/>
          <w:color w:val="auto"/>
        </w:rPr>
        <w:t>means any stock, shares, partnership interests, voting trust certificates, certificates of interest or</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“Securities Act” </w:t>
      </w:r>
      <w:r>
        <w:rPr>
          <w:rFonts w:ascii="Arial" w:cs="Arial" w:eastAsia="Arial" w:hAnsi="Arial"/>
          <w:sz w:val="19"/>
          <w:szCs w:val="19"/>
          <w:color w:val="auto"/>
        </w:rPr>
        <w:t>means the Securities Act of 1933, as amended from time to time, and any successor statute.</w:t>
      </w:r>
    </w:p>
    <w:p>
      <w:pPr>
        <w:spacing w:after="0" w:line="254"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“Senior Credit Agreement” </w:t>
      </w:r>
      <w:r>
        <w:rPr>
          <w:rFonts w:ascii="Arial" w:cs="Arial" w:eastAsia="Arial" w:hAnsi="Arial"/>
          <w:sz w:val="19"/>
          <w:szCs w:val="19"/>
          <w:color w:val="auto"/>
        </w:rPr>
        <w:t>means the senior credit agreement, dated [as of the date hereof] among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the Guarantors, the lenders from time to time party thereto, the Arrangers, Bank of America as Administrative Agent, and the other parties thereto, as it may be amended, restated, supplemented or otherwise modified from time to time.</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“Senior Loans” </w:t>
      </w:r>
      <w:r>
        <w:rPr>
          <w:rFonts w:ascii="Arial" w:cs="Arial" w:eastAsia="Arial" w:hAnsi="Arial"/>
          <w:sz w:val="22"/>
          <w:szCs w:val="22"/>
          <w:color w:val="auto"/>
        </w:rPr>
        <w:t>means a “Loan” as defined under the Senior Credit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“Solvency Certificate” </w:t>
      </w:r>
      <w:r>
        <w:rPr>
          <w:rFonts w:ascii="Arial" w:cs="Arial" w:eastAsia="Arial" w:hAnsi="Arial"/>
          <w:sz w:val="19"/>
          <w:szCs w:val="19"/>
          <w:color w:val="auto"/>
        </w:rPr>
        <w:t>means a certificate of the chief financial officer of the Borrower substantially in the form</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of Exhibit F-2.</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“Specified Bridge Parties” </w:t>
      </w:r>
      <w:r>
        <w:rPr>
          <w:rFonts w:ascii="Arial" w:cs="Arial" w:eastAsia="Arial" w:hAnsi="Arial"/>
          <w:sz w:val="22"/>
          <w:szCs w:val="22"/>
          <w:color w:val="auto"/>
        </w:rPr>
        <w:t>as defined in Section 2.15(b).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“Specified Equity Contribution” </w:t>
      </w:r>
      <w:r>
        <w:rPr>
          <w:rFonts w:ascii="Arial" w:cs="Arial" w:eastAsia="Arial" w:hAnsi="Arial"/>
          <w:sz w:val="22"/>
          <w:szCs w:val="22"/>
          <w:color w:val="auto"/>
        </w:rPr>
        <w:t>as defined in Section 8.2.</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“Spread” </w:t>
      </w:r>
      <w:r>
        <w:rPr>
          <w:rFonts w:ascii="Arial" w:cs="Arial" w:eastAsia="Arial" w:hAnsi="Arial"/>
          <w:sz w:val="22"/>
          <w:szCs w:val="22"/>
          <w:color w:val="auto"/>
        </w:rPr>
        <w:t>means a rate per annum equal to (i) during the first Interest Period, zero, and (ii) during any subsequent</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Period, the sum of (x) the Spread for the immediately preceding Interest Period and (y) 0.25%.</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“Subject Transaction” </w:t>
      </w:r>
      <w:r>
        <w:rPr>
          <w:rFonts w:ascii="Arial" w:cs="Arial" w:eastAsia="Arial" w:hAnsi="Arial"/>
          <w:sz w:val="22"/>
          <w:szCs w:val="22"/>
          <w:color w:val="auto"/>
        </w:rPr>
        <w:t>as defined in Section 6.7(c).</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“Subordinated Indebtedness” </w:t>
      </w:r>
      <w:r>
        <w:rPr>
          <w:rFonts w:ascii="Arial" w:cs="Arial" w:eastAsia="Arial" w:hAnsi="Arial"/>
          <w:sz w:val="22"/>
          <w:szCs w:val="22"/>
          <w:color w:val="auto"/>
        </w:rPr>
        <w:t>means any Indebtedness (other than any intercompany Indebtedness owing to</w:t>
      </w:r>
      <w:r>
        <w:rPr>
          <w:rFonts w:ascii="Arial" w:cs="Arial" w:eastAsia="Arial" w:hAnsi="Arial"/>
          <w:sz w:val="22"/>
          <w:szCs w:val="22"/>
          <w:b w:val="1"/>
          <w:bCs w:val="1"/>
          <w:color w:val="auto"/>
        </w:rPr>
        <w:t xml:space="preserve"> </w:t>
      </w:r>
      <w:r>
        <w:rPr>
          <w:rFonts w:ascii="Arial" w:cs="Arial" w:eastAsia="Arial" w:hAnsi="Arial"/>
          <w:sz w:val="22"/>
          <w:szCs w:val="22"/>
          <w:color w:val="auto"/>
        </w:rPr>
        <w:t>direct and indirect parent companies of the Borrower or the Borrower or any Subsidiary not prohibited under this Agreement) expressly subordinated in right of payment to the Obligations.</w:t>
      </w:r>
    </w:p>
    <w:p>
      <w:pPr>
        <w:spacing w:after="0" w:line="17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“subsidiary” </w:t>
      </w:r>
      <w:r>
        <w:rPr>
          <w:rFonts w:ascii="Arial" w:cs="Arial" w:eastAsia="Arial" w:hAnsi="Arial"/>
          <w:sz w:val="21"/>
          <w:szCs w:val="21"/>
          <w:color w:val="auto"/>
        </w:rPr>
        <w:t>means, with respect to any Person, any corporation, partnership, limited liability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1" w:right="339" w:bottom="1440" w:gutter="0" w:footer="0" w:header="0"/>
        </w:sectPr>
      </w:pPr>
    </w:p>
    <w:bookmarkStart w:id="485" w:name="page486"/>
    <w:bookmarkEnd w:id="485"/>
    <w:p>
      <w:pPr>
        <w:jc w:val="both"/>
        <w:spacing w:after="0" w:line="250" w:lineRule="auto"/>
        <w:rPr>
          <w:sz w:val="20"/>
          <w:szCs w:val="20"/>
          <w:color w:val="auto"/>
        </w:rPr>
      </w:pPr>
      <w:r>
        <w:rPr>
          <w:rFonts w:ascii="Arial" w:cs="Arial" w:eastAsia="Arial" w:hAnsi="Arial"/>
          <w:sz w:val="22"/>
          <w:szCs w:val="22"/>
          <w:color w:val="auto"/>
        </w:rPr>
        <w:t xml:space="preserve">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in determining the percentage of ownership interests of any Person controlled by another Person, no ownership interest in the nature of a “qualifying share” of the former Person shall be deemed to be outstanding.</w:t>
      </w:r>
    </w:p>
    <w:p>
      <w:pPr>
        <w:spacing w:after="0" w:line="18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unless the context otherwise requires, a Restricted Subsidiary of Borrower.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Sections 4.2, 4.11, 4.12, 4.20, 4.24, 4.25, 5.1(b)-(e), 5.3 5.8 and 7.8(ii) only, references to Subsidiaries shall be deemed also to be references to Unrestricted Subsidiaries.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“Swap Obligation” </w:t>
      </w:r>
      <w:r>
        <w:rPr>
          <w:rFonts w:ascii="Arial" w:cs="Arial" w:eastAsia="Arial" w:hAnsi="Arial"/>
          <w:sz w:val="22"/>
          <w:szCs w:val="22"/>
          <w:color w:val="auto"/>
        </w:rPr>
        <w:t>as defined in “Excluded Swap Obligation”.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“Syndication Agent” </w:t>
      </w:r>
      <w:r>
        <w:rPr>
          <w:rFonts w:ascii="Arial" w:cs="Arial" w:eastAsia="Arial" w:hAnsi="Arial"/>
          <w:sz w:val="22"/>
          <w:szCs w:val="22"/>
          <w:color w:val="auto"/>
        </w:rPr>
        <w:t>as defined in the preamble hereto.</w:t>
      </w:r>
    </w:p>
    <w:p>
      <w:pPr>
        <w:spacing w:after="0" w:line="22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“Tax” </w:t>
      </w:r>
      <w:r>
        <w:rPr>
          <w:rFonts w:ascii="Arial" w:cs="Arial" w:eastAsia="Arial" w:hAnsi="Arial"/>
          <w:sz w:val="19"/>
          <w:szCs w:val="19"/>
          <w:color w:val="auto"/>
        </w:rPr>
        <w:t>means any present or future tax, levy, impost, duty, assessment, charge, fee, deduction or 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(together with interest, penalties and other additions thereto) in the nature of a tax, imposed, levied, collected, withheld or assessed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“Tax on the overall net income” of a Person shall be construed as a reference to a tax imposed by the jurisdiction in which that Person is organized or in which that Person’s applicable principal office (and/or, in the case of a Lender, its lending office) is located on all or part of the overall net income, profits or gains (whether worldwide, or only insofar as such income, profits or gains are considered to arise in or to relate to a particular jurisdiction, or otherwise) of that Person (and/or, in the case of a Lender, its applicable lending office).</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“Term Loan” </w:t>
      </w:r>
      <w:r>
        <w:rPr>
          <w:rFonts w:ascii="Arial" w:cs="Arial" w:eastAsia="Arial" w:hAnsi="Arial"/>
          <w:sz w:val="22"/>
          <w:szCs w:val="22"/>
          <w:color w:val="auto"/>
        </w:rPr>
        <w:t>means a Term Loan made by a Lender to Borrower pursuant to Section 2.1(a).</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“Term Loan Commitment” </w:t>
      </w:r>
      <w:r>
        <w:rPr>
          <w:rFonts w:ascii="Arial" w:cs="Arial" w:eastAsia="Arial" w:hAnsi="Arial"/>
          <w:sz w:val="22"/>
          <w:szCs w:val="22"/>
          <w:color w:val="auto"/>
        </w:rPr>
        <w:t>means the commitment of a Lender to make or otherwise fund a Term Loan and</w:t>
      </w:r>
      <w:r>
        <w:rPr>
          <w:rFonts w:ascii="Arial" w:cs="Arial" w:eastAsia="Arial" w:hAnsi="Arial"/>
          <w:sz w:val="22"/>
          <w:szCs w:val="22"/>
          <w:b w:val="1"/>
          <w:bCs w:val="1"/>
          <w:color w:val="auto"/>
        </w:rPr>
        <w:t xml:space="preserve"> “Term Loan Commitments” </w:t>
      </w:r>
      <w:r>
        <w:rPr>
          <w:rFonts w:ascii="Arial" w:cs="Arial" w:eastAsia="Arial" w:hAnsi="Arial"/>
          <w:sz w:val="22"/>
          <w:szCs w:val="22"/>
          <w:color w:val="auto"/>
        </w:rPr>
        <w:t>means such commitments of all Lenders in the aggregate. The amount of each Lender’s Term Loan</w:t>
      </w:r>
      <w:r>
        <w:rPr>
          <w:rFonts w:ascii="Arial" w:cs="Arial" w:eastAsia="Arial" w:hAnsi="Arial"/>
          <w:sz w:val="22"/>
          <w:szCs w:val="22"/>
          <w:b w:val="1"/>
          <w:bCs w:val="1"/>
          <w:color w:val="auto"/>
        </w:rPr>
        <w:t xml:space="preserve"> </w:t>
      </w:r>
      <w:r>
        <w:rPr>
          <w:rFonts w:ascii="Arial" w:cs="Arial" w:eastAsia="Arial" w:hAnsi="Arial"/>
          <w:sz w:val="22"/>
          <w:szCs w:val="22"/>
          <w:color w:val="auto"/>
        </w:rPr>
        <w:t>Commitment, if any, is set forth on Appendix A or in the applicable Assignment Agreement, subject to any adjustment or reduction pursuant to the terms and conditions hereof. The aggregate amount of the Term Loan Commitments as of the Closing Date is $350,000,000.</w:t>
      </w:r>
    </w:p>
    <w:p>
      <w:pPr>
        <w:spacing w:after="0" w:line="18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“Term Loan Exposure” </w:t>
      </w:r>
      <w:r>
        <w:rPr>
          <w:rFonts w:ascii="Arial" w:cs="Arial" w:eastAsia="Arial" w:hAnsi="Arial"/>
          <w:sz w:val="22"/>
          <w:szCs w:val="22"/>
          <w:color w:val="auto"/>
        </w:rPr>
        <w:t>means, with respect to any Lender, as of any date of determination, the outstanding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principal amount of the Term Loans of such Lender; </w:t>
      </w:r>
      <w:r>
        <w:rPr>
          <w:rFonts w:ascii="Arial" w:cs="Arial" w:eastAsia="Arial" w:hAnsi="Arial"/>
          <w:sz w:val="22"/>
          <w:szCs w:val="22"/>
          <w:u w:val="single" w:color="auto"/>
          <w:color w:val="auto"/>
        </w:rPr>
        <w:t>provided</w:t>
      </w:r>
      <w:r>
        <w:rPr>
          <w:rFonts w:ascii="Arial" w:cs="Arial" w:eastAsia="Arial" w:hAnsi="Arial"/>
          <w:sz w:val="22"/>
          <w:szCs w:val="22"/>
          <w:color w:val="auto"/>
        </w:rPr>
        <w:t>, at any time prior to the making of the Term Loans, the Term Loan Exposure of any Lender shall be equal to such Lender’s Term Loan Commitment.</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“Term Loan Note” </w:t>
      </w:r>
      <w:r>
        <w:rPr>
          <w:rFonts w:ascii="Arial" w:cs="Arial" w:eastAsia="Arial" w:hAnsi="Arial"/>
          <w:sz w:val="22"/>
          <w:szCs w:val="22"/>
          <w:color w:val="auto"/>
        </w:rPr>
        <w:t>means a promissory note in the form of Exhibit B, as it may be amended,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supplemented or otherwise modified from time to time.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“Terminated Lender” </w:t>
      </w:r>
      <w:r>
        <w:rPr>
          <w:rFonts w:ascii="Arial" w:cs="Arial" w:eastAsia="Arial" w:hAnsi="Arial"/>
          <w:sz w:val="22"/>
          <w:szCs w:val="22"/>
          <w:color w:val="auto"/>
        </w:rPr>
        <w:t>as defined in Section 2.23.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7" w:right="339" w:bottom="1440" w:gutter="0" w:footer="0" w:header="0"/>
        </w:sectPr>
      </w:pPr>
    </w:p>
    <w:bookmarkStart w:id="486" w:name="page487"/>
    <w:bookmarkEnd w:id="486"/>
    <w:p>
      <w:pPr>
        <w:jc w:val="both"/>
        <w:ind w:firstLine="1296"/>
        <w:spacing w:after="0" w:line="349" w:lineRule="auto"/>
        <w:rPr>
          <w:sz w:val="20"/>
          <w:szCs w:val="20"/>
          <w:color w:val="auto"/>
        </w:rPr>
      </w:pPr>
      <w:r>
        <w:rPr>
          <w:rFonts w:ascii="Arial" w:cs="Arial" w:eastAsia="Arial" w:hAnsi="Arial"/>
          <w:sz w:val="19"/>
          <w:szCs w:val="19"/>
          <w:b w:val="1"/>
          <w:bCs w:val="1"/>
          <w:color w:val="auto"/>
        </w:rPr>
        <w:t xml:space="preserve">“Total Net Leverage Ratio” </w:t>
      </w:r>
      <w:r>
        <w:rPr>
          <w:rFonts w:ascii="Arial" w:cs="Arial" w:eastAsia="Arial" w:hAnsi="Arial"/>
          <w:sz w:val="19"/>
          <w:szCs w:val="19"/>
          <w:color w:val="auto"/>
        </w:rPr>
        <w:t>means the ratio as of the last day of any Fiscal Quarter of (i) Consolidated Total Net</w:t>
      </w:r>
      <w:r>
        <w:rPr>
          <w:rFonts w:ascii="Arial" w:cs="Arial" w:eastAsia="Arial" w:hAnsi="Arial"/>
          <w:sz w:val="19"/>
          <w:szCs w:val="19"/>
          <w:b w:val="1"/>
          <w:bCs w:val="1"/>
          <w:color w:val="auto"/>
        </w:rPr>
        <w:t xml:space="preserve"> </w:t>
      </w:r>
      <w:r>
        <w:rPr>
          <w:rFonts w:ascii="Arial" w:cs="Arial" w:eastAsia="Arial" w:hAnsi="Arial"/>
          <w:sz w:val="19"/>
          <w:szCs w:val="19"/>
          <w:color w:val="auto"/>
        </w:rPr>
        <w:t>Debt as of such day to (ii) Consolidated Adjusted EBITDA for the four-Fiscal Quarter period ending on such date.</w:t>
      </w:r>
    </w:p>
    <w:p>
      <w:pPr>
        <w:spacing w:after="0" w:line="9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“Transactions” </w:t>
      </w:r>
      <w:r>
        <w:rPr>
          <w:rFonts w:ascii="Arial" w:cs="Arial" w:eastAsia="Arial" w:hAnsi="Arial"/>
          <w:sz w:val="22"/>
          <w:szCs w:val="22"/>
          <w:color w:val="auto"/>
        </w:rPr>
        <w:t>means, collective, (a) the repayment of the Existing Indebtedness, (b) the borrowing of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Loans, and the Senior Loans to be made on the Closing Date and (c) the other transactions contemplated by the Credit Documents and the Related Agreements.</w:t>
      </w:r>
    </w:p>
    <w:p>
      <w:pPr>
        <w:spacing w:after="0" w:line="176"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“UCC” </w:t>
      </w:r>
      <w:r>
        <w:rPr>
          <w:rFonts w:ascii="Arial" w:cs="Arial" w:eastAsia="Arial" w:hAnsi="Arial"/>
          <w:sz w:val="22"/>
          <w:szCs w:val="22"/>
          <w:color w:val="auto"/>
        </w:rPr>
        <w:t>means the Uniform Commercial Code (or any similar or equivalent legislation) as in effect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in any applicable jurisdiction.</w:t>
      </w:r>
    </w:p>
    <w:p>
      <w:pPr>
        <w:spacing w:after="0" w:line="162"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“Unrestricted Cash” </w:t>
      </w:r>
      <w:r>
        <w:rPr>
          <w:rFonts w:ascii="Arial" w:cs="Arial" w:eastAsia="Arial" w:hAnsi="Arial"/>
          <w:sz w:val="19"/>
          <w:szCs w:val="19"/>
          <w:color w:val="auto"/>
        </w:rPr>
        <w:t>means the aggregate amount of cash and Cash Equivalents held in accounts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consolidated balance sheet of Borrower and its Subsidiaries to the extent that the use of such Cash and Cash Equivalents for application to payment of the Obligations or other Indebtedness is not prohibited by law or any contract or other agreement and such Cash and Cash Equivalents are free and clear of all Liens (other than Liens described Section 6.2(p)).</w:t>
      </w:r>
    </w:p>
    <w:p>
      <w:pPr>
        <w:spacing w:after="0" w:line="13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auto"/>
        </w:rPr>
        <w:t xml:space="preserve">“Unrestricted Subsidiary” </w:t>
      </w:r>
      <w:r>
        <w:rPr>
          <w:rFonts w:ascii="Arial" w:cs="Arial" w:eastAsia="Arial" w:hAnsi="Arial"/>
          <w:sz w:val="19"/>
          <w:szCs w:val="19"/>
          <w:color w:val="auto"/>
        </w:rPr>
        <w:t>means any subsidiary of Borrower designated by the Borrower as an Unrestricted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Subsidiary pursuant to Section 5.13 subsequent to the date hereof. Borrower may designate any subsidiary of Borrower (including any existing subsidiary and any newly acquired or newly formed subsidiary) to be an Unrestricted Subsidiary unless such subsidiary or any of its subsidiaries owns any Equity Interests or Indebtedness of, or owns or holds any Lien on any property of, Borrower or any subsidiary of Borrower (other than any subsidiary of the subsidiary to be so designated);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Borrower or any Restricted Subsidiary.</w:t>
      </w:r>
    </w:p>
    <w:p>
      <w:pPr>
        <w:spacing w:after="0" w:line="14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Unrestricted Subsidiary Reporting Period</w:t>
      </w:r>
      <w:r>
        <w:rPr>
          <w:rFonts w:ascii="Arial" w:cs="Arial" w:eastAsia="Arial" w:hAnsi="Arial"/>
          <w:sz w:val="19"/>
          <w:szCs w:val="19"/>
          <w:color w:val="auto"/>
        </w:rPr>
        <w:t>” means any Fiscal Quarter or Fiscal Year if, as of the end of such period, either (i) the combined revenues of the Unrestricted Subsidiaries exceed 15% of the combined revenues of the Borrower and its consolidated Subsidiaries for the four Fiscal Quarter period then ended, or (ii) the aggregate amount of the assets of the Unrestricted Subsidiaries as recorded on the balance sheet of the Borrower and its consolidated Subsidiaries exceeds 15% of the aggregate amount of the assets of the Borrower and its consolidated Subsidiaries on such balance sheet.</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“U.S. Lender” </w:t>
      </w:r>
      <w:r>
        <w:rPr>
          <w:rFonts w:ascii="Arial" w:cs="Arial" w:eastAsia="Arial" w:hAnsi="Arial"/>
          <w:sz w:val="22"/>
          <w:szCs w:val="22"/>
          <w:color w:val="auto"/>
        </w:rPr>
        <w:t>as defined in Section 2.20(d).</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“U.S. Tax Compliance Certificate” </w:t>
      </w:r>
      <w:r>
        <w:rPr>
          <w:rFonts w:ascii="Arial" w:cs="Arial" w:eastAsia="Arial" w:hAnsi="Arial"/>
          <w:sz w:val="22"/>
          <w:szCs w:val="22"/>
          <w:color w:val="auto"/>
        </w:rPr>
        <w:t>means a certificate substantially in the form of one of Exhibits E-1, E-2, E-3</w:t>
      </w:r>
      <w:r>
        <w:rPr>
          <w:rFonts w:ascii="Arial" w:cs="Arial" w:eastAsia="Arial" w:hAnsi="Arial"/>
          <w:sz w:val="22"/>
          <w:szCs w:val="22"/>
          <w:b w:val="1"/>
          <w:bCs w:val="1"/>
          <w:color w:val="auto"/>
        </w:rPr>
        <w:t xml:space="preserve"> </w:t>
      </w:r>
      <w:r>
        <w:rPr>
          <w:rFonts w:ascii="Arial" w:cs="Arial" w:eastAsia="Arial" w:hAnsi="Arial"/>
          <w:sz w:val="22"/>
          <w:szCs w:val="22"/>
          <w:color w:val="auto"/>
        </w:rPr>
        <w:t>or E-4, as applicable.</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“Write-Down and Conversion Powers” </w:t>
      </w:r>
      <w:r>
        <w:rPr>
          <w:rFonts w:ascii="Arial" w:cs="Arial" w:eastAsia="Arial" w:hAnsi="Arial"/>
          <w:sz w:val="22"/>
          <w:szCs w:val="22"/>
          <w:color w:val="auto"/>
        </w:rPr>
        <w:t>means, with respect to any EEA Resolution Authority, the write-down</w:t>
      </w:r>
      <w:r>
        <w:rPr>
          <w:rFonts w:ascii="Arial" w:cs="Arial" w:eastAsia="Arial" w:hAnsi="Arial"/>
          <w:sz w:val="22"/>
          <w:szCs w:val="22"/>
          <w:b w:val="1"/>
          <w:bCs w:val="1"/>
          <w:color w:val="auto"/>
        </w:rPr>
        <w:t xml:space="preserve"> </w:t>
      </w:r>
      <w:r>
        <w:rPr>
          <w:rFonts w:ascii="Arial" w:cs="Arial" w:eastAsia="Arial" w:hAnsi="Arial"/>
          <w:sz w:val="22"/>
          <w:szCs w:val="22"/>
          <w:color w:val="auto"/>
        </w:rPr>
        <w:t>and conversion powers of such EEA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1" w:right="339" w:bottom="1440" w:gutter="0" w:footer="0" w:header="0"/>
        </w:sectPr>
      </w:pPr>
    </w:p>
    <w:bookmarkStart w:id="487" w:name="page488"/>
    <w:bookmarkEnd w:id="487"/>
    <w:p>
      <w:pPr>
        <w:spacing w:after="0" w:line="263" w:lineRule="auto"/>
        <w:rPr>
          <w:sz w:val="20"/>
          <w:szCs w:val="20"/>
          <w:color w:val="auto"/>
        </w:rPr>
      </w:pPr>
      <w:r>
        <w:rPr>
          <w:rFonts w:ascii="Arial" w:cs="Arial" w:eastAsia="Arial" w:hAnsi="Arial"/>
          <w:sz w:val="22"/>
          <w:szCs w:val="22"/>
          <w:color w:val="auto"/>
        </w:rPr>
        <w:t>from time to time under the Bail-In Legislation for the applicable EEA Member Country, which write-down and conversion powers are described in the EU Bail-In Legislation Schedule.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“Voting Power Determinants” </w:t>
      </w:r>
      <w:r>
        <w:rPr>
          <w:rFonts w:ascii="Arial" w:cs="Arial" w:eastAsia="Arial" w:hAnsi="Arial"/>
          <w:sz w:val="22"/>
          <w:szCs w:val="22"/>
          <w:color w:val="auto"/>
        </w:rPr>
        <w:t>means, collectively, the Term Loan Exposure.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1.2. Accounting Terms.</w:t>
      </w:r>
    </w:p>
    <w:p>
      <w:pPr>
        <w:spacing w:after="0" w:line="226" w:lineRule="exact"/>
        <w:rPr>
          <w:sz w:val="20"/>
          <w:szCs w:val="20"/>
          <w:color w:val="auto"/>
        </w:rPr>
      </w:pPr>
    </w:p>
    <w:p>
      <w:pPr>
        <w:jc w:val="both"/>
        <w:ind w:left="180" w:firstLine="1286"/>
        <w:spacing w:after="0" w:line="257" w:lineRule="auto"/>
        <w:tabs>
          <w:tab w:leader="none" w:pos="1770" w:val="left"/>
        </w:tabs>
        <w:numPr>
          <w:ilvl w:val="0"/>
          <w:numId w:val="348"/>
        </w:numPr>
        <w:rPr>
          <w:rFonts w:ascii="Arial" w:cs="Arial" w:eastAsia="Arial" w:hAnsi="Arial"/>
          <w:sz w:val="21"/>
          <w:szCs w:val="21"/>
          <w:color w:val="auto"/>
        </w:rPr>
      </w:pPr>
      <w:r>
        <w:rPr>
          <w:rFonts w:ascii="Arial" w:cs="Arial" w:eastAsia="Arial" w:hAnsi="Arial"/>
          <w:sz w:val="21"/>
          <w:szCs w:val="21"/>
          <w:color w:val="auto"/>
        </w:rPr>
        <w:t>Except as otherwise expressly provided herein, all accounting terms not otherwise defined herein shall have the meanings assigned to them in conformity with GAAP.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on financial liabilities shall be disregarded. If at any time any change in GAAP would affect the computation of any financial ratio or other requirement set forth in any Credit Document (a “</w:t>
      </w:r>
      <w:r>
        <w:rPr>
          <w:rFonts w:ascii="Arial" w:cs="Arial" w:eastAsia="Arial" w:hAnsi="Arial"/>
          <w:sz w:val="21"/>
          <w:szCs w:val="21"/>
          <w:b w:val="1"/>
          <w:bCs w:val="1"/>
          <w:color w:val="auto"/>
        </w:rPr>
        <w:t>GAAP Change Event</w:t>
      </w:r>
      <w:r>
        <w:rPr>
          <w:rFonts w:ascii="Arial" w:cs="Arial" w:eastAsia="Arial" w:hAnsi="Arial"/>
          <w:sz w:val="21"/>
          <w:szCs w:val="21"/>
          <w:color w:val="auto"/>
        </w:rPr>
        <w:t xml:space="preserve">”), at Borrower’s request the Administrative Agent and the Borrower shall negotiate in good faith to amend such ratio or requirement to preserve the original intent thereof in light of such change in GAAP (subject to the approval of Requisite Lenders);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until so amended, each such ratio or requirement shall continue to be computed in conformity with GAAP as in effect immediately prior to such change. Following any GAAP Change Event, and until such ratio or requirement is so amended, Borrower shall provide with any financial statements delivered under Sections 5.1(b) and (c) an internally-prepared reconciliation between such financial statements and any financial information required for the computation of such ratio or requirement in accordance with GAAP as in effect prior to such GAAP Change Event, in form and substance reasonably satisfactory to Administrative Agent.</w:t>
      </w:r>
    </w:p>
    <w:p>
      <w:pPr>
        <w:spacing w:after="0" w:line="186" w:lineRule="exact"/>
        <w:rPr>
          <w:rFonts w:ascii="Arial" w:cs="Arial" w:eastAsia="Arial" w:hAnsi="Arial"/>
          <w:sz w:val="21"/>
          <w:szCs w:val="21"/>
          <w:color w:val="auto"/>
        </w:rPr>
      </w:pPr>
    </w:p>
    <w:p>
      <w:pPr>
        <w:jc w:val="both"/>
        <w:ind w:left="180" w:firstLine="1286"/>
        <w:spacing w:after="0" w:line="290" w:lineRule="auto"/>
        <w:tabs>
          <w:tab w:leader="none" w:pos="1782" w:val="left"/>
        </w:tabs>
        <w:numPr>
          <w:ilvl w:val="0"/>
          <w:numId w:val="348"/>
        </w:numPr>
        <w:rPr>
          <w:rFonts w:ascii="Arial" w:cs="Arial" w:eastAsia="Arial" w:hAnsi="Arial"/>
          <w:sz w:val="19"/>
          <w:szCs w:val="19"/>
          <w:color w:val="auto"/>
        </w:rPr>
      </w:pPr>
      <w:r>
        <w:rPr>
          <w:rFonts w:ascii="Arial" w:cs="Arial" w:eastAsia="Arial" w:hAnsi="Arial"/>
          <w:sz w:val="19"/>
          <w:szCs w:val="19"/>
          <w:color w:val="auto"/>
        </w:rPr>
        <w:t>Notwithstanding anything to the contrary in Section 1.2(a) or in the definition of “Capital Lease,”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any lease that would have been treated as an operating lease under GAAP as in effect on December 31, 2015 shall continue to be considered an operating lease, and all calculations and deliverables under this Agreement or any other Credit Document shall be made or delivered, as applicable, in accordance therewith.</w:t>
      </w:r>
    </w:p>
    <w:p>
      <w:pPr>
        <w:spacing w:after="0" w:line="15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1.3. Interpretation, Etc. </w:t>
      </w:r>
      <w:r>
        <w:rPr>
          <w:rFonts w:ascii="Arial" w:cs="Arial" w:eastAsia="Arial" w:hAnsi="Arial"/>
          <w:sz w:val="19"/>
          <w:szCs w:val="19"/>
          <w:color w:val="auto"/>
        </w:rPr>
        <w:t>Any of the terms defined herein may, unless the context otherwise requires, be used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singular or the plural, depending on the reference.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7" w:right="339" w:bottom="1440" w:gutter="0" w:footer="0" w:header="0"/>
        </w:sectPr>
      </w:pPr>
    </w:p>
    <w:bookmarkStart w:id="488" w:name="page489"/>
    <w:bookmarkEnd w:id="488"/>
    <w:p>
      <w:pPr>
        <w:jc w:val="both"/>
        <w:spacing w:after="0" w:line="263" w:lineRule="auto"/>
        <w:rPr>
          <w:sz w:val="20"/>
          <w:szCs w:val="20"/>
          <w:color w:val="auto"/>
        </w:rPr>
      </w:pPr>
      <w:r>
        <w:rPr>
          <w:rFonts w:ascii="Arial" w:cs="Arial" w:eastAsia="Arial" w:hAnsi="Arial"/>
          <w:sz w:val="21"/>
          <w:szCs w:val="21"/>
          <w:color w:val="auto"/>
        </w:rPr>
        <w:t>import) is used with reference thereto, but rather shall be deemed to refer to all other items or matters that fall within the broadest possible scope of such general statement, term or matter. The terms lease and license shall include sub-lease and sub-license, as applicable. 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2. LOANS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2.1. Term Loans</w:t>
      </w:r>
      <w:r>
        <w:rPr>
          <w:rFonts w:ascii="Arial" w:cs="Arial" w:eastAsia="Arial" w:hAnsi="Arial"/>
          <w:sz w:val="22"/>
          <w:szCs w:val="22"/>
          <w:color w:val="auto"/>
        </w:rPr>
        <w:t>.</w:t>
      </w:r>
    </w:p>
    <w:p>
      <w:pPr>
        <w:spacing w:after="0" w:line="226" w:lineRule="exact"/>
        <w:rPr>
          <w:sz w:val="20"/>
          <w:szCs w:val="20"/>
          <w:color w:val="auto"/>
        </w:rPr>
      </w:pPr>
    </w:p>
    <w:p>
      <w:pPr>
        <w:ind w:left="180" w:firstLine="1286"/>
        <w:spacing w:after="0" w:line="287" w:lineRule="auto"/>
        <w:tabs>
          <w:tab w:leader="none" w:pos="1770" w:val="left"/>
        </w:tabs>
        <w:numPr>
          <w:ilvl w:val="0"/>
          <w:numId w:val="349"/>
        </w:numPr>
        <w:rPr>
          <w:rFonts w:ascii="Arial" w:cs="Arial" w:eastAsia="Arial" w:hAnsi="Arial"/>
          <w:sz w:val="21"/>
          <w:szCs w:val="21"/>
          <w:color w:val="auto"/>
        </w:rPr>
      </w:pPr>
      <w:r>
        <w:rPr>
          <w:rFonts w:ascii="Arial" w:cs="Arial" w:eastAsia="Arial" w:hAnsi="Arial"/>
          <w:sz w:val="21"/>
          <w:szCs w:val="21"/>
          <w:u w:val="single" w:color="auto"/>
          <w:color w:val="auto"/>
        </w:rPr>
        <w:t>Loan Commitments</w:t>
      </w:r>
      <w:r>
        <w:rPr>
          <w:rFonts w:ascii="Arial" w:cs="Arial" w:eastAsia="Arial" w:hAnsi="Arial"/>
          <w:sz w:val="21"/>
          <w:szCs w:val="21"/>
          <w:color w:val="auto"/>
        </w:rPr>
        <w:t>. Subject to the terms and conditions hereof, each Lender severally agrees to make, on the Closing Date, a Term Loan to Borrower in an amount equal to such Lender’s Term Loan Commitment.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Borrower may make only one borrowing under the Term Loan Commitment which shall be on the Closing Date. Any amount borrowed under this Section 2.1(a) and subsequently repaid or prepaid may not be reborrowed. Subject to Sections 2.13 and 2.14, all amounts owed hereunder with respect to the Term Loan shall be paid in full no later than the Maturity Date. Each Lender’s Term Loan Commitment shall terminate immediately and without further action on the Closing Date after giving effect to the funding of such Lender’s Term Loan Commitment on such date.</w:t>
      </w:r>
    </w:p>
    <w:p>
      <w:pPr>
        <w:spacing w:after="0" w:line="175" w:lineRule="exact"/>
        <w:rPr>
          <w:sz w:val="20"/>
          <w:szCs w:val="20"/>
          <w:color w:val="auto"/>
        </w:rPr>
      </w:pPr>
    </w:p>
    <w:p>
      <w:pPr>
        <w:ind w:left="1780" w:hanging="308"/>
        <w:spacing w:after="0"/>
        <w:tabs>
          <w:tab w:leader="none" w:pos="1780" w:val="left"/>
        </w:tabs>
        <w:numPr>
          <w:ilvl w:val="0"/>
          <w:numId w:val="350"/>
        </w:numPr>
        <w:rPr>
          <w:rFonts w:ascii="Arial" w:cs="Arial" w:eastAsia="Arial" w:hAnsi="Arial"/>
          <w:sz w:val="22"/>
          <w:szCs w:val="22"/>
          <w:color w:val="auto"/>
        </w:rPr>
      </w:pPr>
      <w:r>
        <w:rPr>
          <w:rFonts w:ascii="Arial" w:cs="Arial" w:eastAsia="Arial" w:hAnsi="Arial"/>
          <w:sz w:val="22"/>
          <w:szCs w:val="22"/>
          <w:u w:val="single" w:color="auto"/>
          <w:color w:val="auto"/>
        </w:rPr>
        <w:t>Borrowing Mechanics for Term Loan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2"/>
        <w:spacing w:after="0" w:line="250" w:lineRule="auto"/>
        <w:tabs>
          <w:tab w:leader="none" w:pos="2214" w:val="left"/>
        </w:tabs>
        <w:numPr>
          <w:ilvl w:val="1"/>
          <w:numId w:val="350"/>
        </w:numPr>
        <w:rPr>
          <w:rFonts w:ascii="Arial" w:cs="Arial" w:eastAsia="Arial" w:hAnsi="Arial"/>
          <w:sz w:val="22"/>
          <w:szCs w:val="22"/>
          <w:color w:val="auto"/>
        </w:rPr>
      </w:pPr>
      <w:r>
        <w:rPr>
          <w:rFonts w:ascii="Arial" w:cs="Arial" w:eastAsia="Arial" w:hAnsi="Arial"/>
          <w:sz w:val="22"/>
          <w:szCs w:val="22"/>
          <w:color w:val="auto"/>
        </w:rPr>
        <w:t>Borrower shall deliver to Administrative Agent a fully executed Funding Notice no later than three days prior to the Closing Date with respect to Eurodollar Rate Loans (or such shorter period as may be acceptable to Administrative Agent). Promptly upon receipt by Administrative Agent of such Funding Notice, Administrative Agent shall notify each Lender of the proposed borrowing.</w:t>
      </w:r>
    </w:p>
    <w:p>
      <w:pPr>
        <w:spacing w:after="0" w:line="187" w:lineRule="exact"/>
        <w:rPr>
          <w:rFonts w:ascii="Arial" w:cs="Arial" w:eastAsia="Arial" w:hAnsi="Arial"/>
          <w:sz w:val="22"/>
          <w:szCs w:val="22"/>
          <w:color w:val="auto"/>
        </w:rPr>
      </w:pPr>
    </w:p>
    <w:p>
      <w:pPr>
        <w:jc w:val="both"/>
        <w:ind w:left="660" w:firstLine="1292"/>
        <w:spacing w:after="0" w:line="292" w:lineRule="auto"/>
        <w:tabs>
          <w:tab w:leader="none" w:pos="2274" w:val="left"/>
        </w:tabs>
        <w:numPr>
          <w:ilvl w:val="1"/>
          <w:numId w:val="350"/>
        </w:numPr>
        <w:rPr>
          <w:rFonts w:ascii="Arial" w:cs="Arial" w:eastAsia="Arial" w:hAnsi="Arial"/>
          <w:sz w:val="19"/>
          <w:szCs w:val="19"/>
          <w:color w:val="auto"/>
        </w:rPr>
      </w:pPr>
      <w:r>
        <w:rPr>
          <w:rFonts w:ascii="Arial" w:cs="Arial" w:eastAsia="Arial" w:hAnsi="Arial"/>
          <w:sz w:val="19"/>
          <w:szCs w:val="19"/>
          <w:color w:val="auto"/>
        </w:rPr>
        <w:t>Each Lender shall make its Term Loan available to Administrative Agent not later than 2:00 p.m. (New York City time) on the Closing Date, by wire transfer of same day funds in Dollars, at the principal office designated by Administrative Agent. Upon satisfaction or waiver of the conditions precedent specified herein, Administrative Agent shall make the proceeds of the Term Loans available to Borrower on the Closing Date by causing an amount of same day funds in Dollars equal to the proceeds of all such Loans received by Administrative Agent from Lenders to be credited to the account of Borrower at the Principal Office designated by Administrative Agent or to such other account as may be designated in writing to Administrative Agent by Borrower.</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2.2. [Reserved].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2.3.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7" w:right="339" w:bottom="1440" w:gutter="0" w:footer="0" w:header="0"/>
        </w:sectPr>
      </w:pPr>
    </w:p>
    <w:bookmarkStart w:id="489" w:name="page490"/>
    <w:bookmarkEnd w:id="489"/>
    <w:p>
      <w:pPr>
        <w:ind w:left="660"/>
        <w:spacing w:after="0"/>
        <w:rPr>
          <w:sz w:val="20"/>
          <w:szCs w:val="20"/>
          <w:color w:val="auto"/>
        </w:rPr>
      </w:pPr>
      <w:r>
        <w:rPr>
          <w:rFonts w:ascii="Arial" w:cs="Arial" w:eastAsia="Arial" w:hAnsi="Arial"/>
          <w:sz w:val="22"/>
          <w:szCs w:val="22"/>
          <w:b w:val="1"/>
          <w:bCs w:val="1"/>
          <w:color w:val="auto"/>
        </w:rPr>
        <w:t>2.4. [Reserved].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2.5. Pro Rata Shares; Availability of Funds</w:t>
      </w:r>
      <w:r>
        <w:rPr>
          <w:rFonts w:ascii="Arial" w:cs="Arial" w:eastAsia="Arial" w:hAnsi="Arial"/>
          <w:sz w:val="22"/>
          <w:szCs w:val="22"/>
          <w:color w:val="auto"/>
        </w:rPr>
        <w:t>.</w:t>
      </w:r>
    </w:p>
    <w:p>
      <w:pPr>
        <w:spacing w:after="0" w:line="226" w:lineRule="exact"/>
        <w:rPr>
          <w:sz w:val="20"/>
          <w:szCs w:val="20"/>
          <w:color w:val="auto"/>
        </w:rPr>
      </w:pPr>
    </w:p>
    <w:p>
      <w:pPr>
        <w:jc w:val="both"/>
        <w:ind w:left="180" w:firstLine="1286"/>
        <w:spacing w:after="0" w:line="297" w:lineRule="auto"/>
        <w:tabs>
          <w:tab w:leader="none" w:pos="1783" w:val="left"/>
        </w:tabs>
        <w:numPr>
          <w:ilvl w:val="1"/>
          <w:numId w:val="351"/>
        </w:numPr>
        <w:rPr>
          <w:rFonts w:ascii="Arial" w:cs="Arial" w:eastAsia="Arial" w:hAnsi="Arial"/>
          <w:sz w:val="19"/>
          <w:szCs w:val="19"/>
          <w:color w:val="auto"/>
        </w:rPr>
      </w:pPr>
      <w:r>
        <w:rPr>
          <w:rFonts w:ascii="Arial" w:cs="Arial" w:eastAsia="Arial" w:hAnsi="Arial"/>
          <w:sz w:val="19"/>
          <w:szCs w:val="19"/>
          <w:u w:val="single" w:color="auto"/>
          <w:color w:val="auto"/>
        </w:rPr>
        <w:t>Pro Rata Shares</w:t>
      </w:r>
      <w:r>
        <w:rPr>
          <w:rFonts w:ascii="Arial" w:cs="Arial" w:eastAsia="Arial" w:hAnsi="Arial"/>
          <w:sz w:val="19"/>
          <w:szCs w:val="19"/>
          <w:color w:val="auto"/>
        </w:rPr>
        <w:t>.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Term Loan Commitment of any Lender be increased or decreased as a result of a default by any other Lender in such other Lender’s obligation to make a Loan requested hereunder or purchase a participation required hereby.</w:t>
      </w:r>
    </w:p>
    <w:p>
      <w:pPr>
        <w:spacing w:after="0" w:line="146" w:lineRule="exact"/>
        <w:rPr>
          <w:rFonts w:ascii="Arial" w:cs="Arial" w:eastAsia="Arial" w:hAnsi="Arial"/>
          <w:sz w:val="19"/>
          <w:szCs w:val="19"/>
          <w:color w:val="auto"/>
        </w:rPr>
      </w:pPr>
    </w:p>
    <w:p>
      <w:pPr>
        <w:jc w:val="both"/>
        <w:ind w:left="180" w:firstLine="1286"/>
        <w:spacing w:after="0" w:line="283" w:lineRule="auto"/>
        <w:tabs>
          <w:tab w:leader="none" w:pos="1809" w:val="left"/>
        </w:tabs>
        <w:numPr>
          <w:ilvl w:val="1"/>
          <w:numId w:val="351"/>
        </w:numPr>
        <w:rPr>
          <w:rFonts w:ascii="Arial" w:cs="Arial" w:eastAsia="Arial" w:hAnsi="Arial"/>
          <w:sz w:val="19"/>
          <w:szCs w:val="19"/>
          <w:color w:val="auto"/>
        </w:rPr>
      </w:pPr>
      <w:r>
        <w:rPr>
          <w:rFonts w:ascii="Arial" w:cs="Arial" w:eastAsia="Arial" w:hAnsi="Arial"/>
          <w:sz w:val="19"/>
          <w:szCs w:val="19"/>
          <w:u w:val="single" w:color="auto"/>
          <w:color w:val="auto"/>
        </w:rPr>
        <w:t>Availability of Funds</w:t>
      </w:r>
      <w:r>
        <w:rPr>
          <w:rFonts w:ascii="Arial" w:cs="Arial" w:eastAsia="Arial" w:hAnsi="Arial"/>
          <w:sz w:val="19"/>
          <w:szCs w:val="19"/>
          <w:color w:val="auto"/>
        </w:rPr>
        <w:t>.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customary rate set by Administrative Agent for the correction of errors among banks for three Business Days and thereafter at the Base Rate. In the event that (i) Administrative Agent declines to make a requested amount available to Borrower until such time as all applicable Lenders have made payment to Administrative Agent,</w:t>
      </w:r>
    </w:p>
    <w:p>
      <w:pPr>
        <w:spacing w:after="0" w:line="6" w:lineRule="exact"/>
        <w:rPr>
          <w:rFonts w:ascii="Arial" w:cs="Arial" w:eastAsia="Arial" w:hAnsi="Arial"/>
          <w:sz w:val="19"/>
          <w:szCs w:val="19"/>
          <w:color w:val="auto"/>
        </w:rPr>
      </w:pPr>
    </w:p>
    <w:p>
      <w:pPr>
        <w:jc w:val="both"/>
        <w:ind w:left="180" w:hanging="10"/>
        <w:spacing w:after="0" w:line="285" w:lineRule="auto"/>
        <w:tabs>
          <w:tab w:leader="none" w:pos="532" w:val="left"/>
        </w:tabs>
        <w:numPr>
          <w:ilvl w:val="0"/>
          <w:numId w:val="352"/>
        </w:numPr>
        <w:rPr>
          <w:rFonts w:ascii="Arial" w:cs="Arial" w:eastAsia="Arial" w:hAnsi="Arial"/>
          <w:sz w:val="19"/>
          <w:szCs w:val="19"/>
          <w:color w:val="auto"/>
        </w:rPr>
      </w:pPr>
      <w:r>
        <w:rPr>
          <w:rFonts w:ascii="Arial" w:cs="Arial" w:eastAsia="Arial" w:hAnsi="Arial"/>
          <w:sz w:val="19"/>
          <w:szCs w:val="19"/>
          <w:color w:val="auto"/>
        </w:rPr>
        <w:t>a Lender fails to fund to Administrative Agent all or any portion of the Loans required to be funded by such Lender hereunder prior to the time specified in this Agreement and (iii) such Lender’s failure results in Administrative Agent failing to make a corresponding amount available to Borrower on the Credit Date, at Administrative Agent’s option, such Lender shall not receive interest hereunder with respect to the requested amount of such Lender’s Loans for the period commencing with the time specified in this Agreement for receipt of payment by Borrower through and including the time of Borrower’s receipt of the requested amount. If such Lender does not pay such corresponding amount forthwith upon Administrative Agent’s demand therefor, Administrative Agent shall promptly notify Borrower and Borrower shall immediately pay such corresponding amount to Administrative Agent together with interest thereon, for each day from such Credit Date until the date such amount is paid to Administrative Agent, at the rate payable hereunder for Base Rate Loans. Nothing in this Section 2.5(b) shall be deemed to relieve any Lender from its obligation to fulfill its Term Loan Commitments hereunder or to prejudice any rights that Borrower may have against any Lender as a result of any default by such Lender hereunder.</w:t>
      </w:r>
    </w:p>
    <w:p>
      <w:pPr>
        <w:spacing w:after="0" w:line="160" w:lineRule="exact"/>
        <w:rPr>
          <w:sz w:val="20"/>
          <w:szCs w:val="20"/>
          <w:color w:val="auto"/>
        </w:rPr>
      </w:pPr>
    </w:p>
    <w:p>
      <w:pPr>
        <w:ind w:right="240" w:firstLine="648"/>
        <w:spacing w:after="0" w:line="349" w:lineRule="auto"/>
        <w:rPr>
          <w:sz w:val="20"/>
          <w:szCs w:val="20"/>
          <w:color w:val="auto"/>
        </w:rPr>
      </w:pPr>
      <w:r>
        <w:rPr>
          <w:rFonts w:ascii="Arial" w:cs="Arial" w:eastAsia="Arial" w:hAnsi="Arial"/>
          <w:sz w:val="19"/>
          <w:szCs w:val="19"/>
          <w:b w:val="1"/>
          <w:bCs w:val="1"/>
          <w:color w:val="auto"/>
        </w:rPr>
        <w:t>2.6. Use of Proceeds</w:t>
      </w:r>
      <w:r>
        <w:rPr>
          <w:rFonts w:ascii="Arial" w:cs="Arial" w:eastAsia="Arial" w:hAnsi="Arial"/>
          <w:sz w:val="19"/>
          <w:szCs w:val="19"/>
          <w:color w:val="auto"/>
        </w:rPr>
        <w:t>. The proceeds of the Term Loans made on the Closing Date shall be applied by Borrower to repay</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Existing Indebtedness and to pay fees and expenses in connection with this Agreement and the Related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1" w:right="339" w:bottom="1440" w:gutter="0" w:footer="0" w:header="0"/>
        </w:sectPr>
      </w:pPr>
    </w:p>
    <w:bookmarkStart w:id="490" w:name="page491"/>
    <w:bookmarkEnd w:id="490"/>
    <w:p>
      <w:pPr>
        <w:ind w:left="480"/>
        <w:spacing w:after="0"/>
        <w:rPr>
          <w:sz w:val="20"/>
          <w:szCs w:val="20"/>
          <w:color w:val="auto"/>
        </w:rPr>
      </w:pPr>
      <w:r>
        <w:rPr>
          <w:rFonts w:ascii="Arial" w:cs="Arial" w:eastAsia="Arial" w:hAnsi="Arial"/>
          <w:sz w:val="22"/>
          <w:szCs w:val="22"/>
          <w:b w:val="1"/>
          <w:bCs w:val="1"/>
          <w:color w:val="auto"/>
        </w:rPr>
        <w:t>2.7. Evidence of Debt; Register; Lenders’ Books and Records; Notes</w:t>
      </w:r>
      <w:r>
        <w:rPr>
          <w:rFonts w:ascii="Arial" w:cs="Arial" w:eastAsia="Arial" w:hAnsi="Arial"/>
          <w:sz w:val="22"/>
          <w:szCs w:val="22"/>
          <w:color w:val="auto"/>
        </w:rPr>
        <w:t>.</w:t>
      </w:r>
    </w:p>
    <w:p>
      <w:pPr>
        <w:spacing w:after="0" w:line="226" w:lineRule="exact"/>
        <w:rPr>
          <w:sz w:val="20"/>
          <w:szCs w:val="20"/>
          <w:color w:val="auto"/>
        </w:rPr>
      </w:pPr>
    </w:p>
    <w:p>
      <w:pPr>
        <w:jc w:val="both"/>
        <w:ind w:firstLine="1286"/>
        <w:spacing w:after="0" w:line="261" w:lineRule="auto"/>
        <w:tabs>
          <w:tab w:leader="none" w:pos="1630" w:val="left"/>
        </w:tabs>
        <w:numPr>
          <w:ilvl w:val="0"/>
          <w:numId w:val="353"/>
        </w:numPr>
        <w:rPr>
          <w:rFonts w:ascii="Arial" w:cs="Arial" w:eastAsia="Arial" w:hAnsi="Arial"/>
          <w:sz w:val="21"/>
          <w:szCs w:val="21"/>
          <w:color w:val="auto"/>
        </w:rPr>
      </w:pPr>
      <w:r>
        <w:rPr>
          <w:rFonts w:ascii="Arial" w:cs="Arial" w:eastAsia="Arial" w:hAnsi="Arial"/>
          <w:sz w:val="21"/>
          <w:szCs w:val="21"/>
          <w:u w:val="single" w:color="auto"/>
          <w:color w:val="auto"/>
        </w:rPr>
        <w:t>Lenders’ Evidence of Debt</w:t>
      </w:r>
      <w:r>
        <w:rPr>
          <w:rFonts w:ascii="Arial" w:cs="Arial" w:eastAsia="Arial" w:hAnsi="Arial"/>
          <w:sz w:val="21"/>
          <w:szCs w:val="21"/>
          <w:color w:val="auto"/>
        </w:rPr>
        <w:t xml:space="preserve">. Each Lender shall maintain on its internal records an account or accounts evidencing the Obligations of Borrower to such Lender, including the amounts of the Loans made by it and each repayment and prepayment in respect thereof. Any such recordation shall be conclusive and binding on Borrower, absent manifest error;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make any such recordation, or any error in such recordation, shall not affect Borrower’s Obligations in respect of any applicable Loans;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in the event of any inconsistency between the Register and any Lender’s records, the recordations in the Register shall govern.</w:t>
      </w:r>
    </w:p>
    <w:p>
      <w:pPr>
        <w:spacing w:after="0" w:line="179" w:lineRule="exact"/>
        <w:rPr>
          <w:rFonts w:ascii="Arial" w:cs="Arial" w:eastAsia="Arial" w:hAnsi="Arial"/>
          <w:sz w:val="21"/>
          <w:szCs w:val="21"/>
          <w:color w:val="auto"/>
        </w:rPr>
      </w:pPr>
    </w:p>
    <w:p>
      <w:pPr>
        <w:jc w:val="both"/>
        <w:ind w:firstLine="1286"/>
        <w:spacing w:after="0" w:line="286" w:lineRule="auto"/>
        <w:tabs>
          <w:tab w:leader="none" w:pos="1629" w:val="left"/>
        </w:tabs>
        <w:numPr>
          <w:ilvl w:val="0"/>
          <w:numId w:val="353"/>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Administrative Agent (or its agent or sub-agent appointed by it) shall maintain at its Principal Office a register for the recordation of the names and addresses of Lenders, and principal amounts (and stated interest) of the Loans owing to, each Lender pursuant to the terms hereof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xml:space="preserve">). The Register shall be available for inspection by Borrower or any Lender (with respect to (i) any entry relating to such Lender’s Loans, (ii) the identity of the other Lender’s (but not any information with respect to such other Lenders’ Loans) and (iii) any entry relating to the Loans of Sponsor Affiliated Lenders) at any reasonable time and from time to time upon reasonable prior notice. Administrative Agent shall record, or shall cause to be recorded, in the Register the Loans in accordance with the provisions of Section 10.6, and each repayment or prepayment in respect of the principal amount of the Loans, and any such recordation shall be conclusive and binding on Borrower and each Lender,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failure to make any such recordation, or any error in such recordation, shall not affect Borrower’s Obligations in respect of any Loan. Borrower hereby designates Administrative Agent to serve as Borrower’s non-fiduciary agent solely for purposes of maintaining the Register as provided in this Section 2.7, and Borrower hereby agrees that, to the extent Administrative Agent serves in such capacity, Administrative Agent and its officers, directors, employees, agents, sub-agents and affiliates shall constitute “Indemnitees.”</w:t>
      </w:r>
    </w:p>
    <w:p>
      <w:pPr>
        <w:spacing w:after="0" w:line="165" w:lineRule="exact"/>
        <w:rPr>
          <w:rFonts w:ascii="Arial" w:cs="Arial" w:eastAsia="Arial" w:hAnsi="Arial"/>
          <w:sz w:val="19"/>
          <w:szCs w:val="19"/>
          <w:color w:val="auto"/>
        </w:rPr>
      </w:pPr>
    </w:p>
    <w:p>
      <w:pPr>
        <w:jc w:val="both"/>
        <w:ind w:firstLine="1286"/>
        <w:spacing w:after="0" w:line="248" w:lineRule="auto"/>
        <w:tabs>
          <w:tab w:leader="none" w:pos="1590" w:val="left"/>
        </w:tabs>
        <w:numPr>
          <w:ilvl w:val="0"/>
          <w:numId w:val="353"/>
        </w:numPr>
        <w:rPr>
          <w:rFonts w:ascii="Arial" w:cs="Arial" w:eastAsia="Arial" w:hAnsi="Arial"/>
          <w:sz w:val="22"/>
          <w:szCs w:val="22"/>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If so requested by any Lender by written notice to Borrower (with a copy to Administrative Agent) at least two Business Days prior to the Closing Date, or at any time thereafter, Borrower shall execute and deliver to such Lender (and/or, if applicable and if so specified in such notice, to any Person who is an assignee of such Lender pursuant to Section 10.6) on the Closing Date (or, if such notice is delivered after the Closing Date, promptly after Borrower’s receipt of such notice) a Note or Notes to evidence such Lender’s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060"/>
          </w:cols>
          <w:pgMar w:left="500" w:top="1421" w:right="339" w:bottom="1440" w:gutter="0" w:footer="0" w:header="0"/>
        </w:sectPr>
      </w:pPr>
    </w:p>
    <w:bookmarkStart w:id="491" w:name="page492"/>
    <w:bookmarkEnd w:id="491"/>
    <w:p>
      <w:pPr>
        <w:ind w:left="480"/>
        <w:spacing w:after="0"/>
        <w:rPr>
          <w:sz w:val="20"/>
          <w:szCs w:val="20"/>
          <w:color w:val="auto"/>
        </w:rPr>
      </w:pPr>
      <w:r>
        <w:rPr>
          <w:rFonts w:ascii="Arial" w:cs="Arial" w:eastAsia="Arial" w:hAnsi="Arial"/>
          <w:sz w:val="22"/>
          <w:szCs w:val="22"/>
          <w:b w:val="1"/>
          <w:bCs w:val="1"/>
          <w:color w:val="auto"/>
        </w:rPr>
        <w:t>2.8. Interest on Loans</w:t>
      </w:r>
      <w:r>
        <w:rPr>
          <w:rFonts w:ascii="Arial" w:cs="Arial" w:eastAsia="Arial" w:hAnsi="Arial"/>
          <w:sz w:val="22"/>
          <w:szCs w:val="22"/>
          <w:color w:val="auto"/>
        </w:rPr>
        <w:t>.</w:t>
      </w:r>
    </w:p>
    <w:p>
      <w:pPr>
        <w:spacing w:after="0" w:line="226" w:lineRule="exact"/>
        <w:rPr>
          <w:sz w:val="20"/>
          <w:szCs w:val="20"/>
          <w:color w:val="auto"/>
        </w:rPr>
      </w:pPr>
    </w:p>
    <w:p>
      <w:pPr>
        <w:ind w:firstLine="1286"/>
        <w:spacing w:after="0" w:line="263" w:lineRule="auto"/>
        <w:tabs>
          <w:tab w:leader="none" w:pos="1603" w:val="left"/>
        </w:tabs>
        <w:numPr>
          <w:ilvl w:val="0"/>
          <w:numId w:val="354"/>
        </w:numPr>
        <w:rPr>
          <w:rFonts w:ascii="Arial" w:cs="Arial" w:eastAsia="Arial" w:hAnsi="Arial"/>
          <w:sz w:val="22"/>
          <w:szCs w:val="22"/>
          <w:color w:val="auto"/>
        </w:rPr>
      </w:pPr>
      <w:r>
        <w:rPr>
          <w:rFonts w:ascii="Arial" w:cs="Arial" w:eastAsia="Arial" w:hAnsi="Arial"/>
          <w:sz w:val="22"/>
          <w:szCs w:val="22"/>
          <w:color w:val="auto"/>
        </w:rPr>
        <w:t>Except as otherwise set forth herein, each Loan shall bear interest on the unpaid principal amount thereof from the date made through repayment (whether by acceleration or otherwise) thereof as follows:</w:t>
      </w:r>
    </w:p>
    <w:p>
      <w:pPr>
        <w:spacing w:after="0" w:line="174" w:lineRule="exact"/>
        <w:rPr>
          <w:rFonts w:ascii="Arial" w:cs="Arial" w:eastAsia="Arial" w:hAnsi="Arial"/>
          <w:sz w:val="22"/>
          <w:szCs w:val="22"/>
          <w:color w:val="auto"/>
        </w:rPr>
      </w:pPr>
    </w:p>
    <w:p>
      <w:pPr>
        <w:ind w:left="1900" w:hanging="413"/>
        <w:spacing w:after="0"/>
        <w:tabs>
          <w:tab w:leader="none" w:pos="1900" w:val="left"/>
        </w:tabs>
        <w:numPr>
          <w:ilvl w:val="1"/>
          <w:numId w:val="354"/>
        </w:numPr>
        <w:rPr>
          <w:rFonts w:ascii="Arial" w:cs="Arial" w:eastAsia="Arial" w:hAnsi="Arial"/>
          <w:sz w:val="22"/>
          <w:szCs w:val="22"/>
          <w:color w:val="auto"/>
        </w:rPr>
      </w:pPr>
      <w:r>
        <w:rPr>
          <w:rFonts w:ascii="Arial" w:cs="Arial" w:eastAsia="Arial" w:hAnsi="Arial"/>
          <w:sz w:val="22"/>
          <w:szCs w:val="22"/>
          <w:color w:val="auto"/>
        </w:rPr>
        <w:t>if a Eurodollar Rate Loan,</w:t>
      </w:r>
    </w:p>
    <w:p>
      <w:pPr>
        <w:spacing w:after="0" w:line="219" w:lineRule="exact"/>
        <w:rPr>
          <w:rFonts w:ascii="Arial" w:cs="Arial" w:eastAsia="Arial" w:hAnsi="Arial"/>
          <w:sz w:val="22"/>
          <w:szCs w:val="22"/>
          <w:color w:val="auto"/>
        </w:rPr>
      </w:pPr>
    </w:p>
    <w:p>
      <w:pPr>
        <w:ind w:left="2560" w:hanging="563"/>
        <w:spacing w:after="0"/>
        <w:tabs>
          <w:tab w:leader="none" w:pos="2560" w:val="left"/>
        </w:tabs>
        <w:numPr>
          <w:ilvl w:val="2"/>
          <w:numId w:val="354"/>
        </w:numPr>
        <w:rPr>
          <w:rFonts w:ascii="Arial" w:cs="Arial" w:eastAsia="Arial" w:hAnsi="Arial"/>
          <w:sz w:val="22"/>
          <w:szCs w:val="22"/>
          <w:color w:val="auto"/>
        </w:rPr>
      </w:pPr>
      <w:r>
        <w:rPr>
          <w:rFonts w:ascii="Arial" w:cs="Arial" w:eastAsia="Arial" w:hAnsi="Arial"/>
          <w:sz w:val="22"/>
          <w:szCs w:val="22"/>
          <w:color w:val="auto"/>
        </w:rPr>
        <w:t xml:space="preserve">for the First Interest Period, at the Adjusted Eurodollar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w:t>
      </w:r>
    </w:p>
    <w:p>
      <w:pPr>
        <w:spacing w:after="0" w:line="219" w:lineRule="exact"/>
        <w:rPr>
          <w:rFonts w:ascii="Arial" w:cs="Arial" w:eastAsia="Arial" w:hAnsi="Arial"/>
          <w:sz w:val="22"/>
          <w:szCs w:val="22"/>
          <w:color w:val="auto"/>
        </w:rPr>
      </w:pPr>
    </w:p>
    <w:p>
      <w:pPr>
        <w:jc w:val="both"/>
        <w:ind w:left="1480" w:firstLine="517"/>
        <w:spacing w:after="0" w:line="312" w:lineRule="auto"/>
        <w:tabs>
          <w:tab w:leader="none" w:pos="2575" w:val="left"/>
        </w:tabs>
        <w:numPr>
          <w:ilvl w:val="2"/>
          <w:numId w:val="354"/>
        </w:numPr>
        <w:rPr>
          <w:rFonts w:ascii="Arial" w:cs="Arial" w:eastAsia="Arial" w:hAnsi="Arial"/>
          <w:sz w:val="19"/>
          <w:szCs w:val="19"/>
          <w:color w:val="auto"/>
        </w:rPr>
      </w:pPr>
      <w:r>
        <w:rPr>
          <w:rFonts w:ascii="Arial" w:cs="Arial" w:eastAsia="Arial" w:hAnsi="Arial"/>
          <w:sz w:val="19"/>
          <w:szCs w:val="19"/>
          <w:color w:val="auto"/>
        </w:rPr>
        <w:t xml:space="preserve">for any subsequent Interest Period, the sum of (1) the greater of (x) the Adjusted Eurodollar Rate as of the Reset Date for such Interest Period, and (y) the Adjusted Eurodollar Rate applicable to Eurodollar Rate Loans during the immediately preceding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the Applicable Margin; or</w:t>
      </w:r>
    </w:p>
    <w:p>
      <w:pPr>
        <w:spacing w:after="0" w:line="133" w:lineRule="exact"/>
        <w:rPr>
          <w:rFonts w:ascii="Arial" w:cs="Arial" w:eastAsia="Arial" w:hAnsi="Arial"/>
          <w:sz w:val="19"/>
          <w:szCs w:val="19"/>
          <w:color w:val="auto"/>
        </w:rPr>
      </w:pPr>
    </w:p>
    <w:p>
      <w:pPr>
        <w:ind w:left="1960" w:hanging="473"/>
        <w:spacing w:after="0"/>
        <w:tabs>
          <w:tab w:leader="none" w:pos="1960" w:val="left"/>
        </w:tabs>
        <w:numPr>
          <w:ilvl w:val="1"/>
          <w:numId w:val="354"/>
        </w:numPr>
        <w:rPr>
          <w:rFonts w:ascii="Arial" w:cs="Arial" w:eastAsia="Arial" w:hAnsi="Arial"/>
          <w:sz w:val="22"/>
          <w:szCs w:val="22"/>
          <w:color w:val="auto"/>
        </w:rPr>
      </w:pPr>
      <w:r>
        <w:rPr>
          <w:rFonts w:ascii="Arial" w:cs="Arial" w:eastAsia="Arial" w:hAnsi="Arial"/>
          <w:sz w:val="22"/>
          <w:szCs w:val="22"/>
          <w:color w:val="auto"/>
        </w:rPr>
        <w:t xml:space="preserve">if a Base Rate Loan, at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w:t>
      </w:r>
    </w:p>
    <w:p>
      <w:pPr>
        <w:spacing w:after="0" w:line="219" w:lineRule="exact"/>
        <w:rPr>
          <w:rFonts w:ascii="Arial" w:cs="Arial" w:eastAsia="Arial" w:hAnsi="Arial"/>
          <w:sz w:val="22"/>
          <w:szCs w:val="22"/>
          <w:color w:val="auto"/>
        </w:rPr>
      </w:pPr>
    </w:p>
    <w:p>
      <w:pPr>
        <w:ind w:left="1600" w:hanging="314"/>
        <w:spacing w:after="0"/>
        <w:tabs>
          <w:tab w:leader="none" w:pos="160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286"/>
        <w:spacing w:after="0" w:line="302" w:lineRule="auto"/>
        <w:tabs>
          <w:tab w:leader="none" w:pos="1617" w:val="left"/>
        </w:tabs>
        <w:numPr>
          <w:ilvl w:val="0"/>
          <w:numId w:val="354"/>
        </w:numPr>
        <w:rPr>
          <w:rFonts w:ascii="Arial" w:cs="Arial" w:eastAsia="Arial" w:hAnsi="Arial"/>
          <w:sz w:val="19"/>
          <w:szCs w:val="19"/>
          <w:color w:val="auto"/>
        </w:rPr>
      </w:pPr>
      <w:r>
        <w:rPr>
          <w:rFonts w:ascii="Arial" w:cs="Arial" w:eastAsia="Arial" w:hAnsi="Arial"/>
          <w:sz w:val="19"/>
          <w:szCs w:val="19"/>
          <w:color w:val="auto"/>
        </w:rPr>
        <w:t>As soon as practicable after 10:00 a.m. (New York City time) on each Interest Rate Determination Date, Administrative Agent shall determine (which determination shall, absent manifest error, be final, conclusive and binding upon all parties) the interest rate that shall apply to the Eurodollar Rate Loans for which an interest rate is then being determined for the applicable Interest Period and shall promptly give notice thereof to Borrower and each Lender.</w:t>
      </w:r>
    </w:p>
    <w:p>
      <w:pPr>
        <w:spacing w:after="0" w:line="142" w:lineRule="exact"/>
        <w:rPr>
          <w:rFonts w:ascii="Arial" w:cs="Arial" w:eastAsia="Arial" w:hAnsi="Arial"/>
          <w:sz w:val="19"/>
          <w:szCs w:val="19"/>
          <w:color w:val="auto"/>
        </w:rPr>
      </w:pPr>
    </w:p>
    <w:p>
      <w:pPr>
        <w:jc w:val="both"/>
        <w:ind w:firstLine="1286"/>
        <w:spacing w:after="0" w:line="287" w:lineRule="auto"/>
        <w:tabs>
          <w:tab w:leader="none" w:pos="1602"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Interest payable pursuant to Section 2.8(a) shall be computed (i) in the case of Eurodollar Rate Loans, on the basis of a 360-day year, and (ii) in the case of Base Rate Loans, on the basis of a 360-day year (or, in the case of Base Rate Loans determined by reference to the “Prime Rate”, a 365-day or 366-day year, as applicable), as the case may be, in each case for the actual number of days elapsed in the period during which it accrues. In computing interest on any Loan, the date of the making of such Loan or the first day of an Interest Period applicable to such Loan or, with respect to a Term Loan, the last Interest Payment Date with respect to such Term Loan or, with respect to a Base Rate Loan being converted from a Eurodollar Rate Loan, the date of conversion of such Eurodollar Rate Loan to such Base Rate Loan, as the case may be, shall be included, and the date of payment of such Loan or the expiration date of an Interest Period applicable to such Loan or, with respect to a Base Rate Loan being converted to a Eurodollar Rate Loan, the date of conversion of such Base Rate Loan to such Eurodollar Rate Loan, as the case may be, shall be excluded; </w:t>
      </w:r>
      <w:r>
        <w:rPr>
          <w:rFonts w:ascii="Arial" w:cs="Arial" w:eastAsia="Arial" w:hAnsi="Arial"/>
          <w:sz w:val="19"/>
          <w:szCs w:val="19"/>
          <w:u w:val="single" w:color="auto"/>
          <w:color w:val="auto"/>
        </w:rPr>
        <w:t>provided</w:t>
      </w:r>
      <w:r>
        <w:rPr>
          <w:rFonts w:ascii="Arial" w:cs="Arial" w:eastAsia="Arial" w:hAnsi="Arial"/>
          <w:sz w:val="19"/>
          <w:szCs w:val="19"/>
          <w:color w:val="auto"/>
        </w:rPr>
        <w:t>, if a Loan is repaid on the same day on which it is made, one day’s interest shall be paid on that Loan.</w:t>
      </w:r>
    </w:p>
    <w:p>
      <w:pPr>
        <w:spacing w:after="0" w:line="163" w:lineRule="exact"/>
        <w:rPr>
          <w:rFonts w:ascii="Arial" w:cs="Arial" w:eastAsia="Arial" w:hAnsi="Arial"/>
          <w:sz w:val="19"/>
          <w:szCs w:val="19"/>
          <w:color w:val="auto"/>
        </w:rPr>
      </w:pPr>
    </w:p>
    <w:p>
      <w:pPr>
        <w:ind w:firstLine="1286"/>
        <w:spacing w:after="0" w:line="263" w:lineRule="auto"/>
        <w:tabs>
          <w:tab w:leader="none" w:pos="1617" w:val="left"/>
        </w:tabs>
        <w:numPr>
          <w:ilvl w:val="0"/>
          <w:numId w:val="354"/>
        </w:numPr>
        <w:rPr>
          <w:rFonts w:ascii="Arial" w:cs="Arial" w:eastAsia="Arial" w:hAnsi="Arial"/>
          <w:sz w:val="22"/>
          <w:szCs w:val="22"/>
          <w:color w:val="auto"/>
        </w:rPr>
      </w:pPr>
      <w:r>
        <w:rPr>
          <w:rFonts w:ascii="Arial" w:cs="Arial" w:eastAsia="Arial" w:hAnsi="Arial"/>
          <w:sz w:val="22"/>
          <w:szCs w:val="22"/>
          <w:color w:val="auto"/>
        </w:rPr>
        <w:t>Except as otherwise set forth herein, interest on each Loan (i) shall accrue on a daily basis and shall be payable in arrears on each Interest Payment Date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060"/>
          </w:cols>
          <w:pgMar w:left="500" w:top="1421" w:right="339" w:bottom="1440" w:gutter="0" w:footer="0" w:header="0"/>
        </w:sectPr>
      </w:pPr>
    </w:p>
    <w:bookmarkStart w:id="492" w:name="page493"/>
    <w:bookmarkEnd w:id="492"/>
    <w:p>
      <w:pPr>
        <w:jc w:val="both"/>
        <w:ind w:left="180"/>
        <w:spacing w:after="0" w:line="248" w:lineRule="auto"/>
        <w:rPr>
          <w:sz w:val="20"/>
          <w:szCs w:val="20"/>
          <w:color w:val="auto"/>
        </w:rPr>
      </w:pPr>
      <w:r>
        <w:rPr>
          <w:rFonts w:ascii="Arial" w:cs="Arial" w:eastAsia="Arial" w:hAnsi="Arial"/>
          <w:sz w:val="22"/>
          <w:szCs w:val="22"/>
          <w:color w:val="auto"/>
        </w:rPr>
        <w:t xml:space="preserve">interest accrued on and to each such payment date; (ii) shall accrue on a daily basis and shall be payable in arrears upon any prepayment of that Loan, whether voluntary or mandatory, to the extent accrued on the amount being prepaid; and (iii) shall accrue on a daily basis and shall be payable in arrears at maturity of the Loans, including final maturity of the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with respect to any voluntary prepayment of a Base Rate Loan, accrued interest shall instead be payable on the applicable Interest Payment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2.9. [Reserved].</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2.10. Default Interest</w:t>
      </w:r>
      <w:r>
        <w:rPr>
          <w:rFonts w:ascii="Arial" w:cs="Arial" w:eastAsia="Arial" w:hAnsi="Arial"/>
          <w:sz w:val="19"/>
          <w:szCs w:val="19"/>
          <w:color w:val="auto"/>
        </w:rPr>
        <w:t>. Upon the occurrence and during the continuance of an Event of Default under Section 8.1(a), (c)</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respect to a breach of Section 6.7 only), (f) or (g), the principal amount of all Loans outstanding and, to the extent permitted by applicable law, any interest payments on the Loans or any fees or other amounts owed hereunder, shall thereafter bear interest (including post-petition interest in any proceeding under Debtor Relief Laws) payable on demand at a rate that is 2%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in excess of the interest rate otherwise payable hereunder with respect to the applicable Loans (or, in the case of any such fees and other amounts, at a rate which is 2%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in excess of the interest rate otherwise payable hereunder for Base Rate Loans). Payment or acceptance of the increased rates of interest provided for in this Section 2.10 is not a permitted alternative to timely payment and shall not constitute a waiver of any Event of Default or otherwise prejudice or limit any rights or remedies of Administrative Agent or any Lender.</w:t>
      </w:r>
    </w:p>
    <w:p>
      <w:pPr>
        <w:spacing w:after="0" w:line="148" w:lineRule="exact"/>
        <w:rPr>
          <w:sz w:val="20"/>
          <w:szCs w:val="20"/>
          <w:color w:val="auto"/>
        </w:rPr>
      </w:pPr>
    </w:p>
    <w:p>
      <w:pPr>
        <w:ind w:right="160" w:firstLine="648"/>
        <w:spacing w:after="0" w:line="269" w:lineRule="auto"/>
        <w:rPr>
          <w:sz w:val="20"/>
          <w:szCs w:val="20"/>
          <w:color w:val="auto"/>
        </w:rPr>
      </w:pPr>
      <w:r>
        <w:rPr>
          <w:rFonts w:ascii="Arial" w:cs="Arial" w:eastAsia="Arial" w:hAnsi="Arial"/>
          <w:sz w:val="22"/>
          <w:szCs w:val="22"/>
          <w:b w:val="1"/>
          <w:bCs w:val="1"/>
          <w:color w:val="auto"/>
        </w:rPr>
        <w:t>2.11. Fees</w:t>
      </w:r>
      <w:r>
        <w:rPr>
          <w:rFonts w:ascii="Arial" w:cs="Arial" w:eastAsia="Arial" w:hAnsi="Arial"/>
          <w:sz w:val="22"/>
          <w:szCs w:val="22"/>
          <w:color w:val="auto"/>
        </w:rPr>
        <w:t>. Borrower agrees to pay to Agents, Arrangers and Lenders any fees in the amounts and at the times separately</w:t>
      </w:r>
      <w:r>
        <w:rPr>
          <w:rFonts w:ascii="Arial" w:cs="Arial" w:eastAsia="Arial" w:hAnsi="Arial"/>
          <w:sz w:val="22"/>
          <w:szCs w:val="22"/>
          <w:b w:val="1"/>
          <w:bCs w:val="1"/>
          <w:color w:val="auto"/>
        </w:rPr>
        <w:t xml:space="preserve"> </w:t>
      </w:r>
      <w:r>
        <w:rPr>
          <w:rFonts w:ascii="Arial" w:cs="Arial" w:eastAsia="Arial" w:hAnsi="Arial"/>
          <w:sz w:val="22"/>
          <w:szCs w:val="22"/>
          <w:color w:val="auto"/>
        </w:rPr>
        <w:t>agreed upon (including all fees provided for under any Fee Letter).</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2.12. Scheduled Payments</w:t>
      </w:r>
      <w:r>
        <w:rPr>
          <w:rFonts w:ascii="Arial" w:cs="Arial" w:eastAsia="Arial" w:hAnsi="Arial"/>
          <w:sz w:val="22"/>
          <w:szCs w:val="22"/>
          <w:color w:val="auto"/>
        </w:rPr>
        <w:t>. The aggregate amount of all outstanding Loans together with all other amounts owed</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with respect thereto shall be paid in full by the Borrower on the Maturity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2.13. Voluntary Prepayments</w:t>
      </w:r>
      <w:r>
        <w:rPr>
          <w:rFonts w:ascii="Arial" w:cs="Arial" w:eastAsia="Arial" w:hAnsi="Arial"/>
          <w:sz w:val="22"/>
          <w:szCs w:val="22"/>
          <w:color w:val="auto"/>
        </w:rPr>
        <w:t>.</w:t>
      </w:r>
    </w:p>
    <w:p>
      <w:pPr>
        <w:spacing w:after="0" w:line="226" w:lineRule="exact"/>
        <w:rPr>
          <w:sz w:val="20"/>
          <w:szCs w:val="20"/>
          <w:color w:val="auto"/>
        </w:rPr>
      </w:pPr>
    </w:p>
    <w:p>
      <w:pPr>
        <w:ind w:left="1920" w:hanging="253"/>
        <w:spacing w:after="0"/>
        <w:tabs>
          <w:tab w:leader="none" w:pos="192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Any time and from time to time,</w:t>
      </w:r>
    </w:p>
    <w:p>
      <w:pPr>
        <w:spacing w:after="0" w:line="219" w:lineRule="exact"/>
        <w:rPr>
          <w:rFonts w:ascii="Arial" w:cs="Arial" w:eastAsia="Arial" w:hAnsi="Arial"/>
          <w:sz w:val="22"/>
          <w:szCs w:val="22"/>
          <w:color w:val="auto"/>
        </w:rPr>
      </w:pPr>
    </w:p>
    <w:p>
      <w:pPr>
        <w:jc w:val="both"/>
        <w:ind w:left="1660" w:firstLine="389"/>
        <w:spacing w:after="0" w:line="253" w:lineRule="auto"/>
        <w:tabs>
          <w:tab w:leader="none" w:pos="2544" w:val="left"/>
        </w:tabs>
        <w:numPr>
          <w:ilvl w:val="1"/>
          <w:numId w:val="355"/>
        </w:numPr>
        <w:rPr>
          <w:rFonts w:ascii="Arial" w:cs="Arial" w:eastAsia="Arial" w:hAnsi="Arial"/>
          <w:sz w:val="22"/>
          <w:szCs w:val="22"/>
          <w:color w:val="auto"/>
        </w:rPr>
      </w:pPr>
      <w:r>
        <w:rPr>
          <w:rFonts w:ascii="Arial" w:cs="Arial" w:eastAsia="Arial" w:hAnsi="Arial"/>
          <w:sz w:val="22"/>
          <w:szCs w:val="22"/>
          <w:color w:val="auto"/>
        </w:rPr>
        <w:t>with respect to Eurodollar Rate Loans, Borrower may prepay any such Loans on any Business Day in whole or in part in an aggregate minimum amount of $2,000,000 and integral multiples of $500,000 in excess of that amount; and</w:t>
      </w:r>
    </w:p>
    <w:p>
      <w:pPr>
        <w:spacing w:after="0" w:line="185" w:lineRule="exact"/>
        <w:rPr>
          <w:rFonts w:ascii="Arial" w:cs="Arial" w:eastAsia="Arial" w:hAnsi="Arial"/>
          <w:sz w:val="22"/>
          <w:szCs w:val="22"/>
          <w:color w:val="auto"/>
        </w:rPr>
      </w:pPr>
    </w:p>
    <w:p>
      <w:pPr>
        <w:jc w:val="both"/>
        <w:ind w:left="1660" w:firstLine="389"/>
        <w:spacing w:after="0" w:line="253" w:lineRule="auto"/>
        <w:tabs>
          <w:tab w:leader="none" w:pos="2599" w:val="left"/>
        </w:tabs>
        <w:numPr>
          <w:ilvl w:val="1"/>
          <w:numId w:val="355"/>
        </w:numPr>
        <w:rPr>
          <w:rFonts w:ascii="Arial" w:cs="Arial" w:eastAsia="Arial" w:hAnsi="Arial"/>
          <w:sz w:val="22"/>
          <w:szCs w:val="22"/>
          <w:color w:val="auto"/>
        </w:rPr>
      </w:pPr>
      <w:r>
        <w:rPr>
          <w:rFonts w:ascii="Arial" w:cs="Arial" w:eastAsia="Arial" w:hAnsi="Arial"/>
          <w:sz w:val="22"/>
          <w:szCs w:val="22"/>
          <w:color w:val="auto"/>
        </w:rPr>
        <w:t>with respect to Base Rate Loans, Borrower may prepay any such Loans on any Business Day in whole or in part, in an aggregate minimum amount of $[500,000] and integral multiples of $[100,000] in excess of that amount;</w:t>
      </w:r>
    </w:p>
    <w:p>
      <w:pPr>
        <w:spacing w:after="0" w:line="185" w:lineRule="exact"/>
        <w:rPr>
          <w:rFonts w:ascii="Arial" w:cs="Arial" w:eastAsia="Arial" w:hAnsi="Arial"/>
          <w:sz w:val="22"/>
          <w:szCs w:val="22"/>
          <w:color w:val="auto"/>
        </w:rPr>
      </w:pPr>
    </w:p>
    <w:p>
      <w:pPr>
        <w:ind w:left="1980" w:hanging="313"/>
        <w:spacing w:after="0"/>
        <w:tabs>
          <w:tab w:leader="none" w:pos="1980" w:val="left"/>
        </w:tabs>
        <w:numPr>
          <w:ilvl w:val="0"/>
          <w:numId w:val="355"/>
        </w:numPr>
        <w:rPr>
          <w:rFonts w:ascii="Arial" w:cs="Arial" w:eastAsia="Arial" w:hAnsi="Arial"/>
          <w:sz w:val="21"/>
          <w:szCs w:val="21"/>
          <w:color w:val="auto"/>
        </w:rPr>
      </w:pPr>
      <w:r>
        <w:rPr>
          <w:rFonts w:ascii="Arial" w:cs="Arial" w:eastAsia="Arial" w:hAnsi="Arial"/>
          <w:sz w:val="21"/>
          <w:szCs w:val="21"/>
          <w:color w:val="auto"/>
        </w:rPr>
        <w:t>All such prepayments shall be made upon not less than five Business Days’ prior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7" w:right="339" w:bottom="1440" w:gutter="0" w:footer="0" w:header="0"/>
        </w:sectPr>
      </w:pPr>
    </w:p>
    <w:bookmarkStart w:id="493" w:name="page494"/>
    <w:bookmarkEnd w:id="493"/>
    <w:p>
      <w:pPr>
        <w:jc w:val="both"/>
        <w:spacing w:after="0" w:line="246" w:lineRule="auto"/>
        <w:rPr>
          <w:sz w:val="20"/>
          <w:szCs w:val="20"/>
          <w:color w:val="auto"/>
        </w:rPr>
      </w:pPr>
      <w:r>
        <w:rPr>
          <w:rFonts w:ascii="Arial" w:cs="Arial" w:eastAsia="Arial" w:hAnsi="Arial"/>
          <w:sz w:val="22"/>
          <w:szCs w:val="22"/>
          <w:color w:val="auto"/>
        </w:rPr>
        <w:t xml:space="preserve">in each case given to Administrative Agent by 12:00 p.m. (New York City time) on the date required and, if given by telephone, promptly confirmed by delivery of written notice thereof to Administrative Agent (and Administrative Agent will promptly transmit such original notice for Term Loans, as the case may be, to each Lender). Upon the giving of any such notice, the principal amount of the Loans specified in such notice shall become due and payable on the prepayment date specified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prepayment obligation may be conditioned on the occurrence of any subsequent event (including a Change of Control, refinancing transaction or Permitted Acquisition or other Investment). Any such voluntary prepayment shall be applied as specified in Section 2.15(a).</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2.14. Mandatory Prepayments/Commitment Reductions</w:t>
      </w:r>
      <w:r>
        <w:rPr>
          <w:rFonts w:ascii="Arial" w:cs="Arial" w:eastAsia="Arial" w:hAnsi="Arial"/>
          <w:sz w:val="22"/>
          <w:szCs w:val="22"/>
          <w:color w:val="auto"/>
        </w:rPr>
        <w:t>.</w:t>
      </w:r>
    </w:p>
    <w:p>
      <w:pPr>
        <w:spacing w:after="0" w:line="226" w:lineRule="exact"/>
        <w:rPr>
          <w:sz w:val="20"/>
          <w:szCs w:val="20"/>
          <w:color w:val="auto"/>
        </w:rPr>
      </w:pPr>
    </w:p>
    <w:p>
      <w:pPr>
        <w:jc w:val="both"/>
        <w:ind w:left="180" w:firstLine="1286"/>
        <w:spacing w:after="0" w:line="288" w:lineRule="auto"/>
        <w:tabs>
          <w:tab w:leader="none" w:pos="1783" w:val="left"/>
        </w:tabs>
        <w:numPr>
          <w:ilvl w:val="0"/>
          <w:numId w:val="356"/>
        </w:numPr>
        <w:rPr>
          <w:rFonts w:ascii="Arial" w:cs="Arial" w:eastAsia="Arial" w:hAnsi="Arial"/>
          <w:sz w:val="19"/>
          <w:szCs w:val="19"/>
          <w:color w:val="auto"/>
        </w:rPr>
      </w:pPr>
      <w:r>
        <w:rPr>
          <w:rFonts w:ascii="Arial" w:cs="Arial" w:eastAsia="Arial" w:hAnsi="Arial"/>
          <w:sz w:val="19"/>
          <w:szCs w:val="19"/>
          <w:u w:val="single" w:color="auto"/>
          <w:color w:val="auto"/>
        </w:rPr>
        <w:t>Asset Sales</w:t>
      </w:r>
      <w:r>
        <w:rPr>
          <w:rFonts w:ascii="Arial" w:cs="Arial" w:eastAsia="Arial" w:hAnsi="Arial"/>
          <w:sz w:val="19"/>
          <w:szCs w:val="19"/>
          <w:color w:val="auto"/>
        </w:rPr>
        <w:t xml:space="preserve">. No later than the third Business Day following the date of receipt by Borrower or any of its Subsidiaries of any Net Asset Sale Proceeds, Borrower shall prepay the Loans in an aggregate amount equal to such Net Asset Sale Proceeds;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so long as no Default or Event of Default shall have occurred and be continuing, if the Borrower shall have delivered a certificate of an Authorized Officer of the Borrower to the Administrative Agent promptly following receipt of such Net Asset Sale Proceeds stating Borrower’s intention to invest, directly or indirectly through one or more of its Subsidiaries, any portion of such Net Asset Sale Proceeds (the </w:t>
      </w:r>
      <w:r>
        <w:rPr>
          <w:rFonts w:ascii="Arial" w:cs="Arial" w:eastAsia="Arial" w:hAnsi="Arial"/>
          <w:sz w:val="19"/>
          <w:szCs w:val="19"/>
          <w:b w:val="1"/>
          <w:bCs w:val="1"/>
          <w:color w:val="auto"/>
        </w:rPr>
        <w:t>“Reinvested Asset Sale Proceeds”</w:t>
      </w:r>
      <w:r>
        <w:rPr>
          <w:rFonts w:ascii="Arial" w:cs="Arial" w:eastAsia="Arial" w:hAnsi="Arial"/>
          <w:sz w:val="19"/>
          <w:szCs w:val="19"/>
          <w:color w:val="auto"/>
        </w:rPr>
        <w:t xml:space="preserve">) within 9 months of receipt thereof in long-term productive assets of the general type used in the business of Borrower and its Subsidiaries, the Reinvested Asset Sale Proceeds shall not be required to be applied to prepay Loans pursuant to this Section 2.14(a). In the event that, at the end of such 9 month-period, all or a portion of the Reinvested Asset Sale Proceeds have not been reinvested as provided in this </w:t>
      </w:r>
      <w:r>
        <w:rPr>
          <w:rFonts w:ascii="Arial" w:cs="Arial" w:eastAsia="Arial" w:hAnsi="Arial"/>
          <w:sz w:val="19"/>
          <w:szCs w:val="19"/>
          <w:u w:val="single" w:color="auto"/>
          <w:color w:val="auto"/>
        </w:rPr>
        <w:t>Section 2.14(a)</w:t>
      </w:r>
      <w:r>
        <w:rPr>
          <w:rFonts w:ascii="Arial" w:cs="Arial" w:eastAsia="Arial" w:hAnsi="Arial"/>
          <w:sz w:val="19"/>
          <w:szCs w:val="19"/>
          <w:color w:val="auto"/>
        </w:rPr>
        <w:t>, the same shall be immediately applied to prepay the outstanding Loans.</w:t>
      </w:r>
    </w:p>
    <w:p>
      <w:pPr>
        <w:spacing w:after="0" w:line="159" w:lineRule="exact"/>
        <w:rPr>
          <w:rFonts w:ascii="Arial" w:cs="Arial" w:eastAsia="Arial" w:hAnsi="Arial"/>
          <w:sz w:val="19"/>
          <w:szCs w:val="19"/>
          <w:color w:val="auto"/>
        </w:rPr>
      </w:pPr>
    </w:p>
    <w:p>
      <w:pPr>
        <w:jc w:val="both"/>
        <w:ind w:left="180" w:firstLine="1286"/>
        <w:spacing w:after="0" w:line="257" w:lineRule="auto"/>
        <w:tabs>
          <w:tab w:leader="none" w:pos="1809" w:val="left"/>
        </w:tabs>
        <w:numPr>
          <w:ilvl w:val="0"/>
          <w:numId w:val="356"/>
        </w:numPr>
        <w:rPr>
          <w:rFonts w:ascii="Arial" w:cs="Arial" w:eastAsia="Arial" w:hAnsi="Arial"/>
          <w:sz w:val="21"/>
          <w:szCs w:val="21"/>
          <w:color w:val="auto"/>
        </w:rPr>
      </w:pPr>
      <w:r>
        <w:rPr>
          <w:rFonts w:ascii="Arial" w:cs="Arial" w:eastAsia="Arial" w:hAnsi="Arial"/>
          <w:sz w:val="21"/>
          <w:szCs w:val="21"/>
          <w:u w:val="single" w:color="auto"/>
          <w:color w:val="auto"/>
        </w:rPr>
        <w:t>Insurance/Condemnation Proceeds</w:t>
      </w:r>
      <w:r>
        <w:rPr>
          <w:rFonts w:ascii="Arial" w:cs="Arial" w:eastAsia="Arial" w:hAnsi="Arial"/>
          <w:sz w:val="21"/>
          <w:szCs w:val="21"/>
          <w:color w:val="auto"/>
        </w:rPr>
        <w:t xml:space="preserve">. No later than the third Business Day following the date of receipt by Borrower or any of its Subsidiaries, or Administrative Agent as loss payee, of any Net Insurance/Condemnation Proceeds, Borrower shall prepay the Loans in an aggregate amount equal to such Net Insurance/Condemnation Proceeds;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so long as no Default or Event of Default shall have occurred and be continuing, if the Borrower shall have delivered a certificate of an Authorized Officer of the Borrower to the Administrative Agent promptly following receipt of such Net Insurance/Condemnation Proceeds stating Borrower’s intention to invest, directly or indirectly through one or more of its Subsidiaries, any portion of such Net Insurance/Condemnation Proceeds (the </w:t>
      </w:r>
      <w:r>
        <w:rPr>
          <w:rFonts w:ascii="Arial" w:cs="Arial" w:eastAsia="Arial" w:hAnsi="Arial"/>
          <w:sz w:val="21"/>
          <w:szCs w:val="21"/>
          <w:b w:val="1"/>
          <w:bCs w:val="1"/>
          <w:color w:val="auto"/>
        </w:rPr>
        <w:t>“Reinvested Insurance / Condemnation</w:t>
      </w:r>
      <w:r>
        <w:rPr>
          <w:rFonts w:ascii="Arial" w:cs="Arial" w:eastAsia="Arial" w:hAnsi="Arial"/>
          <w:sz w:val="21"/>
          <w:szCs w:val="21"/>
          <w:color w:val="auto"/>
        </w:rPr>
        <w:t xml:space="preserve"> </w:t>
      </w:r>
      <w:r>
        <w:rPr>
          <w:rFonts w:ascii="Arial" w:cs="Arial" w:eastAsia="Arial" w:hAnsi="Arial"/>
          <w:sz w:val="21"/>
          <w:szCs w:val="21"/>
          <w:b w:val="1"/>
          <w:bCs w:val="1"/>
          <w:color w:val="auto"/>
        </w:rPr>
        <w:t>Proceeds”</w:t>
      </w:r>
      <w:r>
        <w:rPr>
          <w:rFonts w:ascii="Arial" w:cs="Arial" w:eastAsia="Arial" w:hAnsi="Arial"/>
          <w:sz w:val="21"/>
          <w:szCs w:val="21"/>
          <w:color w:val="auto"/>
        </w:rPr>
        <w:t>) within 9 months of receipt thereof in long-term productive assets of the general type used in the business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Borrower and its Subsidiaries, such portion of such Net Insurance/Condemnation Proceeds shall not be required to be applied to prepay Loans pursuant to this Section 2.14(b). In the event that, at the end of such 9 month-period, all or a portion of the Reinvested Insurance / Condemnation Proceeds have not been reinvested as provided in this </w:t>
      </w:r>
      <w:r>
        <w:rPr>
          <w:rFonts w:ascii="Arial" w:cs="Arial" w:eastAsia="Arial" w:hAnsi="Arial"/>
          <w:sz w:val="21"/>
          <w:szCs w:val="21"/>
          <w:u w:val="single" w:color="auto"/>
          <w:color w:val="auto"/>
        </w:rPr>
        <w:t>Section 2.14(b)</w:t>
      </w:r>
      <w:r>
        <w:rPr>
          <w:rFonts w:ascii="Arial" w:cs="Arial" w:eastAsia="Arial" w:hAnsi="Arial"/>
          <w:sz w:val="21"/>
          <w:szCs w:val="21"/>
          <w:color w:val="auto"/>
        </w:rPr>
        <w:t>, the same shall be immediately applied to prepay the outstanding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7" w:right="339" w:bottom="1440" w:gutter="0" w:footer="0" w:header="0"/>
        </w:sectPr>
      </w:pPr>
    </w:p>
    <w:bookmarkStart w:id="494" w:name="page495"/>
    <w:bookmarkEnd w:id="494"/>
    <w:p>
      <w:pPr>
        <w:jc w:val="both"/>
        <w:ind w:firstLine="1286"/>
        <w:spacing w:after="0" w:line="271" w:lineRule="auto"/>
        <w:tabs>
          <w:tab w:leader="none" w:pos="1590" w:val="left"/>
        </w:tabs>
        <w:numPr>
          <w:ilvl w:val="0"/>
          <w:numId w:val="357"/>
        </w:numPr>
        <w:rPr>
          <w:rFonts w:ascii="Arial" w:cs="Arial" w:eastAsia="Arial" w:hAnsi="Arial"/>
          <w:sz w:val="21"/>
          <w:szCs w:val="21"/>
          <w:color w:val="auto"/>
        </w:rPr>
      </w:pPr>
      <w:r>
        <w:rPr>
          <w:rFonts w:ascii="Arial" w:cs="Arial" w:eastAsia="Arial" w:hAnsi="Arial"/>
          <w:sz w:val="21"/>
          <w:szCs w:val="21"/>
          <w:u w:val="single" w:color="auto"/>
          <w:color w:val="auto"/>
        </w:rPr>
        <w:t>Issuance of Equity Securities</w:t>
      </w:r>
      <w:r>
        <w:rPr>
          <w:rFonts w:ascii="Arial" w:cs="Arial" w:eastAsia="Arial" w:hAnsi="Arial"/>
          <w:sz w:val="21"/>
          <w:szCs w:val="21"/>
          <w:color w:val="auto"/>
        </w:rPr>
        <w:t>. On the date of receipt by Borrower of any Net Equity Proceeds, Borrower shall prepay the Loans in an aggregate amount equal to 100 % of such Net Equity Proceeds (other than the Cash proceeds from any equity or equity-linked securities issued in connection with any employee stock plan).</w:t>
      </w:r>
    </w:p>
    <w:p>
      <w:pPr>
        <w:spacing w:after="0" w:line="167" w:lineRule="exact"/>
        <w:rPr>
          <w:rFonts w:ascii="Arial" w:cs="Arial" w:eastAsia="Arial" w:hAnsi="Arial"/>
          <w:sz w:val="21"/>
          <w:szCs w:val="21"/>
          <w:color w:val="auto"/>
        </w:rPr>
      </w:pPr>
    </w:p>
    <w:p>
      <w:pPr>
        <w:jc w:val="both"/>
        <w:ind w:firstLine="1286"/>
        <w:spacing w:after="0" w:line="261" w:lineRule="auto"/>
        <w:tabs>
          <w:tab w:leader="none" w:pos="1615" w:val="left"/>
        </w:tabs>
        <w:numPr>
          <w:ilvl w:val="0"/>
          <w:numId w:val="357"/>
        </w:numPr>
        <w:rPr>
          <w:rFonts w:ascii="Arial" w:cs="Arial" w:eastAsia="Arial" w:hAnsi="Arial"/>
          <w:sz w:val="21"/>
          <w:szCs w:val="21"/>
          <w:color w:val="auto"/>
        </w:rPr>
      </w:pPr>
      <w:r>
        <w:rPr>
          <w:rFonts w:ascii="Arial" w:cs="Arial" w:eastAsia="Arial" w:hAnsi="Arial"/>
          <w:sz w:val="21"/>
          <w:szCs w:val="21"/>
          <w:u w:val="single" w:color="auto"/>
          <w:color w:val="auto"/>
        </w:rPr>
        <w:t>Issuance of Debt</w:t>
      </w:r>
      <w:r>
        <w:rPr>
          <w:rFonts w:ascii="Arial" w:cs="Arial" w:eastAsia="Arial" w:hAnsi="Arial"/>
          <w:sz w:val="21"/>
          <w:szCs w:val="21"/>
          <w:color w:val="auto"/>
        </w:rPr>
        <w:t>. On the date of receipt by the Borrower or any of its Subsidiaries of any Cash proceeds from the incurrence of any Indebtedness of the Borrower or any of its Subsidiaries (other than with respect to any Indebtedness permitted to be incurred pursuant to Section 6.1, except for (i) Permanent Debt incurred to Refinance the Obligations, and (ii) Indebtedness permitted to be incurred under Section 6.1(m)), Borrower shall prepay the Loans in an aggregate amount equal to 100% of such proceeds, net of underwriting discounts and commissions and other reasonable costs and expenses associated therewith, including reasonable legal fees and expenses.</w:t>
      </w:r>
    </w:p>
    <w:p>
      <w:pPr>
        <w:spacing w:after="0" w:line="179" w:lineRule="exact"/>
        <w:rPr>
          <w:rFonts w:ascii="Arial" w:cs="Arial" w:eastAsia="Arial" w:hAnsi="Arial"/>
          <w:sz w:val="21"/>
          <w:szCs w:val="21"/>
          <w:color w:val="auto"/>
        </w:rPr>
      </w:pPr>
    </w:p>
    <w:p>
      <w:pPr>
        <w:jc w:val="both"/>
        <w:ind w:firstLine="1286"/>
        <w:spacing w:after="0" w:line="286" w:lineRule="auto"/>
        <w:tabs>
          <w:tab w:leader="none" w:pos="1603" w:val="left"/>
        </w:tabs>
        <w:numPr>
          <w:ilvl w:val="0"/>
          <w:numId w:val="357"/>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Prior to or within 10 days following a Change of Control, the Borrower shall make an offer to prepay the entire principal amount of the Loans (the </w:t>
      </w:r>
      <w:r>
        <w:rPr>
          <w:rFonts w:ascii="Arial" w:cs="Arial" w:eastAsia="Arial" w:hAnsi="Arial"/>
          <w:sz w:val="19"/>
          <w:szCs w:val="19"/>
          <w:b w:val="1"/>
          <w:bCs w:val="1"/>
          <w:color w:val="auto"/>
        </w:rPr>
        <w:t>“Change of Control Prepayment Offer”</w:t>
      </w:r>
      <w:r>
        <w:rPr>
          <w:rFonts w:ascii="Arial" w:cs="Arial" w:eastAsia="Arial" w:hAnsi="Arial"/>
          <w:sz w:val="19"/>
          <w:szCs w:val="19"/>
          <w:color w:val="auto"/>
        </w:rPr>
        <w:t xml:space="preserve">) by notifying the Administrative Agent in writing of the Change of Control Prepayment Offer. Each such notice shall specify the date of such prepayment, which shall be no earlier than 15 days from the date such notice is delivered to the Administrative Agent and no later than 30 days from the date of such Change of Control (the date of such proposed payment, the </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Date”</w:t>
      </w:r>
      <w:r>
        <w:rPr>
          <w:rFonts w:ascii="Arial" w:cs="Arial" w:eastAsia="Arial" w:hAnsi="Arial"/>
          <w:sz w:val="19"/>
          <w:szCs w:val="19"/>
          <w:color w:val="auto"/>
        </w:rPr>
        <w:t>) and, if delivered prior to the occurrence of the relevant Change of Control, may state that the Change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Control Prepayment Offer be conditional on the occurrence of such Change of Control. The Administrative Agent will promptly notify each Lender of the contents of any such prepayment notice and of such Lender’s pro rata share of the prepayment. Any Lender may elect, by delivering not less than five (5) Business Days prior to the Change of Control Payment Date, a written notice to the Administrative Agent (such notice, a </w:t>
      </w:r>
      <w:r>
        <w:rPr>
          <w:rFonts w:ascii="Arial" w:cs="Arial" w:eastAsia="Arial" w:hAnsi="Arial"/>
          <w:sz w:val="19"/>
          <w:szCs w:val="19"/>
          <w:b w:val="1"/>
          <w:bCs w:val="1"/>
          <w:color w:val="auto"/>
        </w:rPr>
        <w:t>“Change of Control Acceptance Notice”</w:t>
      </w:r>
      <w:r>
        <w:rPr>
          <w:rFonts w:ascii="Arial" w:cs="Arial" w:eastAsia="Arial" w:hAnsi="Arial"/>
          <w:sz w:val="19"/>
          <w:szCs w:val="19"/>
          <w:color w:val="auto"/>
        </w:rPr>
        <w:t>) that any change of control prepayment be made with respect to all or any portion of the Loans held by such Lender pursuant to this Section 2.14(e), in which case the Borrower shall prepay such Loans on the Change of Control Payment Date. If a Lender fails to deliver a Change of Control Acceptance Notice within the time frame specified above, any such failure will be deemed a rejection of the Change of Control Prepayment Offer as to all outstanding Loans of such Lender.</w:t>
      </w:r>
    </w:p>
    <w:p>
      <w:pPr>
        <w:spacing w:after="0" w:line="161" w:lineRule="exact"/>
        <w:rPr>
          <w:rFonts w:ascii="Arial" w:cs="Arial" w:eastAsia="Arial" w:hAnsi="Arial"/>
          <w:sz w:val="19"/>
          <w:szCs w:val="19"/>
          <w:color w:val="auto"/>
        </w:rPr>
      </w:pPr>
    </w:p>
    <w:p>
      <w:pPr>
        <w:ind w:left="1560" w:hanging="274"/>
        <w:spacing w:after="0"/>
        <w:tabs>
          <w:tab w:leader="none" w:pos="156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286"/>
        <w:spacing w:after="0" w:line="261" w:lineRule="auto"/>
        <w:tabs>
          <w:tab w:leader="none" w:pos="1602" w:val="left"/>
        </w:tabs>
        <w:numPr>
          <w:ilvl w:val="0"/>
          <w:numId w:val="357"/>
        </w:numPr>
        <w:rPr>
          <w:rFonts w:ascii="Arial" w:cs="Arial" w:eastAsia="Arial" w:hAnsi="Arial"/>
          <w:sz w:val="21"/>
          <w:szCs w:val="21"/>
          <w:color w:val="auto"/>
        </w:rPr>
      </w:pPr>
      <w:r>
        <w:rPr>
          <w:rFonts w:ascii="Arial" w:cs="Arial" w:eastAsia="Arial" w:hAnsi="Arial"/>
          <w:sz w:val="21"/>
          <w:szCs w:val="21"/>
          <w:u w:val="single" w:color="auto"/>
          <w:color w:val="auto"/>
        </w:rPr>
        <w:t>Prepayment Certificate</w:t>
      </w:r>
      <w:r>
        <w:rPr>
          <w:rFonts w:ascii="Arial" w:cs="Arial" w:eastAsia="Arial" w:hAnsi="Arial"/>
          <w:sz w:val="21"/>
          <w:szCs w:val="21"/>
          <w:color w:val="auto"/>
        </w:rPr>
        <w:t>. Concurrently with any prepayment of the Loans pursuant to Sections 2.14(a) through (d), Borrower shall deliver to Administrative Agent a certificate of an Authorized Officer demonstrating the calculation of the amount of the applicable net proceeds. In the event that Borrower shall subsequently determine that the actual amount received exceeded the amount set forth in such certificate, Borrower shall promptly make an additional prepayment of the Loans in an amount equal to such excess, and Borrower shall concurrently therewith deliver to Administrative Agent a certificate of an Authorized Officer demonstrating the derivation of such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060"/>
          </w:cols>
          <w:pgMar w:left="500" w:top="1427" w:right="339" w:bottom="1440" w:gutter="0" w:footer="0" w:header="0"/>
        </w:sectPr>
      </w:pPr>
    </w:p>
    <w:bookmarkStart w:id="495" w:name="page496"/>
    <w:bookmarkEnd w:id="495"/>
    <w:p>
      <w:pPr>
        <w:ind w:left="490"/>
        <w:spacing w:after="0"/>
        <w:rPr>
          <w:sz w:val="20"/>
          <w:szCs w:val="20"/>
          <w:color w:val="auto"/>
        </w:rPr>
      </w:pPr>
      <w:r>
        <w:rPr>
          <w:rFonts w:ascii="Arial" w:cs="Arial" w:eastAsia="Arial" w:hAnsi="Arial"/>
          <w:sz w:val="22"/>
          <w:szCs w:val="22"/>
          <w:b w:val="1"/>
          <w:bCs w:val="1"/>
          <w:color w:val="auto"/>
        </w:rPr>
        <w:t>2.15. Application of Prepayments/Reductions</w:t>
      </w:r>
      <w:r>
        <w:rPr>
          <w:rFonts w:ascii="Arial" w:cs="Arial" w:eastAsia="Arial" w:hAnsi="Arial"/>
          <w:sz w:val="22"/>
          <w:szCs w:val="22"/>
          <w:color w:val="auto"/>
        </w:rPr>
        <w:t>.</w:t>
      </w:r>
    </w:p>
    <w:p>
      <w:pPr>
        <w:spacing w:after="0" w:line="226" w:lineRule="exact"/>
        <w:rPr>
          <w:sz w:val="20"/>
          <w:szCs w:val="20"/>
          <w:color w:val="auto"/>
        </w:rPr>
      </w:pPr>
    </w:p>
    <w:p>
      <w:pPr>
        <w:ind w:left="10" w:firstLine="1286"/>
        <w:spacing w:after="0" w:line="287" w:lineRule="auto"/>
        <w:tabs>
          <w:tab w:leader="none" w:pos="1640" w:val="left"/>
        </w:tabs>
        <w:numPr>
          <w:ilvl w:val="1"/>
          <w:numId w:val="358"/>
        </w:numPr>
        <w:rPr>
          <w:rFonts w:ascii="Arial" w:cs="Arial" w:eastAsia="Arial" w:hAnsi="Arial"/>
          <w:sz w:val="21"/>
          <w:szCs w:val="21"/>
          <w:color w:val="auto"/>
        </w:rPr>
      </w:pPr>
      <w:r>
        <w:rPr>
          <w:rFonts w:ascii="Arial" w:cs="Arial" w:eastAsia="Arial" w:hAnsi="Arial"/>
          <w:sz w:val="21"/>
          <w:szCs w:val="21"/>
          <w:u w:val="single" w:color="auto"/>
          <w:color w:val="auto"/>
        </w:rPr>
        <w:t>Application of Voluntary Prepayments</w:t>
      </w:r>
      <w:r>
        <w:rPr>
          <w:rFonts w:ascii="Arial" w:cs="Arial" w:eastAsia="Arial" w:hAnsi="Arial"/>
          <w:sz w:val="21"/>
          <w:szCs w:val="21"/>
          <w:color w:val="auto"/>
        </w:rPr>
        <w:t xml:space="preserve">. Any prepayment of any Loan pursuant to Section 2.13 shall be applied,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to the Loans of the Lenders in accordance with their respective Term Loan Exposure.</w:t>
      </w:r>
    </w:p>
    <w:p>
      <w:pPr>
        <w:spacing w:after="0" w:line="151" w:lineRule="exact"/>
        <w:rPr>
          <w:rFonts w:ascii="Arial" w:cs="Arial" w:eastAsia="Arial" w:hAnsi="Arial"/>
          <w:sz w:val="21"/>
          <w:szCs w:val="21"/>
          <w:color w:val="auto"/>
        </w:rPr>
      </w:pPr>
    </w:p>
    <w:p>
      <w:pPr>
        <w:jc w:val="both"/>
        <w:ind w:left="10" w:firstLine="1286"/>
        <w:spacing w:after="0" w:line="285" w:lineRule="auto"/>
        <w:tabs>
          <w:tab w:leader="none" w:pos="1652" w:val="left"/>
        </w:tabs>
        <w:numPr>
          <w:ilvl w:val="1"/>
          <w:numId w:val="358"/>
        </w:numPr>
        <w:rPr>
          <w:rFonts w:ascii="Arial" w:cs="Arial" w:eastAsia="Arial" w:hAnsi="Arial"/>
          <w:sz w:val="19"/>
          <w:szCs w:val="19"/>
          <w:color w:val="auto"/>
        </w:rPr>
      </w:pPr>
      <w:r>
        <w:rPr>
          <w:rFonts w:ascii="Arial" w:cs="Arial" w:eastAsia="Arial" w:hAnsi="Arial"/>
          <w:sz w:val="19"/>
          <w:szCs w:val="19"/>
          <w:u w:val="single" w:color="auto"/>
          <w:color w:val="auto"/>
        </w:rPr>
        <w:t>Application of Mandatory Prepayments.</w:t>
      </w:r>
      <w:r>
        <w:rPr>
          <w:rFonts w:ascii="Arial" w:cs="Arial" w:eastAsia="Arial" w:hAnsi="Arial"/>
          <w:sz w:val="19"/>
          <w:szCs w:val="19"/>
          <w:color w:val="auto"/>
        </w:rPr>
        <w:t xml:space="preserve"> Any amount required to be paid pursuant to Sections 2.14(a) through (d), shall be applied, on a pro rata basis, to the Loans of the Lenders in accordance with their respective Term Loan Exposure;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respect of amounts required to be paid pursuant to Section 2.14(d) in connection with the issuance of any Permanent Debt, to the extent such Permanent Debt is issued to, and acquired or subscribed to, by (i) any Lender, (ii) any Person to which any Lender has sold a participation in all or any part of its Commitments pursuant to Section 10.6(g), or</w:t>
      </w:r>
    </w:p>
    <w:p>
      <w:pPr>
        <w:spacing w:after="0" w:line="3" w:lineRule="exact"/>
        <w:rPr>
          <w:rFonts w:ascii="Arial" w:cs="Arial" w:eastAsia="Arial" w:hAnsi="Arial"/>
          <w:sz w:val="19"/>
          <w:szCs w:val="19"/>
          <w:color w:val="auto"/>
        </w:rPr>
      </w:pPr>
    </w:p>
    <w:p>
      <w:pPr>
        <w:jc w:val="both"/>
        <w:ind w:left="10" w:hanging="10"/>
        <w:spacing w:after="0" w:line="244" w:lineRule="auto"/>
        <w:tabs>
          <w:tab w:leader="none" w:pos="424" w:val="left"/>
        </w:tabs>
        <w:numPr>
          <w:ilvl w:val="0"/>
          <w:numId w:val="359"/>
        </w:numPr>
        <w:rPr>
          <w:rFonts w:ascii="Arial" w:cs="Arial" w:eastAsia="Arial" w:hAnsi="Arial"/>
          <w:sz w:val="22"/>
          <w:szCs w:val="22"/>
          <w:color w:val="auto"/>
        </w:rPr>
      </w:pPr>
      <w:r>
        <w:rPr>
          <w:rFonts w:ascii="Arial" w:cs="Arial" w:eastAsia="Arial" w:hAnsi="Arial"/>
          <w:sz w:val="22"/>
          <w:szCs w:val="22"/>
          <w:color w:val="auto"/>
        </w:rPr>
        <w:t xml:space="preserve">in each of the cases under (i) and (ii), any Affiliate thereof (such Lenders, participants of Affiliates, collectively, the </w:t>
      </w:r>
      <w:r>
        <w:rPr>
          <w:rFonts w:ascii="Arial" w:cs="Arial" w:eastAsia="Arial" w:hAnsi="Arial"/>
          <w:sz w:val="22"/>
          <w:szCs w:val="22"/>
          <w:b w:val="1"/>
          <w:bCs w:val="1"/>
          <w:color w:val="auto"/>
        </w:rPr>
        <w:t>“Specified Bridge Parties”</w:t>
      </w:r>
      <w:r>
        <w:rPr>
          <w:rFonts w:ascii="Arial" w:cs="Arial" w:eastAsia="Arial" w:hAnsi="Arial"/>
          <w:sz w:val="22"/>
          <w:szCs w:val="22"/>
          <w:color w:val="auto"/>
        </w:rPr>
        <w:t>), the Cash proceeds received by the Borrower or any of its Subsidiaries as a result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incurrence of such Permanent Debt acquired or subscribed to by such Specified Bridge Parties may, at the option of the relevant Specified Bridge Party, be applied first to prepay the Loans of such Specified Bridge Party prior to being applied to prepay the Loans held by other Lenders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w:t>
      </w:r>
    </w:p>
    <w:p>
      <w:pPr>
        <w:spacing w:after="0" w:line="194" w:lineRule="exact"/>
        <w:rPr>
          <w:rFonts w:ascii="Arial" w:cs="Arial" w:eastAsia="Arial" w:hAnsi="Arial"/>
          <w:sz w:val="22"/>
          <w:szCs w:val="22"/>
          <w:color w:val="auto"/>
        </w:rPr>
      </w:pPr>
    </w:p>
    <w:p>
      <w:pPr>
        <w:ind w:left="1590" w:hanging="294"/>
        <w:spacing w:after="0"/>
        <w:tabs>
          <w:tab w:leader="none" w:pos="1590" w:val="left"/>
        </w:tabs>
        <w:numPr>
          <w:ilvl w:val="1"/>
          <w:numId w:val="359"/>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0" w:firstLine="1286"/>
        <w:spacing w:after="0" w:line="312" w:lineRule="auto"/>
        <w:tabs>
          <w:tab w:leader="none" w:pos="1612" w:val="left"/>
        </w:tabs>
        <w:numPr>
          <w:ilvl w:val="1"/>
          <w:numId w:val="359"/>
        </w:numPr>
        <w:rPr>
          <w:rFonts w:ascii="Arial" w:cs="Arial" w:eastAsia="Arial" w:hAnsi="Arial"/>
          <w:sz w:val="19"/>
          <w:szCs w:val="19"/>
          <w:color w:val="auto"/>
        </w:rPr>
      </w:pPr>
      <w:r>
        <w:rPr>
          <w:rFonts w:ascii="Arial" w:cs="Arial" w:eastAsia="Arial" w:hAnsi="Arial"/>
          <w:sz w:val="19"/>
          <w:szCs w:val="19"/>
          <w:u w:val="single" w:color="auto"/>
          <w:color w:val="auto"/>
        </w:rPr>
        <w:t>Application of Prepayments of Loans to Base Rate Loans and Eurodollar Rate Loans</w:t>
      </w:r>
      <w:r>
        <w:rPr>
          <w:rFonts w:ascii="Arial" w:cs="Arial" w:eastAsia="Arial" w:hAnsi="Arial"/>
          <w:sz w:val="19"/>
          <w:szCs w:val="19"/>
          <w:color w:val="auto"/>
        </w:rPr>
        <w:t>. Any prepayment shall be applied first to Base Rate Loans to the full extent thereof before application to Eurodollar Rate Loans, in each case in a manner which minimizes the amount of any payments required to be made by Borrower pursuant to Section 2.18(c).</w:t>
      </w:r>
    </w:p>
    <w:p>
      <w:pPr>
        <w:spacing w:after="0" w:line="127" w:lineRule="exact"/>
        <w:rPr>
          <w:sz w:val="20"/>
          <w:szCs w:val="20"/>
          <w:color w:val="auto"/>
        </w:rPr>
      </w:pPr>
    </w:p>
    <w:p>
      <w:pPr>
        <w:ind w:left="490"/>
        <w:spacing w:after="0"/>
        <w:rPr>
          <w:sz w:val="20"/>
          <w:szCs w:val="20"/>
          <w:color w:val="auto"/>
        </w:rPr>
      </w:pPr>
      <w:r>
        <w:rPr>
          <w:rFonts w:ascii="Arial" w:cs="Arial" w:eastAsia="Arial" w:hAnsi="Arial"/>
          <w:sz w:val="22"/>
          <w:szCs w:val="22"/>
          <w:b w:val="1"/>
          <w:bCs w:val="1"/>
          <w:color w:val="auto"/>
        </w:rPr>
        <w:t>2.16. General Provisions Regarding Payments</w:t>
      </w:r>
      <w:r>
        <w:rPr>
          <w:rFonts w:ascii="Arial" w:cs="Arial" w:eastAsia="Arial" w:hAnsi="Arial"/>
          <w:sz w:val="22"/>
          <w:szCs w:val="22"/>
          <w:color w:val="auto"/>
        </w:rPr>
        <w:t>.</w:t>
      </w:r>
    </w:p>
    <w:p>
      <w:pPr>
        <w:spacing w:after="0" w:line="226" w:lineRule="exact"/>
        <w:rPr>
          <w:sz w:val="20"/>
          <w:szCs w:val="20"/>
          <w:color w:val="auto"/>
        </w:rPr>
      </w:pPr>
    </w:p>
    <w:p>
      <w:pPr>
        <w:jc w:val="both"/>
        <w:ind w:left="10" w:firstLine="1286"/>
        <w:spacing w:after="0" w:line="247" w:lineRule="auto"/>
        <w:tabs>
          <w:tab w:leader="none" w:pos="160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All payments by Borrower of principal, interest, fees and other Obligations shall be made in Dollars in same day funds, without defense, recoupment, setoff or counterclaim, free of any restriction or condition, and delivered to Administrative Agent not later than 12:00 p.m. (New York City time) on the date due at the Principal Office of Administrative Agent for the account of the Persons entitled thereto. For purposes of computing interest and fees, funds received by Administrative Agent after that time on such due date shall be deemed to have been paid by Borrower on the next succeeding Business Day.</w:t>
      </w:r>
    </w:p>
    <w:p>
      <w:pPr>
        <w:spacing w:after="0" w:line="192" w:lineRule="exact"/>
        <w:rPr>
          <w:rFonts w:ascii="Arial" w:cs="Arial" w:eastAsia="Arial" w:hAnsi="Arial"/>
          <w:sz w:val="22"/>
          <w:szCs w:val="22"/>
          <w:color w:val="auto"/>
        </w:rPr>
      </w:pPr>
    </w:p>
    <w:p>
      <w:pPr>
        <w:jc w:val="both"/>
        <w:ind w:left="10" w:firstLine="1286"/>
        <w:spacing w:after="0" w:line="250" w:lineRule="auto"/>
        <w:tabs>
          <w:tab w:leader="none" w:pos="1625" w:val="left"/>
        </w:tabs>
        <w:numPr>
          <w:ilvl w:val="0"/>
          <w:numId w:val="360"/>
        </w:numPr>
        <w:rPr>
          <w:rFonts w:ascii="Arial" w:cs="Arial" w:eastAsia="Arial" w:hAnsi="Arial"/>
          <w:sz w:val="22"/>
          <w:szCs w:val="22"/>
          <w:color w:val="auto"/>
        </w:rPr>
      </w:pPr>
      <w:r>
        <w:rPr>
          <w:rFonts w:ascii="Arial" w:cs="Arial" w:eastAsia="Arial" w:hAnsi="Arial"/>
          <w:sz w:val="22"/>
          <w:szCs w:val="22"/>
          <w:color w:val="auto"/>
        </w:rPr>
        <w:t>All payments in respect of the principal amount of any Loan shall be accompanied by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spacing w:after="0" w:line="187" w:lineRule="exact"/>
        <w:rPr>
          <w:rFonts w:ascii="Arial" w:cs="Arial" w:eastAsia="Arial" w:hAnsi="Arial"/>
          <w:sz w:val="22"/>
          <w:szCs w:val="22"/>
          <w:color w:val="auto"/>
        </w:rPr>
      </w:pPr>
    </w:p>
    <w:p>
      <w:pPr>
        <w:jc w:val="both"/>
        <w:ind w:left="10" w:firstLine="1286"/>
        <w:spacing w:after="0" w:line="253" w:lineRule="auto"/>
        <w:tabs>
          <w:tab w:leader="none" w:pos="1613" w:val="left"/>
        </w:tabs>
        <w:numPr>
          <w:ilvl w:val="0"/>
          <w:numId w:val="360"/>
        </w:numPr>
        <w:rPr>
          <w:rFonts w:ascii="Arial" w:cs="Arial" w:eastAsia="Arial" w:hAnsi="Arial"/>
          <w:sz w:val="22"/>
          <w:szCs w:val="22"/>
          <w:color w:val="auto"/>
        </w:rPr>
      </w:pPr>
      <w:r>
        <w:rPr>
          <w:rFonts w:ascii="Arial" w:cs="Arial" w:eastAsia="Arial" w:hAnsi="Arial"/>
          <w:sz w:val="22"/>
          <w:szCs w:val="22"/>
          <w:color w:val="auto"/>
        </w:rPr>
        <w:t>Administrative Agent (or its agent or sub-agent appointed by it) shall promptly distribute to each Lender at such address as such Lender shall indicate in writing, such Lender’s applicable Pro Rata Share of all payments and prepayments of principal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070"/>
          </w:cols>
          <w:pgMar w:left="490" w:top="1421" w:right="339" w:bottom="1440" w:gutter="0" w:footer="0" w:header="0"/>
        </w:sectPr>
      </w:pPr>
    </w:p>
    <w:bookmarkStart w:id="496" w:name="page497"/>
    <w:bookmarkEnd w:id="496"/>
    <w:p>
      <w:pPr>
        <w:ind w:left="180" w:right="20"/>
        <w:spacing w:after="0" w:line="263" w:lineRule="auto"/>
        <w:rPr>
          <w:sz w:val="20"/>
          <w:szCs w:val="20"/>
          <w:color w:val="auto"/>
        </w:rPr>
      </w:pPr>
      <w:r>
        <w:rPr>
          <w:rFonts w:ascii="Arial" w:cs="Arial" w:eastAsia="Arial" w:hAnsi="Arial"/>
          <w:sz w:val="22"/>
          <w:szCs w:val="22"/>
          <w:color w:val="auto"/>
        </w:rPr>
        <w:t>interest due hereunder, together with all other amounts due thereto, including all fees payable with respect thereto, to the extent received by Administrative Agent.</w:t>
      </w:r>
    </w:p>
    <w:p>
      <w:pPr>
        <w:spacing w:after="0" w:line="175" w:lineRule="exact"/>
        <w:rPr>
          <w:sz w:val="20"/>
          <w:szCs w:val="20"/>
          <w:color w:val="auto"/>
        </w:rPr>
      </w:pPr>
    </w:p>
    <w:p>
      <w:pPr>
        <w:jc w:val="both"/>
        <w:ind w:left="180" w:firstLine="1286"/>
        <w:spacing w:after="0" w:line="253" w:lineRule="auto"/>
        <w:tabs>
          <w:tab w:leader="none" w:pos="1795" w:val="left"/>
        </w:tabs>
        <w:numPr>
          <w:ilvl w:val="1"/>
          <w:numId w:val="361"/>
        </w:numPr>
        <w:rPr>
          <w:rFonts w:ascii="Arial" w:cs="Arial" w:eastAsia="Arial" w:hAnsi="Arial"/>
          <w:sz w:val="22"/>
          <w:szCs w:val="22"/>
          <w:color w:val="auto"/>
        </w:rPr>
      </w:pPr>
      <w:r>
        <w:rPr>
          <w:rFonts w:ascii="Arial" w:cs="Arial" w:eastAsia="Arial" w:hAnsi="Arial"/>
          <w:sz w:val="22"/>
          <w:szCs w:val="22"/>
          <w:color w:val="auto"/>
        </w:rPr>
        <w:t>Notwithstanding the foregoing provisions hereof, if any Affected Lender makes Base Rate Loans in lieu of its Pro Rata Share of any Eurodollar Rate Loans, Administrative Agent shall give effect thereto in apportioning payments thereafter.</w:t>
      </w:r>
    </w:p>
    <w:p>
      <w:pPr>
        <w:spacing w:after="0" w:line="185" w:lineRule="exact"/>
        <w:rPr>
          <w:rFonts w:ascii="Arial" w:cs="Arial" w:eastAsia="Arial" w:hAnsi="Arial"/>
          <w:sz w:val="22"/>
          <w:szCs w:val="22"/>
          <w:color w:val="auto"/>
        </w:rPr>
      </w:pPr>
    </w:p>
    <w:p>
      <w:pPr>
        <w:ind w:left="180" w:firstLine="1286"/>
        <w:spacing w:after="0" w:line="263" w:lineRule="auto"/>
        <w:tabs>
          <w:tab w:leader="none" w:pos="1770" w:val="left"/>
        </w:tabs>
        <w:numPr>
          <w:ilvl w:val="1"/>
          <w:numId w:val="361"/>
        </w:numPr>
        <w:rPr>
          <w:rFonts w:ascii="Arial" w:cs="Arial" w:eastAsia="Arial" w:hAnsi="Arial"/>
          <w:sz w:val="22"/>
          <w:szCs w:val="22"/>
          <w:color w:val="auto"/>
        </w:rPr>
      </w:pPr>
      <w:r>
        <w:rPr>
          <w:rFonts w:ascii="Arial" w:cs="Arial" w:eastAsia="Arial" w:hAnsi="Arial"/>
          <w:sz w:val="22"/>
          <w:szCs w:val="22"/>
          <w:color w:val="auto"/>
        </w:rPr>
        <w:t>Whenever any payment to be made hereunder with respect to any Loan shall be stated to be due on a day that is not a Business Day, such payment shall be made on the next succeeding Business Day.</w:t>
      </w:r>
    </w:p>
    <w:p>
      <w:pPr>
        <w:spacing w:after="0" w:line="168" w:lineRule="exact"/>
        <w:rPr>
          <w:rFonts w:ascii="Arial" w:cs="Arial" w:eastAsia="Arial" w:hAnsi="Arial"/>
          <w:sz w:val="22"/>
          <w:szCs w:val="22"/>
          <w:color w:val="auto"/>
        </w:rPr>
      </w:pPr>
    </w:p>
    <w:p>
      <w:pPr>
        <w:ind w:left="1740" w:hanging="274"/>
        <w:spacing w:after="0"/>
        <w:tabs>
          <w:tab w:leader="none" w:pos="1740" w:val="left"/>
        </w:tabs>
        <w:numPr>
          <w:ilvl w:val="1"/>
          <w:numId w:val="361"/>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color w:val="auto"/>
        </w:rPr>
      </w:pPr>
    </w:p>
    <w:p>
      <w:pPr>
        <w:jc w:val="both"/>
        <w:ind w:left="180" w:firstLine="1286"/>
        <w:spacing w:after="0" w:line="288" w:lineRule="auto"/>
        <w:tabs>
          <w:tab w:leader="none" w:pos="1795" w:val="left"/>
        </w:tabs>
        <w:numPr>
          <w:ilvl w:val="1"/>
          <w:numId w:val="361"/>
        </w:numPr>
        <w:rPr>
          <w:rFonts w:ascii="Arial" w:cs="Arial" w:eastAsia="Arial" w:hAnsi="Arial"/>
          <w:sz w:val="19"/>
          <w:szCs w:val="19"/>
          <w:color w:val="auto"/>
        </w:rPr>
      </w:pPr>
      <w:r>
        <w:rPr>
          <w:rFonts w:ascii="Arial" w:cs="Arial" w:eastAsia="Arial" w:hAnsi="Arial"/>
          <w:sz w:val="19"/>
          <w:szCs w:val="19"/>
          <w:color w:val="auto"/>
        </w:rPr>
        <w:t>Administrative Agent shall deem any payment by or on behalf of Borrower hereunder that is not made in same day funds prior to 12:00 p.m. (New York City time) to be a non-conforming payment. Any such payment shall not be deemed to have been received by Administrative Agent until the later of (i) the time such funds become available funds, and</w:t>
      </w:r>
    </w:p>
    <w:p>
      <w:pPr>
        <w:jc w:val="both"/>
        <w:ind w:left="180" w:hanging="10"/>
        <w:spacing w:after="0" w:line="290" w:lineRule="auto"/>
        <w:tabs>
          <w:tab w:leader="none" w:pos="511"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the applicable next Business Day. Administrative Agent shall give prompt notice to Borrower and each applicable Lender (confirmed in writing) if any payment is non-conforming. Any non-conforming payment may constitute or become a Default or Event of Default in accordance with the terms of Section 8.1(a).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2.10 from the date such amount was due and payable until the date such amount is paid in full.</w:t>
      </w:r>
    </w:p>
    <w:p>
      <w:pPr>
        <w:spacing w:after="0" w:line="153" w:lineRule="exact"/>
        <w:rPr>
          <w:rFonts w:ascii="Arial" w:cs="Arial" w:eastAsia="Arial" w:hAnsi="Arial"/>
          <w:sz w:val="19"/>
          <w:szCs w:val="19"/>
          <w:color w:val="auto"/>
        </w:rPr>
      </w:pPr>
    </w:p>
    <w:p>
      <w:pPr>
        <w:jc w:val="both"/>
        <w:ind w:left="180" w:firstLine="1286"/>
        <w:spacing w:after="0" w:line="253" w:lineRule="auto"/>
        <w:tabs>
          <w:tab w:leader="none" w:pos="1836" w:val="left"/>
        </w:tabs>
        <w:numPr>
          <w:ilvl w:val="1"/>
          <w:numId w:val="362"/>
        </w:numPr>
        <w:rPr>
          <w:rFonts w:ascii="Arial" w:cs="Arial" w:eastAsia="Arial" w:hAnsi="Arial"/>
          <w:sz w:val="22"/>
          <w:szCs w:val="22"/>
          <w:color w:val="auto"/>
        </w:rPr>
      </w:pPr>
      <w:r>
        <w:rPr>
          <w:rFonts w:ascii="Arial" w:cs="Arial" w:eastAsia="Arial" w:hAnsi="Arial"/>
          <w:sz w:val="22"/>
          <w:szCs w:val="22"/>
          <w:color w:val="auto"/>
        </w:rPr>
        <w:t>If an Event of Default shall have occurred and not otherwise been waived, and the maturity of the Obligations shall have been accelerated pursuant to Section 8.1, all payments or proceeds received by the Administrative Agent in respect of any of the Obligations, shall be applied as follows:</w:t>
      </w:r>
    </w:p>
    <w:p>
      <w:pPr>
        <w:spacing w:after="0" w:line="185" w:lineRule="exact"/>
        <w:rPr>
          <w:sz w:val="20"/>
          <w:szCs w:val="20"/>
          <w:color w:val="auto"/>
        </w:rPr>
      </w:pPr>
    </w:p>
    <w:p>
      <w:pPr>
        <w:ind w:left="1300" w:firstLine="648"/>
        <w:spacing w:after="0" w:line="343" w:lineRule="auto"/>
        <w:rPr>
          <w:sz w:val="20"/>
          <w:szCs w:val="20"/>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to pay any unpaid and unreimbursed costs, expenses and fees of the Administrative Agent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to reimburse ratably any other Lender which have advanced any of the same to the Administrative Agent); and</w:t>
      </w:r>
    </w:p>
    <w:p>
      <w:pPr>
        <w:spacing w:after="0" w:line="104" w:lineRule="exact"/>
        <w:rPr>
          <w:sz w:val="20"/>
          <w:szCs w:val="20"/>
          <w:color w:val="auto"/>
        </w:rPr>
      </w:pPr>
    </w:p>
    <w:p>
      <w:pPr>
        <w:ind w:left="1300" w:firstLine="648"/>
        <w:spacing w:after="0" w:line="263" w:lineRule="auto"/>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w:t>
      </w:r>
      <w:r>
        <w:rPr>
          <w:rFonts w:ascii="Arial" w:cs="Arial" w:eastAsia="Arial" w:hAnsi="Arial"/>
          <w:sz w:val="22"/>
          <w:szCs w:val="22"/>
          <w:i w:val="1"/>
          <w:iCs w:val="1"/>
          <w:color w:val="auto"/>
        </w:rPr>
        <w:t xml:space="preserve"> pro rata </w:t>
      </w:r>
      <w:r>
        <w:rPr>
          <w:rFonts w:ascii="Arial" w:cs="Arial" w:eastAsia="Arial" w:hAnsi="Arial"/>
          <w:sz w:val="22"/>
          <w:szCs w:val="22"/>
          <w:color w:val="auto"/>
        </w:rPr>
        <w:t>toward payment of all amounts then due and owing and remaining unpaid in respect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w:t>
      </w:r>
    </w:p>
    <w:p>
      <w:pPr>
        <w:spacing w:after="0" w:line="16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2.17. Ratable Sharing</w:t>
      </w:r>
      <w:r>
        <w:rPr>
          <w:rFonts w:ascii="Arial" w:cs="Arial" w:eastAsia="Arial" w:hAnsi="Arial"/>
          <w:sz w:val="19"/>
          <w:szCs w:val="19"/>
          <w:color w:val="auto"/>
        </w:rPr>
        <w:t>. Subject to Section 2.15(b), Lenders hereby agree among themselves that if any of them shall,</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by voluntary payment (other than a voluntary prepayment of Loans made and applied in accordance with the terms hereof), through the exercise of any right of set-off or banker’s lien, by counterclaim or cross action or by the enforcement of any right under the Credit Documents or otherwise, or as adequate protection of a deposit treated as cash collateral under the Bankruptcy Code, receive payment or reduction of a proportion of the aggregate amount of principal, interest, amounts payable in respect of fees and other amounts then due and owing to such Lender hereunder or under the other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7" w:right="339" w:bottom="1440" w:gutter="0" w:footer="0" w:header="0"/>
        </w:sectPr>
      </w:pPr>
    </w:p>
    <w:bookmarkStart w:id="497" w:name="page498"/>
    <w:bookmarkEnd w:id="497"/>
    <w:p>
      <w:pPr>
        <w:jc w:val="both"/>
        <w:spacing w:after="0" w:line="286" w:lineRule="auto"/>
        <w:rPr>
          <w:sz w:val="20"/>
          <w:szCs w:val="20"/>
          <w:color w:val="auto"/>
        </w:rPr>
      </w:pPr>
      <w:r>
        <w:rPr>
          <w:rFonts w:ascii="Arial" w:cs="Arial" w:eastAsia="Arial" w:hAnsi="Arial"/>
          <w:sz w:val="19"/>
          <w:szCs w:val="19"/>
          <w:color w:val="auto"/>
        </w:rPr>
        <w:t xml:space="preserve">Documents (collectively, the </w:t>
      </w:r>
      <w:r>
        <w:rPr>
          <w:rFonts w:ascii="Arial" w:cs="Arial" w:eastAsia="Arial" w:hAnsi="Arial"/>
          <w:sz w:val="19"/>
          <w:szCs w:val="19"/>
          <w:b w:val="1"/>
          <w:bCs w:val="1"/>
          <w:color w:val="auto"/>
        </w:rPr>
        <w:t>“Aggregate Amounts Due”</w:t>
      </w:r>
      <w:r>
        <w:rPr>
          <w:rFonts w:ascii="Arial" w:cs="Arial" w:eastAsia="Arial" w:hAnsi="Arial"/>
          <w:sz w:val="19"/>
          <w:szCs w:val="19"/>
          <w:color w:val="auto"/>
        </w:rPr>
        <w:t xml:space="preserve"> to such Lender) which is greater than the proportion received by any other Lender in respect of the Aggregate Amounts Due to such other Lender,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w:t>
      </w:r>
      <w:r>
        <w:rPr>
          <w:rFonts w:ascii="Arial" w:cs="Arial" w:eastAsia="Arial" w:hAnsi="Arial"/>
          <w:sz w:val="19"/>
          <w:szCs w:val="19"/>
          <w:u w:val="single" w:color="auto"/>
          <w:color w:val="auto"/>
        </w:rPr>
        <w:t>provided</w:t>
      </w:r>
      <w:r>
        <w:rPr>
          <w:rFonts w:ascii="Arial" w:cs="Arial" w:eastAsia="Arial" w:hAnsi="Arial"/>
          <w:sz w:val="19"/>
          <w:szCs w:val="19"/>
          <w:color w:val="auto"/>
        </w:rPr>
        <w:t>, if all or part of such proportionately greater payment received by such purchasing Lender is thereafter recovered from such Lender upon the bankruptcy or reorganization of Borrower or otherwise, those purchases shall be rescinded and the purchase prices paid for such participations shall be returned to such purchasing Lender ratably to the extent of such recovery, but without interest. Borrower expressly consents to the foregoing arrangement and agrees that any holder of a participation so purchased may exercise any and all rights of banker’s lien, consolidation, set-off or counterclaim with respect to any and all monies owing by Borrower to that holder with respect thereto as fully as if that holder were owed the amount of the participation held by that holder. The provisions of this Section 2.17 shall not be construed to apply to (a) any payment made by Borrower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2.18. Making or Maintaining Eurodollar Rate Loans</w:t>
      </w:r>
      <w:r>
        <w:rPr>
          <w:rFonts w:ascii="Arial" w:cs="Arial" w:eastAsia="Arial" w:hAnsi="Arial"/>
          <w:sz w:val="22"/>
          <w:szCs w:val="22"/>
          <w:color w:val="auto"/>
        </w:rPr>
        <w:t>.</w:t>
      </w:r>
    </w:p>
    <w:p>
      <w:pPr>
        <w:spacing w:after="0" w:line="226" w:lineRule="exact"/>
        <w:rPr>
          <w:sz w:val="20"/>
          <w:szCs w:val="20"/>
          <w:color w:val="auto"/>
        </w:rPr>
      </w:pPr>
    </w:p>
    <w:p>
      <w:pPr>
        <w:jc w:val="both"/>
        <w:ind w:left="180" w:firstLine="1286"/>
        <w:spacing w:after="0" w:line="288" w:lineRule="auto"/>
        <w:tabs>
          <w:tab w:leader="none" w:pos="1770" w:val="left"/>
        </w:tabs>
        <w:numPr>
          <w:ilvl w:val="0"/>
          <w:numId w:val="363"/>
        </w:numPr>
        <w:rPr>
          <w:rFonts w:ascii="Arial" w:cs="Arial" w:eastAsia="Arial" w:hAnsi="Arial"/>
          <w:sz w:val="19"/>
          <w:szCs w:val="19"/>
          <w:color w:val="auto"/>
        </w:rPr>
      </w:pPr>
      <w:r>
        <w:rPr>
          <w:rFonts w:ascii="Arial" w:cs="Arial" w:eastAsia="Arial" w:hAnsi="Arial"/>
          <w:sz w:val="19"/>
          <w:szCs w:val="19"/>
          <w:u w:val="single" w:color="auto"/>
          <w:color w:val="auto"/>
        </w:rPr>
        <w:t>Inability to Determine Applicable Interest Rate.</w:t>
      </w:r>
      <w:r>
        <w:rPr>
          <w:rFonts w:ascii="Arial" w:cs="Arial" w:eastAsia="Arial" w:hAnsi="Arial"/>
          <w:sz w:val="19"/>
          <w:szCs w:val="19"/>
          <w:color w:val="auto"/>
        </w:rPr>
        <w:t xml:space="preserve"> In the event that Administrative Agent shall have determined (which determination absent manifest error shall be final and conclusive and binding upon all parties hereto), on any Interest Rate Determination Date with respect to any Eurodollar Rate Loans, that by reason of circumstances affecting the London interbank market adequate and fair means do not exist for ascertaining the interest rate applicable to such Loans on the basis provided for in the definition of “Adjusted Eurodollar Rate”, Administrative Agent shall on such date give notice to Borrower and each Lender of such determination, whereupon (i) no Loans may be made as Eurodollar Rate Loans until such time as Administrative Agent notifies Borrower and Lenders that the circumstances giving rise to such notice no longer exist, (ii) any Funding Notice given by Borrower with respect to the Loans in respect of which such determination was made shall be deemed to be rescinded by Borrower and (iii) such Loan will be automatically converted into a Base Rate Loan on the last day of the then-current Interest Period for such Loan.</w:t>
      </w:r>
    </w:p>
    <w:p>
      <w:pPr>
        <w:spacing w:after="0" w:line="159" w:lineRule="exact"/>
        <w:rPr>
          <w:rFonts w:ascii="Arial" w:cs="Arial" w:eastAsia="Arial" w:hAnsi="Arial"/>
          <w:sz w:val="19"/>
          <w:szCs w:val="19"/>
          <w:color w:val="auto"/>
        </w:rPr>
      </w:pPr>
    </w:p>
    <w:p>
      <w:pPr>
        <w:jc w:val="both"/>
        <w:ind w:left="180" w:firstLine="1286"/>
        <w:spacing w:after="0" w:line="247" w:lineRule="auto"/>
        <w:tabs>
          <w:tab w:leader="none" w:pos="1782" w:val="left"/>
        </w:tabs>
        <w:numPr>
          <w:ilvl w:val="0"/>
          <w:numId w:val="363"/>
        </w:numPr>
        <w:rPr>
          <w:rFonts w:ascii="Arial" w:cs="Arial" w:eastAsia="Arial" w:hAnsi="Arial"/>
          <w:sz w:val="22"/>
          <w:szCs w:val="22"/>
          <w:color w:val="auto"/>
        </w:rPr>
      </w:pPr>
      <w:r>
        <w:rPr>
          <w:rFonts w:ascii="Arial" w:cs="Arial" w:eastAsia="Arial" w:hAnsi="Arial"/>
          <w:sz w:val="22"/>
          <w:szCs w:val="22"/>
          <w:u w:val="single" w:color="auto"/>
          <w:color w:val="auto"/>
        </w:rPr>
        <w:t>Illegality or Impracticability of Eurodollar Rate Loans</w:t>
      </w:r>
      <w:r>
        <w:rPr>
          <w:rFonts w:ascii="Arial" w:cs="Arial" w:eastAsia="Arial" w:hAnsi="Arial"/>
          <w:sz w:val="22"/>
          <w:szCs w:val="22"/>
          <w:color w:val="auto"/>
        </w:rPr>
        <w:t>. In the event that on any date (i) any Lender shall have determined (which determination shall be final and conclusive and binding upon all parties hereto) that the making, maintaining or continuation of its Eurodollar Rate Loans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1" w:right="339" w:bottom="1440" w:gutter="0" w:footer="0" w:header="0"/>
        </w:sectPr>
      </w:pPr>
    </w:p>
    <w:bookmarkStart w:id="498" w:name="page499"/>
    <w:bookmarkEnd w:id="498"/>
    <w:p>
      <w:pPr>
        <w:jc w:val="both"/>
        <w:spacing w:after="0" w:line="284" w:lineRule="auto"/>
        <w:rPr>
          <w:sz w:val="20"/>
          <w:szCs w:val="20"/>
          <w:color w:val="auto"/>
        </w:rPr>
      </w:pPr>
      <w:r>
        <w:rPr>
          <w:rFonts w:ascii="Arial" w:cs="Arial" w:eastAsia="Arial" w:hAnsi="Arial"/>
          <w:sz w:val="19"/>
          <w:szCs w:val="19"/>
          <w:color w:val="auto"/>
        </w:rPr>
        <w:t xml:space="preserve">Administrative Agent is advised by the Requisite Lenders (which determination shall be final and conclusive and binding upon all parties hereto) that the making, maintaining or continuation of its Eurodollar Rate Loans has become impracticable, as a result of contingencies occurring after the date hereof which materially and adversely affect the London interbank market or the position of the Lenders in that market, then, and in any such event, such Lenders (or in the case of the preceding clause (i), such Lender) shall be an </w:t>
      </w:r>
      <w:r>
        <w:rPr>
          <w:rFonts w:ascii="Arial" w:cs="Arial" w:eastAsia="Arial" w:hAnsi="Arial"/>
          <w:sz w:val="19"/>
          <w:szCs w:val="19"/>
          <w:b w:val="1"/>
          <w:bCs w:val="1"/>
          <w:color w:val="auto"/>
        </w:rPr>
        <w:t>“Affected Lender”</w:t>
      </w:r>
      <w:r>
        <w:rPr>
          <w:rFonts w:ascii="Arial" w:cs="Arial" w:eastAsia="Arial" w:hAnsi="Arial"/>
          <w:sz w:val="19"/>
          <w:szCs w:val="19"/>
          <w:color w:val="auto"/>
        </w:rPr>
        <w:t xml:space="preserve"> and such Affected Lender shall on that day give notice (by e-mail or by telephone confirmed in writing) to Borrower and Administrative Agent of such determination (which notice Administrative Agent shall promptly transmit to each other Lender). If Administrative Agent receives a notice from (x) any Lender pursuant to clause (i) of the preceding sentence or (y) a notice from Lenders constituting Requisite Lenders pursuant to clause (ii) of the preceding sentence, then (1) the obligation of the Lenders (or, in the case of any notice pursuant to clause (i) of the preceding sentence, such Lender) to make Loans as Eurodollar Rate Loans shall be suspended until such notice shall be withdrawn by each Affected Lender, (2) to the extent such determination by the Affected Lender relates to a Eurodollar Rate Loan then being requested by Borrower pursuant to a Funding Notice, the Lenders (or in the case of any notice pursuant to clause (i) of the preceding sentence, such Lender) shall make such Loan as (or continue such Loan as or convert such Loan to, as the case may be) a Base Rate Loan, (3) the Lenders’ (or in the case of any notice pursuant to clause (i) of the preceding sentence, such Lender’s) obligations to maintain their respective outstanding Eurodollar Rate Loans (the </w:t>
      </w:r>
      <w:r>
        <w:rPr>
          <w:rFonts w:ascii="Arial" w:cs="Arial" w:eastAsia="Arial" w:hAnsi="Arial"/>
          <w:sz w:val="19"/>
          <w:szCs w:val="19"/>
          <w:b w:val="1"/>
          <w:bCs w:val="1"/>
          <w:color w:val="auto"/>
        </w:rPr>
        <w:t>“Affected Loans”</w:t>
      </w:r>
      <w:r>
        <w:rPr>
          <w:rFonts w:ascii="Arial" w:cs="Arial" w:eastAsia="Arial" w:hAnsi="Arial"/>
          <w:sz w:val="19"/>
          <w:szCs w:val="19"/>
          <w:color w:val="auto"/>
        </w:rPr>
        <w:t>) shall be terminated at the earlier to occur of the expiration of the Interest Period then in effect with respect to the Affected Loans or when required by law, and (4) the Affected Loans shall automatically convert into Base Rate Loans on the date of such termination. Notwithstanding the foregoing, to the extent a determination by an Affected Lender as described above relates to a Eurodollar Rate Loan then being requested by Borrower pursuant to a Funding Notice, Borrower shall have the option, subject to the provisions of Section 2.18(c), to rescind such Funding Notice as to all Lenders by giving written or telephonic notice (promptly confirmed by delivery of written notice thereof) to Administrative Agent of such rescission on the date on which the Affected Lender gives notice of its determination as described above (which notice of rescission Administrative Agent shall promptly transmit to each other Lender).</w:t>
      </w:r>
    </w:p>
    <w:p>
      <w:pPr>
        <w:spacing w:after="0" w:line="200" w:lineRule="exact"/>
        <w:rPr>
          <w:sz w:val="20"/>
          <w:szCs w:val="20"/>
          <w:color w:val="auto"/>
        </w:rPr>
      </w:pPr>
    </w:p>
    <w:p>
      <w:pPr>
        <w:spacing w:after="0" w:line="228" w:lineRule="exact"/>
        <w:rPr>
          <w:sz w:val="20"/>
          <w:szCs w:val="20"/>
          <w:color w:val="auto"/>
        </w:rPr>
      </w:pPr>
    </w:p>
    <w:p>
      <w:pPr>
        <w:jc w:val="both"/>
        <w:ind w:firstLine="1286"/>
        <w:spacing w:after="0" w:line="258" w:lineRule="auto"/>
        <w:tabs>
          <w:tab w:leader="none" w:pos="1617" w:val="left"/>
        </w:tabs>
        <w:numPr>
          <w:ilvl w:val="0"/>
          <w:numId w:val="364"/>
        </w:numPr>
        <w:rPr>
          <w:rFonts w:ascii="Arial" w:cs="Arial" w:eastAsia="Arial" w:hAnsi="Arial"/>
          <w:sz w:val="21"/>
          <w:szCs w:val="21"/>
          <w:color w:val="auto"/>
        </w:rPr>
      </w:pPr>
      <w:r>
        <w:rPr>
          <w:rFonts w:ascii="Arial" w:cs="Arial" w:eastAsia="Arial" w:hAnsi="Arial"/>
          <w:sz w:val="21"/>
          <w:szCs w:val="21"/>
          <w:u w:val="single" w:color="auto"/>
          <w:color w:val="auto"/>
        </w:rPr>
        <w:t>Compensation for Breakage or Non-Commencement of Interest Periods</w:t>
      </w:r>
      <w:r>
        <w:rPr>
          <w:rFonts w:ascii="Arial" w:cs="Arial" w:eastAsia="Arial" w:hAnsi="Arial"/>
          <w:sz w:val="21"/>
          <w:szCs w:val="21"/>
          <w:color w:val="auto"/>
        </w:rPr>
        <w:t>. Borrower shall compensate each Lender, upon written request by such Lender (which request shall set forth the basis for requesting such amounts), for all reasonable losses, expenses and liabilities (including any interest paid or payable by such Lender to Lenders of funds borrowed by it to make or carry its Eurodollar Rate Loans and any loss, expense or liability sustained by such Lender in connection with the liquidation or re-employment of such funds but excluding loss of anticipated profits) which such Lender may sustain: (i) if for any reason (other than a default by such Lender) a borrowing of any Eurodollar Rate Loan does not occur on a date specified therefor in a Funding Notice or a telephonic request for borrowing; (ii) if any prepayment or other principal payment of any of its Eurodollar Rate Loans occurs on a date prior to the last day of an Interest Period applicable to that Loan; or (iii) if any prepayment of any of its Eurodollar Rate Loans is not made on any date specified in a notice of prepayment given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060"/>
          </w:cols>
          <w:pgMar w:left="500" w:top="1427" w:right="339" w:bottom="1440" w:gutter="0" w:footer="0" w:header="0"/>
        </w:sectPr>
      </w:pPr>
    </w:p>
    <w:bookmarkStart w:id="499" w:name="page500"/>
    <w:bookmarkEnd w:id="499"/>
    <w:p>
      <w:pPr>
        <w:ind w:right="20" w:firstLine="1286"/>
        <w:spacing w:after="0" w:line="263" w:lineRule="auto"/>
        <w:tabs>
          <w:tab w:leader="none" w:pos="1602"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Booking of Eurodollar Rate Loans</w:t>
      </w:r>
      <w:r>
        <w:rPr>
          <w:rFonts w:ascii="Arial" w:cs="Arial" w:eastAsia="Arial" w:hAnsi="Arial"/>
          <w:sz w:val="22"/>
          <w:szCs w:val="22"/>
          <w:color w:val="auto"/>
        </w:rPr>
        <w:t>. Any Lender may make, carry or transfer Eurodollar Rate Loans at, to, or for the account of any of its branch offices or the office of an Affiliate of such Lender.</w:t>
      </w:r>
    </w:p>
    <w:p>
      <w:pPr>
        <w:spacing w:after="0" w:line="174" w:lineRule="exact"/>
        <w:rPr>
          <w:rFonts w:ascii="Arial" w:cs="Arial" w:eastAsia="Arial" w:hAnsi="Arial"/>
          <w:sz w:val="22"/>
          <w:szCs w:val="22"/>
          <w:color w:val="auto"/>
        </w:rPr>
      </w:pPr>
    </w:p>
    <w:p>
      <w:pPr>
        <w:jc w:val="both"/>
        <w:ind w:firstLine="1286"/>
        <w:spacing w:after="0" w:line="290" w:lineRule="auto"/>
        <w:tabs>
          <w:tab w:leader="none" w:pos="1590" w:val="left"/>
        </w:tabs>
        <w:numPr>
          <w:ilvl w:val="0"/>
          <w:numId w:val="365"/>
        </w:numPr>
        <w:rPr>
          <w:rFonts w:ascii="Arial" w:cs="Arial" w:eastAsia="Arial" w:hAnsi="Arial"/>
          <w:sz w:val="19"/>
          <w:szCs w:val="19"/>
          <w:color w:val="auto"/>
        </w:rPr>
      </w:pPr>
      <w:r>
        <w:rPr>
          <w:rFonts w:ascii="Arial" w:cs="Arial" w:eastAsia="Arial" w:hAnsi="Arial"/>
          <w:sz w:val="19"/>
          <w:szCs w:val="19"/>
          <w:u w:val="single" w:color="auto"/>
          <w:color w:val="auto"/>
        </w:rPr>
        <w:t>Assumptions Concerning Funding of Eurodollar Rate Loans</w:t>
      </w:r>
      <w:r>
        <w:rPr>
          <w:rFonts w:ascii="Arial" w:cs="Arial" w:eastAsia="Arial" w:hAnsi="Arial"/>
          <w:sz w:val="19"/>
          <w:szCs w:val="19"/>
          <w:color w:val="auto"/>
        </w:rPr>
        <w:t xml:space="preserve">. Calculation of all amounts payable to a Lender under this Section 2.18 and under Section 2.19 shall be made as though such Lender had actually funded each of its relevant Eurodollar Rate Loans through the purchase of a Eurodollar deposit bearing interest at the rate obtained pursuant to clause (i) of the definition of “Adjusted Eurodollar Rate” in an amount equal to the amount of such Eurodollar Rate Loan and having a maturity comparable to the relevant Interest Period and through the transfer of such Eurodollar deposit from an offshore office of such Lender to a domestic office of such Lender in the United States of America;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each Lender may fund each of its Eurodollar Rate Loans in any manner it sees fit and the foregoing assumptions shall be utilized only for the purposes of calculating amounts payable under this Section 2.18 and under Section 2.19.</w:t>
      </w:r>
    </w:p>
    <w:p>
      <w:pPr>
        <w:spacing w:after="0" w:line="155" w:lineRule="exact"/>
        <w:rPr>
          <w:rFonts w:ascii="Arial" w:cs="Arial" w:eastAsia="Arial" w:hAnsi="Arial"/>
          <w:sz w:val="19"/>
          <w:szCs w:val="19"/>
          <w:color w:val="auto"/>
        </w:rPr>
      </w:pPr>
    </w:p>
    <w:p>
      <w:pPr>
        <w:ind w:left="1560" w:hanging="274"/>
        <w:spacing w:after="0"/>
        <w:tabs>
          <w:tab w:leader="none" w:pos="1560"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Benchmark Replacement Setting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80" w:firstLine="1292"/>
        <w:spacing w:after="0" w:line="286" w:lineRule="auto"/>
        <w:tabs>
          <w:tab w:leader="none" w:pos="2074" w:val="left"/>
        </w:tabs>
        <w:numPr>
          <w:ilvl w:val="1"/>
          <w:numId w:val="365"/>
        </w:numPr>
        <w:rPr>
          <w:rFonts w:ascii="Arial" w:cs="Arial" w:eastAsia="Arial" w:hAnsi="Arial"/>
          <w:sz w:val="19"/>
          <w:szCs w:val="19"/>
          <w:color w:val="auto"/>
        </w:rPr>
      </w:pPr>
      <w:r>
        <w:rPr>
          <w:rFonts w:ascii="Arial" w:cs="Arial" w:eastAsia="Arial" w:hAnsi="Arial"/>
          <w:sz w:val="19"/>
          <w:szCs w:val="19"/>
          <w:i w:val="1"/>
          <w:iCs w:val="1"/>
          <w:color w:val="auto"/>
        </w:rPr>
        <w:t>Benchmark Replacement</w:t>
      </w:r>
      <w:r>
        <w:rPr>
          <w:rFonts w:ascii="Arial" w:cs="Arial" w:eastAsia="Arial" w:hAnsi="Arial"/>
          <w:sz w:val="19"/>
          <w:szCs w:val="19"/>
          <w:color w:val="auto"/>
        </w:rPr>
        <w:t>. Notwithstanding anything to the contrary herein or in any other Credit</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 (and, for the avoidance of doubt, any Hedge Agreement shall be deemed not to be a “Credit Document” for purposes of this subclause (f) titled “Benchmark Replacement Setting”),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(3)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Requisite Lenders.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480" w:firstLine="1292"/>
        <w:spacing w:after="0" w:line="250" w:lineRule="auto"/>
        <w:tabs>
          <w:tab w:leader="none" w:pos="2094" w:val="left"/>
        </w:tabs>
        <w:numPr>
          <w:ilvl w:val="1"/>
          <w:numId w:val="365"/>
        </w:numPr>
        <w:rPr>
          <w:rFonts w:ascii="Arial" w:cs="Arial" w:eastAsia="Arial" w:hAnsi="Arial"/>
          <w:sz w:val="22"/>
          <w:szCs w:val="22"/>
          <w:color w:val="auto"/>
        </w:rPr>
      </w:pPr>
      <w:r>
        <w:rPr>
          <w:rFonts w:ascii="Arial" w:cs="Arial" w:eastAsia="Arial" w:hAnsi="Arial"/>
          <w:sz w:val="22"/>
          <w:szCs w:val="22"/>
          <w:i w:val="1"/>
          <w:iCs w:val="1"/>
          <w:color w:val="auto"/>
        </w:rPr>
        <w:t>Benchmark Replacement Conforming Changes</w:t>
      </w:r>
      <w:r>
        <w:rPr>
          <w:rFonts w:ascii="Arial" w:cs="Arial" w:eastAsia="Arial" w:hAnsi="Arial"/>
          <w:sz w:val="22"/>
          <w:szCs w:val="22"/>
          <w:color w:val="auto"/>
        </w:rPr>
        <w:t>. In connection with the implementation of a Benchmark</w:t>
      </w:r>
      <w:r>
        <w:rPr>
          <w:rFonts w:ascii="Arial" w:cs="Arial" w:eastAsia="Arial" w:hAnsi="Arial"/>
          <w:sz w:val="22"/>
          <w:szCs w:val="22"/>
          <w:i w:val="1"/>
          <w:iCs w:val="1"/>
          <w:color w:val="auto"/>
        </w:rPr>
        <w:t xml:space="preserve"> </w:t>
      </w:r>
      <w:r>
        <w:rPr>
          <w:rFonts w:ascii="Arial" w:cs="Arial" w:eastAsia="Arial" w:hAnsi="Arial"/>
          <w:sz w:val="22"/>
          <w:szCs w:val="22"/>
          <w:color w:val="auto"/>
        </w:rPr>
        <w:t>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060"/>
          </w:cols>
          <w:pgMar w:left="500" w:top="1427" w:right="339" w:bottom="1440" w:gutter="0" w:footer="0" w:header="0"/>
        </w:sectPr>
      </w:pPr>
    </w:p>
    <w:bookmarkStart w:id="500" w:name="page501"/>
    <w:bookmarkEnd w:id="500"/>
    <w:p>
      <w:pPr>
        <w:spacing w:after="0" w:line="263" w:lineRule="auto"/>
        <w:rPr>
          <w:sz w:val="20"/>
          <w:szCs w:val="20"/>
          <w:color w:val="auto"/>
        </w:rPr>
      </w:pPr>
      <w:r>
        <w:rPr>
          <w:rFonts w:ascii="Arial" w:cs="Arial" w:eastAsia="Arial" w:hAnsi="Arial"/>
          <w:sz w:val="22"/>
          <w:szCs w:val="22"/>
          <w:color w:val="auto"/>
        </w:rPr>
        <w:t>become effective without any further action or consent of any other party to this Agreement or any other Credit Document.</w:t>
      </w:r>
    </w:p>
    <w:p>
      <w:pPr>
        <w:spacing w:after="0" w:line="175" w:lineRule="exact"/>
        <w:rPr>
          <w:sz w:val="20"/>
          <w:szCs w:val="20"/>
          <w:color w:val="auto"/>
        </w:rPr>
      </w:pPr>
    </w:p>
    <w:p>
      <w:pPr>
        <w:jc w:val="both"/>
        <w:ind w:firstLine="1292"/>
        <w:spacing w:after="0" w:line="257" w:lineRule="auto"/>
        <w:tabs>
          <w:tab w:leader="none" w:pos="1674" w:val="left"/>
        </w:tabs>
        <w:numPr>
          <w:ilvl w:val="0"/>
          <w:numId w:val="366"/>
        </w:numPr>
        <w:rPr>
          <w:rFonts w:ascii="Arial" w:cs="Arial" w:eastAsia="Arial" w:hAnsi="Arial"/>
          <w:sz w:val="21"/>
          <w:szCs w:val="21"/>
          <w:color w:val="auto"/>
        </w:rPr>
      </w:pPr>
      <w:r>
        <w:rPr>
          <w:rFonts w:ascii="Arial" w:cs="Arial" w:eastAsia="Arial" w:hAnsi="Arial"/>
          <w:sz w:val="21"/>
          <w:szCs w:val="21"/>
          <w:i w:val="1"/>
          <w:iCs w:val="1"/>
          <w:color w:val="auto"/>
        </w:rPr>
        <w:t>Notices; Standards for Decisions and Determinations</w:t>
      </w:r>
      <w:r>
        <w:rPr>
          <w:rFonts w:ascii="Arial" w:cs="Arial" w:eastAsia="Arial" w:hAnsi="Arial"/>
          <w:sz w:val="21"/>
          <w:szCs w:val="21"/>
          <w:color w:val="auto"/>
        </w:rPr>
        <w:t>. The Administrative Agent will promptly notify</w:t>
      </w:r>
      <w:r>
        <w:rPr>
          <w:rFonts w:ascii="Arial" w:cs="Arial" w:eastAsia="Arial" w:hAnsi="Arial"/>
          <w:sz w:val="21"/>
          <w:szCs w:val="21"/>
          <w:i w:val="1"/>
          <w:iCs w:val="1"/>
          <w:color w:val="auto"/>
        </w:rPr>
        <w:t xml:space="preserve"> </w:t>
      </w:r>
      <w:r>
        <w:rPr>
          <w:rFonts w:ascii="Arial" w:cs="Arial" w:eastAsia="Arial" w:hAnsi="Arial"/>
          <w:sz w:val="21"/>
          <w:szCs w:val="21"/>
          <w:color w:val="auto"/>
        </w:rPr>
        <w:t>the Borrower and the Lenders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titled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subclause (f) titled “Benchmark Replacement Setting.”</w:t>
      </w:r>
    </w:p>
    <w:p>
      <w:pPr>
        <w:spacing w:after="0" w:line="190" w:lineRule="exact"/>
        <w:rPr>
          <w:rFonts w:ascii="Arial" w:cs="Arial" w:eastAsia="Arial" w:hAnsi="Arial"/>
          <w:sz w:val="21"/>
          <w:szCs w:val="21"/>
          <w:color w:val="auto"/>
        </w:rPr>
      </w:pPr>
    </w:p>
    <w:p>
      <w:pPr>
        <w:jc w:val="both"/>
        <w:ind w:firstLine="1292"/>
        <w:spacing w:after="0" w:line="287" w:lineRule="auto"/>
        <w:tabs>
          <w:tab w:leader="none" w:pos="1662" w:val="left"/>
        </w:tabs>
        <w:numPr>
          <w:ilvl w:val="0"/>
          <w:numId w:val="366"/>
        </w:numPr>
        <w:rPr>
          <w:rFonts w:ascii="Arial" w:cs="Arial" w:eastAsia="Arial" w:hAnsi="Arial"/>
          <w:sz w:val="19"/>
          <w:szCs w:val="19"/>
          <w:color w:val="auto"/>
        </w:rPr>
      </w:pPr>
      <w:r>
        <w:rPr>
          <w:rFonts w:ascii="Arial" w:cs="Arial" w:eastAsia="Arial" w:hAnsi="Arial"/>
          <w:sz w:val="19"/>
          <w:szCs w:val="19"/>
          <w:i w:val="1"/>
          <w:iCs w:val="1"/>
          <w:color w:val="auto"/>
        </w:rPr>
        <w:t>Unavailability of Tenor of Benchmark</w:t>
      </w:r>
      <w:r>
        <w:rPr>
          <w:rFonts w:ascii="Arial" w:cs="Arial" w:eastAsia="Arial" w:hAnsi="Arial"/>
          <w:sz w:val="19"/>
          <w:szCs w:val="19"/>
          <w:color w:val="auto"/>
        </w:rPr>
        <w:t>. Notwithstanding anything to the contrary herein or in any other</w:t>
      </w:r>
      <w:r>
        <w:rPr>
          <w:rFonts w:ascii="Arial" w:cs="Arial" w:eastAsia="Arial" w:hAnsi="Arial"/>
          <w:sz w:val="19"/>
          <w:szCs w:val="19"/>
          <w:i w:val="1"/>
          <w:iCs w:val="1"/>
          <w:color w:val="auto"/>
        </w:rPr>
        <w:t xml:space="preserve"> </w:t>
      </w:r>
      <w:r>
        <w:rPr>
          <w:rFonts w:ascii="Arial" w:cs="Arial" w:eastAsia="Arial" w:hAnsi="Arial"/>
          <w:sz w:val="19"/>
          <w:szCs w:val="19"/>
          <w:color w:val="auto"/>
        </w:rPr>
        <w:t>Credit Document, 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292"/>
        <w:spacing w:after="0" w:line="247" w:lineRule="auto"/>
        <w:tabs>
          <w:tab w:leader="none" w:pos="1615" w:val="left"/>
        </w:tabs>
        <w:numPr>
          <w:ilvl w:val="0"/>
          <w:numId w:val="366"/>
        </w:numPr>
        <w:rPr>
          <w:rFonts w:ascii="Arial" w:cs="Arial" w:eastAsia="Arial" w:hAnsi="Arial"/>
          <w:sz w:val="22"/>
          <w:szCs w:val="22"/>
          <w:color w:val="auto"/>
        </w:rPr>
      </w:pPr>
      <w:r>
        <w:rPr>
          <w:rFonts w:ascii="Arial" w:cs="Arial" w:eastAsia="Arial" w:hAnsi="Arial"/>
          <w:sz w:val="22"/>
          <w:szCs w:val="22"/>
          <w:i w:val="1"/>
          <w:iCs w:val="1"/>
          <w:color w:val="auto"/>
        </w:rPr>
        <w:t>Benchmark Unavailability Period</w:t>
      </w:r>
      <w:r>
        <w:rPr>
          <w:rFonts w:ascii="Arial" w:cs="Arial" w:eastAsia="Arial" w:hAnsi="Arial"/>
          <w:sz w:val="22"/>
          <w:szCs w:val="22"/>
          <w:color w:val="auto"/>
        </w:rPr>
        <w:t>. Upon the Borrower’s receipt of notice of the commencement of a</w:t>
      </w:r>
      <w:r>
        <w:rPr>
          <w:rFonts w:ascii="Arial" w:cs="Arial" w:eastAsia="Arial" w:hAnsi="Arial"/>
          <w:sz w:val="22"/>
          <w:szCs w:val="22"/>
          <w:i w:val="1"/>
          <w:iCs w:val="1"/>
          <w:color w:val="auto"/>
        </w:rPr>
        <w:t xml:space="preserve"> </w:t>
      </w:r>
      <w:r>
        <w:rPr>
          <w:rFonts w:ascii="Arial" w:cs="Arial" w:eastAsia="Arial" w:hAnsi="Arial"/>
          <w:sz w:val="22"/>
          <w:szCs w:val="22"/>
          <w:color w:val="auto"/>
        </w:rPr>
        <w:t>Benchmark Unavailability Period, the Borrower may rescind any Funding Notice in respect of any Eurodollar Loans to be made or continued during any Benchmark Unavailability Period and, failing that, the Borrower will be deemed to have rescinded such notice and the Lenders shall make any such Loan as (or continue any such Loan as, or convert any such Loan to, as the case may be, a Base Rate Loan. During any Benchmark Unavailability Period or at any time that a tenor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580"/>
          </w:cols>
          <w:pgMar w:left="980" w:top="1427" w:right="339" w:bottom="1440" w:gutter="0" w:footer="0" w:header="0"/>
        </w:sectPr>
      </w:pPr>
    </w:p>
    <w:bookmarkStart w:id="501" w:name="page502"/>
    <w:bookmarkEnd w:id="501"/>
    <w:p>
      <w:pPr>
        <w:jc w:val="both"/>
        <w:ind w:left="20"/>
        <w:spacing w:after="0" w:line="343" w:lineRule="auto"/>
        <w:rPr>
          <w:sz w:val="20"/>
          <w:szCs w:val="20"/>
          <w:color w:val="auto"/>
        </w:rPr>
      </w:pPr>
      <w:r>
        <w:rPr>
          <w:rFonts w:ascii="Arial" w:cs="Arial" w:eastAsia="Arial" w:hAnsi="Arial"/>
          <w:sz w:val="19"/>
          <w:szCs w:val="19"/>
          <w:color w:val="auto"/>
        </w:rPr>
        <w:t>then-current Benchmark is not an Available Tenor, the component of the Base Rate based upon the then-current Benchmark or such tenor for such Benchmark, as applicable, will not be used in any determination of the Base Rate.</w:t>
      </w:r>
    </w:p>
    <w:p>
      <w:pPr>
        <w:spacing w:after="0" w:line="104"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 xml:space="preserve">(vi) </w:t>
      </w:r>
      <w:r>
        <w:rPr>
          <w:rFonts w:ascii="Arial" w:cs="Arial" w:eastAsia="Arial" w:hAnsi="Arial"/>
          <w:sz w:val="21"/>
          <w:szCs w:val="21"/>
          <w:i w:val="1"/>
          <w:iCs w:val="1"/>
          <w:color w:val="auto"/>
        </w:rPr>
        <w:t>Certain Defined Terms</w:t>
      </w:r>
      <w:r>
        <w:rPr>
          <w:rFonts w:ascii="Arial" w:cs="Arial" w:eastAsia="Arial" w:hAnsi="Arial"/>
          <w:sz w:val="21"/>
          <w:szCs w:val="21"/>
          <w:color w:val="auto"/>
        </w:rPr>
        <w:t>. As used in this sublcause (f) titled “Benchmark Replacement Setting”:</w:t>
      </w:r>
    </w:p>
    <w:p>
      <w:pPr>
        <w:spacing w:after="0" w:line="225" w:lineRule="exact"/>
        <w:rPr>
          <w:sz w:val="20"/>
          <w:szCs w:val="20"/>
          <w:color w:val="auto"/>
        </w:rPr>
      </w:pPr>
    </w:p>
    <w:p>
      <w:pPr>
        <w:jc w:val="both"/>
        <w:ind w:firstLine="1306"/>
        <w:spacing w:after="0" w:line="248" w:lineRule="auto"/>
        <w:rPr>
          <w:sz w:val="20"/>
          <w:szCs w:val="20"/>
          <w:color w:val="auto"/>
        </w:rPr>
      </w:pPr>
      <w:r>
        <w:rPr>
          <w:rFonts w:ascii="Arial" w:cs="Arial" w:eastAsia="Arial" w:hAnsi="Arial"/>
          <w:sz w:val="22"/>
          <w:szCs w:val="22"/>
          <w:b w:val="1"/>
          <w:bCs w:val="1"/>
          <w:color w:val="auto"/>
        </w:rPr>
        <w:t xml:space="preserve">“Available Tenor” </w:t>
      </w:r>
      <w:r>
        <w:rPr>
          <w:rFonts w:ascii="Arial" w:cs="Arial" w:eastAsia="Arial" w:hAnsi="Arial"/>
          <w:sz w:val="22"/>
          <w:szCs w:val="22"/>
          <w:color w:val="auto"/>
        </w:rPr>
        <w:t>means, as of any date of determination and with respect to the then-current</w:t>
      </w:r>
      <w:r>
        <w:rPr>
          <w:rFonts w:ascii="Arial" w:cs="Arial" w:eastAsia="Arial" w:hAnsi="Arial"/>
          <w:sz w:val="22"/>
          <w:szCs w:val="22"/>
          <w:b w:val="1"/>
          <w:bCs w:val="1"/>
          <w:color w:val="auto"/>
        </w:rPr>
        <w:t xml:space="preserve"> </w:t>
      </w:r>
      <w:r>
        <w:rPr>
          <w:rFonts w:ascii="Arial" w:cs="Arial" w:eastAsia="Arial" w:hAnsi="Arial"/>
          <w:sz w:val="22"/>
          <w:szCs w:val="22"/>
          <w:color w:val="auto"/>
        </w:rPr>
        <w:t>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paragraph (iv) of this subclause (f) titled “Benchmark Replacement Setting.”</w:t>
      </w:r>
    </w:p>
    <w:p>
      <w:pPr>
        <w:spacing w:after="0" w:line="187" w:lineRule="exact"/>
        <w:rPr>
          <w:sz w:val="20"/>
          <w:szCs w:val="20"/>
          <w:color w:val="auto"/>
        </w:rPr>
      </w:pPr>
    </w:p>
    <w:p>
      <w:pPr>
        <w:jc w:val="both"/>
        <w:ind w:firstLine="1306"/>
        <w:spacing w:after="0" w:line="249" w:lineRule="auto"/>
        <w:rPr>
          <w:sz w:val="20"/>
          <w:szCs w:val="20"/>
          <w:color w:val="auto"/>
        </w:rPr>
      </w:pPr>
      <w:r>
        <w:rPr>
          <w:rFonts w:ascii="Arial" w:cs="Arial" w:eastAsia="Arial" w:hAnsi="Arial"/>
          <w:sz w:val="22"/>
          <w:szCs w:val="22"/>
          <w:b w:val="1"/>
          <w:bCs w:val="1"/>
          <w:color w:val="auto"/>
        </w:rPr>
        <w:t xml:space="preserve">“Benchmark” </w:t>
      </w:r>
      <w:r>
        <w:rPr>
          <w:rFonts w:ascii="Arial" w:cs="Arial" w:eastAsia="Arial" w:hAnsi="Arial"/>
          <w:sz w:val="22"/>
          <w:szCs w:val="22"/>
          <w:color w:val="auto"/>
        </w:rPr>
        <w:t>means, initially, USD LIBOR; provided that if a Benchmark Transition Event or an Early</w:t>
      </w:r>
      <w:r>
        <w:rPr>
          <w:rFonts w:ascii="Arial" w:cs="Arial" w:eastAsia="Arial" w:hAnsi="Arial"/>
          <w:sz w:val="22"/>
          <w:szCs w:val="22"/>
          <w:b w:val="1"/>
          <w:bCs w:val="1"/>
          <w:color w:val="auto"/>
        </w:rPr>
        <w:t xml:space="preserve"> </w:t>
      </w:r>
      <w:r>
        <w:rPr>
          <w:rFonts w:ascii="Arial" w:cs="Arial" w:eastAsia="Arial" w:hAnsi="Arial"/>
          <w:sz w:val="22"/>
          <w:szCs w:val="22"/>
          <w:color w:val="auto"/>
        </w:rPr>
        <w:t>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clause (i) of this subclause (f) titled “Benchmark Replacement Setting.”</w:t>
      </w:r>
    </w:p>
    <w:p>
      <w:pPr>
        <w:spacing w:after="0" w:line="186" w:lineRule="exact"/>
        <w:rPr>
          <w:sz w:val="20"/>
          <w:szCs w:val="20"/>
          <w:color w:val="auto"/>
        </w:rPr>
      </w:pPr>
    </w:p>
    <w:p>
      <w:pPr>
        <w:jc w:val="both"/>
        <w:ind w:firstLine="1306"/>
        <w:spacing w:after="0" w:line="293" w:lineRule="auto"/>
        <w:rPr>
          <w:sz w:val="20"/>
          <w:szCs w:val="20"/>
          <w:color w:val="auto"/>
        </w:rPr>
      </w:pPr>
      <w:r>
        <w:rPr>
          <w:rFonts w:ascii="Arial" w:cs="Arial" w:eastAsia="Arial" w:hAnsi="Arial"/>
          <w:sz w:val="21"/>
          <w:szCs w:val="21"/>
          <w:b w:val="1"/>
          <w:bCs w:val="1"/>
          <w:color w:val="auto"/>
        </w:rPr>
        <w:t xml:space="preserve">“Benchmark Replacement” </w:t>
      </w:r>
      <w:r>
        <w:rPr>
          <w:rFonts w:ascii="Arial" w:cs="Arial" w:eastAsia="Arial" w:hAnsi="Arial"/>
          <w:sz w:val="21"/>
          <w:szCs w:val="21"/>
          <w:color w:val="auto"/>
        </w:rPr>
        <w:t>means, for any Available Tenor, the first alternative set forth in the order</w:t>
      </w:r>
      <w:r>
        <w:rPr>
          <w:rFonts w:ascii="Arial" w:cs="Arial" w:eastAsia="Arial" w:hAnsi="Arial"/>
          <w:sz w:val="21"/>
          <w:szCs w:val="21"/>
          <w:b w:val="1"/>
          <w:bCs w:val="1"/>
          <w:color w:val="auto"/>
        </w:rPr>
        <w:t xml:space="preserve"> </w:t>
      </w:r>
      <w:r>
        <w:rPr>
          <w:rFonts w:ascii="Arial" w:cs="Arial" w:eastAsia="Arial" w:hAnsi="Arial"/>
          <w:sz w:val="21"/>
          <w:szCs w:val="21"/>
          <w:color w:val="auto"/>
        </w:rPr>
        <w:t>below that can be determined by the Administrative Agent for the applicable Benchmark Replacement Date:</w:t>
      </w:r>
    </w:p>
    <w:p>
      <w:pPr>
        <w:spacing w:after="0" w:line="145" w:lineRule="exact"/>
        <w:rPr>
          <w:sz w:val="20"/>
          <w:szCs w:val="20"/>
          <w:color w:val="auto"/>
        </w:rPr>
      </w:pPr>
    </w:p>
    <w:p>
      <w:pPr>
        <w:ind w:left="1120" w:hanging="476"/>
        <w:spacing w:after="0"/>
        <w:tabs>
          <w:tab w:leader="none" w:pos="112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the sum of: (a) Term SOFR and (b) the related Benchmark Replacement Adjustment;</w:t>
      </w:r>
    </w:p>
    <w:p>
      <w:pPr>
        <w:spacing w:after="0" w:line="219" w:lineRule="exact"/>
        <w:rPr>
          <w:rFonts w:ascii="Arial" w:cs="Arial" w:eastAsia="Arial" w:hAnsi="Arial"/>
          <w:sz w:val="22"/>
          <w:szCs w:val="22"/>
          <w:color w:val="auto"/>
        </w:rPr>
      </w:pPr>
    </w:p>
    <w:p>
      <w:pPr>
        <w:ind w:left="1120" w:hanging="476"/>
        <w:spacing w:after="0"/>
        <w:tabs>
          <w:tab w:leader="none" w:pos="112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the sum of: (a) Daily Simple SOFR and (b) the related Benchmark Replacement Adjustment;</w:t>
      </w:r>
    </w:p>
    <w:p>
      <w:pPr>
        <w:spacing w:after="0" w:line="219" w:lineRule="exact"/>
        <w:rPr>
          <w:rFonts w:ascii="Arial" w:cs="Arial" w:eastAsia="Arial" w:hAnsi="Arial"/>
          <w:sz w:val="22"/>
          <w:szCs w:val="22"/>
          <w:color w:val="auto"/>
        </w:rPr>
      </w:pPr>
    </w:p>
    <w:p>
      <w:pPr>
        <w:jc w:val="both"/>
        <w:ind w:left="1160" w:hanging="516"/>
        <w:spacing w:after="0" w:line="246" w:lineRule="auto"/>
        <w:tabs>
          <w:tab w:leader="none" w:pos="1228" w:val="left"/>
        </w:tabs>
        <w:numPr>
          <w:ilvl w:val="0"/>
          <w:numId w:val="367"/>
        </w:numPr>
        <w:rPr>
          <w:rFonts w:ascii="Arial" w:cs="Arial" w:eastAsia="Arial" w:hAnsi="Arial"/>
          <w:sz w:val="22"/>
          <w:szCs w:val="22"/>
          <w:color w:val="auto"/>
        </w:rPr>
      </w:pPr>
      <w:r>
        <w:rPr>
          <w:rFonts w:ascii="Arial" w:cs="Arial" w:eastAsia="Arial" w:hAnsi="Arial"/>
          <w:sz w:val="22"/>
          <w:szCs w:val="22"/>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96" w:lineRule="exact"/>
        <w:rPr>
          <w:sz w:val="20"/>
          <w:szCs w:val="20"/>
          <w:color w:val="auto"/>
        </w:rPr>
      </w:pPr>
    </w:p>
    <w:p>
      <w:pPr>
        <w:jc w:val="both"/>
        <w:ind w:left="20"/>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such Unadjusted Benchmark Replacement is displayed on a screen or other information service that publishes such rate from time to time as selected by the Administrative Agent in its reasonable discretion. If the Benchmark Replacement as determined pursuant to clause (1), (2) or (3) above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600"/>
          </w:cols>
          <w:pgMar w:left="960" w:top="1427" w:right="339" w:bottom="1440" w:gutter="0" w:footer="0" w:header="0"/>
        </w:sectPr>
      </w:pPr>
    </w:p>
    <w:bookmarkStart w:id="502" w:name="page503"/>
    <w:bookmarkEnd w:id="502"/>
    <w:p>
      <w:pPr>
        <w:jc w:val="both"/>
        <w:spacing w:after="0" w:line="263" w:lineRule="auto"/>
        <w:rPr>
          <w:sz w:val="20"/>
          <w:szCs w:val="20"/>
          <w:color w:val="auto"/>
        </w:rPr>
      </w:pPr>
      <w:r>
        <w:rPr>
          <w:rFonts w:ascii="Arial" w:cs="Arial" w:eastAsia="Arial" w:hAnsi="Arial"/>
          <w:sz w:val="22"/>
          <w:szCs w:val="22"/>
          <w:color w:val="auto"/>
        </w:rPr>
        <w:t>less than zero, the Benchmark Replacement will be deemed to be zero for the purposes of this Agreement and the other Credit Documents.</w:t>
      </w:r>
    </w:p>
    <w:p>
      <w:pPr>
        <w:spacing w:after="0" w:line="16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“Benchmark Replacement Adjustment” </w:t>
      </w:r>
      <w:r>
        <w:rPr>
          <w:rFonts w:ascii="Arial" w:cs="Arial" w:eastAsia="Arial" w:hAnsi="Arial"/>
          <w:sz w:val="22"/>
          <w:szCs w:val="22"/>
          <w:color w:val="auto"/>
        </w:rPr>
        <w:t>means, with respect to any replacement of the then-current</w:t>
      </w:r>
      <w:r>
        <w:rPr>
          <w:rFonts w:ascii="Arial" w:cs="Arial" w:eastAsia="Arial" w:hAnsi="Arial"/>
          <w:sz w:val="22"/>
          <w:szCs w:val="22"/>
          <w:b w:val="1"/>
          <w:bCs w:val="1"/>
          <w:color w:val="auto"/>
        </w:rPr>
        <w:t xml:space="preserve"> </w:t>
      </w:r>
      <w:r>
        <w:rPr>
          <w:rFonts w:ascii="Arial" w:cs="Arial" w:eastAsia="Arial" w:hAnsi="Arial"/>
          <w:sz w:val="22"/>
          <w:szCs w:val="22"/>
          <w:color w:val="auto"/>
        </w:rPr>
        <w:t>Benchmark with an Unadjusted Benchmark Replacement for any applicable Interest Period and Available Tenor for any setting of such Unadjusted Benchmark Replacement:</w:t>
      </w:r>
    </w:p>
    <w:p>
      <w:pPr>
        <w:spacing w:after="0" w:line="182" w:lineRule="exact"/>
        <w:rPr>
          <w:sz w:val="20"/>
          <w:szCs w:val="20"/>
          <w:color w:val="auto"/>
        </w:rPr>
      </w:pPr>
    </w:p>
    <w:p>
      <w:pPr>
        <w:ind w:left="1140" w:right="20" w:hanging="516"/>
        <w:spacing w:after="0" w:line="263" w:lineRule="auto"/>
        <w:tabs>
          <w:tab w:leader="none" w:pos="1173" w:val="left"/>
        </w:tabs>
        <w:numPr>
          <w:ilvl w:val="0"/>
          <w:numId w:val="368"/>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first alternative set forth in the order below that can be determined by the Administrative Agent:</w:t>
      </w:r>
    </w:p>
    <w:p>
      <w:pPr>
        <w:spacing w:after="0" w:line="174" w:lineRule="exact"/>
        <w:rPr>
          <w:rFonts w:ascii="Arial" w:cs="Arial" w:eastAsia="Arial" w:hAnsi="Arial"/>
          <w:sz w:val="22"/>
          <w:szCs w:val="22"/>
          <w:color w:val="auto"/>
        </w:rPr>
      </w:pPr>
    </w:p>
    <w:p>
      <w:pPr>
        <w:ind w:left="1780" w:hanging="646"/>
        <w:spacing w:after="0" w:line="263" w:lineRule="auto"/>
        <w:tabs>
          <w:tab w:leader="none" w:pos="1601" w:val="left"/>
        </w:tabs>
        <w:numPr>
          <w:ilvl w:val="1"/>
          <w:numId w:val="368"/>
        </w:numPr>
        <w:rPr>
          <w:rFonts w:ascii="Arial" w:cs="Arial" w:eastAsia="Arial" w:hAnsi="Arial"/>
          <w:sz w:val="21"/>
          <w:szCs w:val="21"/>
          <w:color w:val="auto"/>
        </w:rPr>
      </w:pPr>
      <w:r>
        <w:rPr>
          <w:rFonts w:ascii="Arial" w:cs="Arial" w:eastAsia="Arial" w:hAnsi="Arial"/>
          <w:sz w:val="21"/>
          <w:szCs w:val="21"/>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5" w:lineRule="exact"/>
        <w:rPr>
          <w:rFonts w:ascii="Arial" w:cs="Arial" w:eastAsia="Arial" w:hAnsi="Arial"/>
          <w:sz w:val="21"/>
          <w:szCs w:val="21"/>
          <w:color w:val="auto"/>
        </w:rPr>
      </w:pPr>
    </w:p>
    <w:p>
      <w:pPr>
        <w:ind w:left="1780" w:hanging="646"/>
        <w:spacing w:after="0" w:line="302" w:lineRule="auto"/>
        <w:tabs>
          <w:tab w:leader="none" w:pos="1682" w:val="left"/>
        </w:tabs>
        <w:numPr>
          <w:ilvl w:val="1"/>
          <w:numId w:val="368"/>
        </w:numPr>
        <w:rPr>
          <w:rFonts w:ascii="Arial" w:cs="Arial" w:eastAsia="Arial" w:hAnsi="Arial"/>
          <w:sz w:val="19"/>
          <w:szCs w:val="19"/>
          <w:color w:val="auto"/>
        </w:rPr>
      </w:pPr>
      <w:r>
        <w:rPr>
          <w:rFonts w:ascii="Arial" w:cs="Arial" w:eastAsia="Arial" w:hAnsi="Arial"/>
          <w:sz w:val="19"/>
          <w:szCs w:val="19"/>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42" w:lineRule="exact"/>
        <w:rPr>
          <w:rFonts w:ascii="Arial" w:cs="Arial" w:eastAsia="Arial" w:hAnsi="Arial"/>
          <w:sz w:val="19"/>
          <w:szCs w:val="19"/>
          <w:color w:val="auto"/>
        </w:rPr>
      </w:pPr>
    </w:p>
    <w:p>
      <w:pPr>
        <w:jc w:val="both"/>
        <w:ind w:left="1140" w:hanging="516"/>
        <w:spacing w:after="0" w:line="258" w:lineRule="auto"/>
        <w:tabs>
          <w:tab w:leader="none" w:pos="1137" w:val="left"/>
        </w:tabs>
        <w:numPr>
          <w:ilvl w:val="0"/>
          <w:numId w:val="368"/>
        </w:numPr>
        <w:rPr>
          <w:rFonts w:ascii="Arial" w:cs="Arial" w:eastAsia="Arial" w:hAnsi="Arial"/>
          <w:sz w:val="21"/>
          <w:szCs w:val="21"/>
          <w:color w:val="auto"/>
        </w:rPr>
      </w:pPr>
      <w:r>
        <w:rPr>
          <w:rFonts w:ascii="Arial" w:cs="Arial" w:eastAsia="Arial" w:hAnsi="Arial"/>
          <w:sz w:val="21"/>
          <w:szCs w:val="21"/>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85" w:lineRule="exact"/>
        <w:rPr>
          <w:sz w:val="20"/>
          <w:szCs w:val="20"/>
          <w:color w:val="auto"/>
        </w:rPr>
      </w:pPr>
    </w:p>
    <w:p>
      <w:pPr>
        <w:jc w:val="both"/>
        <w:ind w:left="62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580"/>
          </w:cols>
          <w:pgMar w:left="980" w:top="1427" w:right="339" w:bottom="1440" w:gutter="0" w:footer="0" w:header="0"/>
        </w:sectPr>
      </w:pPr>
    </w:p>
    <w:bookmarkStart w:id="503" w:name="page504"/>
    <w:bookmarkEnd w:id="503"/>
    <w:p>
      <w:pPr>
        <w:jc w:val="both"/>
        <w:ind w:left="4" w:firstLine="1296"/>
        <w:spacing w:after="0" w:line="288" w:lineRule="auto"/>
        <w:rPr>
          <w:sz w:val="20"/>
          <w:szCs w:val="20"/>
          <w:color w:val="auto"/>
        </w:rPr>
      </w:pPr>
      <w:r>
        <w:rPr>
          <w:rFonts w:ascii="Arial" w:cs="Arial" w:eastAsia="Arial" w:hAnsi="Arial"/>
          <w:sz w:val="19"/>
          <w:szCs w:val="19"/>
          <w:b w:val="1"/>
          <w:bCs w:val="1"/>
          <w:color w:val="auto"/>
        </w:rPr>
        <w:t xml:space="preserve">“Benchmark Replacement Conforming Changes” </w:t>
      </w:r>
      <w:r>
        <w:rPr>
          <w:rFonts w:ascii="Arial" w:cs="Arial" w:eastAsia="Arial" w:hAnsi="Arial"/>
          <w:sz w:val="19"/>
          <w:szCs w:val="19"/>
          <w:color w:val="auto"/>
        </w:rPr>
        <w:t>means, with respect to any Benchmark Replacement,</w:t>
      </w:r>
      <w:r>
        <w:rPr>
          <w:rFonts w:ascii="Arial" w:cs="Arial" w:eastAsia="Arial" w:hAnsi="Arial"/>
          <w:sz w:val="19"/>
          <w:szCs w:val="19"/>
          <w:b w:val="1"/>
          <w:bCs w:val="1"/>
          <w:color w:val="auto"/>
        </w:rPr>
        <w:t xml:space="preserve"> </w:t>
      </w:r>
      <w:r>
        <w:rPr>
          <w:rFonts w:ascii="Arial" w:cs="Arial" w:eastAsia="Arial" w:hAnsi="Arial"/>
          <w:sz w:val="19"/>
          <w:szCs w:val="19"/>
          <w:color w:val="auto"/>
        </w:rPr>
        <w:t>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spacing w:after="0" w:line="153" w:lineRule="exact"/>
        <w:rPr>
          <w:sz w:val="20"/>
          <w:szCs w:val="20"/>
          <w:color w:val="auto"/>
        </w:rPr>
      </w:pPr>
    </w:p>
    <w:p>
      <w:pPr>
        <w:jc w:val="both"/>
        <w:ind w:left="4" w:firstLine="1296"/>
        <w:spacing w:after="0" w:line="294" w:lineRule="auto"/>
        <w:rPr>
          <w:sz w:val="20"/>
          <w:szCs w:val="20"/>
          <w:color w:val="auto"/>
        </w:rPr>
      </w:pPr>
      <w:r>
        <w:rPr>
          <w:rFonts w:ascii="Arial" w:cs="Arial" w:eastAsia="Arial" w:hAnsi="Arial"/>
          <w:sz w:val="19"/>
          <w:szCs w:val="19"/>
          <w:b w:val="1"/>
          <w:bCs w:val="1"/>
          <w:color w:val="auto"/>
        </w:rPr>
        <w:t xml:space="preserve">“Benchmark Replacement Date” </w:t>
      </w:r>
      <w:r>
        <w:rPr>
          <w:rFonts w:ascii="Arial" w:cs="Arial" w:eastAsia="Arial" w:hAnsi="Arial"/>
          <w:sz w:val="19"/>
          <w:szCs w:val="19"/>
          <w:color w:val="auto"/>
        </w:rPr>
        <w:t>means the earliest to occur of the following events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then-current Benchmark: (1) in the case of clause (1) or (2) of the definition of “Benchmark Transition Event,” the later of</w:t>
      </w:r>
    </w:p>
    <w:p>
      <w:pPr>
        <w:spacing w:after="0" w:line="2" w:lineRule="exact"/>
        <w:rPr>
          <w:sz w:val="20"/>
          <w:szCs w:val="20"/>
          <w:color w:val="auto"/>
        </w:rPr>
      </w:pPr>
    </w:p>
    <w:p>
      <w:pPr>
        <w:jc w:val="both"/>
        <w:ind w:left="4" w:hanging="4"/>
        <w:spacing w:after="0" w:line="285" w:lineRule="auto"/>
        <w:tabs>
          <w:tab w:leader="none" w:pos="341" w:val="left"/>
        </w:tabs>
        <w:numPr>
          <w:ilvl w:val="0"/>
          <w:numId w:val="369"/>
        </w:numPr>
        <w:rPr>
          <w:rFonts w:ascii="Arial" w:cs="Arial" w:eastAsia="Arial" w:hAnsi="Arial"/>
          <w:sz w:val="19"/>
          <w:szCs w:val="19"/>
          <w:color w:val="auto"/>
        </w:rPr>
      </w:pPr>
      <w:r>
        <w:rPr>
          <w:rFonts w:ascii="Arial" w:cs="Arial" w:eastAsia="Arial" w:hAnsi="Arial"/>
          <w:sz w:val="19"/>
          <w:szCs w:val="19"/>
          <w:color w:val="auto"/>
        </w:rPr>
        <w:t>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(2) in the case of clause (3) of the definition of “Benchmark Transition Event,” the date of the public statement or publication of information referenced therein; or (3) 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10" w:lineRule="exact"/>
        <w:rPr>
          <w:sz w:val="20"/>
          <w:szCs w:val="20"/>
          <w:color w:val="auto"/>
        </w:rPr>
      </w:pPr>
    </w:p>
    <w:p>
      <w:pPr>
        <w:jc w:val="both"/>
        <w:ind w:left="4" w:firstLine="1296"/>
        <w:spacing w:after="0" w:line="249" w:lineRule="auto"/>
        <w:rPr>
          <w:sz w:val="20"/>
          <w:szCs w:val="20"/>
          <w:color w:val="auto"/>
        </w:rPr>
      </w:pPr>
      <w:r>
        <w:rPr>
          <w:rFonts w:ascii="Arial" w:cs="Arial" w:eastAsia="Arial" w:hAnsi="Arial"/>
          <w:sz w:val="22"/>
          <w:szCs w:val="22"/>
          <w:b w:val="1"/>
          <w:bCs w:val="1"/>
          <w:color w:val="auto"/>
        </w:rPr>
        <w:t xml:space="preserve">“Benchmark Transition Event” </w:t>
      </w:r>
      <w:r>
        <w:rPr>
          <w:rFonts w:ascii="Arial" w:cs="Arial" w:eastAsia="Arial" w:hAnsi="Arial"/>
          <w:sz w:val="22"/>
          <w:szCs w:val="22"/>
          <w:color w:val="auto"/>
        </w:rPr>
        <w:t>means the occurrence of one or more of the following events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584"/>
          </w:cols>
          <w:pgMar w:left="976" w:top="1421" w:right="339" w:bottom="1440" w:gutter="0" w:footer="0" w:header="0"/>
        </w:sectPr>
      </w:pPr>
    </w:p>
    <w:bookmarkStart w:id="504" w:name="page505"/>
    <w:bookmarkEnd w:id="504"/>
    <w:p>
      <w:pPr>
        <w:jc w:val="both"/>
        <w:spacing w:after="0" w:line="286" w:lineRule="auto"/>
        <w:rPr>
          <w:sz w:val="20"/>
          <w:szCs w:val="20"/>
          <w:color w:val="auto"/>
        </w:rPr>
      </w:pPr>
      <w:r>
        <w:rPr>
          <w:rFonts w:ascii="Arial" w:cs="Arial" w:eastAsia="Arial" w:hAnsi="Arial"/>
          <w:sz w:val="19"/>
          <w:szCs w:val="19"/>
          <w:color w:val="auto"/>
        </w:rPr>
        <w:t>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0" w:lineRule="exact"/>
        <w:rPr>
          <w:sz w:val="20"/>
          <w:szCs w:val="20"/>
          <w:color w:val="auto"/>
        </w:rPr>
      </w:pPr>
    </w:p>
    <w:p>
      <w:pPr>
        <w:spacing w:after="0" w:line="20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b w:val="1"/>
          <w:bCs w:val="1"/>
          <w:color w:val="auto"/>
        </w:rPr>
        <w:t xml:space="preserve">“Benchmark Unavailability Period” </w:t>
      </w:r>
      <w:r>
        <w:rPr>
          <w:rFonts w:ascii="Arial" w:cs="Arial" w:eastAsia="Arial" w:hAnsi="Arial"/>
          <w:sz w:val="21"/>
          <w:szCs w:val="21"/>
          <w:color w:val="auto"/>
        </w:rPr>
        <w:t>means the period (if any) (x) beginning at the time that a</w:t>
      </w:r>
      <w:r>
        <w:rPr>
          <w:rFonts w:ascii="Arial" w:cs="Arial" w:eastAsia="Arial" w:hAnsi="Arial"/>
          <w:sz w:val="21"/>
          <w:szCs w:val="21"/>
          <w:b w:val="1"/>
          <w:bCs w:val="1"/>
          <w:color w:val="auto"/>
        </w:rPr>
        <w:t xml:space="preserve"> </w:t>
      </w:r>
      <w:r>
        <w:rPr>
          <w:rFonts w:ascii="Arial" w:cs="Arial" w:eastAsia="Arial" w:hAnsi="Arial"/>
          <w:sz w:val="21"/>
          <w:szCs w:val="21"/>
          <w:color w:val="auto"/>
        </w:rPr>
        <w:t>Benchmark Replacement Date pursuant to clauses (1) or (2) of that definition has occurred if, at such time, no Benchmark Replacement has replaced the then-current Benchmark for all purposes hereunder and under any Credit Document in accordance with this subclause (f) titled “Benchmark Replacement Setting” and (y) ending at the time that a Benchmark Replacement has replaced the then-current Benchmark for all purposes hereunder and under any Credit Document in accordance with this subclause (f) titled “Benchmark Replacement Setting.”</w:t>
      </w:r>
    </w:p>
    <w:p>
      <w:pPr>
        <w:spacing w:after="0" w:line="17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“Corresponding Tenor” </w:t>
      </w:r>
      <w:r>
        <w:rPr>
          <w:rFonts w:ascii="Arial" w:cs="Arial" w:eastAsia="Arial" w:hAnsi="Arial"/>
          <w:sz w:val="22"/>
          <w:szCs w:val="22"/>
          <w:color w:val="auto"/>
        </w:rPr>
        <w:t>with respect to any Available Tenor means, as applicable, either a tenor</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overnight) or an interest payment period having approximately the same length (disregarding business day adjustment) as such Available Tenor.</w:t>
      </w:r>
    </w:p>
    <w:p>
      <w:pPr>
        <w:spacing w:after="0" w:line="176"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“Daily Simple SOFR” </w:t>
      </w:r>
      <w:r>
        <w:rPr>
          <w:rFonts w:ascii="Arial" w:cs="Arial" w:eastAsia="Arial" w:hAnsi="Arial"/>
          <w:sz w:val="19"/>
          <w:szCs w:val="19"/>
          <w:color w:val="auto"/>
        </w:rPr>
        <w:t>means, for any day, SOFR, with the conventions for this rate (which will include a</w:t>
      </w:r>
      <w:r>
        <w:rPr>
          <w:rFonts w:ascii="Arial" w:cs="Arial" w:eastAsia="Arial" w:hAnsi="Arial"/>
          <w:sz w:val="19"/>
          <w:szCs w:val="19"/>
          <w:b w:val="1"/>
          <w:bCs w:val="1"/>
          <w:color w:val="auto"/>
        </w:rPr>
        <w:t xml:space="preserve"> </w:t>
      </w:r>
      <w:r>
        <w:rPr>
          <w:rFonts w:ascii="Arial" w:cs="Arial" w:eastAsia="Arial" w:hAnsi="Arial"/>
          <w:sz w:val="19"/>
          <w:szCs w:val="19"/>
          <w:color w:val="auto"/>
        </w:rPr>
        <w:t>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580"/>
          </w:cols>
          <w:pgMar w:left="980" w:top="1427" w:right="339" w:bottom="1440" w:gutter="0" w:footer="0" w:header="0"/>
        </w:sectPr>
      </w:pPr>
    </w:p>
    <w:bookmarkStart w:id="505" w:name="page506"/>
    <w:bookmarkEnd w:id="505"/>
    <w:p>
      <w:pPr>
        <w:ind w:left="1300"/>
        <w:spacing w:after="0"/>
        <w:rPr>
          <w:sz w:val="20"/>
          <w:szCs w:val="20"/>
          <w:color w:val="auto"/>
        </w:rPr>
      </w:pPr>
      <w:r>
        <w:rPr>
          <w:rFonts w:ascii="Arial" w:cs="Arial" w:eastAsia="Arial" w:hAnsi="Arial"/>
          <w:sz w:val="21"/>
          <w:szCs w:val="21"/>
          <w:b w:val="1"/>
          <w:bCs w:val="1"/>
          <w:color w:val="auto"/>
        </w:rPr>
        <w:t xml:space="preserve">“Early Opt-in Election” </w:t>
      </w:r>
      <w:r>
        <w:rPr>
          <w:rFonts w:ascii="Arial" w:cs="Arial" w:eastAsia="Arial" w:hAnsi="Arial"/>
          <w:sz w:val="21"/>
          <w:szCs w:val="21"/>
          <w:color w:val="auto"/>
        </w:rPr>
        <w:t>means, if the then-current Benchmark is USD LIBOR, the occurrence of:</w:t>
      </w:r>
    </w:p>
    <w:p>
      <w:pPr>
        <w:spacing w:after="0" w:line="237" w:lineRule="exact"/>
        <w:rPr>
          <w:sz w:val="20"/>
          <w:szCs w:val="20"/>
          <w:color w:val="auto"/>
        </w:rPr>
      </w:pPr>
    </w:p>
    <w:p>
      <w:pPr>
        <w:jc w:val="both"/>
        <w:ind w:left="1260" w:hanging="508"/>
        <w:spacing w:after="0" w:line="247" w:lineRule="auto"/>
        <w:tabs>
          <w:tab w:leader="none" w:pos="1218" w:val="left"/>
        </w:tabs>
        <w:numPr>
          <w:ilvl w:val="0"/>
          <w:numId w:val="370"/>
        </w:numPr>
        <w:rPr>
          <w:rFonts w:ascii="Arial" w:cs="Arial" w:eastAsia="Arial" w:hAnsi="Arial"/>
          <w:sz w:val="22"/>
          <w:szCs w:val="22"/>
          <w:color w:val="auto"/>
        </w:rPr>
      </w:pPr>
      <w:r>
        <w:rPr>
          <w:rFonts w:ascii="Arial" w:cs="Arial" w:eastAsia="Arial" w:hAnsi="Arial"/>
          <w:sz w:val="22"/>
          <w:szCs w:val="22"/>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92" w:lineRule="exact"/>
        <w:rPr>
          <w:rFonts w:ascii="Arial" w:cs="Arial" w:eastAsia="Arial" w:hAnsi="Arial"/>
          <w:sz w:val="22"/>
          <w:szCs w:val="22"/>
          <w:color w:val="auto"/>
        </w:rPr>
      </w:pPr>
    </w:p>
    <w:p>
      <w:pPr>
        <w:ind w:left="1260" w:hanging="508"/>
        <w:spacing w:after="0" w:line="287" w:lineRule="auto"/>
        <w:tabs>
          <w:tab w:leader="none" w:pos="1225" w:val="left"/>
        </w:tabs>
        <w:numPr>
          <w:ilvl w:val="0"/>
          <w:numId w:val="370"/>
        </w:numPr>
        <w:rPr>
          <w:rFonts w:ascii="Arial" w:cs="Arial" w:eastAsia="Arial" w:hAnsi="Arial"/>
          <w:sz w:val="21"/>
          <w:szCs w:val="21"/>
          <w:color w:val="auto"/>
        </w:rPr>
      </w:pPr>
      <w:r>
        <w:rPr>
          <w:rFonts w:ascii="Arial" w:cs="Arial" w:eastAsia="Arial" w:hAnsi="Arial"/>
          <w:sz w:val="21"/>
          <w:szCs w:val="21"/>
          <w:color w:val="auto"/>
        </w:rPr>
        <w:t>the joint election by the Administrative Agent and the Borrower to trigger a fallback from USD LIBOR and the provision by the Administrative Agent of written notice of such election to the Lenders.</w:t>
      </w:r>
    </w:p>
    <w:p>
      <w:pPr>
        <w:spacing w:after="0" w:line="14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“ISDA Definitions” </w:t>
      </w:r>
      <w:r>
        <w:rPr>
          <w:rFonts w:ascii="Arial" w:cs="Arial" w:eastAsia="Arial" w:hAnsi="Arial"/>
          <w:sz w:val="22"/>
          <w:szCs w:val="22"/>
          <w:color w:val="auto"/>
        </w:rPr>
        <w:t>means the 2006 ISDA Definitions published by the International Swaps and</w:t>
      </w:r>
      <w:r>
        <w:rPr>
          <w:rFonts w:ascii="Arial" w:cs="Arial" w:eastAsia="Arial" w:hAnsi="Arial"/>
          <w:sz w:val="22"/>
          <w:szCs w:val="22"/>
          <w:b w:val="1"/>
          <w:bCs w:val="1"/>
          <w:color w:val="auto"/>
        </w:rPr>
        <w:t xml:space="preserve"> </w:t>
      </w:r>
      <w:r>
        <w:rPr>
          <w:rFonts w:ascii="Arial" w:cs="Arial" w:eastAsia="Arial" w:hAnsi="Arial"/>
          <w:sz w:val="22"/>
          <w:szCs w:val="22"/>
          <w:color w:val="auto"/>
        </w:rPr>
        <w:t>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“Reference Time” </w:t>
      </w:r>
      <w:r>
        <w:rPr>
          <w:rFonts w:ascii="Arial" w:cs="Arial" w:eastAsia="Arial" w:hAnsi="Arial"/>
          <w:sz w:val="22"/>
          <w:szCs w:val="22"/>
          <w:color w:val="auto"/>
        </w:rPr>
        <w:t>with respect to any setting of the then-current Benchmark means (1) if such</w:t>
      </w:r>
      <w:r>
        <w:rPr>
          <w:rFonts w:ascii="Arial" w:cs="Arial" w:eastAsia="Arial" w:hAnsi="Arial"/>
          <w:sz w:val="22"/>
          <w:szCs w:val="22"/>
          <w:b w:val="1"/>
          <w:bCs w:val="1"/>
          <w:color w:val="auto"/>
        </w:rPr>
        <w:t xml:space="preserve"> </w:t>
      </w:r>
      <w:r>
        <w:rPr>
          <w:rFonts w:ascii="Arial" w:cs="Arial" w:eastAsia="Arial" w:hAnsi="Arial"/>
          <w:sz w:val="22"/>
          <w:szCs w:val="22"/>
          <w:color w:val="auto"/>
        </w:rPr>
        <w:t>Benchmark is USD LIBOR, 11:00 a.m. (London time) on the day that is two London banking days preceding the date of such setting, and (2) if such Benchmark is not USD LIBOR, the time determined by the Administrative Agent in its reasonable discretion.</w:t>
      </w:r>
    </w:p>
    <w:p>
      <w:pPr>
        <w:spacing w:after="0" w:line="18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color w:val="auto"/>
        </w:rPr>
        <w:t xml:space="preserve">“Relevant Governmental Body” </w:t>
      </w:r>
      <w:r>
        <w:rPr>
          <w:rFonts w:ascii="Arial" w:cs="Arial" w:eastAsia="Arial" w:hAnsi="Arial"/>
          <w:sz w:val="21"/>
          <w:szCs w:val="21"/>
          <w:color w:val="auto"/>
        </w:rPr>
        <w:t>means the Board of Governors of the Federal Reserve System or the</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Reserve Bank of New York, or a committee officially endorsed or convened by the Board of Governors of the Federal Reserve System or the Federal Reserve Bank of New York, or any successor thereto.</w:t>
      </w:r>
    </w:p>
    <w:p>
      <w:pPr>
        <w:spacing w:after="0" w:line="15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“Reset Date” </w:t>
      </w:r>
      <w:r>
        <w:rPr>
          <w:rFonts w:ascii="Arial" w:cs="Arial" w:eastAsia="Arial" w:hAnsi="Arial"/>
          <w:sz w:val="22"/>
          <w:szCs w:val="22"/>
          <w:color w:val="auto"/>
        </w:rPr>
        <w:t>means, with respect to an Interest Period, the first day of that Interest Period or, if that day is</w:t>
      </w:r>
      <w:r>
        <w:rPr>
          <w:rFonts w:ascii="Arial" w:cs="Arial" w:eastAsia="Arial" w:hAnsi="Arial"/>
          <w:sz w:val="22"/>
          <w:szCs w:val="22"/>
          <w:b w:val="1"/>
          <w:bCs w:val="1"/>
          <w:color w:val="auto"/>
        </w:rPr>
        <w:t xml:space="preserve"> </w:t>
      </w:r>
      <w:r>
        <w:rPr>
          <w:rFonts w:ascii="Arial" w:cs="Arial" w:eastAsia="Arial" w:hAnsi="Arial"/>
          <w:sz w:val="22"/>
          <w:szCs w:val="22"/>
          <w:color w:val="auto"/>
        </w:rPr>
        <w:t>not a Business Day, the next following Business Day.</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“SOFR” </w:t>
      </w:r>
      <w:r>
        <w:rPr>
          <w:rFonts w:ascii="Arial" w:cs="Arial" w:eastAsia="Arial" w:hAnsi="Arial"/>
          <w:sz w:val="22"/>
          <w:szCs w:val="22"/>
          <w:color w:val="auto"/>
        </w:rPr>
        <w:t>means, with respect to any Business Day, a rate per annum equal to the secured overnight</w:t>
      </w:r>
      <w:r>
        <w:rPr>
          <w:rFonts w:ascii="Arial" w:cs="Arial" w:eastAsia="Arial" w:hAnsi="Arial"/>
          <w:sz w:val="22"/>
          <w:szCs w:val="22"/>
          <w:b w:val="1"/>
          <w:bCs w:val="1"/>
          <w:color w:val="auto"/>
        </w:rPr>
        <w:t xml:space="preserve"> </w:t>
      </w:r>
      <w:r>
        <w:rPr>
          <w:rFonts w:ascii="Arial" w:cs="Arial" w:eastAsia="Arial" w:hAnsi="Arial"/>
          <w:sz w:val="22"/>
          <w:szCs w:val="22"/>
          <w:color w:val="auto"/>
        </w:rPr>
        <w:t>financing rate for such Business Day published by the SOFR Administrator on the SOFR Administrator’s Website on the immediately succeeding Business Day.</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“SOFR Administrator” </w:t>
      </w:r>
      <w:r>
        <w:rPr>
          <w:rFonts w:ascii="Arial" w:cs="Arial" w:eastAsia="Arial" w:hAnsi="Arial"/>
          <w:sz w:val="22"/>
          <w:szCs w:val="22"/>
          <w:color w:val="auto"/>
        </w:rPr>
        <w:t>means the Federal Reserve Bank of New York (or a successor administrator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secured overnight financing rate).</w:t>
      </w:r>
    </w:p>
    <w:p>
      <w:pPr>
        <w:spacing w:after="0" w:line="162"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“SOFR Administrator’s Website” </w:t>
      </w:r>
      <w:r>
        <w:rPr>
          <w:rFonts w:ascii="Arial" w:cs="Arial" w:eastAsia="Arial" w:hAnsi="Arial"/>
          <w:sz w:val="22"/>
          <w:szCs w:val="22"/>
          <w:color w:val="auto"/>
        </w:rPr>
        <w:t>means the website of the Federal Reserve Bank of New York,</w:t>
      </w:r>
      <w:r>
        <w:rPr>
          <w:rFonts w:ascii="Arial" w:cs="Arial" w:eastAsia="Arial" w:hAnsi="Arial"/>
          <w:sz w:val="22"/>
          <w:szCs w:val="22"/>
          <w:b w:val="1"/>
          <w:bCs w:val="1"/>
          <w:color w:val="auto"/>
        </w:rPr>
        <w:t xml:space="preserve"> </w:t>
      </w:r>
      <w:r>
        <w:rPr>
          <w:rFonts w:ascii="Arial" w:cs="Arial" w:eastAsia="Arial" w:hAnsi="Arial"/>
          <w:sz w:val="22"/>
          <w:szCs w:val="22"/>
          <w:color w:val="auto"/>
        </w:rPr>
        <w:t>currently at http://www.newyorkfed.org,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580"/>
          </w:cols>
          <w:pgMar w:left="980" w:top="1421" w:right="339" w:bottom="1440" w:gutter="0" w:footer="0" w:header="0"/>
        </w:sectPr>
      </w:pPr>
    </w:p>
    <w:bookmarkStart w:id="506" w:name="page507"/>
    <w:bookmarkEnd w:id="506"/>
    <w:p>
      <w:pPr>
        <w:ind w:left="490"/>
        <w:spacing w:after="0"/>
        <w:rPr>
          <w:sz w:val="20"/>
          <w:szCs w:val="20"/>
          <w:color w:val="auto"/>
        </w:rPr>
      </w:pPr>
      <w:r>
        <w:rPr>
          <w:rFonts w:ascii="Arial" w:cs="Arial" w:eastAsia="Arial" w:hAnsi="Arial"/>
          <w:sz w:val="21"/>
          <w:szCs w:val="21"/>
          <w:color w:val="auto"/>
        </w:rPr>
        <w:t>source for the secured overnight financing rate identified as such by the SOFR Administrator from time to time.</w:t>
      </w:r>
    </w:p>
    <w:p>
      <w:pPr>
        <w:spacing w:after="0" w:line="225" w:lineRule="exact"/>
        <w:rPr>
          <w:sz w:val="20"/>
          <w:szCs w:val="20"/>
          <w:color w:val="auto"/>
        </w:rPr>
      </w:pPr>
    </w:p>
    <w:p>
      <w:pPr>
        <w:ind w:left="490" w:firstLine="1296"/>
        <w:spacing w:after="0" w:line="349" w:lineRule="auto"/>
        <w:rPr>
          <w:sz w:val="20"/>
          <w:szCs w:val="20"/>
          <w:color w:val="auto"/>
        </w:rPr>
      </w:pPr>
      <w:r>
        <w:rPr>
          <w:rFonts w:ascii="Arial" w:cs="Arial" w:eastAsia="Arial" w:hAnsi="Arial"/>
          <w:sz w:val="19"/>
          <w:szCs w:val="19"/>
          <w:b w:val="1"/>
          <w:bCs w:val="1"/>
          <w:color w:val="auto"/>
        </w:rPr>
        <w:t xml:space="preserve">“Term SOFR” </w:t>
      </w:r>
      <w:r>
        <w:rPr>
          <w:rFonts w:ascii="Arial" w:cs="Arial" w:eastAsia="Arial" w:hAnsi="Arial"/>
          <w:sz w:val="19"/>
          <w:szCs w:val="19"/>
          <w:color w:val="auto"/>
        </w:rPr>
        <w:t>means, for the applicable Corresponding Tenor as of the applicable Reference Time, the</w:t>
      </w:r>
      <w:r>
        <w:rPr>
          <w:rFonts w:ascii="Arial" w:cs="Arial" w:eastAsia="Arial" w:hAnsi="Arial"/>
          <w:sz w:val="19"/>
          <w:szCs w:val="19"/>
          <w:b w:val="1"/>
          <w:bCs w:val="1"/>
          <w:color w:val="auto"/>
        </w:rPr>
        <w:t xml:space="preserve"> </w:t>
      </w:r>
      <w:r>
        <w:rPr>
          <w:rFonts w:ascii="Arial" w:cs="Arial" w:eastAsia="Arial" w:hAnsi="Arial"/>
          <w:sz w:val="19"/>
          <w:szCs w:val="19"/>
          <w:color w:val="auto"/>
        </w:rPr>
        <w:t>forward-looking term rate based on SOFR that has been selected or recommended by the Relevant Governmental Body.</w:t>
      </w:r>
    </w:p>
    <w:p>
      <w:pPr>
        <w:spacing w:after="0" w:line="94" w:lineRule="exact"/>
        <w:rPr>
          <w:sz w:val="20"/>
          <w:szCs w:val="20"/>
          <w:color w:val="auto"/>
        </w:rPr>
      </w:pPr>
    </w:p>
    <w:p>
      <w:pPr>
        <w:ind w:left="490" w:right="20" w:firstLine="1296"/>
        <w:spacing w:after="0" w:line="269" w:lineRule="auto"/>
        <w:rPr>
          <w:sz w:val="20"/>
          <w:szCs w:val="20"/>
          <w:color w:val="auto"/>
        </w:rPr>
      </w:pPr>
      <w:r>
        <w:rPr>
          <w:rFonts w:ascii="Arial" w:cs="Arial" w:eastAsia="Arial" w:hAnsi="Arial"/>
          <w:sz w:val="22"/>
          <w:szCs w:val="22"/>
          <w:b w:val="1"/>
          <w:bCs w:val="1"/>
          <w:color w:val="auto"/>
        </w:rPr>
        <w:t xml:space="preserve">“Unadjusted Benchmark Replacement” </w:t>
      </w:r>
      <w:r>
        <w:rPr>
          <w:rFonts w:ascii="Arial" w:cs="Arial" w:eastAsia="Arial" w:hAnsi="Arial"/>
          <w:sz w:val="22"/>
          <w:szCs w:val="22"/>
          <w:color w:val="auto"/>
        </w:rPr>
        <w:t>means the applicable Benchmark Replacement excluding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Benchmark Replacement Adjustment.</w:t>
      </w:r>
    </w:p>
    <w:p>
      <w:pPr>
        <w:spacing w:after="0" w:line="162" w:lineRule="exact"/>
        <w:rPr>
          <w:sz w:val="20"/>
          <w:szCs w:val="20"/>
          <w:color w:val="auto"/>
        </w:rPr>
      </w:pPr>
    </w:p>
    <w:p>
      <w:pPr>
        <w:ind w:left="1790"/>
        <w:spacing w:after="0"/>
        <w:rPr>
          <w:sz w:val="20"/>
          <w:szCs w:val="20"/>
          <w:color w:val="auto"/>
        </w:rPr>
      </w:pPr>
      <w:r>
        <w:rPr>
          <w:rFonts w:ascii="Arial" w:cs="Arial" w:eastAsia="Arial" w:hAnsi="Arial"/>
          <w:sz w:val="22"/>
          <w:szCs w:val="22"/>
          <w:b w:val="1"/>
          <w:bCs w:val="1"/>
          <w:color w:val="auto"/>
        </w:rPr>
        <w:t xml:space="preserve">“USD LIBOR” </w:t>
      </w:r>
      <w:r>
        <w:rPr>
          <w:rFonts w:ascii="Arial" w:cs="Arial" w:eastAsia="Arial" w:hAnsi="Arial"/>
          <w:sz w:val="22"/>
          <w:szCs w:val="22"/>
          <w:color w:val="auto"/>
        </w:rPr>
        <w:t>means the London interbank offered rate for U.S. dollars.</w:t>
      </w:r>
    </w:p>
    <w:p>
      <w:pPr>
        <w:spacing w:after="0" w:line="220" w:lineRule="exact"/>
        <w:rPr>
          <w:sz w:val="20"/>
          <w:szCs w:val="20"/>
          <w:color w:val="auto"/>
        </w:rPr>
      </w:pPr>
    </w:p>
    <w:p>
      <w:pPr>
        <w:ind w:left="490"/>
        <w:spacing w:after="0"/>
        <w:rPr>
          <w:sz w:val="20"/>
          <w:szCs w:val="20"/>
          <w:color w:val="auto"/>
        </w:rPr>
      </w:pPr>
      <w:r>
        <w:rPr>
          <w:rFonts w:ascii="Arial" w:cs="Arial" w:eastAsia="Arial" w:hAnsi="Arial"/>
          <w:sz w:val="22"/>
          <w:szCs w:val="22"/>
          <w:b w:val="1"/>
          <w:bCs w:val="1"/>
          <w:color w:val="auto"/>
        </w:rPr>
        <w:t>2.19. Increased Costs; Capital Adequacy</w:t>
      </w:r>
      <w:r>
        <w:rPr>
          <w:rFonts w:ascii="Arial" w:cs="Arial" w:eastAsia="Arial" w:hAnsi="Arial"/>
          <w:sz w:val="22"/>
          <w:szCs w:val="22"/>
          <w:color w:val="auto"/>
        </w:rPr>
        <w:t>.</w:t>
      </w:r>
    </w:p>
    <w:p>
      <w:pPr>
        <w:spacing w:after="0" w:line="226" w:lineRule="exact"/>
        <w:rPr>
          <w:sz w:val="20"/>
          <w:szCs w:val="20"/>
          <w:color w:val="auto"/>
        </w:rPr>
      </w:pPr>
    </w:p>
    <w:p>
      <w:pPr>
        <w:jc w:val="both"/>
        <w:ind w:left="10" w:firstLine="1286"/>
        <w:spacing w:after="0" w:line="288" w:lineRule="auto"/>
        <w:tabs>
          <w:tab w:leader="none" w:pos="1627" w:val="left"/>
        </w:tabs>
        <w:numPr>
          <w:ilvl w:val="1"/>
          <w:numId w:val="371"/>
        </w:numPr>
        <w:rPr>
          <w:rFonts w:ascii="Arial" w:cs="Arial" w:eastAsia="Arial" w:hAnsi="Arial"/>
          <w:sz w:val="19"/>
          <w:szCs w:val="19"/>
          <w:color w:val="auto"/>
        </w:rPr>
      </w:pPr>
      <w:r>
        <w:rPr>
          <w:rFonts w:ascii="Arial" w:cs="Arial" w:eastAsia="Arial" w:hAnsi="Arial"/>
          <w:sz w:val="19"/>
          <w:szCs w:val="19"/>
          <w:u w:val="single" w:color="auto"/>
          <w:color w:val="auto"/>
        </w:rPr>
        <w:t>Compensation For Increased Costs and Taxes</w:t>
      </w:r>
      <w:r>
        <w:rPr>
          <w:rFonts w:ascii="Arial" w:cs="Arial" w:eastAsia="Arial" w:hAnsi="Arial"/>
          <w:sz w:val="19"/>
          <w:szCs w:val="19"/>
          <w:color w:val="auto"/>
        </w:rPr>
        <w:t>. Subject to the provisions of Section 2.20 (which shall be controlling with respect to the matters covered thereby), in the event that any Change in Law: (i) subjects such Lender (or its applicable lending office) or any company controlling such Lender to any additional Taxes (other than (A) Indemnified Taxes,</w:t>
      </w:r>
    </w:p>
    <w:p>
      <w:pPr>
        <w:jc w:val="both"/>
        <w:ind w:left="10" w:hanging="10"/>
        <w:spacing w:after="0" w:line="284" w:lineRule="auto"/>
        <w:tabs>
          <w:tab w:leader="none" w:pos="373" w:val="left"/>
        </w:tabs>
        <w:numPr>
          <w:ilvl w:val="0"/>
          <w:numId w:val="372"/>
        </w:numPr>
        <w:rPr>
          <w:rFonts w:ascii="Arial" w:cs="Arial" w:eastAsia="Arial" w:hAnsi="Arial"/>
          <w:sz w:val="19"/>
          <w:szCs w:val="19"/>
          <w:color w:val="auto"/>
        </w:rPr>
      </w:pPr>
      <w:r>
        <w:rPr>
          <w:rFonts w:ascii="Arial" w:cs="Arial" w:eastAsia="Arial" w:hAnsi="Arial"/>
          <w:sz w:val="19"/>
          <w:szCs w:val="19"/>
          <w:color w:val="auto"/>
        </w:rPr>
        <w:t>Taxes described in clauses (b) through (d) of the definition of Excluded Taxes and (C) Connection Income Taxes) with respect to this Agreement or any of the other Credit Documents or any of its obligations hereunder or thereunder or any payments to such Lender (or its applicable lending office) of principal, interest, fees or any other amount payable hereunder; (ii) imposes, modifies or holds applicable any reserve (including any marginal, emergency, supplemental, special or other reserve), special deposit, liquidity, compulsory loan, FDIC insurance or similar requirement against assets held by, or deposits or other liabilities in or for the account of, or advances or loans by, or other credit extended by, or any other acquisition of funds by, any office of such Lender (other than any such reserve or other requirements with respect to Eurodollar Rate Loans that are reflected in the definition of “Adjusted Eurodollar Rate”) or any company controlling such Lender; or (iii) imposes any other condition (other than with respect to a Tax matter) on or affecting such Lender (or its applicable lending office) or any company controlling such Lender or such Lender’s obligations hereunder or the London interbank market; and the result of any of the foregoing is to increase the cost to such Lender of agreeing to make, making or maintaining Loans hereunder or to reduce any amount received or receivable by such Lender (or its applicable lending office) with respect thereto; then, in any such case, Borrower shall pay to such Lender, within 10 Business Days after receipt of the statement referred to in the next sentence, such additional amount or amounts (in the form of an increased rate of, or a different method of calculating, interest or in a lump sum or otherwise as such Lender in its sole discretion shall determine) as may be necessary to compensate such Lender for any such increased cost or reduction in amounts received or receivable hereunder. Such Lender shall deliver to Borrower (with a copy to Administrative Agent) a written statement, setting forth in reasonable detail the basis for calculating the additional amounts owed to such Lender under this Section 2.19(a), which statement shall be conclusive and binding upon all parties hereto absent manifest error.</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10" w:firstLine="1286"/>
        <w:spacing w:after="0" w:line="263" w:lineRule="auto"/>
        <w:tabs>
          <w:tab w:leader="none" w:pos="1639" w:val="left"/>
        </w:tabs>
        <w:numPr>
          <w:ilvl w:val="1"/>
          <w:numId w:val="372"/>
        </w:numPr>
        <w:rPr>
          <w:rFonts w:ascii="Arial" w:cs="Arial" w:eastAsia="Arial" w:hAnsi="Arial"/>
          <w:sz w:val="22"/>
          <w:szCs w:val="22"/>
          <w:color w:val="auto"/>
        </w:rPr>
      </w:pPr>
      <w:r>
        <w:rPr>
          <w:rFonts w:ascii="Arial" w:cs="Arial" w:eastAsia="Arial" w:hAnsi="Arial"/>
          <w:sz w:val="22"/>
          <w:szCs w:val="22"/>
          <w:u w:val="single" w:color="auto"/>
          <w:color w:val="auto"/>
        </w:rPr>
        <w:t>Capital Adequacy and Liquidity Adjustment</w:t>
      </w:r>
      <w:r>
        <w:rPr>
          <w:rFonts w:ascii="Arial" w:cs="Arial" w:eastAsia="Arial" w:hAnsi="Arial"/>
          <w:sz w:val="22"/>
          <w:szCs w:val="22"/>
          <w:color w:val="auto"/>
        </w:rPr>
        <w:t>. In the event that (i) any Change in Law regarding capital adequacy or liquidity or (ii) compliance by any Lender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070"/>
          </w:cols>
          <w:pgMar w:left="490" w:top="1427" w:right="339" w:bottom="1440" w:gutter="0" w:footer="0" w:header="0"/>
        </w:sectPr>
      </w:pPr>
    </w:p>
    <w:bookmarkStart w:id="507" w:name="page508"/>
    <w:bookmarkEnd w:id="507"/>
    <w:p>
      <w:pPr>
        <w:jc w:val="both"/>
        <w:spacing w:after="0" w:line="258" w:lineRule="auto"/>
        <w:rPr>
          <w:sz w:val="20"/>
          <w:szCs w:val="20"/>
          <w:color w:val="auto"/>
        </w:rPr>
      </w:pPr>
      <w:r>
        <w:rPr>
          <w:rFonts w:ascii="Arial" w:cs="Arial" w:eastAsia="Arial" w:hAnsi="Arial"/>
          <w:sz w:val="21"/>
          <w:szCs w:val="21"/>
          <w:color w:val="auto"/>
        </w:rPr>
        <w:t>applicable lending office) or any company controlling such Lender with any Change in Law regarding capital adequacy or liquidity, has or would have the effect of reducing the rate of return on the capital of such Lender or any company controlling such Lender as a consequence of, or with reference to, such Lender’s Loans or participations therein or other obligations hereunder with respect to the Loans to a level below that which such Lender or such controlling company could have achieved but for such Change in Law (taking into consideration the policies of such Lender or such controlling company with regard to capital adequacy and liquidity), then from time to time, within five Business Days after receipt by Borrower from such Lender of the statement referred to in the next sentence, Borrower shall pay to such Lender such additional amount or amounts as will compensate such Lender or such controlling company on an after-tax basis for such reduction. Such Lender shall deliver to Borrower (with a copy to Administrative Agent) a written statement, setting forth in reasonable detail the basis for calculating the additional amounts owed to Lender under this Section 2.19(b), which statement shall be conclusive and binding upon all parties hereto absent manifest error.</w:t>
      </w:r>
    </w:p>
    <w:p>
      <w:pPr>
        <w:spacing w:after="0" w:line="182" w:lineRule="exact"/>
        <w:rPr>
          <w:sz w:val="20"/>
          <w:szCs w:val="20"/>
          <w:color w:val="auto"/>
        </w:rPr>
      </w:pPr>
    </w:p>
    <w:p>
      <w:pPr>
        <w:jc w:val="both"/>
        <w:ind w:firstLine="1286"/>
        <w:spacing w:after="0" w:line="246" w:lineRule="auto"/>
        <w:tabs>
          <w:tab w:leader="none" w:pos="1617" w:val="left"/>
        </w:tabs>
        <w:numPr>
          <w:ilvl w:val="0"/>
          <w:numId w:val="373"/>
        </w:numPr>
        <w:rPr>
          <w:rFonts w:ascii="Arial" w:cs="Arial" w:eastAsia="Arial" w:hAnsi="Arial"/>
          <w:sz w:val="22"/>
          <w:szCs w:val="22"/>
          <w:color w:val="auto"/>
        </w:rPr>
      </w:pPr>
      <w:r>
        <w:rPr>
          <w:rFonts w:ascii="Arial" w:cs="Arial" w:eastAsia="Arial" w:hAnsi="Arial"/>
          <w:sz w:val="22"/>
          <w:szCs w:val="22"/>
          <w:u w:val="single" w:color="auto"/>
          <w:color w:val="auto"/>
        </w:rPr>
        <w:t>Delay in Requests</w:t>
      </w:r>
      <w:r>
        <w:rPr>
          <w:rFonts w:ascii="Arial" w:cs="Arial" w:eastAsia="Arial" w:hAnsi="Arial"/>
          <w:sz w:val="22"/>
          <w:szCs w:val="22"/>
          <w:color w:val="auto"/>
        </w:rPr>
        <w:t xml:space="preserve">. Failure or delay on the part of any Lender to demand compensation pursuant to this Section shall not constitute a waiver of such Lender’s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Borrower shall not be required to compensate a Lender pursuant to this Section for any increased costs incurred or reductions suffered more than three months prior to the date that such Lender notifies Borrower of the Change in Law giving rise to such increased costs or reductions, and of such Lender’s intention to claim compensation therefor (except that, if the Change in Law giving rise to such increased costs or reductions is retroactive, then the three-month period referred to above shall be extended to include the period of retroactive effect thereof).</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2.20. Taxes; Withholding, Etc.</w:t>
      </w:r>
    </w:p>
    <w:p>
      <w:pPr>
        <w:spacing w:after="0" w:line="226" w:lineRule="exact"/>
        <w:rPr>
          <w:sz w:val="20"/>
          <w:szCs w:val="20"/>
          <w:color w:val="auto"/>
        </w:rPr>
      </w:pPr>
    </w:p>
    <w:p>
      <w:pPr>
        <w:jc w:val="both"/>
        <w:ind w:firstLine="1286"/>
        <w:spacing w:after="0" w:line="271" w:lineRule="auto"/>
        <w:tabs>
          <w:tab w:leader="none" w:pos="1603" w:val="left"/>
        </w:tabs>
        <w:numPr>
          <w:ilvl w:val="0"/>
          <w:numId w:val="374"/>
        </w:numPr>
        <w:rPr>
          <w:rFonts w:ascii="Arial" w:cs="Arial" w:eastAsia="Arial" w:hAnsi="Arial"/>
          <w:sz w:val="21"/>
          <w:szCs w:val="21"/>
          <w:color w:val="auto"/>
        </w:rPr>
      </w:pPr>
      <w:r>
        <w:rPr>
          <w:rFonts w:ascii="Arial" w:cs="Arial" w:eastAsia="Arial" w:hAnsi="Arial"/>
          <w:sz w:val="21"/>
          <w:szCs w:val="21"/>
          <w:u w:val="single" w:color="auto"/>
          <w:color w:val="auto"/>
        </w:rPr>
        <w:t>Payments to Be Free and Clear</w:t>
      </w:r>
      <w:r>
        <w:rPr>
          <w:rFonts w:ascii="Arial" w:cs="Arial" w:eastAsia="Arial" w:hAnsi="Arial"/>
          <w:sz w:val="21"/>
          <w:szCs w:val="21"/>
          <w:color w:val="auto"/>
        </w:rPr>
        <w:t>. All sums payable by or on behalf of any Credit Party hereunder and under the other Credit Documents shall (except to the extent required by law) be paid free and clear of, and without any deduction or withholding on account of, any Tax (other than a Tax on the overall net income of any Lender).</w:t>
      </w:r>
    </w:p>
    <w:p>
      <w:pPr>
        <w:spacing w:after="0" w:line="167" w:lineRule="exact"/>
        <w:rPr>
          <w:rFonts w:ascii="Arial" w:cs="Arial" w:eastAsia="Arial" w:hAnsi="Arial"/>
          <w:sz w:val="21"/>
          <w:szCs w:val="21"/>
          <w:color w:val="auto"/>
        </w:rPr>
      </w:pPr>
    </w:p>
    <w:p>
      <w:pPr>
        <w:jc w:val="both"/>
        <w:ind w:firstLine="1286"/>
        <w:spacing w:after="0" w:line="289" w:lineRule="auto"/>
        <w:tabs>
          <w:tab w:leader="none" w:pos="1615" w:val="left"/>
        </w:tabs>
        <w:numPr>
          <w:ilvl w:val="0"/>
          <w:numId w:val="374"/>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If any Credit Party or any other Person (acting as a withholding agent) is (in such withholding agent’s reasonable good faith discretion) required by law to make any deduction or withholding on account of any such Tax from any sum paid or payable by any Credit Party to Administrative Agent or any Lender under any of the Credit Documents: (i) Borrower shall notify Administrative Agent of any such requirement or any change in any such requirement as soon as Borrower becomes aware of it; (ii) Borrower shall pay, or cause to be paid, any such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then unless otherwise provided on this Section 2.20, the sum payable by such Credit Party in respect of which the relevant deduction, withholding or payment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060"/>
          </w:cols>
          <w:pgMar w:left="500" w:top="1427" w:right="339" w:bottom="1440" w:gutter="0" w:footer="0" w:header="0"/>
        </w:sectPr>
      </w:pPr>
    </w:p>
    <w:bookmarkStart w:id="508" w:name="page509"/>
    <w:bookmarkEnd w:id="508"/>
    <w:p>
      <w:pPr>
        <w:jc w:val="both"/>
        <w:spacing w:after="0" w:line="246" w:lineRule="auto"/>
        <w:rPr>
          <w:sz w:val="20"/>
          <w:szCs w:val="20"/>
          <w:color w:val="auto"/>
        </w:rPr>
      </w:pPr>
      <w:r>
        <w:rPr>
          <w:rFonts w:ascii="Arial" w:cs="Arial" w:eastAsia="Arial" w:hAnsi="Arial"/>
          <w:sz w:val="22"/>
          <w:szCs w:val="22"/>
          <w:color w:val="auto"/>
        </w:rPr>
        <w:t>shall be increased to the extent necessary to ensure that, after the making of that deduction, withholding or payment (including any such Indemnified Tax imposed or asserted on or attributable to amounts payable under this Section 2.20), Administrative Agent or such Lender, as the case may be, receives on the due date a net sum equal to what it would have received had no such deduction, withholding or payment been required or made; and (iv) within thirty days after the due date of payment of any Tax which it is required by clause (ii) above to pay, Borrower shall deliver to Administrative Agent evidence satisfactory to the other affected parties of such deduction, withholding or payment and of the remittance thereof to the relevant taxing or other authority.</w:t>
      </w:r>
    </w:p>
    <w:p>
      <w:pPr>
        <w:spacing w:after="0" w:line="196" w:lineRule="exact"/>
        <w:rPr>
          <w:sz w:val="20"/>
          <w:szCs w:val="20"/>
          <w:color w:val="auto"/>
        </w:rPr>
      </w:pPr>
    </w:p>
    <w:p>
      <w:pPr>
        <w:jc w:val="both"/>
        <w:ind w:firstLine="1286"/>
        <w:spacing w:after="0" w:line="286" w:lineRule="auto"/>
        <w:tabs>
          <w:tab w:leader="none" w:pos="1565" w:val="left"/>
        </w:tabs>
        <w:numPr>
          <w:ilvl w:val="0"/>
          <w:numId w:val="375"/>
        </w:numPr>
        <w:rPr>
          <w:rFonts w:ascii="Arial" w:cs="Arial" w:eastAsia="Arial" w:hAnsi="Arial"/>
          <w:sz w:val="18"/>
          <w:szCs w:val="18"/>
          <w:color w:val="auto"/>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 Any Lender that is entitled to an exemption from or reduction of withholding with respect to payments made under any Credit Document shall deliver to Administrative Agent for transmission to Borrower,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or Administrative Agent (each in the reasonable exercise of its discretion),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(c)(ii) and (d)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rFonts w:ascii="Arial" w:cs="Arial" w:eastAsia="Arial" w:hAnsi="Arial"/>
          <w:sz w:val="18"/>
          <w:szCs w:val="18"/>
          <w:color w:val="auto"/>
        </w:rPr>
      </w:pPr>
    </w:p>
    <w:p>
      <w:pPr>
        <w:jc w:val="both"/>
        <w:ind w:firstLine="1286"/>
        <w:spacing w:after="0" w:line="257" w:lineRule="auto"/>
        <w:tabs>
          <w:tab w:leader="none" w:pos="1602" w:val="left"/>
        </w:tabs>
        <w:numPr>
          <w:ilvl w:val="0"/>
          <w:numId w:val="375"/>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the foregoing, each Lender that is not a United States person (as such term is defined in Section 7701(a)(30) of the Internal Revenue Code) for U.S. federal income tax purposes (a </w:t>
      </w:r>
      <w:r>
        <w:rPr>
          <w:rFonts w:ascii="Arial" w:cs="Arial" w:eastAsia="Arial" w:hAnsi="Arial"/>
          <w:sz w:val="21"/>
          <w:szCs w:val="21"/>
          <w:b w:val="1"/>
          <w:bCs w:val="1"/>
          <w:color w:val="auto"/>
        </w:rPr>
        <w:t>“Non-US Lender”</w:t>
      </w:r>
      <w:r>
        <w:rPr>
          <w:rFonts w:ascii="Arial" w:cs="Arial" w:eastAsia="Arial" w:hAnsi="Arial"/>
          <w:sz w:val="21"/>
          <w:szCs w:val="21"/>
          <w:color w:val="auto"/>
        </w:rPr>
        <w:t>) shall deliver to Administrative Agent for transmission to Borrower,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or Administrative Agent (each in the reasonable exercise of its discretion), (i) two original copies of Internal Revenue Service Form W-8BEN, W-8BEN-E, W-8ECI, W-8EXP and/or W-8IMY (or, in each case, any successor forms), properly completed and duly executed by such Lender, and such other documentation required under the Internal Revenue Code and reasonably requested by Borrower to establish that such Lender is not subject to (or is subject to a reduced rate of) deduction or withholding of United States federal income tax with respect to any payments to such Lender of principal, interest, fees or other amounts payable under any of the Credit Documents, or (ii) if such Lender is not a “bank” or other Person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060"/>
          </w:cols>
          <w:pgMar w:left="500" w:top="1427" w:right="339" w:bottom="1440" w:gutter="0" w:footer="0" w:header="0"/>
        </w:sectPr>
      </w:pPr>
    </w:p>
    <w:bookmarkStart w:id="509" w:name="page510"/>
    <w:bookmarkEnd w:id="509"/>
    <w:p>
      <w:pPr>
        <w:jc w:val="both"/>
        <w:spacing w:after="0" w:line="284" w:lineRule="auto"/>
        <w:rPr>
          <w:sz w:val="20"/>
          <w:szCs w:val="20"/>
          <w:color w:val="auto"/>
        </w:rPr>
      </w:pPr>
      <w:r>
        <w:rPr>
          <w:rFonts w:ascii="Arial" w:cs="Arial" w:eastAsia="Arial" w:hAnsi="Arial"/>
          <w:sz w:val="19"/>
          <w:szCs w:val="19"/>
          <w:color w:val="auto"/>
        </w:rPr>
        <w:t xml:space="preserve">Section 881(c)(3) of the Internal Revenue Code, a U.S. Tax Compliance Certificate together with two original copies of Internal Revenue Service Form W-8BEN or W-8BEN-E or W-8IMY (or any successor form), properly completed and duly executed by such Lender, and such other documentation required under the Internal Revenue Code and reasonably requested by Borrower to establish that such Lender is not subject to (or is subject to a reduced rate of) deduction or withholding of United States federal income tax with respect to any payments to such Lender of interest payable under any of the Credit Documents. Each Lender that is a United States person (as such term is defined in Section 7701(a)(30) of the Internal Revenue Code) for United States federal income tax purposes (a </w:t>
      </w:r>
      <w:r>
        <w:rPr>
          <w:rFonts w:ascii="Arial" w:cs="Arial" w:eastAsia="Arial" w:hAnsi="Arial"/>
          <w:sz w:val="19"/>
          <w:szCs w:val="19"/>
          <w:b w:val="1"/>
          <w:bCs w:val="1"/>
          <w:color w:val="auto"/>
        </w:rPr>
        <w:t>“U.S. Lender”</w:t>
      </w:r>
      <w:r>
        <w:rPr>
          <w:rFonts w:ascii="Arial" w:cs="Arial" w:eastAsia="Arial" w:hAnsi="Arial"/>
          <w:sz w:val="19"/>
          <w:szCs w:val="19"/>
          <w:color w:val="auto"/>
        </w:rPr>
        <w:t>) shall deliver to Administrative Agent and Borrower on or prior to the Closing Date (or, if later, on or prior to the date on which such Lender becomes a party to this Agreement) two original copies of Internal Revenue Service Form W-9 (or any successor form), properly completed and duly executed by such Lender, certifying that such U.S. Lender is entitled to an exemption from United States backup withholding tax, or otherwise prove that it is entitled to such an exemption. Each Lender required to deliver any forms, certificates or other evidence with respect to United States federal income tax withholding matters pursuant to this Section 2.20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Administrative Agent for transmission to Borrower two new original copies of Internal Revenue Service Form W-8BEN, W-8BEN-E, W-8ECI, W-8EXP, W-8IMY and/or W-9 (or, in each case, any successor form), or a U.S. Tax Compliance Certificate and two original copies of Internal Revenue Service Form W-8BEN or W-8BEN-E or W-8IMY (or, in each case, any successor form), as the case may be, properly completed and duly executed by such Lender, and such other documentation required under the Internal Revenue Code and reasonably requested by Borrower to confirm or establish that such Lender is not subject to deduction or withholding of United States federal income tax with respect to payments to such Lender under the Credit Documents, or notify Administrative Agent and Borrower of its inability to deliver any such forms, certificates or other evidence.</w:t>
      </w:r>
    </w:p>
    <w:p>
      <w:pPr>
        <w:spacing w:after="0" w:line="200" w:lineRule="exact"/>
        <w:rPr>
          <w:sz w:val="20"/>
          <w:szCs w:val="20"/>
          <w:color w:val="auto"/>
        </w:rPr>
      </w:pPr>
    </w:p>
    <w:p>
      <w:pPr>
        <w:spacing w:after="0" w:line="230" w:lineRule="exact"/>
        <w:rPr>
          <w:sz w:val="20"/>
          <w:szCs w:val="20"/>
          <w:color w:val="auto"/>
        </w:rPr>
      </w:pPr>
    </w:p>
    <w:p>
      <w:pPr>
        <w:jc w:val="both"/>
        <w:ind w:firstLine="1286"/>
        <w:spacing w:after="0" w:line="258" w:lineRule="auto"/>
        <w:tabs>
          <w:tab w:leader="none" w:pos="1590" w:val="left"/>
        </w:tabs>
        <w:numPr>
          <w:ilvl w:val="0"/>
          <w:numId w:val="376"/>
        </w:numPr>
        <w:rPr>
          <w:rFonts w:ascii="Arial" w:cs="Arial" w:eastAsia="Arial" w:hAnsi="Arial"/>
          <w:sz w:val="21"/>
          <w:szCs w:val="21"/>
          <w:color w:val="auto"/>
        </w:rPr>
      </w:pPr>
      <w:r>
        <w:rPr>
          <w:rFonts w:ascii="Arial" w:cs="Arial" w:eastAsia="Arial" w:hAnsi="Arial"/>
          <w:sz w:val="21"/>
          <w:szCs w:val="21"/>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Internal Revenue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060"/>
          </w:cols>
          <w:pgMar w:left="500" w:top="1427" w:right="339" w:bottom="1440" w:gutter="0" w:footer="0" w:header="0"/>
        </w:sectPr>
      </w:pPr>
    </w:p>
    <w:bookmarkStart w:id="510" w:name="page511"/>
    <w:bookmarkEnd w:id="510"/>
    <w:p>
      <w:pPr>
        <w:jc w:val="both"/>
        <w:ind w:left="10" w:firstLine="1286"/>
        <w:spacing w:after="0" w:line="250" w:lineRule="auto"/>
        <w:tabs>
          <w:tab w:leader="none" w:pos="1576" w:val="left"/>
        </w:tabs>
        <w:numPr>
          <w:ilvl w:val="1"/>
          <w:numId w:val="377"/>
        </w:numPr>
        <w:rPr>
          <w:rFonts w:ascii="Arial" w:cs="Arial" w:eastAsia="Arial" w:hAnsi="Arial"/>
          <w:sz w:val="22"/>
          <w:szCs w:val="22"/>
          <w:color w:val="auto"/>
        </w:rPr>
      </w:pPr>
      <w:r>
        <w:rPr>
          <w:rFonts w:ascii="Arial" w:cs="Arial" w:eastAsia="Arial" w:hAnsi="Arial"/>
          <w:sz w:val="22"/>
          <w:szCs w:val="22"/>
          <w:color w:val="auto"/>
        </w:rPr>
        <w:t>Without limiting the provisions of Section 2.20(b), Borrower shall timely pay all Other Taxes to the relevant Governmental Authorities in accordance with applicable law. Borrower shall deliver to Administrative Agent official receipts or other evidence of such payment reasonably satisfactory to Administrative Agent in respect of any Other Taxes payable hereunder promptly after payment of such Other Taxes.</w:t>
      </w:r>
    </w:p>
    <w:p>
      <w:pPr>
        <w:spacing w:after="0" w:line="187" w:lineRule="exact"/>
        <w:rPr>
          <w:rFonts w:ascii="Arial" w:cs="Arial" w:eastAsia="Arial" w:hAnsi="Arial"/>
          <w:sz w:val="22"/>
          <w:szCs w:val="22"/>
          <w:color w:val="auto"/>
        </w:rPr>
      </w:pPr>
    </w:p>
    <w:p>
      <w:pPr>
        <w:jc w:val="both"/>
        <w:ind w:left="10" w:firstLine="1286"/>
        <w:spacing w:after="0" w:line="259" w:lineRule="auto"/>
        <w:tabs>
          <w:tab w:leader="none" w:pos="1612" w:val="left"/>
        </w:tabs>
        <w:numPr>
          <w:ilvl w:val="1"/>
          <w:numId w:val="377"/>
        </w:numPr>
        <w:rPr>
          <w:rFonts w:ascii="Arial" w:cs="Arial" w:eastAsia="Arial" w:hAnsi="Arial"/>
          <w:sz w:val="21"/>
          <w:szCs w:val="21"/>
          <w:color w:val="auto"/>
        </w:rPr>
      </w:pPr>
      <w:r>
        <w:rPr>
          <w:rFonts w:ascii="Arial" w:cs="Arial" w:eastAsia="Arial" w:hAnsi="Arial"/>
          <w:sz w:val="21"/>
          <w:szCs w:val="21"/>
          <w:color w:val="auto"/>
        </w:rPr>
        <w:t>Borrower shall indemnify Administrative Agent and any Lender for the full amount of Indemnified Taxes for which additional amounts are required to be paid pursuant to Section 2.20(b) arising in connection with payments made under this Agreement or any other Credit Document (including any such Indemnified Taxes imposed or asserted on or attributable to amounts payable under this Section 2.20) paid or payable by Administrative Agent or Lender or any of their respective Affiliates and any reasonable expenses arising therefrom or with respect thereto, whether or not such Indemnified Taxes were correctly or legally imposed or asserted by the relevant Governmental Authority. A certificate as to the amount of such payment or liability delivered to such Credit Party shall be conclusive absent manifest error. Such payment shall be due within ten (10) days of such Credit Party’s receipt of such certificate.</w:t>
      </w:r>
    </w:p>
    <w:p>
      <w:pPr>
        <w:spacing w:after="0" w:line="183" w:lineRule="exact"/>
        <w:rPr>
          <w:rFonts w:ascii="Arial" w:cs="Arial" w:eastAsia="Arial" w:hAnsi="Arial"/>
          <w:sz w:val="21"/>
          <w:szCs w:val="21"/>
          <w:color w:val="auto"/>
        </w:rPr>
      </w:pPr>
    </w:p>
    <w:p>
      <w:pPr>
        <w:jc w:val="both"/>
        <w:ind w:left="10" w:firstLine="1286"/>
        <w:spacing w:after="0" w:line="285" w:lineRule="auto"/>
        <w:tabs>
          <w:tab w:leader="none" w:pos="1612" w:val="left"/>
        </w:tabs>
        <w:numPr>
          <w:ilvl w:val="1"/>
          <w:numId w:val="377"/>
        </w:numPr>
        <w:rPr>
          <w:rFonts w:ascii="Arial" w:cs="Arial" w:eastAsia="Arial" w:hAnsi="Arial"/>
          <w:sz w:val="19"/>
          <w:szCs w:val="19"/>
          <w:color w:val="auto"/>
        </w:rPr>
      </w:pPr>
      <w:r>
        <w:rPr>
          <w:rFonts w:ascii="Arial" w:cs="Arial" w:eastAsia="Arial" w:hAnsi="Arial"/>
          <w:sz w:val="19"/>
          <w:szCs w:val="19"/>
          <w:color w:val="auto"/>
        </w:rPr>
        <w:t>Each Lender shall severally indemnify Administrative Agent for (i) Indemnified Taxes for which additional amounts are required to be paid pursuant to Section 2.20(b) arising in connection with payments made under this Agreement or any other Credit Document (including any such Indemnified Taxes imposed or asserted on or attributable to amounts payable under this Section 2.20) attributable to such Lender (but only to the extent that Borrower has not already indemnified Administrative Agent therefor and without limiting the obligation of Borrower to do so), (ii) any Taxes attributable to such Lender’s failure to comply with the provisions of Section 10.6(g)(i) relating to the maintenance of a Participant Register and</w:t>
      </w:r>
    </w:p>
    <w:p>
      <w:pPr>
        <w:jc w:val="both"/>
        <w:ind w:left="10" w:hanging="10"/>
        <w:spacing w:after="0" w:line="257" w:lineRule="auto"/>
        <w:tabs>
          <w:tab w:leader="none" w:pos="389" w:val="left"/>
        </w:tabs>
        <w:numPr>
          <w:ilvl w:val="0"/>
          <w:numId w:val="378"/>
        </w:numPr>
        <w:rPr>
          <w:rFonts w:ascii="Arial" w:cs="Arial" w:eastAsia="Arial" w:hAnsi="Arial"/>
          <w:sz w:val="21"/>
          <w:szCs w:val="21"/>
          <w:color w:val="auto"/>
        </w:rPr>
      </w:pPr>
      <w:r>
        <w:rPr>
          <w:rFonts w:ascii="Arial" w:cs="Arial" w:eastAsia="Arial" w:hAnsi="Arial"/>
          <w:sz w:val="21"/>
          <w:szCs w:val="21"/>
          <w:color w:val="auto"/>
        </w:rPr>
        <w:t>any Taxes on overall net income attributable to such Lender, in each case, that are payable or paid by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Such payment shall be due within ten (10) days of such Lender’s receipt of such certificate. Each Lender hereby authorizes Administrative Agent to set off and apply any and all amounts at any time owing to such Lender under any Credit Document or otherwise payable by Administrative Agent to such Lender from any other source against any amount due to Administrative Agent under this paragraph (g).</w:t>
      </w:r>
    </w:p>
    <w:p>
      <w:pPr>
        <w:spacing w:after="0" w:line="181" w:lineRule="exact"/>
        <w:rPr>
          <w:rFonts w:ascii="Arial" w:cs="Arial" w:eastAsia="Arial" w:hAnsi="Arial"/>
          <w:sz w:val="21"/>
          <w:szCs w:val="21"/>
          <w:color w:val="auto"/>
        </w:rPr>
      </w:pPr>
    </w:p>
    <w:p>
      <w:pPr>
        <w:jc w:val="both"/>
        <w:ind w:left="10" w:firstLine="1286"/>
        <w:spacing w:after="0" w:line="247" w:lineRule="auto"/>
        <w:tabs>
          <w:tab w:leader="none" w:pos="1577" w:val="left"/>
        </w:tabs>
        <w:numPr>
          <w:ilvl w:val="1"/>
          <w:numId w:val="378"/>
        </w:numPr>
        <w:rPr>
          <w:rFonts w:ascii="Arial" w:cs="Arial" w:eastAsia="Arial" w:hAnsi="Arial"/>
          <w:sz w:val="22"/>
          <w:szCs w:val="22"/>
          <w:color w:val="auto"/>
        </w:rPr>
      </w:pPr>
      <w:r>
        <w:rPr>
          <w:rFonts w:ascii="Arial" w:cs="Arial" w:eastAsia="Arial" w:hAnsi="Arial"/>
          <w:sz w:val="22"/>
          <w:szCs w:val="22"/>
          <w:color w:val="auto"/>
        </w:rPr>
        <w:t>If any party determines, in its sole discretion exercised in good faith, that it has received a refund of any Taxes as to which it has been indemnified pursuant to this Section 2.20 (including additional amounts pursuant to this Section 2.20), it shall pay to the indemnifying party an amount equal to such refund (but only to the extent of indemnity payments made under this Section 2.20 with respect to the Taxes giving rise to such refund), net of all out-of-pocket expenses (including Taxes) of such indemnified party and without interest (other than any interest paid by the relevant Governmental Authority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070"/>
          </w:cols>
          <w:pgMar w:left="490" w:top="1427" w:right="339" w:bottom="1440" w:gutter="0" w:footer="0" w:header="0"/>
        </w:sectPr>
      </w:pPr>
    </w:p>
    <w:bookmarkStart w:id="511" w:name="page512"/>
    <w:bookmarkEnd w:id="511"/>
    <w:p>
      <w:pPr>
        <w:jc w:val="both"/>
        <w:ind w:left="180"/>
        <w:spacing w:after="0" w:line="258" w:lineRule="auto"/>
        <w:rPr>
          <w:sz w:val="20"/>
          <w:szCs w:val="20"/>
          <w:color w:val="auto"/>
        </w:rPr>
      </w:pPr>
      <w:r>
        <w:rPr>
          <w:rFonts w:ascii="Arial" w:cs="Arial" w:eastAsia="Arial" w:hAnsi="Arial"/>
          <w:sz w:val="21"/>
          <w:szCs w:val="21"/>
          <w:color w:val="auto"/>
        </w:rPr>
        <w:t>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9" w:lineRule="exact"/>
        <w:rPr>
          <w:sz w:val="20"/>
          <w:szCs w:val="20"/>
          <w:color w:val="auto"/>
        </w:rPr>
      </w:pPr>
    </w:p>
    <w:p>
      <w:pPr>
        <w:ind w:right="40" w:firstLine="648"/>
        <w:spacing w:after="0" w:line="258" w:lineRule="auto"/>
        <w:rPr>
          <w:sz w:val="20"/>
          <w:szCs w:val="20"/>
          <w:color w:val="auto"/>
        </w:rPr>
      </w:pPr>
      <w:r>
        <w:rPr>
          <w:rFonts w:ascii="Arial" w:cs="Arial" w:eastAsia="Arial" w:hAnsi="Arial"/>
          <w:sz w:val="21"/>
          <w:szCs w:val="21"/>
          <w:b w:val="1"/>
          <w:bCs w:val="1"/>
          <w:color w:val="auto"/>
        </w:rPr>
        <w:t>2.21. Obligation to Mitigate</w:t>
      </w:r>
      <w:r>
        <w:rPr>
          <w:rFonts w:ascii="Arial" w:cs="Arial" w:eastAsia="Arial" w:hAnsi="Arial"/>
          <w:sz w:val="21"/>
          <w:szCs w:val="21"/>
          <w:color w:val="auto"/>
        </w:rPr>
        <w:t>. Each Lender agrees that, if such Lender requests payment under Section 2.18, 2.19 or 2.20,</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then such Lender will, to the extent not inconsistent with any applicable legal or regulatory restrictions, use reasonable efforts to make, issue, fund or maintain its Credit Extensions, including any Affected Loans, through another office of such Lender if, as a result thereof, the additional amounts payable to such Lender pursuant to Section 2.18, 2.19 or 2.20, as the case may be, in the future would be eliminated or reduced and if, as determined by such Lender in its reasonable judgment, the making, issuing, funding or maintaining of such Loans through such other office or in accordance with such other measures, as the case may be, would not otherwise adversely affect such Loans or the interests of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such Lender will not be obligated to utilize such other office pursuant to this Section 2.21 unless Borrower agrees to pay all reasonable and documented out-of-pocket expenses incurred by such Lender as a result of utilizing such other office as described above. A certificate as to the amount of any such expenses payable by Borrower pursuant to this Section 2.21 (setting forth in reasonable detail the basis for requesting such amount) submitted by such Lender to Borrower (with a copy to Administrative Agent) shall be conclusive absent manifest error.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2.22. Defaulting Lenders</w:t>
      </w:r>
      <w:r>
        <w:rPr>
          <w:rFonts w:ascii="Arial" w:cs="Arial" w:eastAsia="Arial" w:hAnsi="Arial"/>
          <w:sz w:val="22"/>
          <w:szCs w:val="22"/>
          <w:color w:val="auto"/>
        </w:rPr>
        <w:t>.</w:t>
      </w:r>
    </w:p>
    <w:p>
      <w:pPr>
        <w:spacing w:after="0" w:line="226" w:lineRule="exact"/>
        <w:rPr>
          <w:sz w:val="20"/>
          <w:szCs w:val="20"/>
          <w:color w:val="auto"/>
        </w:rPr>
      </w:pPr>
    </w:p>
    <w:p>
      <w:pPr>
        <w:jc w:val="both"/>
        <w:ind w:left="180" w:firstLine="1286"/>
        <w:spacing w:after="0" w:line="253" w:lineRule="auto"/>
        <w:tabs>
          <w:tab w:leader="none" w:pos="1783" w:val="left"/>
        </w:tabs>
        <w:numPr>
          <w:ilvl w:val="0"/>
          <w:numId w:val="379"/>
        </w:numPr>
        <w:rPr>
          <w:rFonts w:ascii="Arial" w:cs="Arial" w:eastAsia="Arial" w:hAnsi="Arial"/>
          <w:sz w:val="22"/>
          <w:szCs w:val="22"/>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5" w:lineRule="exact"/>
        <w:rPr>
          <w:rFonts w:ascii="Arial" w:cs="Arial" w:eastAsia="Arial" w:hAnsi="Arial"/>
          <w:sz w:val="22"/>
          <w:szCs w:val="22"/>
          <w:color w:val="auto"/>
        </w:rPr>
      </w:pPr>
    </w:p>
    <w:p>
      <w:pPr>
        <w:jc w:val="both"/>
        <w:ind w:left="660" w:firstLine="1292"/>
        <w:spacing w:after="0" w:line="260" w:lineRule="auto"/>
        <w:tabs>
          <w:tab w:leader="none" w:pos="2241" w:val="left"/>
        </w:tabs>
        <w:numPr>
          <w:ilvl w:val="1"/>
          <w:numId w:val="379"/>
        </w:numPr>
        <w:rPr>
          <w:rFonts w:ascii="Arial" w:cs="Arial" w:eastAsia="Arial" w:hAnsi="Arial"/>
          <w:sz w:val="21"/>
          <w:szCs w:val="21"/>
          <w:color w:val="auto"/>
        </w:rPr>
      </w:pPr>
      <w:r>
        <w:rPr>
          <w:rFonts w:ascii="Arial" w:cs="Arial" w:eastAsia="Arial" w:hAnsi="Arial"/>
          <w:sz w:val="21"/>
          <w:szCs w:val="21"/>
          <w:u w:val="single" w:color="auto"/>
          <w:color w:val="auto"/>
        </w:rPr>
        <w:t>Defaulting Lender Waterfall</w:t>
      </w:r>
      <w:r>
        <w:rPr>
          <w:rFonts w:ascii="Arial" w:cs="Arial" w:eastAsia="Arial" w:hAnsi="Arial"/>
          <w:sz w:val="21"/>
          <w:szCs w:val="21"/>
          <w:color w:val="auto"/>
        </w:rPr>
        <w:t xml:space="preserve">. Any payment of principal, interest, fees or other amounts received by Administrative Agent for the account of such Defaulting Lender (whether voluntary or mandatory, at maturity, pursuant to Section 8 or otherwise) or received by Administrative Agent from a Defaulting Lender pursuant to Section 10.4 shall be applied at such time or times as may be determined by Administrative Agent as follows: </w:t>
      </w:r>
      <w:r>
        <w:rPr>
          <w:rFonts w:ascii="Arial" w:cs="Arial" w:eastAsia="Arial" w:hAnsi="Arial"/>
          <w:sz w:val="21"/>
          <w:szCs w:val="21"/>
          <w:i w:val="1"/>
          <w:iCs w:val="1"/>
          <w:color w:val="auto"/>
        </w:rPr>
        <w:t>first</w:t>
      </w:r>
      <w:r>
        <w:rPr>
          <w:rFonts w:ascii="Arial" w:cs="Arial" w:eastAsia="Arial" w:hAnsi="Arial"/>
          <w:sz w:val="21"/>
          <w:szCs w:val="21"/>
          <w:color w:val="auto"/>
        </w:rPr>
        <w:t xml:space="preserve">, to the payment of any amounts owing by such Defaulting Lender to Administrative Agent hereunder; </w:t>
      </w:r>
      <w:r>
        <w:rPr>
          <w:rFonts w:ascii="Arial" w:cs="Arial" w:eastAsia="Arial" w:hAnsi="Arial"/>
          <w:sz w:val="21"/>
          <w:szCs w:val="21"/>
          <w:i w:val="1"/>
          <w:iCs w:val="1"/>
          <w:color w:val="auto"/>
        </w:rPr>
        <w:t>second</w:t>
      </w:r>
      <w:r>
        <w:rPr>
          <w:rFonts w:ascii="Arial" w:cs="Arial" w:eastAsia="Arial" w:hAnsi="Arial"/>
          <w:sz w:val="21"/>
          <w:szCs w:val="21"/>
          <w:color w:val="auto"/>
        </w:rPr>
        <w:t>, , as Borrower may request (so long as no Default or Event of Default shall have occurred and be continuing), to the funding of any Loan in respect of which such Defaulting Lender has failed to fund its portion thereof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7" w:right="339" w:bottom="1440" w:gutter="0" w:footer="0" w:header="0"/>
        </w:sectPr>
      </w:pPr>
    </w:p>
    <w:bookmarkStart w:id="512" w:name="page513"/>
    <w:bookmarkEnd w:id="512"/>
    <w:p>
      <w:pPr>
        <w:jc w:val="both"/>
        <w:ind w:left="480"/>
        <w:spacing w:after="0" w:line="285" w:lineRule="auto"/>
        <w:rPr>
          <w:sz w:val="20"/>
          <w:szCs w:val="20"/>
          <w:color w:val="auto"/>
        </w:rPr>
      </w:pPr>
      <w:r>
        <w:rPr>
          <w:rFonts w:ascii="Arial" w:cs="Arial" w:eastAsia="Arial" w:hAnsi="Arial"/>
          <w:sz w:val="19"/>
          <w:szCs w:val="19"/>
          <w:color w:val="auto"/>
        </w:rPr>
        <w:t xml:space="preserve">required by this Agreement, as determined by Administrative Agent;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Administrative Agent and Borrower, to be held in a Deposit Account and released pro rata in order to satisfy such Defaulting Lender’s potential future funding obligations with respect to Loans under this Agreement;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so long as no Default or Event of Default shall have occurred and be continuing,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in respect of which such Defaulting Lender has not fully funded its appropriate share, and (y) such Loans were made at a time when the conditions set forth in Section 3.2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applicable Commitments. Any payments, prepayments or other amounts paid or payable to a Defaulting Lender that are applied (or held) to pay amounts owed by a Defaulting Lender pursuant to this Section 2.22(a)(i) shall be deemed paid to and redirected by such Defaulting Lender, and each Lender irrevocably consents hereto.</w:t>
      </w:r>
    </w:p>
    <w:p>
      <w:pPr>
        <w:spacing w:after="0" w:line="169" w:lineRule="exact"/>
        <w:rPr>
          <w:sz w:val="20"/>
          <w:szCs w:val="20"/>
          <w:color w:val="auto"/>
        </w:rPr>
      </w:pPr>
    </w:p>
    <w:p>
      <w:pPr>
        <w:ind w:left="2080" w:hanging="308"/>
        <w:spacing w:after="0"/>
        <w:tabs>
          <w:tab w:leader="none" w:pos="2080" w:val="left"/>
        </w:tabs>
        <w:numPr>
          <w:ilvl w:val="1"/>
          <w:numId w:val="380"/>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140" w:hanging="368"/>
        <w:spacing w:after="0"/>
        <w:tabs>
          <w:tab w:leader="none" w:pos="2140" w:val="left"/>
        </w:tabs>
        <w:numPr>
          <w:ilvl w:val="1"/>
          <w:numId w:val="380"/>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jc w:val="both"/>
        <w:ind w:firstLine="1286"/>
        <w:spacing w:after="0" w:line="288" w:lineRule="auto"/>
        <w:tabs>
          <w:tab w:leader="none" w:pos="1602" w:val="left"/>
        </w:tabs>
        <w:numPr>
          <w:ilvl w:val="0"/>
          <w:numId w:val="381"/>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Borrower and Administrative Agent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Loans to be held pro rata by the Lenders in accordance with the applicable Commitments,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59" w:lineRule="exact"/>
        <w:rPr>
          <w:rFonts w:ascii="Arial" w:cs="Arial" w:eastAsia="Arial" w:hAnsi="Arial"/>
          <w:sz w:val="19"/>
          <w:szCs w:val="19"/>
          <w:color w:val="auto"/>
        </w:rPr>
      </w:pPr>
    </w:p>
    <w:p>
      <w:pPr>
        <w:ind w:left="1580" w:hanging="294"/>
        <w:spacing w:after="0"/>
        <w:tabs>
          <w:tab w:leader="none" w:pos="1580" w:val="left"/>
        </w:tabs>
        <w:numPr>
          <w:ilvl w:val="0"/>
          <w:numId w:val="38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600" w:hanging="314"/>
        <w:spacing w:after="0"/>
        <w:tabs>
          <w:tab w:leader="none" w:pos="1600" w:val="left"/>
        </w:tabs>
        <w:numPr>
          <w:ilvl w:val="0"/>
          <w:numId w:val="38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060"/>
          </w:cols>
          <w:pgMar w:left="500" w:top="1427" w:right="339" w:bottom="1440" w:gutter="0" w:footer="0" w:header="0"/>
        </w:sectPr>
      </w:pPr>
    </w:p>
    <w:bookmarkStart w:id="513" w:name="page514"/>
    <w:bookmarkEnd w:id="513"/>
    <w:p>
      <w:pPr>
        <w:ind w:left="180" w:firstLine="1286"/>
        <w:spacing w:after="0" w:line="287" w:lineRule="auto"/>
        <w:tabs>
          <w:tab w:leader="none" w:pos="1797" w:val="left"/>
        </w:tabs>
        <w:numPr>
          <w:ilvl w:val="0"/>
          <w:numId w:val="382"/>
        </w:numPr>
        <w:rPr>
          <w:rFonts w:ascii="Arial" w:cs="Arial" w:eastAsia="Arial" w:hAnsi="Arial"/>
          <w:sz w:val="21"/>
          <w:szCs w:val="21"/>
          <w:color w:val="auto"/>
        </w:rPr>
      </w:pPr>
      <w:r>
        <w:rPr>
          <w:rFonts w:ascii="Arial" w:cs="Arial" w:eastAsia="Arial" w:hAnsi="Arial"/>
          <w:sz w:val="21"/>
          <w:szCs w:val="21"/>
          <w:u w:val="single" w:color="auto"/>
          <w:color w:val="auto"/>
        </w:rPr>
        <w:t>Lender Counterparties</w:t>
      </w:r>
      <w:r>
        <w:rPr>
          <w:rFonts w:ascii="Arial" w:cs="Arial" w:eastAsia="Arial" w:hAnsi="Arial"/>
          <w:sz w:val="21"/>
          <w:szCs w:val="21"/>
          <w:color w:val="auto"/>
        </w:rPr>
        <w:t>. So long as any Lender is a Defaulting Lender, such Lender shall not be a Lender Counterparty with respect to any Hedge Agreement entered into while such Lender was a Defaulting Lender.</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2.23. Removal or Replacement of a Lender</w:t>
      </w:r>
      <w:r>
        <w:rPr>
          <w:rFonts w:ascii="Arial" w:cs="Arial" w:eastAsia="Arial" w:hAnsi="Arial"/>
          <w:sz w:val="19"/>
          <w:szCs w:val="19"/>
          <w:color w:val="auto"/>
        </w:rPr>
        <w:t>. Anything contained herein to the contrary notwithstanding, in the event</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that: (a) (i) any Lender (an </w:t>
      </w:r>
      <w:r>
        <w:rPr>
          <w:rFonts w:ascii="Arial" w:cs="Arial" w:eastAsia="Arial" w:hAnsi="Arial"/>
          <w:sz w:val="19"/>
          <w:szCs w:val="19"/>
          <w:b w:val="1"/>
          <w:bCs w:val="1"/>
          <w:color w:val="auto"/>
        </w:rPr>
        <w:t>“Increased-Cost Lender”</w:t>
      </w:r>
      <w:r>
        <w:rPr>
          <w:rFonts w:ascii="Arial" w:cs="Arial" w:eastAsia="Arial" w:hAnsi="Arial"/>
          <w:sz w:val="19"/>
          <w:szCs w:val="19"/>
          <w:color w:val="auto"/>
        </w:rPr>
        <w:t>) shall give notice to Borrower that such Lender is an Affected Lender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that such Lender is entitled to receive payments under Section 2.19 or 2.20 and (ii) the circumstances which have caused such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Lender to be an Affected Lender or which entitle such Lender to receive such payments shall remain in effect; or (b) any Lender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shall become and continues to be a Defaulting Lender; or (c) in connection with any proposed amendment, modification,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termination, waiver or consent with respect to any of the provisions hereof as contemplated by Section 10.5(b), the consent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Requisite Lenders shall have been obtained but the consent of one or more of such other Lenders (each a </w:t>
      </w:r>
      <w:r>
        <w:rPr>
          <w:rFonts w:ascii="Arial" w:cs="Arial" w:eastAsia="Arial" w:hAnsi="Arial"/>
          <w:sz w:val="19"/>
          <w:szCs w:val="19"/>
          <w:b w:val="1"/>
          <w:bCs w:val="1"/>
          <w:color w:val="auto"/>
        </w:rPr>
        <w:t>“Non-Consenting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Lender”</w:t>
      </w:r>
      <w:r>
        <w:rPr>
          <w:rFonts w:ascii="Arial" w:cs="Arial" w:eastAsia="Arial" w:hAnsi="Arial"/>
          <w:sz w:val="19"/>
          <w:szCs w:val="19"/>
          <w:color w:val="auto"/>
        </w:rPr>
        <w:t>) whose consent is required shall not have been obtained; then, with respect to each such Increased-Cost Lender,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Defaulting Lender or Non-Consenting Lender (the </w:t>
      </w:r>
      <w:r>
        <w:rPr>
          <w:rFonts w:ascii="Arial" w:cs="Arial" w:eastAsia="Arial" w:hAnsi="Arial"/>
          <w:sz w:val="21"/>
          <w:szCs w:val="21"/>
          <w:b w:val="1"/>
          <w:bCs w:val="1"/>
          <w:color w:val="auto"/>
        </w:rPr>
        <w:t>“Terminated Lender”</w:t>
      </w:r>
      <w:r>
        <w:rPr>
          <w:rFonts w:ascii="Arial" w:cs="Arial" w:eastAsia="Arial" w:hAnsi="Arial"/>
          <w:sz w:val="21"/>
          <w:szCs w:val="21"/>
          <w:color w:val="auto"/>
        </w:rPr>
        <w:t>), Borrower may, by giving written notice to</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and any Terminated Lender of its election to do so, elect to cause such Terminated Lender (and such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Terminated Lender hereby irrevocably agrees) to assign its outstanding Loans, if any, in full to one or more Eligible Assignees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(each a </w:t>
      </w:r>
      <w:r>
        <w:rPr>
          <w:rFonts w:ascii="Arial" w:cs="Arial" w:eastAsia="Arial" w:hAnsi="Arial"/>
          <w:sz w:val="19"/>
          <w:szCs w:val="19"/>
          <w:b w:val="1"/>
          <w:bCs w:val="1"/>
          <w:color w:val="auto"/>
        </w:rPr>
        <w:t>“Replacement Lender”</w:t>
      </w:r>
      <w:r>
        <w:rPr>
          <w:rFonts w:ascii="Arial" w:cs="Arial" w:eastAsia="Arial" w:hAnsi="Arial"/>
          <w:sz w:val="19"/>
          <w:szCs w:val="19"/>
          <w:color w:val="auto"/>
        </w:rPr>
        <w:t>) in accordance with the provisions of Section 10.6 and Borrower shall pay the fees, if any,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payable thereunder in connection with any such assignment from an Increased-Cost Lender, a Non-Consenting Lender or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(1) on the date of such assignment, the Replacement Lender shall pay to Terminated Lender an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amount equal to the sum of (A) an amount equal to the principal of, and all accrued interest on, all outstanding Loans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Terminated Lender, (B) an amount equal to all unreimbursed drawings that have been funded by such Terminated Lender,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together with all then unpaid interest with respect thereto at such time and (C) an amount equal to all accrued, but theretofore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unpaid fees owing to such Terminated Lender pursuant to Section 2.11; (2) on the date of such assignment, Borrower shall pay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any amounts payable to such Terminated Lender pursuant to Section 2.18(c), 2.19 or 2.20; (3) such assignment does not conflict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with applicable law; and (4) in the event such Terminated Lender is a Non-Consenting Lender, each Replacement Lender shall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consent, at the time of such assignment, to each matter in respect of which such Terminated Lender was a Non-Consenting</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Lender;. Upon the prepayment of all amounts owing to any Terminated Lender, such Terminated Lender shall no longer</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constitute a “Lender” for purposes hereof; </w:t>
      </w:r>
      <w:r>
        <w:rPr>
          <w:rFonts w:ascii="Arial" w:cs="Arial" w:eastAsia="Arial" w:hAnsi="Arial"/>
          <w:sz w:val="19"/>
          <w:szCs w:val="19"/>
          <w:u w:val="single" w:color="auto"/>
          <w:color w:val="auto"/>
        </w:rPr>
        <w:t>provided</w:t>
      </w:r>
      <w:r>
        <w:rPr>
          <w:rFonts w:ascii="Arial" w:cs="Arial" w:eastAsia="Arial" w:hAnsi="Arial"/>
          <w:sz w:val="19"/>
          <w:szCs w:val="19"/>
          <w:color w:val="auto"/>
        </w:rPr>
        <w:t>, any rights of such Terminated Lender to indemnification hereunder shall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survive as to such Terminated Lender. Each Lender agrees that if Borrower exercises its option hereunder to cause an assignment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by such Lender as a Non-Consenting Lender or Terminated Lender, such Lender shall, promptly after receipt of written notice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election, execute and deliver all documentation necessary to effectuate such assignment in accordance with Section 10.6. In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event that a Lender does not comply with the requirements of the immediately preceding sentence within one Business Day</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after receipt of such notice, each Lender hereby authorizes and directs Administrative Agent to execute and deliver such</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documentation as may be required to give effect to an assignment in accordance with Section 10.6 on behalf of a Non-Consenting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Lender or Terminated Lender and any such documentation so executed by Administrative Agent shall be effective for purposes of</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documenting an assignment pursuant to Section 10.6.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7" w:right="339" w:bottom="1440" w:gutter="0" w:footer="0" w:header="0"/>
        </w:sectPr>
      </w:pPr>
    </w:p>
    <w:bookmarkStart w:id="514" w:name="page515"/>
    <w:bookmarkEnd w:id="514"/>
    <w:p>
      <w:pPr>
        <w:spacing w:after="0" w:line="263" w:lineRule="auto"/>
        <w:rPr>
          <w:sz w:val="20"/>
          <w:szCs w:val="20"/>
          <w:color w:val="auto"/>
        </w:rPr>
      </w:pPr>
      <w:r>
        <w:rPr>
          <w:rFonts w:ascii="Arial" w:cs="Arial" w:eastAsia="Arial" w:hAnsi="Arial"/>
          <w:sz w:val="22"/>
          <w:szCs w:val="22"/>
          <w:color w:val="auto"/>
        </w:rPr>
        <w:t>removal of Goldman Sachs or its successor as a Terminated Lender pursuant to this Section shall also constitute the removal of Goldman Sachs or its successor as Administrative Agent pursuant to Section 9.7.</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3. CONDITIONS PRECEDENT</w:t>
      </w:r>
    </w:p>
    <w:p>
      <w:pPr>
        <w:spacing w:after="0" w:line="220" w:lineRule="exact"/>
        <w:rPr>
          <w:sz w:val="20"/>
          <w:szCs w:val="20"/>
          <w:color w:val="auto"/>
        </w:rPr>
      </w:pPr>
    </w:p>
    <w:p>
      <w:pPr>
        <w:ind w:right="720" w:firstLine="648"/>
        <w:spacing w:after="0" w:line="349" w:lineRule="auto"/>
        <w:rPr>
          <w:sz w:val="20"/>
          <w:szCs w:val="20"/>
          <w:color w:val="auto"/>
        </w:rPr>
      </w:pPr>
      <w:r>
        <w:rPr>
          <w:rFonts w:ascii="Arial" w:cs="Arial" w:eastAsia="Arial" w:hAnsi="Arial"/>
          <w:sz w:val="19"/>
          <w:szCs w:val="19"/>
          <w:b w:val="1"/>
          <w:bCs w:val="1"/>
          <w:color w:val="auto"/>
        </w:rPr>
        <w:t>3.1. Closing Date</w:t>
      </w:r>
      <w:r>
        <w:rPr>
          <w:rFonts w:ascii="Arial" w:cs="Arial" w:eastAsia="Arial" w:hAnsi="Arial"/>
          <w:sz w:val="19"/>
          <w:szCs w:val="19"/>
          <w:color w:val="auto"/>
        </w:rPr>
        <w:t>. The obligation of each Lender to make a Credit Extension on the Closing Date is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satisfaction, or waiver in accordance with Section 10.5, of the following conditions on or before the Closing Date:</w:t>
      </w:r>
    </w:p>
    <w:p>
      <w:pPr>
        <w:spacing w:after="0" w:line="100" w:lineRule="exact"/>
        <w:rPr>
          <w:sz w:val="20"/>
          <w:szCs w:val="20"/>
          <w:color w:val="auto"/>
        </w:rPr>
      </w:pPr>
    </w:p>
    <w:p>
      <w:pPr>
        <w:jc w:val="both"/>
        <w:ind w:left="180" w:firstLine="1286"/>
        <w:spacing w:after="0" w:line="253" w:lineRule="auto"/>
        <w:tabs>
          <w:tab w:leader="none" w:pos="1770" w:val="left"/>
        </w:tabs>
        <w:numPr>
          <w:ilvl w:val="0"/>
          <w:numId w:val="383"/>
        </w:numPr>
        <w:rPr>
          <w:rFonts w:ascii="Arial" w:cs="Arial" w:eastAsia="Arial" w:hAnsi="Arial"/>
          <w:sz w:val="22"/>
          <w:szCs w:val="22"/>
          <w:color w:val="auto"/>
        </w:rPr>
      </w:pPr>
      <w:r>
        <w:rPr>
          <w:rFonts w:ascii="Arial" w:cs="Arial" w:eastAsia="Arial" w:hAnsi="Arial"/>
          <w:sz w:val="22"/>
          <w:szCs w:val="22"/>
          <w:u w:val="single" w:color="auto"/>
          <w:color w:val="auto"/>
        </w:rPr>
        <w:t>Credit Documents</w:t>
      </w:r>
      <w:r>
        <w:rPr>
          <w:rFonts w:ascii="Arial" w:cs="Arial" w:eastAsia="Arial" w:hAnsi="Arial"/>
          <w:sz w:val="22"/>
          <w:szCs w:val="22"/>
          <w:color w:val="auto"/>
        </w:rPr>
        <w:t>. Administrative Agent and Arrangers shall have received sufficient copies of each Credit Document as Administrative Agent shall request, originally executed and delivered by each Credit Party and each other Person party thereto.</w:t>
      </w:r>
    </w:p>
    <w:p>
      <w:pPr>
        <w:spacing w:after="0" w:line="185" w:lineRule="exact"/>
        <w:rPr>
          <w:rFonts w:ascii="Arial" w:cs="Arial" w:eastAsia="Arial" w:hAnsi="Arial"/>
          <w:sz w:val="22"/>
          <w:szCs w:val="22"/>
          <w:color w:val="auto"/>
        </w:rPr>
      </w:pPr>
    </w:p>
    <w:p>
      <w:pPr>
        <w:jc w:val="both"/>
        <w:ind w:left="180" w:firstLine="1286"/>
        <w:spacing w:after="0" w:line="257" w:lineRule="auto"/>
        <w:tabs>
          <w:tab w:leader="none" w:pos="1782" w:val="left"/>
        </w:tabs>
        <w:numPr>
          <w:ilvl w:val="0"/>
          <w:numId w:val="383"/>
        </w:numPr>
        <w:rPr>
          <w:rFonts w:ascii="Arial" w:cs="Arial" w:eastAsia="Arial" w:hAnsi="Arial"/>
          <w:sz w:val="21"/>
          <w:szCs w:val="21"/>
          <w:color w:val="auto"/>
        </w:rPr>
      </w:pPr>
      <w:r>
        <w:rPr>
          <w:rFonts w:ascii="Arial" w:cs="Arial" w:eastAsia="Arial" w:hAnsi="Arial"/>
          <w:sz w:val="21"/>
          <w:szCs w:val="21"/>
          <w:u w:val="single" w:color="auto"/>
          <w:color w:val="auto"/>
        </w:rPr>
        <w:t>Organizational Documents; Incumbency</w:t>
      </w:r>
      <w:r>
        <w:rPr>
          <w:rFonts w:ascii="Arial" w:cs="Arial" w:eastAsia="Arial" w:hAnsi="Arial"/>
          <w:sz w:val="21"/>
          <w:szCs w:val="21"/>
          <w:color w:val="auto"/>
        </w:rPr>
        <w:t>. Administrative Agent and Arrangers shall have received, in respect of each Credit Party, (i) sufficient copies of each Organizational Document as Administrative Agent shall request, and, to the extent applicable, certified as of the Closing Date or a recent date prior thereto by the appropriate Governmental Authority; (ii) signature and incumbency certificates of the officers of such Credit Party; (iii) resolutions of the Board of Directors or similar governing body of such Credit Party approving and authorizing the execution, delivery and performance of this Agreement and the other Credit Documents and the Related Agreements to which it is a party or by which it or its assets may be bound as of the Closing Date, certified as of the Closing Date by its secretary or an assistant secretary as being in full force and effect without modification or amendment; (iv) a good standing certificate from the applicable Governmental Authority of such Credit Party’s jurisdiction of incorporation, organization or formation and in each jurisdiction in which it is qualified as a foreign corporation or other entity to do business, each dated the Closing Date or a recent date prior thereto; and (v) signature and incumbency certificates of one or more officers of Borrower who are authorized to execute Funding Notices delivered under this Agreement, in substantially the form of Exhibit P (with such amendments or modifications as may be approved by Administrative Agent).</w:t>
      </w:r>
    </w:p>
    <w:p>
      <w:pPr>
        <w:spacing w:after="0" w:line="188" w:lineRule="exact"/>
        <w:rPr>
          <w:rFonts w:ascii="Arial" w:cs="Arial" w:eastAsia="Arial" w:hAnsi="Arial"/>
          <w:sz w:val="21"/>
          <w:szCs w:val="21"/>
          <w:color w:val="auto"/>
        </w:rPr>
      </w:pPr>
    </w:p>
    <w:p>
      <w:pPr>
        <w:ind w:left="180" w:right="20" w:firstLine="1286"/>
        <w:spacing w:after="0" w:line="343" w:lineRule="auto"/>
        <w:tabs>
          <w:tab w:leader="none" w:pos="1783" w:val="left"/>
        </w:tabs>
        <w:numPr>
          <w:ilvl w:val="0"/>
          <w:numId w:val="383"/>
        </w:numPr>
        <w:rPr>
          <w:rFonts w:ascii="Arial" w:cs="Arial" w:eastAsia="Arial" w:hAnsi="Arial"/>
          <w:sz w:val="19"/>
          <w:szCs w:val="19"/>
          <w:color w:val="auto"/>
        </w:rPr>
      </w:pPr>
      <w:r>
        <w:rPr>
          <w:rFonts w:ascii="Arial" w:cs="Arial" w:eastAsia="Arial" w:hAnsi="Arial"/>
          <w:sz w:val="19"/>
          <w:szCs w:val="19"/>
          <w:u w:val="single" w:color="auto"/>
          <w:color w:val="auto"/>
        </w:rPr>
        <w:t>Organizational and Capital Structure</w:t>
      </w:r>
      <w:r>
        <w:rPr>
          <w:rFonts w:ascii="Arial" w:cs="Arial" w:eastAsia="Arial" w:hAnsi="Arial"/>
          <w:sz w:val="19"/>
          <w:szCs w:val="19"/>
          <w:color w:val="auto"/>
        </w:rPr>
        <w:t>. The organizational structure and capital structure of Borrower and its Subsidiaries, both before and after giving effect to the Initial Public Offering, shall be as set forth on Schedule 3.1.</w:t>
      </w:r>
    </w:p>
    <w:p>
      <w:pPr>
        <w:spacing w:after="0" w:line="104" w:lineRule="exact"/>
        <w:rPr>
          <w:rFonts w:ascii="Arial" w:cs="Arial" w:eastAsia="Arial" w:hAnsi="Arial"/>
          <w:sz w:val="19"/>
          <w:szCs w:val="19"/>
          <w:color w:val="auto"/>
        </w:rPr>
      </w:pPr>
    </w:p>
    <w:p>
      <w:pPr>
        <w:ind w:left="180" w:firstLine="1286"/>
        <w:spacing w:after="0" w:line="263" w:lineRule="auto"/>
        <w:tabs>
          <w:tab w:leader="none" w:pos="1836" w:val="left"/>
        </w:tabs>
        <w:numPr>
          <w:ilvl w:val="0"/>
          <w:numId w:val="383"/>
        </w:numPr>
        <w:rPr>
          <w:rFonts w:ascii="Arial" w:cs="Arial" w:eastAsia="Arial" w:hAnsi="Arial"/>
          <w:sz w:val="22"/>
          <w:szCs w:val="22"/>
          <w:color w:val="auto"/>
        </w:rPr>
      </w:pPr>
      <w:r>
        <w:rPr>
          <w:rFonts w:ascii="Arial" w:cs="Arial" w:eastAsia="Arial" w:hAnsi="Arial"/>
          <w:sz w:val="22"/>
          <w:szCs w:val="22"/>
          <w:u w:val="single" w:color="auto"/>
          <w:color w:val="auto"/>
        </w:rPr>
        <w:t>Initial Public Offering</w:t>
      </w:r>
      <w:r>
        <w:rPr>
          <w:rFonts w:ascii="Arial" w:cs="Arial" w:eastAsia="Arial" w:hAnsi="Arial"/>
          <w:sz w:val="22"/>
          <w:szCs w:val="22"/>
          <w:color w:val="auto"/>
        </w:rPr>
        <w:t>. Administrative Agent and Arrangers shall have received evidence reasonably satisfactory to each of them of the consummation of the Initial Public Offering.</w:t>
      </w:r>
    </w:p>
    <w:p>
      <w:pPr>
        <w:spacing w:after="0" w:line="174" w:lineRule="exact"/>
        <w:rPr>
          <w:rFonts w:ascii="Arial" w:cs="Arial" w:eastAsia="Arial" w:hAnsi="Arial"/>
          <w:sz w:val="22"/>
          <w:szCs w:val="22"/>
          <w:color w:val="auto"/>
        </w:rPr>
      </w:pPr>
    </w:p>
    <w:p>
      <w:pPr>
        <w:ind w:left="1760" w:hanging="294"/>
        <w:spacing w:after="0"/>
        <w:tabs>
          <w:tab w:leader="none" w:pos="1760" w:val="left"/>
        </w:tabs>
        <w:numPr>
          <w:ilvl w:val="0"/>
          <w:numId w:val="383"/>
        </w:numPr>
        <w:rPr>
          <w:rFonts w:ascii="Arial" w:cs="Arial" w:eastAsia="Arial" w:hAnsi="Arial"/>
          <w:sz w:val="22"/>
          <w:szCs w:val="22"/>
          <w:color w:val="auto"/>
        </w:rPr>
      </w:pPr>
      <w:r>
        <w:rPr>
          <w:rFonts w:ascii="Arial" w:cs="Arial" w:eastAsia="Arial" w:hAnsi="Arial"/>
          <w:sz w:val="22"/>
          <w:szCs w:val="22"/>
          <w:u w:val="single" w:color="auto"/>
          <w:color w:val="auto"/>
        </w:rPr>
        <w:t>Borrowing of the Senior Loans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0" w:firstLine="1154"/>
        <w:spacing w:after="0" w:line="312" w:lineRule="auto"/>
        <w:tabs>
          <w:tab w:leader="none" w:pos="2054" w:val="left"/>
        </w:tabs>
        <w:numPr>
          <w:ilvl w:val="1"/>
          <w:numId w:val="383"/>
        </w:numPr>
        <w:rPr>
          <w:rFonts w:ascii="Arial" w:cs="Arial" w:eastAsia="Arial" w:hAnsi="Arial"/>
          <w:sz w:val="19"/>
          <w:szCs w:val="19"/>
          <w:color w:val="auto"/>
        </w:rPr>
      </w:pPr>
      <w:r>
        <w:rPr>
          <w:rFonts w:ascii="Arial" w:cs="Arial" w:eastAsia="Arial" w:hAnsi="Arial"/>
          <w:sz w:val="19"/>
          <w:szCs w:val="19"/>
          <w:color w:val="auto"/>
        </w:rPr>
        <w:t>(1) all conditions to the borrowing of the Senior Loans on the Closing Date set forth in the Senior Credit Agreement shall have been satisfied, or the fulfillment of any such conditions shall have been waived in accordance with the terms thereof, and (2) the Senior Loans constituting term loans shall be fully funded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7" w:right="339" w:bottom="1440" w:gutter="0" w:footer="0" w:header="0"/>
        </w:sectPr>
      </w:pPr>
    </w:p>
    <w:bookmarkStart w:id="515" w:name="page516"/>
    <w:bookmarkEnd w:id="515"/>
    <w:p>
      <w:pPr>
        <w:jc w:val="both"/>
        <w:ind w:left="460" w:firstLine="1154"/>
        <w:spacing w:after="0" w:line="248" w:lineRule="auto"/>
        <w:tabs>
          <w:tab w:leader="none" w:pos="1955" w:val="left"/>
        </w:tabs>
        <w:numPr>
          <w:ilvl w:val="1"/>
          <w:numId w:val="384"/>
        </w:numPr>
        <w:rPr>
          <w:rFonts w:ascii="Arial" w:cs="Arial" w:eastAsia="Arial" w:hAnsi="Arial"/>
          <w:sz w:val="22"/>
          <w:szCs w:val="22"/>
          <w:color w:val="auto"/>
        </w:rPr>
      </w:pPr>
      <w:r>
        <w:rPr>
          <w:rFonts w:ascii="Arial" w:cs="Arial" w:eastAsia="Arial" w:hAnsi="Arial"/>
          <w:sz w:val="22"/>
          <w:szCs w:val="22"/>
          <w:color w:val="auto"/>
        </w:rPr>
        <w:t>Administrative Agent and Arrangers shall have received a fully executed or conformed copy of each Related Agreement and any documents executed in connection therewith. Each Related Agreement shall be in full force and effect, shall include terms and provisions reasonably satisfactory to Administrative Agent and no provision thereof shall have been modified or waived in any respect determined by Administrative Agent to be material, in each case without the consent of Administrative Agent.</w:t>
      </w:r>
    </w:p>
    <w:p>
      <w:pPr>
        <w:spacing w:after="0" w:line="191" w:lineRule="exact"/>
        <w:rPr>
          <w:rFonts w:ascii="Arial" w:cs="Arial" w:eastAsia="Arial" w:hAnsi="Arial"/>
          <w:sz w:val="22"/>
          <w:szCs w:val="22"/>
          <w:color w:val="auto"/>
        </w:rPr>
      </w:pPr>
    </w:p>
    <w:p>
      <w:pPr>
        <w:ind w:firstLine="1286"/>
        <w:spacing w:after="0" w:line="287" w:lineRule="auto"/>
        <w:tabs>
          <w:tab w:leader="none" w:pos="1579" w:val="left"/>
        </w:tabs>
        <w:numPr>
          <w:ilvl w:val="0"/>
          <w:numId w:val="385"/>
        </w:numPr>
        <w:rPr>
          <w:rFonts w:ascii="Arial" w:cs="Arial" w:eastAsia="Arial" w:hAnsi="Arial"/>
          <w:sz w:val="21"/>
          <w:szCs w:val="21"/>
          <w:color w:val="auto"/>
        </w:rPr>
      </w:pPr>
      <w:r>
        <w:rPr>
          <w:rFonts w:ascii="Arial" w:cs="Arial" w:eastAsia="Arial" w:hAnsi="Arial"/>
          <w:sz w:val="21"/>
          <w:szCs w:val="21"/>
          <w:u w:val="single" w:color="auto"/>
          <w:color w:val="auto"/>
        </w:rPr>
        <w:t>Existing Indebtedness</w:t>
      </w:r>
      <w:r>
        <w:rPr>
          <w:rFonts w:ascii="Arial" w:cs="Arial" w:eastAsia="Arial" w:hAnsi="Arial"/>
          <w:sz w:val="21"/>
          <w:szCs w:val="21"/>
          <w:color w:val="auto"/>
        </w:rPr>
        <w:t>. On the Closing Date, the Borrower and its Subsidiaries shall have repaid in full all Existing Indebtedness (it being understood that such repayment may be funded with the proceeds of the Loans).</w:t>
      </w:r>
    </w:p>
    <w:p>
      <w:pPr>
        <w:spacing w:after="0" w:line="151" w:lineRule="exact"/>
        <w:rPr>
          <w:rFonts w:ascii="Arial" w:cs="Arial" w:eastAsia="Arial" w:hAnsi="Arial"/>
          <w:sz w:val="21"/>
          <w:szCs w:val="21"/>
          <w:color w:val="auto"/>
        </w:rPr>
      </w:pPr>
    </w:p>
    <w:p>
      <w:pPr>
        <w:jc w:val="both"/>
        <w:ind w:firstLine="1286"/>
        <w:spacing w:after="0" w:line="248" w:lineRule="auto"/>
        <w:tabs>
          <w:tab w:leader="none" w:pos="1656" w:val="left"/>
        </w:tabs>
        <w:numPr>
          <w:ilvl w:val="0"/>
          <w:numId w:val="385"/>
        </w:numPr>
        <w:rPr>
          <w:rFonts w:ascii="Arial" w:cs="Arial" w:eastAsia="Arial" w:hAnsi="Arial"/>
          <w:sz w:val="22"/>
          <w:szCs w:val="22"/>
          <w:color w:val="auto"/>
        </w:rPr>
      </w:pPr>
      <w:r>
        <w:rPr>
          <w:rFonts w:ascii="Arial" w:cs="Arial" w:eastAsia="Arial" w:hAnsi="Arial"/>
          <w:sz w:val="22"/>
          <w:szCs w:val="22"/>
          <w:u w:val="single" w:color="auto"/>
          <w:color w:val="auto"/>
        </w:rPr>
        <w:t>Engagement of Financial Institution</w:t>
      </w:r>
      <w:r>
        <w:rPr>
          <w:rFonts w:ascii="Arial" w:cs="Arial" w:eastAsia="Arial" w:hAnsi="Arial"/>
          <w:sz w:val="22"/>
          <w:szCs w:val="22"/>
          <w:color w:val="auto"/>
        </w:rPr>
        <w:t xml:space="preserve">. The Borrower shall have entered into an engagement letter (the </w:t>
      </w:r>
      <w:r>
        <w:rPr>
          <w:rFonts w:ascii="Arial" w:cs="Arial" w:eastAsia="Arial" w:hAnsi="Arial"/>
          <w:sz w:val="22"/>
          <w:szCs w:val="22"/>
          <w:b w:val="1"/>
          <w:bCs w:val="1"/>
          <w:color w:val="auto"/>
        </w:rPr>
        <w:t>“Engagement Letter”</w:t>
      </w:r>
      <w:r>
        <w:rPr>
          <w:rFonts w:ascii="Arial" w:cs="Arial" w:eastAsia="Arial" w:hAnsi="Arial"/>
          <w:sz w:val="22"/>
          <w:szCs w:val="22"/>
          <w:color w:val="auto"/>
        </w:rPr>
        <w:t>) with one or more investment and/or commercial banks satisfactory to the Arrangers (collectively, the</w:t>
      </w:r>
      <w:r>
        <w:rPr>
          <w:rFonts w:ascii="Arial" w:cs="Arial" w:eastAsia="Arial" w:hAnsi="Arial"/>
          <w:sz w:val="22"/>
          <w:szCs w:val="22"/>
          <w:b w:val="1"/>
          <w:bCs w:val="1"/>
          <w:color w:val="auto"/>
        </w:rPr>
        <w:t xml:space="preserve"> “Financial Institution”</w:t>
      </w:r>
      <w:r>
        <w:rPr>
          <w:rFonts w:ascii="Arial" w:cs="Arial" w:eastAsia="Arial" w:hAnsi="Arial"/>
          <w:sz w:val="22"/>
          <w:szCs w:val="22"/>
          <w:color w:val="auto"/>
        </w:rPr>
        <w:t>) documenting the engagement of the Financial Institution, on terms and conditions satisfactory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Arrangers, to publicly sell or privately place one or more series or tranches of debt securities, the net proceeds of which will be used to Refinance the Obligations (“</w:t>
      </w:r>
      <w:r>
        <w:rPr>
          <w:rFonts w:ascii="Arial" w:cs="Arial" w:eastAsia="Arial" w:hAnsi="Arial"/>
          <w:sz w:val="22"/>
          <w:szCs w:val="22"/>
          <w:b w:val="1"/>
          <w:bCs w:val="1"/>
          <w:color w:val="auto"/>
        </w:rPr>
        <w:t>Permanent Debt</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left="1600" w:hanging="314"/>
        <w:spacing w:after="0"/>
        <w:tabs>
          <w:tab w:leader="none" w:pos="1600" w:val="left"/>
        </w:tabs>
        <w:numPr>
          <w:ilvl w:val="0"/>
          <w:numId w:val="38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286"/>
        <w:spacing w:after="0" w:line="246" w:lineRule="auto"/>
        <w:tabs>
          <w:tab w:leader="none" w:pos="1581" w:val="left"/>
        </w:tabs>
        <w:numPr>
          <w:ilvl w:val="0"/>
          <w:numId w:val="385"/>
        </w:numPr>
        <w:rPr>
          <w:rFonts w:ascii="Arial" w:cs="Arial" w:eastAsia="Arial" w:hAnsi="Arial"/>
          <w:sz w:val="22"/>
          <w:szCs w:val="22"/>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 Administrative Agent and Arrangers shall have received from the Borrower (i) the Historical Financial Statements, (ii) any audited (to the extent available) or unaudited financial statements relating to acquisitions of or substantially all of the assets of, all Equity Interests of, or a business line or unit or a division of, any Person, carried out by the Borrower or any of its Subsidiaries within the twelve months preceding the Closing Date, or which are contemplated or pending as of such date, and (iii) pro forma consolidated balance sheets of the Borrower and its Subsidiaries as at the Closing Date, reflecting the consummation of the transactions contemplated by the Credit Documents the borrowing of the Senior Loans and the Initial Public Offering, in each case meeting the requirements of Regulation S-X for Form S-1 registration statements.</w:t>
      </w:r>
    </w:p>
    <w:p>
      <w:pPr>
        <w:spacing w:after="0" w:line="193" w:lineRule="exact"/>
        <w:rPr>
          <w:rFonts w:ascii="Arial" w:cs="Arial" w:eastAsia="Arial" w:hAnsi="Arial"/>
          <w:sz w:val="22"/>
          <w:szCs w:val="22"/>
          <w:color w:val="auto"/>
        </w:rPr>
      </w:pPr>
    </w:p>
    <w:p>
      <w:pPr>
        <w:jc w:val="both"/>
        <w:ind w:firstLine="1286"/>
        <w:spacing w:after="0" w:line="253" w:lineRule="auto"/>
        <w:tabs>
          <w:tab w:leader="none" w:pos="1581" w:val="left"/>
        </w:tabs>
        <w:numPr>
          <w:ilvl w:val="0"/>
          <w:numId w:val="385"/>
        </w:numPr>
        <w:rPr>
          <w:rFonts w:ascii="Arial" w:cs="Arial" w:eastAsia="Arial" w:hAnsi="Arial"/>
          <w:sz w:val="22"/>
          <w:szCs w:val="22"/>
          <w:color w:val="auto"/>
        </w:rPr>
      </w:pPr>
      <w:r>
        <w:rPr>
          <w:rFonts w:ascii="Arial" w:cs="Arial" w:eastAsia="Arial" w:hAnsi="Arial"/>
          <w:sz w:val="22"/>
          <w:szCs w:val="22"/>
          <w:u w:val="single" w:color="auto"/>
          <w:color w:val="auto"/>
        </w:rPr>
        <w:t>Evidence of Insurance</w:t>
      </w:r>
      <w:r>
        <w:rPr>
          <w:rFonts w:ascii="Arial" w:cs="Arial" w:eastAsia="Arial" w:hAnsi="Arial"/>
          <w:sz w:val="22"/>
          <w:szCs w:val="22"/>
          <w:color w:val="auto"/>
        </w:rPr>
        <w:t>. Administrative Agent shall have received a certificate from the applicable Credit Party’s insurance broker or other evidence reasonably satisfactory to it that all insurance required to be maintained pursuant to Section 5.5 is in full force and effect.</w:t>
      </w:r>
    </w:p>
    <w:p>
      <w:pPr>
        <w:spacing w:after="0" w:line="185" w:lineRule="exact"/>
        <w:rPr>
          <w:rFonts w:ascii="Arial" w:cs="Arial" w:eastAsia="Arial" w:hAnsi="Arial"/>
          <w:sz w:val="22"/>
          <w:szCs w:val="22"/>
          <w:color w:val="auto"/>
        </w:rPr>
      </w:pPr>
    </w:p>
    <w:p>
      <w:pPr>
        <w:jc w:val="both"/>
        <w:ind w:firstLine="1286"/>
        <w:spacing w:after="0" w:line="248" w:lineRule="auto"/>
        <w:tabs>
          <w:tab w:leader="none" w:pos="1615" w:val="left"/>
        </w:tabs>
        <w:numPr>
          <w:ilvl w:val="0"/>
          <w:numId w:val="385"/>
        </w:numPr>
        <w:rPr>
          <w:rFonts w:ascii="Arial" w:cs="Arial" w:eastAsia="Arial" w:hAnsi="Arial"/>
          <w:sz w:val="22"/>
          <w:szCs w:val="22"/>
          <w:color w:val="auto"/>
        </w:rPr>
      </w:pPr>
      <w:r>
        <w:rPr>
          <w:rFonts w:ascii="Arial" w:cs="Arial" w:eastAsia="Arial" w:hAnsi="Arial"/>
          <w:sz w:val="22"/>
          <w:szCs w:val="22"/>
          <w:u w:val="single" w:color="auto"/>
          <w:color w:val="auto"/>
        </w:rPr>
        <w:t>Opinions of Counsel to Credit Parties</w:t>
      </w:r>
      <w:r>
        <w:rPr>
          <w:rFonts w:ascii="Arial" w:cs="Arial" w:eastAsia="Arial" w:hAnsi="Arial"/>
          <w:sz w:val="22"/>
          <w:szCs w:val="22"/>
          <w:color w:val="auto"/>
        </w:rPr>
        <w:t>. Agents and Lenders and their respective counsel shall have received an executed copy of a customary written opinion of Sullivan &amp; Cromwell LLP, New York counsel to the Credit Parties, and of other outside counsel in the jurisdiction of organization of each Credit Party that is not organized in New York, substantially in the form of Exhibit L (and each Credit Party hereby instructs each such counsel to deliver such opinions to Agents and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060"/>
          </w:cols>
          <w:pgMar w:left="500" w:top="1427" w:right="339" w:bottom="1440" w:gutter="0" w:footer="0" w:header="0"/>
        </w:sectPr>
      </w:pPr>
    </w:p>
    <w:bookmarkStart w:id="516" w:name="page517"/>
    <w:bookmarkEnd w:id="516"/>
    <w:p>
      <w:pPr>
        <w:jc w:val="both"/>
        <w:ind w:firstLine="1286"/>
        <w:spacing w:after="0" w:line="253" w:lineRule="auto"/>
        <w:tabs>
          <w:tab w:leader="none" w:pos="1554" w:val="left"/>
        </w:tabs>
        <w:numPr>
          <w:ilvl w:val="0"/>
          <w:numId w:val="386"/>
        </w:numPr>
        <w:rPr>
          <w:rFonts w:ascii="Arial" w:cs="Arial" w:eastAsia="Arial" w:hAnsi="Arial"/>
          <w:sz w:val="22"/>
          <w:szCs w:val="22"/>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Borrower shall have paid to each Agent, Arranger and Lender the fees payable on or before the Closing Date referred to in Section 2.11 and all expenses payable on the Closing Date pursuant to Section 10.2 , to the extent invoiced at least three Business Days prior to the Closing Date.</w:t>
      </w:r>
    </w:p>
    <w:p>
      <w:pPr>
        <w:spacing w:after="0" w:line="185" w:lineRule="exact"/>
        <w:rPr>
          <w:rFonts w:ascii="Arial" w:cs="Arial" w:eastAsia="Arial" w:hAnsi="Arial"/>
          <w:sz w:val="22"/>
          <w:szCs w:val="22"/>
          <w:color w:val="auto"/>
        </w:rPr>
      </w:pPr>
    </w:p>
    <w:p>
      <w:pPr>
        <w:ind w:firstLine="1286"/>
        <w:spacing w:after="0" w:line="263" w:lineRule="auto"/>
        <w:tabs>
          <w:tab w:leader="none" w:pos="1675" w:val="left"/>
        </w:tabs>
        <w:numPr>
          <w:ilvl w:val="0"/>
          <w:numId w:val="386"/>
        </w:numPr>
        <w:rPr>
          <w:rFonts w:ascii="Arial" w:cs="Arial" w:eastAsia="Arial" w:hAnsi="Arial"/>
          <w:sz w:val="22"/>
          <w:szCs w:val="22"/>
          <w:color w:val="auto"/>
        </w:rPr>
      </w:pPr>
      <w:r>
        <w:rPr>
          <w:rFonts w:ascii="Arial" w:cs="Arial" w:eastAsia="Arial" w:hAnsi="Arial"/>
          <w:sz w:val="22"/>
          <w:szCs w:val="22"/>
          <w:u w:val="single" w:color="auto"/>
          <w:color w:val="auto"/>
        </w:rPr>
        <w:t>Solvency Certificate; Solvency Appraisal</w:t>
      </w:r>
      <w:r>
        <w:rPr>
          <w:rFonts w:ascii="Arial" w:cs="Arial" w:eastAsia="Arial" w:hAnsi="Arial"/>
          <w:sz w:val="22"/>
          <w:szCs w:val="22"/>
          <w:color w:val="auto"/>
        </w:rPr>
        <w:t>. On the Closing Date, Administrative Agent and Arranger shall have received a Solvency Certificate from a Financial Officer of the Borrower.</w:t>
      </w:r>
    </w:p>
    <w:p>
      <w:pPr>
        <w:spacing w:after="0" w:line="174" w:lineRule="exact"/>
        <w:rPr>
          <w:rFonts w:ascii="Arial" w:cs="Arial" w:eastAsia="Arial" w:hAnsi="Arial"/>
          <w:sz w:val="22"/>
          <w:szCs w:val="22"/>
          <w:color w:val="auto"/>
        </w:rPr>
      </w:pPr>
    </w:p>
    <w:p>
      <w:pPr>
        <w:ind w:firstLine="1286"/>
        <w:spacing w:after="0" w:line="263" w:lineRule="auto"/>
        <w:tabs>
          <w:tab w:leader="none" w:pos="1642" w:val="left"/>
        </w:tabs>
        <w:numPr>
          <w:ilvl w:val="0"/>
          <w:numId w:val="386"/>
        </w:numPr>
        <w:rPr>
          <w:rFonts w:ascii="Arial" w:cs="Arial" w:eastAsia="Arial" w:hAnsi="Arial"/>
          <w:sz w:val="22"/>
          <w:szCs w:val="22"/>
          <w:color w:val="auto"/>
        </w:rPr>
      </w:pPr>
      <w:r>
        <w:rPr>
          <w:rFonts w:ascii="Arial" w:cs="Arial" w:eastAsia="Arial" w:hAnsi="Arial"/>
          <w:sz w:val="22"/>
          <w:szCs w:val="22"/>
          <w:u w:val="single" w:color="auto"/>
          <w:color w:val="auto"/>
        </w:rPr>
        <w:t>Closing Date Certificate</w:t>
      </w:r>
      <w:r>
        <w:rPr>
          <w:rFonts w:ascii="Arial" w:cs="Arial" w:eastAsia="Arial" w:hAnsi="Arial"/>
          <w:sz w:val="22"/>
          <w:szCs w:val="22"/>
          <w:color w:val="auto"/>
        </w:rPr>
        <w:t>. The Borrower shall have delivered to Administrative Agent and Arrangers an originally executed Closing Date Certificate, together with all attachments thereto.</w:t>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253"/>
        </w:trPr>
        <w:tc>
          <w:tcPr>
            <w:tcW w:w="7640" w:type="dxa"/>
            <w:vAlign w:val="bottom"/>
            <w:gridSpan w:val="3"/>
          </w:tcPr>
          <w:p>
            <w:pPr>
              <w:spacing w:after="0"/>
              <w:rPr>
                <w:sz w:val="20"/>
                <w:szCs w:val="20"/>
                <w:color w:val="auto"/>
              </w:rPr>
            </w:pPr>
            <w:r>
              <w:rPr>
                <w:rFonts w:ascii="Arial" w:cs="Arial" w:eastAsia="Arial" w:hAnsi="Arial"/>
                <w:sz w:val="22"/>
                <w:szCs w:val="22"/>
                <w:color w:val="auto"/>
                <w:w w:val="92"/>
              </w:rPr>
              <w:t>(o) Closing Date. Lenders shall have made the Term Loans to Borrower on or before</w:t>
            </w:r>
          </w:p>
        </w:tc>
        <w:tc>
          <w:tcPr>
            <w:tcW w:w="920" w:type="dxa"/>
            <w:vAlign w:val="bottom"/>
          </w:tcPr>
          <w:p>
            <w:pPr>
              <w:jc w:val="right"/>
              <w:spacing w:after="0"/>
              <w:rPr>
                <w:sz w:val="20"/>
                <w:szCs w:val="20"/>
                <w:color w:val="auto"/>
              </w:rPr>
            </w:pPr>
            <w:r>
              <w:rPr>
                <w:rFonts w:ascii="Arial" w:cs="Arial" w:eastAsia="Arial" w:hAnsi="Arial"/>
                <w:sz w:val="22"/>
                <w:szCs w:val="22"/>
                <w:color w:val="auto"/>
              </w:rPr>
              <w:t>, 2021.</w:t>
            </w:r>
          </w:p>
        </w:tc>
      </w:tr>
      <w:tr>
        <w:trPr>
          <w:trHeight w:val="20"/>
        </w:trPr>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1286"/>
        <w:spacing w:after="0" w:line="253" w:lineRule="auto"/>
        <w:tabs>
          <w:tab w:leader="none" w:pos="1642" w:val="left"/>
        </w:tabs>
        <w:numPr>
          <w:ilvl w:val="0"/>
          <w:numId w:val="387"/>
        </w:numPr>
        <w:rPr>
          <w:rFonts w:ascii="Arial" w:cs="Arial" w:eastAsia="Arial" w:hAnsi="Arial"/>
          <w:sz w:val="22"/>
          <w:szCs w:val="22"/>
          <w:color w:val="auto"/>
        </w:rPr>
      </w:pPr>
      <w:r>
        <w:rPr>
          <w:rFonts w:ascii="Arial" w:cs="Arial" w:eastAsia="Arial" w:hAnsi="Arial"/>
          <w:sz w:val="22"/>
          <w:szCs w:val="22"/>
          <w:u w:val="single" w:color="auto"/>
          <w:color w:val="auto"/>
        </w:rPr>
        <w:t>Letter of Direction</w:t>
      </w:r>
      <w:r>
        <w:rPr>
          <w:rFonts w:ascii="Arial" w:cs="Arial" w:eastAsia="Arial" w:hAnsi="Arial"/>
          <w:sz w:val="22"/>
          <w:szCs w:val="22"/>
          <w:color w:val="auto"/>
        </w:rPr>
        <w:t>. Administrative Agent and Arrangers shall have received a duly executed letter of direction from Borrower addressed to Administrative Agent and Arrangers, on behalf of themselves and Lenders, directing the disbursement on the Closing Date of the proceeds of the Loans made on such date.</w:t>
      </w:r>
    </w:p>
    <w:p>
      <w:pPr>
        <w:spacing w:after="0" w:line="185" w:lineRule="exact"/>
        <w:rPr>
          <w:rFonts w:ascii="Arial" w:cs="Arial" w:eastAsia="Arial" w:hAnsi="Arial"/>
          <w:sz w:val="22"/>
          <w:szCs w:val="22"/>
          <w:color w:val="auto"/>
        </w:rPr>
      </w:pPr>
    </w:p>
    <w:p>
      <w:pPr>
        <w:jc w:val="both"/>
        <w:ind w:firstLine="1286"/>
        <w:spacing w:after="0" w:line="302" w:lineRule="auto"/>
        <w:tabs>
          <w:tab w:leader="none" w:pos="1629" w:val="left"/>
        </w:tabs>
        <w:numPr>
          <w:ilvl w:val="0"/>
          <w:numId w:val="387"/>
        </w:numPr>
        <w:rPr>
          <w:rFonts w:ascii="Arial" w:cs="Arial" w:eastAsia="Arial" w:hAnsi="Arial"/>
          <w:sz w:val="19"/>
          <w:szCs w:val="19"/>
          <w:color w:val="auto"/>
        </w:rPr>
      </w:pPr>
      <w:r>
        <w:rPr>
          <w:rFonts w:ascii="Arial" w:cs="Arial" w:eastAsia="Arial" w:hAnsi="Arial"/>
          <w:sz w:val="19"/>
          <w:szCs w:val="19"/>
          <w:color w:val="auto"/>
        </w:rPr>
        <w:t xml:space="preserve">At least 10 days prior to the Closing Date,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Arial" w:cs="Arial" w:eastAsia="Arial" w:hAnsi="Arial"/>
          <w:sz w:val="19"/>
          <w:szCs w:val="19"/>
          <w:b w:val="1"/>
          <w:bCs w:val="1"/>
          <w:color w:val="auto"/>
        </w:rPr>
        <w:t>“PATRIOT Act”</w:t>
      </w:r>
      <w:r>
        <w:rPr>
          <w:rFonts w:ascii="Arial" w:cs="Arial" w:eastAsia="Arial" w:hAnsi="Arial"/>
          <w:sz w:val="19"/>
          <w:szCs w:val="19"/>
          <w:color w:val="auto"/>
        </w:rPr>
        <w:t>).</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3.2. Conditions to Each Credit Extension</w:t>
      </w:r>
      <w:r>
        <w:rPr>
          <w:rFonts w:ascii="Arial" w:cs="Arial" w:eastAsia="Arial" w:hAnsi="Arial"/>
          <w:sz w:val="22"/>
          <w:szCs w:val="22"/>
          <w:color w:val="auto"/>
        </w:rPr>
        <w:t>.</w:t>
      </w:r>
    </w:p>
    <w:p>
      <w:pPr>
        <w:spacing w:after="0" w:line="226" w:lineRule="exact"/>
        <w:rPr>
          <w:sz w:val="20"/>
          <w:szCs w:val="20"/>
          <w:color w:val="auto"/>
        </w:rPr>
      </w:pPr>
    </w:p>
    <w:p>
      <w:pPr>
        <w:ind w:right="20" w:firstLine="1286"/>
        <w:spacing w:after="0" w:line="343" w:lineRule="auto"/>
        <w:tabs>
          <w:tab w:leader="none" w:pos="1603" w:val="left"/>
        </w:tabs>
        <w:numPr>
          <w:ilvl w:val="0"/>
          <w:numId w:val="388"/>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The obligation of each Lender to make any Loan, on any Credit Date, including the Closing Date, are subject to the satisfaction, or waiver in accordance with Section 10.5, of the following conditions precedent:</w:t>
      </w:r>
    </w:p>
    <w:p>
      <w:pPr>
        <w:spacing w:after="0" w:line="104" w:lineRule="exact"/>
        <w:rPr>
          <w:rFonts w:ascii="Arial" w:cs="Arial" w:eastAsia="Arial" w:hAnsi="Arial"/>
          <w:sz w:val="19"/>
          <w:szCs w:val="19"/>
          <w:color w:val="auto"/>
        </w:rPr>
      </w:pPr>
    </w:p>
    <w:p>
      <w:pPr>
        <w:ind w:left="2040" w:hanging="268"/>
        <w:spacing w:after="0"/>
        <w:tabs>
          <w:tab w:leader="none" w:pos="2040" w:val="left"/>
        </w:tabs>
        <w:numPr>
          <w:ilvl w:val="1"/>
          <w:numId w:val="388"/>
        </w:numPr>
        <w:rPr>
          <w:rFonts w:ascii="Arial" w:cs="Arial" w:eastAsia="Arial" w:hAnsi="Arial"/>
          <w:sz w:val="19"/>
          <w:szCs w:val="19"/>
          <w:color w:val="auto"/>
        </w:rPr>
      </w:pPr>
      <w:r>
        <w:rPr>
          <w:rFonts w:ascii="Arial" w:cs="Arial" w:eastAsia="Arial" w:hAnsi="Arial"/>
          <w:sz w:val="19"/>
          <w:szCs w:val="19"/>
          <w:color w:val="auto"/>
        </w:rPr>
        <w:t>Administrative Agent shall have received a fully executed and delivered Funding Notice, as the case</w:t>
      </w:r>
    </w:p>
    <w:p>
      <w:pPr>
        <w:spacing w:after="0" w:line="55" w:lineRule="exact"/>
        <w:rPr>
          <w:rFonts w:ascii="Arial" w:cs="Arial" w:eastAsia="Arial" w:hAnsi="Arial"/>
          <w:sz w:val="19"/>
          <w:szCs w:val="19"/>
          <w:color w:val="auto"/>
        </w:rPr>
      </w:pPr>
    </w:p>
    <w:p>
      <w:pPr>
        <w:ind w:left="480"/>
        <w:spacing w:after="0"/>
        <w:rPr>
          <w:rFonts w:ascii="Arial" w:cs="Arial" w:eastAsia="Arial" w:hAnsi="Arial"/>
          <w:sz w:val="19"/>
          <w:szCs w:val="19"/>
          <w:color w:val="auto"/>
        </w:rPr>
      </w:pPr>
      <w:r>
        <w:rPr>
          <w:rFonts w:ascii="Arial" w:cs="Arial" w:eastAsia="Arial" w:hAnsi="Arial"/>
          <w:sz w:val="22"/>
          <w:szCs w:val="22"/>
          <w:color w:val="auto"/>
        </w:rPr>
        <w:t>may be;</w:t>
      </w:r>
    </w:p>
    <w:p>
      <w:pPr>
        <w:spacing w:after="0" w:line="201" w:lineRule="exact"/>
        <w:rPr>
          <w:rFonts w:ascii="Arial" w:cs="Arial" w:eastAsia="Arial" w:hAnsi="Arial"/>
          <w:sz w:val="19"/>
          <w:szCs w:val="19"/>
          <w:color w:val="auto"/>
        </w:rPr>
      </w:pPr>
    </w:p>
    <w:p>
      <w:pPr>
        <w:ind w:left="2080" w:hanging="308"/>
        <w:spacing w:after="0"/>
        <w:tabs>
          <w:tab w:leader="none" w:pos="20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480" w:firstLine="1292"/>
        <w:spacing w:after="0" w:line="263" w:lineRule="auto"/>
        <w:tabs>
          <w:tab w:leader="none" w:pos="2181" w:val="left"/>
        </w:tabs>
        <w:numPr>
          <w:ilvl w:val="1"/>
          <w:numId w:val="388"/>
        </w:numPr>
        <w:rPr>
          <w:rFonts w:ascii="Arial" w:cs="Arial" w:eastAsia="Arial" w:hAnsi="Arial"/>
          <w:sz w:val="21"/>
          <w:szCs w:val="21"/>
          <w:color w:val="auto"/>
        </w:rPr>
      </w:pPr>
      <w:r>
        <w:rPr>
          <w:rFonts w:ascii="Arial" w:cs="Arial" w:eastAsia="Arial" w:hAnsi="Arial"/>
          <w:sz w:val="21"/>
          <w:szCs w:val="21"/>
          <w:color w:val="auto"/>
        </w:rPr>
        <w:t xml:space="preserve">as of such Credit Date, the representations and warranties contained herein and in the other Credit Documents shall be true and correct in all material respects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060"/>
          </w:cols>
          <w:pgMar w:left="500" w:top="1427" w:right="339" w:bottom="1440" w:gutter="0" w:footer="0" w:header="0"/>
        </w:sectPr>
      </w:pPr>
    </w:p>
    <w:bookmarkStart w:id="517" w:name="page518"/>
    <w:bookmarkEnd w:id="517"/>
    <w:p>
      <w:pPr>
        <w:ind w:left="660"/>
        <w:spacing w:after="0" w:line="263" w:lineRule="auto"/>
        <w:rPr>
          <w:sz w:val="20"/>
          <w:szCs w:val="20"/>
          <w:color w:val="auto"/>
        </w:rPr>
      </w:pPr>
      <w:r>
        <w:rPr>
          <w:rFonts w:ascii="Arial" w:cs="Arial" w:eastAsia="Arial" w:hAnsi="Arial"/>
          <w:sz w:val="22"/>
          <w:szCs w:val="22"/>
          <w:color w:val="auto"/>
        </w:rPr>
        <w:t>materiality qualifier shall not be applicable to any representations and warranties that already are qualified or modified by materiality in the text thereof; and</w:t>
      </w:r>
    </w:p>
    <w:p>
      <w:pPr>
        <w:spacing w:after="0" w:line="175" w:lineRule="exact"/>
        <w:rPr>
          <w:sz w:val="20"/>
          <w:szCs w:val="20"/>
          <w:color w:val="auto"/>
        </w:rPr>
      </w:pPr>
    </w:p>
    <w:p>
      <w:pPr>
        <w:ind w:left="660" w:firstLine="1292"/>
        <w:spacing w:after="0" w:line="287" w:lineRule="auto"/>
        <w:tabs>
          <w:tab w:leader="none" w:pos="2349" w:val="left"/>
        </w:tabs>
        <w:numPr>
          <w:ilvl w:val="1"/>
          <w:numId w:val="389"/>
        </w:numPr>
        <w:rPr>
          <w:rFonts w:ascii="Arial" w:cs="Arial" w:eastAsia="Arial" w:hAnsi="Arial"/>
          <w:sz w:val="21"/>
          <w:szCs w:val="21"/>
          <w:color w:val="auto"/>
        </w:rPr>
      </w:pPr>
      <w:r>
        <w:rPr>
          <w:rFonts w:ascii="Arial" w:cs="Arial" w:eastAsia="Arial" w:hAnsi="Arial"/>
          <w:sz w:val="21"/>
          <w:szCs w:val="21"/>
          <w:color w:val="auto"/>
        </w:rPr>
        <w:t>as of such Credit Date, no event shall have occurred and be continuing or would result from the consummation of the applicable Credit Extension that would constitute an Event of Default or a Default.</w:t>
      </w:r>
    </w:p>
    <w:p>
      <w:pPr>
        <w:spacing w:after="0" w:line="151" w:lineRule="exact"/>
        <w:rPr>
          <w:rFonts w:ascii="Arial" w:cs="Arial" w:eastAsia="Arial" w:hAnsi="Arial"/>
          <w:sz w:val="21"/>
          <w:szCs w:val="21"/>
          <w:color w:val="auto"/>
        </w:rPr>
      </w:pPr>
    </w:p>
    <w:p>
      <w:pPr>
        <w:jc w:val="both"/>
        <w:ind w:left="180" w:firstLine="1286"/>
        <w:spacing w:after="0" w:line="289" w:lineRule="auto"/>
        <w:tabs>
          <w:tab w:leader="none" w:pos="1797"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shall be executed by an Authorized Officer in a writing delivered to Administrative Agent. In lieu of delivering a Notice, Borrower may give Administrative Agent telephonic notice by the required time of any proposed borrowing; provided each such notice shall be promptly confirmed in writing by delivery of the applicable Notice to Administrative Agent on or before the close of business on the date that the telephonic notice is given. In the event of a discrepancy between the telephone notice and the written Notice, the written Notice shall govern. In the case of any Notice that is irrevocable once given, if Borrower provides telephonic notice in lieu thereof, such telephone notice shall also be irrevocable once given. Neither Administrative Agent nor any Lender shall incur any liability to Borrower in acting upon any telephonic notice referred to above that Administrative Agent believes in good faith to have been given by a duly authorized officer or other person authorized on behalf of Borrower or for otherwise acting in good faith..</w:t>
      </w:r>
    </w:p>
    <w:p>
      <w:pPr>
        <w:spacing w:after="0" w:line="156" w:lineRule="exact"/>
        <w:rPr>
          <w:rFonts w:ascii="Arial" w:cs="Arial" w:eastAsia="Arial" w:hAnsi="Arial"/>
          <w:sz w:val="19"/>
          <w:szCs w:val="19"/>
          <w:color w:val="auto"/>
        </w:rPr>
      </w:pPr>
    </w:p>
    <w:p>
      <w:pPr>
        <w:ind w:left="180" w:right="20" w:firstLine="1286"/>
        <w:spacing w:after="0" w:line="287" w:lineRule="auto"/>
        <w:tabs>
          <w:tab w:leader="none" w:pos="1795" w:val="left"/>
        </w:tabs>
        <w:numPr>
          <w:ilvl w:val="0"/>
          <w:numId w:val="390"/>
        </w:numPr>
        <w:rPr>
          <w:rFonts w:ascii="Arial" w:cs="Arial" w:eastAsia="Arial" w:hAnsi="Arial"/>
          <w:sz w:val="21"/>
          <w:szCs w:val="21"/>
          <w:color w:val="auto"/>
        </w:rPr>
      </w:pPr>
      <w:r>
        <w:rPr>
          <w:rFonts w:ascii="Arial" w:cs="Arial" w:eastAsia="Arial" w:hAnsi="Arial"/>
          <w:sz w:val="21"/>
          <w:szCs w:val="21"/>
          <w:color w:val="auto"/>
        </w:rPr>
        <w:t>Each borrowing of a Loan hereunder shall constitute a representation and warranty by Borrower as of the applicable Credit Date that the conditions contained in clauses (iii), and (iv) of Section 3.2(a) have been satisfied.</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4. REPRESENTATIONS AND WARRANTIES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order to induce Agents and Lenders to enter into this Agreement and to make each Credit Extension to be made thereby, each Credit Party represents and warrants to each Agent and Lender, on the Closing Date and on each Credit Date, that the following statements are true and correct:</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4.1. Organization; Requisite Power and Authority; Qualification</w:t>
      </w:r>
      <w:r>
        <w:rPr>
          <w:rFonts w:ascii="Arial" w:cs="Arial" w:eastAsia="Arial" w:hAnsi="Arial"/>
          <w:sz w:val="21"/>
          <w:szCs w:val="21"/>
          <w:color w:val="auto"/>
        </w:rPr>
        <w:t>. Each of the Borrower and its Subsidiaries (a) is duly</w:t>
      </w:r>
      <w:r>
        <w:rPr>
          <w:rFonts w:ascii="Arial" w:cs="Arial" w:eastAsia="Arial" w:hAnsi="Arial"/>
          <w:sz w:val="21"/>
          <w:szCs w:val="21"/>
          <w:b w:val="1"/>
          <w:bCs w:val="1"/>
          <w:color w:val="auto"/>
        </w:rPr>
        <w:t xml:space="preserve"> </w:t>
      </w:r>
      <w:r>
        <w:rPr>
          <w:rFonts w:ascii="Arial" w:cs="Arial" w:eastAsia="Arial" w:hAnsi="Arial"/>
          <w:sz w:val="21"/>
          <w:szCs w:val="21"/>
          <w:color w:val="auto"/>
        </w:rPr>
        <w:t>organized, validly existing and in good standing under the laws of its jurisdiction of organization as identified in Schedule 4.1, (b) has all requisite power and authority to own and operate its properties, to carry on its business as now conducted, to enter into the Credit Documents to which it is a party and to carry out the transactions contemplated thereby, and (c) is qualified to do business and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4.2. Equity Interests and Ownership</w:t>
      </w:r>
      <w:r>
        <w:rPr>
          <w:rFonts w:ascii="Arial" w:cs="Arial" w:eastAsia="Arial" w:hAnsi="Arial"/>
          <w:sz w:val="21"/>
          <w:szCs w:val="21"/>
          <w:color w:val="auto"/>
        </w:rPr>
        <w:t>. Except as set forth on Schedule 4.2, as of the date hereof, there is no existing</w:t>
      </w:r>
      <w:r>
        <w:rPr>
          <w:rFonts w:ascii="Arial" w:cs="Arial" w:eastAsia="Arial" w:hAnsi="Arial"/>
          <w:sz w:val="21"/>
          <w:szCs w:val="21"/>
          <w:b w:val="1"/>
          <w:bCs w:val="1"/>
          <w:color w:val="auto"/>
        </w:rPr>
        <w:t xml:space="preserve"> </w:t>
      </w:r>
      <w:r>
        <w:rPr>
          <w:rFonts w:ascii="Arial" w:cs="Arial" w:eastAsia="Arial" w:hAnsi="Arial"/>
          <w:sz w:val="21"/>
          <w:szCs w:val="21"/>
          <w:color w:val="auto"/>
        </w:rPr>
        <w:t>option, warrant, call, right, commitment or other agreement to which the Borrower or any of its Subsidiaries is a party requiring, and there is no membership interest or other Equity Interests of any Subsidiary of the Borrower outstanding which upon conversion or exchange would require, the issuance by any Subsidiary of the Borrower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7" w:right="339" w:bottom="1440" w:gutter="0" w:footer="0" w:header="0"/>
        </w:sectPr>
      </w:pPr>
    </w:p>
    <w:bookmarkStart w:id="518" w:name="page519"/>
    <w:bookmarkEnd w:id="518"/>
    <w:p>
      <w:pPr>
        <w:jc w:val="both"/>
        <w:spacing w:after="0" w:line="250" w:lineRule="auto"/>
        <w:rPr>
          <w:sz w:val="20"/>
          <w:szCs w:val="20"/>
          <w:color w:val="auto"/>
        </w:rPr>
      </w:pPr>
      <w:r>
        <w:rPr>
          <w:rFonts w:ascii="Arial" w:cs="Arial" w:eastAsia="Arial" w:hAnsi="Arial"/>
          <w:sz w:val="22"/>
          <w:szCs w:val="22"/>
          <w:color w:val="auto"/>
        </w:rPr>
        <w:t>additional membership interests or other Equity Interests of any Subsidiary of the Borrower or other Securities convertible into, exchangeable for or evidencing the right to subscribe for or purchase, a membership interest or other Equity Interests of any Subsidiary of the Borrower. Schedule 4.2 correctly sets forth the ownership interest of the Borrower and each of its Subsidiaries in their respective Subsidiaries as of the Closing Date.</w:t>
      </w:r>
    </w:p>
    <w:p>
      <w:pPr>
        <w:spacing w:after="0" w:line="18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4.3. Due Authorization</w:t>
      </w:r>
      <w:r>
        <w:rPr>
          <w:rFonts w:ascii="Arial" w:cs="Arial" w:eastAsia="Arial" w:hAnsi="Arial"/>
          <w:sz w:val="22"/>
          <w:szCs w:val="22"/>
          <w:color w:val="auto"/>
        </w:rPr>
        <w:t>. The execution, delivery and performance of the Credit Documents have been duly authorized by</w:t>
      </w:r>
      <w:r>
        <w:rPr>
          <w:rFonts w:ascii="Arial" w:cs="Arial" w:eastAsia="Arial" w:hAnsi="Arial"/>
          <w:sz w:val="22"/>
          <w:szCs w:val="22"/>
          <w:b w:val="1"/>
          <w:bCs w:val="1"/>
          <w:color w:val="auto"/>
        </w:rPr>
        <w:t xml:space="preserve"> </w:t>
      </w:r>
      <w:r>
        <w:rPr>
          <w:rFonts w:ascii="Arial" w:cs="Arial" w:eastAsia="Arial" w:hAnsi="Arial"/>
          <w:sz w:val="22"/>
          <w:szCs w:val="22"/>
          <w:color w:val="auto"/>
        </w:rPr>
        <w:t>all necessary action on the part of each Credit Party that is a party thereto.</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4.4. No Conflict</w:t>
      </w:r>
      <w:r>
        <w:rPr>
          <w:rFonts w:ascii="Arial" w:cs="Arial" w:eastAsia="Arial" w:hAnsi="Arial"/>
          <w:sz w:val="19"/>
          <w:szCs w:val="19"/>
          <w:color w:val="auto"/>
        </w:rPr>
        <w:t>. The execution, delivery and performance by Credit Parties of the Credit Documents to which they are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and the consummation of the transactions contemplated by the Credit Documents do not and will not (a) violate (i) any provision of any law or any governmental rule or regulation applicable to the Borrower or any of its Subsidiaries, (ii) any of the Organizational Documents of such Credit Party, or (iii) any order, judgment or decree of any court or other agency of government binding on the Borrower or any of its Subsidiaries; (b) conflict with, result in a breach of or constitute (with due notice or lapse of time or both) a default under any Contractual Obligation the Borrower or any of its Subsidiaries; or (c) result in or require the creation or imposition of any Lien upon any of the properties or assets of the Borrower or any of its Subsidiaries, except for any violation set forth in clause (a)(i), any conflict, breach or default set forth in clause (b) or any imposition of a Lien referred to in clause (c) which could not reasonably be expected to have, individually or in the aggregate, a Material Adverse Effect.</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4.5. Governmental Consents</w:t>
      </w:r>
      <w:r>
        <w:rPr>
          <w:rFonts w:ascii="Arial" w:cs="Arial" w:eastAsia="Arial" w:hAnsi="Arial"/>
          <w:sz w:val="21"/>
          <w:szCs w:val="21"/>
          <w:color w:val="auto"/>
        </w:rPr>
        <w:t>. The execution, delivery and performance by Credit Parties of the Credit Documents to</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they are parties and the consummation of the transactions contemplated by the Credit Documents do not and will not require any registration with, consent or approval of, or notice to, or other action to, with or by, any Governmental Authority, except for (a) such as have been made or obtained and are in full force and effect, (b) such other actions, registrations, consents and approvals with respect to which the failure to be obtained or made would not reasonably be expected to have a Material Adverse Effect [and (c) filings or other actions listed on Schedule 4.5].</w:t>
      </w:r>
    </w:p>
    <w:p>
      <w:pPr>
        <w:spacing w:after="0" w:line="17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4.6. Binding Obligation</w:t>
      </w:r>
      <w:r>
        <w:rPr>
          <w:rFonts w:ascii="Arial" w:cs="Arial" w:eastAsia="Arial" w:hAnsi="Arial"/>
          <w:sz w:val="19"/>
          <w:szCs w:val="19"/>
          <w:color w:val="auto"/>
        </w:rPr>
        <w:t>. Each Credit Document has been duly executed and delivered by each Credit Party that is a party</w:t>
      </w:r>
      <w:r>
        <w:rPr>
          <w:rFonts w:ascii="Arial" w:cs="Arial" w:eastAsia="Arial" w:hAnsi="Arial"/>
          <w:sz w:val="19"/>
          <w:szCs w:val="19"/>
          <w:b w:val="1"/>
          <w:bCs w:val="1"/>
          <w:color w:val="auto"/>
        </w:rPr>
        <w:t xml:space="preserve"> </w:t>
      </w:r>
      <w:r>
        <w:rPr>
          <w:rFonts w:ascii="Arial" w:cs="Arial" w:eastAsia="Arial" w:hAnsi="Arial"/>
          <w:sz w:val="19"/>
          <w:szCs w:val="19"/>
          <w:color w:val="auto"/>
        </w:rPr>
        <w:t>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3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4.7. Historical Financial Statements</w:t>
      </w:r>
      <w:r>
        <w:rPr>
          <w:rFonts w:ascii="Arial" w:cs="Arial" w:eastAsia="Arial" w:hAnsi="Arial"/>
          <w:sz w:val="22"/>
          <w:szCs w:val="22"/>
          <w:color w:val="auto"/>
        </w:rPr>
        <w:t>. The Historical Financial Statements were prepared in conformity with GAAP and</w:t>
      </w:r>
      <w:r>
        <w:rPr>
          <w:rFonts w:ascii="Arial" w:cs="Arial" w:eastAsia="Arial" w:hAnsi="Arial"/>
          <w:sz w:val="22"/>
          <w:szCs w:val="22"/>
          <w:b w:val="1"/>
          <w:bCs w:val="1"/>
          <w:color w:val="auto"/>
        </w:rPr>
        <w:t xml:space="preserve"> </w:t>
      </w:r>
      <w:r>
        <w:rPr>
          <w:rFonts w:ascii="Arial" w:cs="Arial" w:eastAsia="Arial" w:hAnsi="Arial"/>
          <w:sz w:val="22"/>
          <w:szCs w:val="22"/>
          <w:color w:val="auto"/>
        </w:rPr>
        <w:t>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7" w:right="339" w:bottom="1440" w:gutter="0" w:footer="0" w:header="0"/>
        </w:sectPr>
      </w:pPr>
    </w:p>
    <w:bookmarkStart w:id="519" w:name="page520"/>
    <w:bookmarkEnd w:id="519"/>
    <w:p>
      <w:pPr>
        <w:jc w:val="both"/>
        <w:spacing w:after="0" w:line="250" w:lineRule="auto"/>
        <w:rPr>
          <w:sz w:val="20"/>
          <w:szCs w:val="20"/>
          <w:color w:val="auto"/>
        </w:rPr>
      </w:pPr>
      <w:r>
        <w:rPr>
          <w:rFonts w:ascii="Arial" w:cs="Arial" w:eastAsia="Arial" w:hAnsi="Arial"/>
          <w:sz w:val="22"/>
          <w:szCs w:val="22"/>
          <w:color w:val="auto"/>
        </w:rPr>
        <w:t>As of the Closing Date, neither the Borrower nor any of its Subsidiaries has any contingent liability or liability for Taxes, long-term lease or unusual forward or long-term commitment that is not reflected in the Historical Financial Statements or disclosed in the notes thereto and which in any such case is material in relation to the business, operations, properties, assets or financial condition of the Borrower and its Subsidiaries taken as a whole.</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4.8. Projections</w:t>
      </w:r>
      <w:r>
        <w:rPr>
          <w:rFonts w:ascii="Arial" w:cs="Arial" w:eastAsia="Arial" w:hAnsi="Arial"/>
          <w:sz w:val="22"/>
          <w:szCs w:val="22"/>
          <w:color w:val="auto"/>
        </w:rPr>
        <w:t>. The projections of the Borrower and its Subsidiaries for the period of Fiscal Year 2020 through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including Fiscal Year 2025 furnished by or on behalf of the Borrower to the Arrangers (the </w:t>
      </w:r>
      <w:r>
        <w:rPr>
          <w:rFonts w:ascii="Arial" w:cs="Arial" w:eastAsia="Arial" w:hAnsi="Arial"/>
          <w:sz w:val="22"/>
          <w:szCs w:val="22"/>
          <w:b w:val="1"/>
          <w:bCs w:val="1"/>
          <w:color w:val="auto"/>
        </w:rPr>
        <w:t>“Projections”</w:t>
      </w:r>
      <w:r>
        <w:rPr>
          <w:rFonts w:ascii="Arial" w:cs="Arial" w:eastAsia="Arial" w:hAnsi="Arial"/>
          <w:sz w:val="22"/>
          <w:szCs w:val="22"/>
          <w:color w:val="auto"/>
        </w:rPr>
        <w:t>) have been prepared in good faith based on assumptions believed by the management of the Borrower to be reasonable at the time made, at the time such Projections were furnished and on the Closing Date (it being understood that Projections are not to be viewed as facts and that actual results during the period or periods covered by the Projections may differ from such Projections and such differences may be material).</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4.9. No Material Adverse Effect</w:t>
      </w:r>
      <w:r>
        <w:rPr>
          <w:rFonts w:ascii="Arial" w:cs="Arial" w:eastAsia="Arial" w:hAnsi="Arial"/>
          <w:sz w:val="22"/>
          <w:szCs w:val="22"/>
          <w:color w:val="auto"/>
        </w:rPr>
        <w:t>. Since December 31, 2020, no event, circumstance or change has occurred that has had,</w:t>
      </w:r>
      <w:r>
        <w:rPr>
          <w:rFonts w:ascii="Arial" w:cs="Arial" w:eastAsia="Arial" w:hAnsi="Arial"/>
          <w:sz w:val="22"/>
          <w:szCs w:val="22"/>
          <w:b w:val="1"/>
          <w:bCs w:val="1"/>
          <w:color w:val="auto"/>
        </w:rPr>
        <w:t xml:space="preserve"> </w:t>
      </w:r>
      <w:r>
        <w:rPr>
          <w:rFonts w:ascii="Arial" w:cs="Arial" w:eastAsia="Arial" w:hAnsi="Arial"/>
          <w:sz w:val="22"/>
          <w:szCs w:val="22"/>
          <w:color w:val="auto"/>
        </w:rPr>
        <w:t>either in any case or in the aggregate, a Material Adverse Effect.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4.10. [Reserved.]</w:t>
      </w:r>
    </w:p>
    <w:p>
      <w:pPr>
        <w:spacing w:after="0" w:line="220"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b w:val="1"/>
          <w:bCs w:val="1"/>
          <w:color w:val="auto"/>
        </w:rPr>
        <w:t xml:space="preserve">4.11. Adverse Proceedings, Etc. </w:t>
      </w:r>
      <w:r>
        <w:rPr>
          <w:rFonts w:ascii="Arial" w:cs="Arial" w:eastAsia="Arial" w:hAnsi="Arial"/>
          <w:sz w:val="22"/>
          <w:szCs w:val="22"/>
          <w:color w:val="auto"/>
        </w:rPr>
        <w:t>There are no Adverse Proceedings, individually or in the aggregate, that could</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reasonably be expected to have a Material Adverse Effect. Neither the Borrower nor any of its Subsidiaries (a) is in violation of any applicable laws (including Environmental Laws) that, individually or in the aggregate, could reasonably be expected to have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have a Material Adverse Effect.</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4.12. Payment of Taxes</w:t>
      </w:r>
      <w:r>
        <w:rPr>
          <w:rFonts w:ascii="Arial" w:cs="Arial" w:eastAsia="Arial" w:hAnsi="Arial"/>
          <w:sz w:val="21"/>
          <w:szCs w:val="21"/>
          <w:color w:val="auto"/>
        </w:rPr>
        <w:t>. Except as otherwise permitted under Section 5.3 and except to the extent that the failure to do so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could not reasonably be expected to have a Material Adverse Effect, all Tax returns and reports of the Borrower and its Subsidiaries required to be filed by any of them have been timely filed, and all Taxes shown on such tax returns to be due and payable and all assessments, fees and other governmental charges upon the Borrower and its Subsidiaries and upon their respective properties, assets, income, businesses and franchises which are due and payable have been paid when due and payable. Except as could not reasonably be expected to have a Material Adverse Effect, there is no proposed Tax assessment against the Borrower or any of its Subsidiaries other than assessments actively contested by the Borrower or such Subsidiary in good faith and by appropriate proceedings; </w:t>
      </w:r>
      <w:r>
        <w:rPr>
          <w:rFonts w:ascii="Arial" w:cs="Arial" w:eastAsia="Arial" w:hAnsi="Arial"/>
          <w:sz w:val="21"/>
          <w:szCs w:val="21"/>
          <w:u w:val="single" w:color="auto"/>
          <w:color w:val="auto"/>
        </w:rPr>
        <w:t>for which</w:t>
      </w:r>
      <w:r>
        <w:rPr>
          <w:rFonts w:ascii="Arial" w:cs="Arial" w:eastAsia="Arial" w:hAnsi="Arial"/>
          <w:sz w:val="21"/>
          <w:szCs w:val="21"/>
          <w:color w:val="auto"/>
        </w:rPr>
        <w:t xml:space="preserve"> such reserves or other appropriate provisions, if any, as shall be required in conformity with GAAP have been made or provided.</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4.13. Properties</w:t>
      </w:r>
      <w:r>
        <w:rPr>
          <w:rFonts w:ascii="Arial" w:cs="Arial" w:eastAsia="Arial" w:hAnsi="Arial"/>
          <w:sz w:val="22"/>
          <w:szCs w:val="22"/>
          <w:color w:val="auto"/>
        </w:rPr>
        <w:t>. Each of the Borrower and its Subsidiaries has (i) good, sufficient and legal title to (in the case of fee</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interests in real property), (ii) valid leasehold interests in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7" w:right="339" w:bottom="1440" w:gutter="0" w:footer="0" w:header="0"/>
        </w:sectPr>
      </w:pPr>
    </w:p>
    <w:bookmarkStart w:id="520" w:name="page521"/>
    <w:bookmarkEnd w:id="520"/>
    <w:p>
      <w:pPr>
        <w:jc w:val="both"/>
        <w:spacing w:after="0" w:line="292" w:lineRule="auto"/>
        <w:rPr>
          <w:sz w:val="20"/>
          <w:szCs w:val="20"/>
          <w:color w:val="auto"/>
        </w:rPr>
      </w:pPr>
      <w:r>
        <w:rPr>
          <w:rFonts w:ascii="Arial" w:cs="Arial" w:eastAsia="Arial" w:hAnsi="Arial"/>
          <w:sz w:val="19"/>
          <w:szCs w:val="19"/>
          <w:color w:val="auto"/>
        </w:rPr>
        <w:t>case of leasehold interests in real or personal property), (iii) valid licensed rights in (in the case of licensed interests in intellectual property) and (iv) good title to (in the case of all other personal property), all of their respective properties and assets reflected in their respective Historical Financial Statements referred to in Section 4.7 and in the most recent financial statements delivered pursuant to Section 5.1, in each case except for assets disposed of since the date of such financial statements in the ordinary course of business or as otherwise permitted under Section 6.8, and except where failure to have such title, interests or licensed rights would not reasonably be expected to have, individually or in the aggregate, a Material Adverse Effect. Except as permitted by this Agreement, all such properties and assets are free and clear of Liens.</w:t>
      </w:r>
    </w:p>
    <w:p>
      <w:pPr>
        <w:spacing w:after="0" w:line="14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4.14. Environmental Matters</w:t>
      </w:r>
      <w:r>
        <w:rPr>
          <w:rFonts w:ascii="Arial" w:cs="Arial" w:eastAsia="Arial" w:hAnsi="Arial"/>
          <w:sz w:val="19"/>
          <w:szCs w:val="19"/>
          <w:color w:val="auto"/>
        </w:rPr>
        <w:t>. Neither the Borrower nor any of its Subsidiaries nor any of their respective Facilities or</w:t>
      </w:r>
      <w:r>
        <w:rPr>
          <w:rFonts w:ascii="Arial" w:cs="Arial" w:eastAsia="Arial" w:hAnsi="Arial"/>
          <w:sz w:val="19"/>
          <w:szCs w:val="19"/>
          <w:b w:val="1"/>
          <w:bCs w:val="1"/>
          <w:color w:val="auto"/>
        </w:rPr>
        <w:t xml:space="preserve"> </w:t>
      </w:r>
      <w:r>
        <w:rPr>
          <w:rFonts w:ascii="Arial" w:cs="Arial" w:eastAsia="Arial" w:hAnsi="Arial"/>
          <w:sz w:val="19"/>
          <w:szCs w:val="19"/>
          <w:color w:val="auto"/>
        </w:rPr>
        <w:t>operations 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There are and, to each of the Borrower’ and its Subsidiaries’ knowledge, have been, no conditions, occurrences, or Hazardous Materials Activities which could reasonably be expected to form the basis of an Environmental Claim against the Borrower or any of its Subsidiaries that, individually or in the aggregate, could reasonably be expected to have a Material Adverse Effect. Neither the Borrower nor any of its Subsidiaries nor, to any Credit Party’s knowledge, any predecessor of the Borrower or any of its Subsidiaries has filed any notice under any Environmental Law indicating past or present treatment of Hazardous Materials at any Facility, and none of the Borrower’ or any of its Subsidiaries’ operations involves the generation, transportation, treatment, storage or disposal of hazardous waste, as defined under 40 C.F.R. Parts 260-270 or any state equivalent. Compliance with all current or reasonably foreseeable future requirements pursuant to or under Environmental Laws could not be reasonably expected to have, individually or in the aggregate, a Material Adverse Effect. No event or condition has occurred or is occurring with respect to the Borrower or any of its Subsidiaries relating to any Environmental Law, any Release of Hazardous Materials, or any Hazardous Materials Activity which individually or in the aggregate has had, or could reasonably be expected to have, a Material Adverse Effect.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4.15. [Reserved.]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4.16. [Reserved.]</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4.17. Governmental Regulation</w:t>
      </w:r>
      <w:r>
        <w:rPr>
          <w:rFonts w:ascii="Arial" w:cs="Arial" w:eastAsia="Arial" w:hAnsi="Arial"/>
          <w:sz w:val="22"/>
          <w:szCs w:val="22"/>
          <w:color w:val="auto"/>
        </w:rPr>
        <w:t>. Neither the Borrower nor any of its Subsidiaries is subject to regulation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Federal Power Act or the Investment Company Act of 1940 or under any other federal or state statute or regulation which may limit its ability to incur Indebtedness or which may otherwise render all or any portion of the Obligations unenforceable. Neither the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4.18. Federal Reserve Regulations; Exchange Act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7" w:right="339" w:bottom="1440" w:gutter="0" w:footer="0" w:header="0"/>
        </w:sectPr>
      </w:pPr>
    </w:p>
    <w:bookmarkStart w:id="521" w:name="page522"/>
    <w:bookmarkEnd w:id="521"/>
    <w:p>
      <w:pPr>
        <w:ind w:left="180" w:firstLine="1286"/>
        <w:spacing w:after="0" w:line="263" w:lineRule="auto"/>
        <w:tabs>
          <w:tab w:leader="none" w:pos="177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None of the Borrower or any of its Subsidiaries is engaged principally, or as one of its important activities, in the business of extending credit for the purpose of buying or carrying Margin Stock.</w:t>
      </w:r>
    </w:p>
    <w:p>
      <w:pPr>
        <w:spacing w:after="0" w:line="174" w:lineRule="exact"/>
        <w:rPr>
          <w:rFonts w:ascii="Arial" w:cs="Arial" w:eastAsia="Arial" w:hAnsi="Arial"/>
          <w:sz w:val="22"/>
          <w:szCs w:val="22"/>
          <w:color w:val="auto"/>
        </w:rPr>
      </w:pPr>
    </w:p>
    <w:p>
      <w:pPr>
        <w:jc w:val="both"/>
        <w:ind w:left="180" w:firstLine="1286"/>
        <w:spacing w:after="0" w:line="250" w:lineRule="auto"/>
        <w:tabs>
          <w:tab w:leader="none" w:pos="1822" w:val="left"/>
        </w:tabs>
        <w:numPr>
          <w:ilvl w:val="0"/>
          <w:numId w:val="391"/>
        </w:numPr>
        <w:rPr>
          <w:rFonts w:ascii="Arial" w:cs="Arial" w:eastAsia="Arial" w:hAnsi="Arial"/>
          <w:sz w:val="22"/>
          <w:szCs w:val="22"/>
          <w:color w:val="auto"/>
        </w:rPr>
      </w:pPr>
      <w:r>
        <w:rPr>
          <w:rFonts w:ascii="Arial" w:cs="Arial" w:eastAsia="Arial" w:hAnsi="Arial"/>
          <w:sz w:val="22"/>
          <w:szCs w:val="22"/>
          <w:color w:val="auto"/>
        </w:rPr>
        <w:t>No portion of the proceeds of any Credit Extension shall be used in any manner, whether directly or indirectly, that causes or could reasonably be expected to cause, such Credit Extension or the application of such proceeds to violate Regulation T, Regulation U or Regulation X of the Board of Governors or any other regulation thereof or to violate the Exchange Act.</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4.19. Employee Matters</w:t>
      </w:r>
      <w:r>
        <w:rPr>
          <w:rFonts w:ascii="Arial" w:cs="Arial" w:eastAsia="Arial" w:hAnsi="Arial"/>
          <w:sz w:val="19"/>
          <w:szCs w:val="19"/>
          <w:color w:val="auto"/>
        </w:rPr>
        <w:t>. Neither the Borrower nor any of its Subsidiaries is engaged in any unfair labor practice that</w:t>
      </w:r>
      <w:r>
        <w:rPr>
          <w:rFonts w:ascii="Arial" w:cs="Arial" w:eastAsia="Arial" w:hAnsi="Arial"/>
          <w:sz w:val="19"/>
          <w:szCs w:val="19"/>
          <w:b w:val="1"/>
          <w:bCs w:val="1"/>
          <w:color w:val="auto"/>
        </w:rPr>
        <w:t xml:space="preserve"> </w:t>
      </w:r>
      <w:r>
        <w:rPr>
          <w:rFonts w:ascii="Arial" w:cs="Arial" w:eastAsia="Arial" w:hAnsi="Arial"/>
          <w:sz w:val="19"/>
          <w:szCs w:val="19"/>
          <w:color w:val="auto"/>
        </w:rPr>
        <w:t>could reasonably be expected to have a Material Adverse Effect. There is (a) no unfair labor practice complaint pending against the Borrower or any of its Subsidiaries, or to the best knowledge of the Borrower, threatened against any of them before the National Labor Relations Board and no grievance or arbitration proceeding arising out of or under any collective bargaining agreement that is so pending against the Borrower or any of its Subsidiaries or to the best knowledge of the Borrower, threatened against any of them, (b) no strike or work stoppage in existence or threatened involving the Borrower or any of its Subsidiaries, and (c) to the best knowledge of the Borrower, no union representation question existing with respect to the employees of the Borrower or any of its Subsidiaries and, to the best knowledge of the Borrower, no union organization activity that is taking place, except (with respect to any matter specified in clause (a), (b) or (c) above, either individually or in the aggregate) such as is not reasonably likely to have a Material Adverse Effect.</w:t>
      </w:r>
    </w:p>
    <w:p>
      <w:pPr>
        <w:spacing w:after="0" w:line="15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4.20. Employee Benefit Plans</w:t>
      </w:r>
      <w:r>
        <w:rPr>
          <w:rFonts w:ascii="Arial" w:cs="Arial" w:eastAsia="Arial" w:hAnsi="Arial"/>
          <w:sz w:val="19"/>
          <w:szCs w:val="19"/>
          <w:color w:val="auto"/>
        </w:rPr>
        <w:t>. The Borrower, each of its Subsidiaries and each of their respective ERISA Affiliates are</w:t>
      </w:r>
      <w:r>
        <w:rPr>
          <w:rFonts w:ascii="Arial" w:cs="Arial" w:eastAsia="Arial" w:hAnsi="Arial"/>
          <w:sz w:val="19"/>
          <w:szCs w:val="19"/>
          <w:b w:val="1"/>
          <w:bCs w:val="1"/>
          <w:color w:val="auto"/>
        </w:rPr>
        <w:t xml:space="preserve"> </w:t>
      </w:r>
      <w:r>
        <w:rPr>
          <w:rFonts w:ascii="Arial" w:cs="Arial" w:eastAsia="Arial" w:hAnsi="Arial"/>
          <w:sz w:val="19"/>
          <w:szCs w:val="19"/>
          <w:color w:val="auto"/>
        </w:rPr>
        <w:t>in compliance in all material respects with all applicable provisions and requirements of ERISA and the Internal Revenue Code and the regulations and published interpretations thereunder with respect to each Employee Benefit Plan, and have performed all their obligations under each Employee Benefit Plan in all material respects. Each Employee Benefit Plan which is intended to qualify under Section 401(a) of the Internal Revenue Code has received a favorable determination letter, opinion letter or advisory letter from the Internal Revenue Service indicating that such Employee Benefit Plan is so qualified and nothing has occurred subsequent to the issuance of such determination letter which would cause such Employee Benefit Plan to lose its qualified status, except as could reasonably be expected to have a Material Adverse Effect. No liability to the PBGC (other than required premium payments), the Internal Revenue Service, any Employee Benefit Plan or any trust established under Title IV of ERISA has been or is expected to be incurred by the Borrower, any of its Subsidiaries or any of their ERISA Affiliates, except as could not reasonably be expected to have a Material Adverse Effect. No ERISA Event has occurred or is reasonably expected to occur, except as could not reasonably be expected to have a Material Adverse Effect. Except to the extent required under Section 4980B of the Internal Revenue Code or similar state laws, no Employee Benefit Plan provides health or welfare benefits (through the purchase of insurance or otherwise) for any retired or former employee of the Borrower, any of its Subsidiaries or any of their respective ERISA Affiliates, except as could not reasonably be expected to have a Material Adverse Effect. The present value of the aggregate benefit liabilities under each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7" w:right="339" w:bottom="1440" w:gutter="0" w:footer="0" w:header="0"/>
        </w:sectPr>
      </w:pPr>
    </w:p>
    <w:bookmarkStart w:id="522" w:name="page523"/>
    <w:bookmarkEnd w:id="522"/>
    <w:p>
      <w:pPr>
        <w:jc w:val="both"/>
        <w:spacing w:after="0" w:line="287" w:lineRule="auto"/>
        <w:rPr>
          <w:sz w:val="20"/>
          <w:szCs w:val="20"/>
          <w:color w:val="auto"/>
        </w:rPr>
      </w:pPr>
      <w:r>
        <w:rPr>
          <w:rFonts w:ascii="Arial" w:cs="Arial" w:eastAsia="Arial" w:hAnsi="Arial"/>
          <w:sz w:val="19"/>
          <w:szCs w:val="19"/>
          <w:color w:val="auto"/>
        </w:rPr>
        <w:t>sponsored, maintained or contributed to by the Borrower, any of its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except as could reasonably be expected to have a Material Adverse Effect. As of the most recent valuation date for each Multiemployer Plan for which the actuarial report is available, the potential liability of the Borrower, its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4221(e) of ERISA is zero, except as could reasonably be expected to have a Material Adverse Effect. The Borrower, each of its Subsidiaries and each of their ERISA Affiliates have complied with the requirements of Section 515 of ERISA with respect to each Multiemployer Plan and are not in material “default” (as defined in Section 4219(c)(5) of ERISA) with respect to payments to a Multiemployer Plan, except as could reasonably be expected to have a Material Adverse Effect.</w:t>
      </w:r>
    </w:p>
    <w:p>
      <w:pPr>
        <w:spacing w:after="0" w:line="15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auto"/>
        </w:rPr>
        <w:t>4.21. Certain Fees</w:t>
      </w:r>
      <w:r>
        <w:rPr>
          <w:rFonts w:ascii="Arial" w:cs="Arial" w:eastAsia="Arial" w:hAnsi="Arial"/>
          <w:sz w:val="21"/>
          <w:szCs w:val="21"/>
          <w:color w:val="auto"/>
        </w:rPr>
        <w:t>. No broker’s or finder’s fee or commission will be payable with respect to the transactions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by this Agreement and the Related Agreements, except as payable to Agents, Arrangers and Lenders.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4.22. Solvency</w:t>
      </w:r>
      <w:r>
        <w:rPr>
          <w:rFonts w:ascii="Arial" w:cs="Arial" w:eastAsia="Arial" w:hAnsi="Arial"/>
          <w:sz w:val="19"/>
          <w:szCs w:val="19"/>
          <w:color w:val="auto"/>
        </w:rPr>
        <w:t>. On the Closing Date, after giving effect to the consummation of the Transactions, including the making of</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Loans hereunder and the Senior Loans, and after giving effect to the application of proceeds thereof:</w:t>
      </w:r>
    </w:p>
    <w:p>
      <w:pPr>
        <w:spacing w:after="0" w:line="202" w:lineRule="exact"/>
        <w:rPr>
          <w:sz w:val="20"/>
          <w:szCs w:val="20"/>
          <w:color w:val="auto"/>
        </w:rPr>
      </w:pPr>
    </w:p>
    <w:p>
      <w:pPr>
        <w:ind w:left="180" w:firstLine="1286"/>
        <w:spacing w:after="0" w:line="263" w:lineRule="auto"/>
        <w:tabs>
          <w:tab w:leader="none" w:pos="1797"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fair value of the assets of the Borrower and its subsidiaries, on a consolidated basis, exceeds, on a consolidated basis, their debts and liabilities, subordinated, contingent or otherwise;</w:t>
      </w:r>
    </w:p>
    <w:p>
      <w:pPr>
        <w:spacing w:after="0" w:line="174" w:lineRule="exact"/>
        <w:rPr>
          <w:rFonts w:ascii="Arial" w:cs="Arial" w:eastAsia="Arial" w:hAnsi="Arial"/>
          <w:sz w:val="22"/>
          <w:szCs w:val="22"/>
          <w:color w:val="auto"/>
        </w:rPr>
      </w:pPr>
    </w:p>
    <w:p>
      <w:pPr>
        <w:jc w:val="both"/>
        <w:ind w:left="180" w:firstLine="1286"/>
        <w:spacing w:after="0" w:line="312" w:lineRule="auto"/>
        <w:tabs>
          <w:tab w:leader="none" w:pos="1782" w:val="left"/>
        </w:tabs>
        <w:numPr>
          <w:ilvl w:val="0"/>
          <w:numId w:val="392"/>
        </w:numPr>
        <w:rPr>
          <w:rFonts w:ascii="Arial" w:cs="Arial" w:eastAsia="Arial" w:hAnsi="Arial"/>
          <w:sz w:val="19"/>
          <w:szCs w:val="19"/>
          <w:color w:val="auto"/>
        </w:rPr>
      </w:pPr>
      <w:r>
        <w:rPr>
          <w:rFonts w:ascii="Arial" w:cs="Arial" w:eastAsia="Arial" w:hAnsi="Arial"/>
          <w:sz w:val="19"/>
          <w:szCs w:val="19"/>
          <w:color w:val="auto"/>
        </w:rPr>
        <w:t>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spacing w:after="0" w:line="133" w:lineRule="exact"/>
        <w:rPr>
          <w:rFonts w:ascii="Arial" w:cs="Arial" w:eastAsia="Arial" w:hAnsi="Arial"/>
          <w:sz w:val="19"/>
          <w:szCs w:val="19"/>
          <w:color w:val="auto"/>
        </w:rPr>
      </w:pPr>
    </w:p>
    <w:p>
      <w:pPr>
        <w:ind w:left="180" w:firstLine="1286"/>
        <w:spacing w:after="0" w:line="263" w:lineRule="auto"/>
        <w:tabs>
          <w:tab w:leader="none" w:pos="1824"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Borrower and its subsidiaries, on a consolidated basis, are able to pay their debts and liabilities, subordinated, contingent or otherwise, as such liabilities become absolute and matured;</w:t>
      </w:r>
    </w:p>
    <w:p>
      <w:pPr>
        <w:spacing w:after="0" w:line="174" w:lineRule="exact"/>
        <w:rPr>
          <w:rFonts w:ascii="Arial" w:cs="Arial" w:eastAsia="Arial" w:hAnsi="Arial"/>
          <w:sz w:val="22"/>
          <w:szCs w:val="22"/>
          <w:color w:val="auto"/>
        </w:rPr>
      </w:pPr>
    </w:p>
    <w:p>
      <w:pPr>
        <w:jc w:val="both"/>
        <w:ind w:left="180" w:firstLine="1286"/>
        <w:spacing w:after="0" w:line="253" w:lineRule="auto"/>
        <w:tabs>
          <w:tab w:leader="none" w:pos="1795"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Borrower and its subsidiaries, on a consolidated basis, have not incurred and do not intend to incur, or believe (nor should they reasonably believe) that they will incur, debts beyond their ability to pay such debts as they become due (whether at maturity or otherwise); and</w:t>
      </w:r>
    </w:p>
    <w:p>
      <w:pPr>
        <w:spacing w:after="0" w:line="185" w:lineRule="exact"/>
        <w:rPr>
          <w:rFonts w:ascii="Arial" w:cs="Arial" w:eastAsia="Arial" w:hAnsi="Arial"/>
          <w:sz w:val="22"/>
          <w:szCs w:val="22"/>
          <w:color w:val="auto"/>
        </w:rPr>
      </w:pPr>
    </w:p>
    <w:p>
      <w:pPr>
        <w:ind w:left="180" w:firstLine="1286"/>
        <w:spacing w:after="0" w:line="263" w:lineRule="auto"/>
        <w:tabs>
          <w:tab w:leader="none" w:pos="1770"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Borrower and its subsidiaries, on a consolidated basis, are not engaged in, and are not about to engage in, business for which they have unreasonably small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7" w:right="339" w:bottom="1440" w:gutter="0" w:footer="0" w:header="0"/>
        </w:sectPr>
      </w:pPr>
    </w:p>
    <w:bookmarkStart w:id="523" w:name="page524"/>
    <w:bookmarkEnd w:id="523"/>
    <w:p>
      <w:pPr>
        <w:jc w:val="both"/>
        <w:ind w:firstLine="648"/>
        <w:spacing w:after="0" w:line="253" w:lineRule="auto"/>
        <w:rPr>
          <w:sz w:val="20"/>
          <w:szCs w:val="20"/>
          <w:color w:val="auto"/>
        </w:rPr>
      </w:pPr>
      <w:r>
        <w:rPr>
          <w:rFonts w:ascii="Arial" w:cs="Arial" w:eastAsia="Arial" w:hAnsi="Arial"/>
          <w:sz w:val="22"/>
          <w:szCs w:val="22"/>
          <w:color w:val="auto"/>
        </w:rPr>
        <w:t>For the purposes hereof,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4.23. [Reserved]</w:t>
      </w:r>
    </w:p>
    <w:p>
      <w:pPr>
        <w:spacing w:after="0" w:line="22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4.24. Compliance with Statutes, Etc. </w:t>
      </w:r>
      <w:r>
        <w:rPr>
          <w:rFonts w:ascii="Arial" w:cs="Arial" w:eastAsia="Arial" w:hAnsi="Arial"/>
          <w:sz w:val="19"/>
          <w:szCs w:val="19"/>
          <w:color w:val="auto"/>
        </w:rPr>
        <w:t>Each of the Borrower and its Subsidiaries is in compliance with all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the Borrower or any of its Subsidiaries), except such non-compliance that, individually or in the aggregate, could not reasonably be expected to result in a Material Adverse Effect.</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4.25. Disclosure</w:t>
      </w:r>
      <w:r>
        <w:rPr>
          <w:rFonts w:ascii="Arial" w:cs="Arial" w:eastAsia="Arial" w:hAnsi="Arial"/>
          <w:sz w:val="21"/>
          <w:szCs w:val="21"/>
          <w:color w:val="auto"/>
        </w:rPr>
        <w:t>. All written information (other than the Projections, estimates, forecasts, forward looking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information of a general economic nature or general industry nature) (the “</w:t>
      </w:r>
      <w:r>
        <w:rPr>
          <w:rFonts w:ascii="Arial" w:cs="Arial" w:eastAsia="Arial" w:hAnsi="Arial"/>
          <w:sz w:val="21"/>
          <w:szCs w:val="21"/>
          <w:b w:val="1"/>
          <w:bCs w:val="1"/>
          <w:color w:val="auto"/>
        </w:rPr>
        <w:t>Information</w:t>
      </w:r>
      <w:r>
        <w:rPr>
          <w:rFonts w:ascii="Arial" w:cs="Arial" w:eastAsia="Arial" w:hAnsi="Arial"/>
          <w:sz w:val="21"/>
          <w:szCs w:val="21"/>
          <w:color w:val="auto"/>
        </w:rPr>
        <w:t>”) concerning the Borrower or any of its Subsidiaries and furnished by or on behalf of the Credit Parties and made available to any Lender or the Administrative Agent in connection with the Transactions or the other transactions contemplated hereby, when taken as a whole, was true and correct in all material respects as of the date such Information was furnished to the Lenders and as of the Closing Date and did not, taken as a whole, contain any untrue statement of a material fact as of any such date or omit to state a material fact necessary in order to make the statements contained therein, taken as a whole, not materially misleading in any material respect in light of the circumstances under which such statements were made (after giving effect to all supplements and updates thereto delivered to the Arrangers prior to such time).</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4.26. Sanctioned Persons; Anti-Corruption Laws; PATRIOT Act</w:t>
      </w:r>
      <w:r>
        <w:rPr>
          <w:rFonts w:ascii="Arial" w:cs="Arial" w:eastAsia="Arial" w:hAnsi="Arial"/>
          <w:sz w:val="19"/>
          <w:szCs w:val="19"/>
          <w:color w:val="auto"/>
        </w:rPr>
        <w:t>. None of the Borrower or any of its Subsidiaries or</w:t>
      </w:r>
      <w:r>
        <w:rPr>
          <w:rFonts w:ascii="Arial" w:cs="Arial" w:eastAsia="Arial" w:hAnsi="Arial"/>
          <w:sz w:val="19"/>
          <w:szCs w:val="19"/>
          <w:b w:val="1"/>
          <w:bCs w:val="1"/>
          <w:color w:val="auto"/>
        </w:rPr>
        <w:t xml:space="preserve"> </w:t>
      </w:r>
      <w:r>
        <w:rPr>
          <w:rFonts w:ascii="Arial" w:cs="Arial" w:eastAsia="Arial" w:hAnsi="Arial"/>
          <w:sz w:val="19"/>
          <w:szCs w:val="19"/>
          <w:color w:val="auto"/>
        </w:rPr>
        <w:t>any of their respective directors, officers or, to the knowledge of Borrower, employees, agents, advisors or Affiliates is (a) a Person named on any list of designated persons maintained by the U.S. Department of State or the U.S. Department of Treasury (including the Office of Foreign Assets Control) or any other applicable sanctions authority that imposes, administers or enforces economic or financial sanctions or trade embargoes (collectively, “</w:t>
      </w:r>
      <w:r>
        <w:rPr>
          <w:rFonts w:ascii="Arial" w:cs="Arial" w:eastAsia="Arial" w:hAnsi="Arial"/>
          <w:sz w:val="19"/>
          <w:szCs w:val="19"/>
          <w:b w:val="1"/>
          <w:bCs w:val="1"/>
          <w:color w:val="auto"/>
        </w:rPr>
        <w:t>Sanctions</w:t>
      </w:r>
      <w:r>
        <w:rPr>
          <w:rFonts w:ascii="Arial" w:cs="Arial" w:eastAsia="Arial" w:hAnsi="Arial"/>
          <w:sz w:val="19"/>
          <w:szCs w:val="19"/>
          <w:color w:val="auto"/>
        </w:rPr>
        <w:t>”, and the associated laws, rules, regulations and orders, collectively, “</w:t>
      </w:r>
      <w:r>
        <w:rPr>
          <w:rFonts w:ascii="Arial" w:cs="Arial" w:eastAsia="Arial" w:hAnsi="Arial"/>
          <w:sz w:val="19"/>
          <w:szCs w:val="19"/>
          <w:b w:val="1"/>
          <w:bCs w:val="1"/>
          <w:color w:val="auto"/>
        </w:rPr>
        <w:t>Sanctions Laws</w:t>
      </w:r>
      <w:r>
        <w:rPr>
          <w:rFonts w:ascii="Arial" w:cs="Arial" w:eastAsia="Arial" w:hAnsi="Arial"/>
          <w:sz w:val="19"/>
          <w:szCs w:val="19"/>
          <w:color w:val="auto"/>
        </w:rPr>
        <w:t>”), (b) located, organized or resident in any country or territory that is the subject or target of Sanctions, (c) owned or controlled by any such Person or Persons, or (d) otherwise the subject of Sanctions . Each of the Borrower and its Subsidiaries and their respective directors, officers and, to the knowledge of Borrower, employees, agents, advisors and Affiliates is in compliance, in all material respects, with (i) all Sanctions Laws, (ii) the United States Foreign Corrupt Practices Act of 1977, as amended, and any other applicable anti-bribery or anti-corruption laws, rules, regulations and orders (collectively, “</w:t>
      </w:r>
      <w:r>
        <w:rPr>
          <w:rFonts w:ascii="Arial" w:cs="Arial" w:eastAsia="Arial" w:hAnsi="Arial"/>
          <w:sz w:val="19"/>
          <w:szCs w:val="19"/>
          <w:b w:val="1"/>
          <w:bCs w:val="1"/>
          <w:color w:val="auto"/>
        </w:rPr>
        <w:t>Anti-Corruption Laws</w:t>
      </w:r>
      <w:r>
        <w:rPr>
          <w:rFonts w:ascii="Arial" w:cs="Arial" w:eastAsia="Arial" w:hAnsi="Arial"/>
          <w:sz w:val="19"/>
          <w:szCs w:val="19"/>
          <w:color w:val="auto"/>
        </w:rPr>
        <w:t>”) and (iii) the PATRIOT Act and any other applicable terrorism and money laundering laws, rules, regulations and orders. No part of the proceeds of the Loans will be used,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7" w:right="339" w:bottom="1440" w:gutter="0" w:footer="0" w:header="0"/>
        </w:sectPr>
      </w:pPr>
    </w:p>
    <w:bookmarkStart w:id="524" w:name="page525"/>
    <w:bookmarkEnd w:id="524"/>
    <w:p>
      <w:pPr>
        <w:jc w:val="both"/>
        <w:ind w:firstLine="8"/>
        <w:spacing w:after="0" w:line="263" w:lineRule="auto"/>
        <w:tabs>
          <w:tab w:leader="none" w:pos="369" w:val="left"/>
        </w:tabs>
        <w:numPr>
          <w:ilvl w:val="0"/>
          <w:numId w:val="393"/>
        </w:numPr>
        <w:rPr>
          <w:rFonts w:ascii="Arial" w:cs="Arial" w:eastAsia="Arial" w:hAnsi="Arial"/>
          <w:sz w:val="21"/>
          <w:szCs w:val="21"/>
          <w:color w:val="auto"/>
        </w:rPr>
      </w:pPr>
      <w:r>
        <w:rPr>
          <w:rFonts w:ascii="Arial" w:cs="Arial" w:eastAsia="Arial" w:hAnsi="Arial"/>
          <w:sz w:val="21"/>
          <w:szCs w:val="21"/>
          <w:color w:val="auto"/>
        </w:rPr>
        <w:t>for the purpose of funding, financing or facilitating any activities, transactions, or business of or with any Person or in any country or territory that at such time is the subject of any Sanctions, (B) in any manner that would result in a violation of any Sanctions Laws applicable to any party hereto, or (C)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5. AFFIRMATIVE COVENANTS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Credit Party covenants and agrees that, so long as any Commitment is in effect and until payment in full of all Obligations (other than amounts in respect of indemnification, expense reimbursement, yield protection or tax gross-up and other contingent obligations with respect to which no claim has been made), each Credit Party shall perform, and shall cause each of its Subsidiaries to perform, all covenants set forth in this Section 5.</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5.1. Financial Statements and Other Reports</w:t>
      </w:r>
      <w:r>
        <w:rPr>
          <w:rFonts w:ascii="Arial" w:cs="Arial" w:eastAsia="Arial" w:hAnsi="Arial"/>
          <w:sz w:val="21"/>
          <w:szCs w:val="21"/>
          <w:color w:val="auto"/>
        </w:rPr>
        <w:t>. The Borrower will deliver to Administrative Agent and Lenders:</w:t>
      </w:r>
    </w:p>
    <w:p>
      <w:pPr>
        <w:spacing w:after="0" w:line="237" w:lineRule="exact"/>
        <w:rPr>
          <w:sz w:val="20"/>
          <w:szCs w:val="20"/>
          <w:color w:val="auto"/>
        </w:rPr>
      </w:pPr>
    </w:p>
    <w:p>
      <w:pPr>
        <w:ind w:left="1760" w:hanging="294"/>
        <w:spacing w:after="0"/>
        <w:tabs>
          <w:tab w:leader="none" w:pos="1760" w:val="left"/>
        </w:tabs>
        <w:numPr>
          <w:ilvl w:val="0"/>
          <w:numId w:val="394"/>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auto"/>
        </w:rPr>
      </w:pPr>
    </w:p>
    <w:p>
      <w:pPr>
        <w:jc w:val="both"/>
        <w:ind w:left="180" w:firstLine="1286"/>
        <w:spacing w:after="0" w:line="287" w:lineRule="auto"/>
        <w:tabs>
          <w:tab w:leader="none" w:pos="1782" w:val="left"/>
        </w:tabs>
        <w:numPr>
          <w:ilvl w:val="0"/>
          <w:numId w:val="394"/>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As soon as available, and in any event within 45 days after the end of each of the first three Fiscal Quarters of each Fiscal Year, commencing with the Fiscal Quarter in which the Closing Date occurs, the consolidated balance sheet of the Borrower and its Subsidiaries as at the end of such Fiscal Quarter (including, during any Unrestricted Subsidiary Reporting Period, with respect to the consolidated balance sheet, any adjustments necessary to eliminate the accounts of Unrestricted Subsidiaries (if any) (which may be in footnote form only) from the consolidated balance sheet) and the related consolidated statements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and a Narrative Report with respect thereto (it being understood that filing by the Borrower of a Quarterly Report on Form 10-Q with the SEC shall satisfy the requirements of this Section 5.1(b), without prejudice to the obligation of the Borrower, during any Unrestricted Subsidiary Reporting Period, to deliver a statement setting forth any adjustments necessary to eliminate the accounts of Unrestricted Subsidiaries from the consolidated balance sheet);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180" w:firstLine="1286"/>
        <w:spacing w:after="0" w:line="247" w:lineRule="auto"/>
        <w:tabs>
          <w:tab w:leader="none" w:pos="1783" w:val="left"/>
        </w:tabs>
        <w:numPr>
          <w:ilvl w:val="0"/>
          <w:numId w:val="394"/>
        </w:numPr>
        <w:rPr>
          <w:rFonts w:ascii="Arial" w:cs="Arial" w:eastAsia="Arial" w:hAnsi="Arial"/>
          <w:sz w:val="22"/>
          <w:szCs w:val="22"/>
          <w:color w:val="auto"/>
        </w:rPr>
      </w:pPr>
      <w:r>
        <w:rPr>
          <w:rFonts w:ascii="Arial" w:cs="Arial" w:eastAsia="Arial" w:hAnsi="Arial"/>
          <w:sz w:val="22"/>
          <w:szCs w:val="22"/>
          <w:u w:val="single" w:color="auto"/>
          <w:color w:val="auto"/>
        </w:rPr>
        <w:t>Annual Financial Statements</w:t>
      </w:r>
      <w:r>
        <w:rPr>
          <w:rFonts w:ascii="Arial" w:cs="Arial" w:eastAsia="Arial" w:hAnsi="Arial"/>
          <w:sz w:val="22"/>
          <w:szCs w:val="22"/>
          <w:color w:val="auto"/>
        </w:rPr>
        <w:t>. As soon as available, and in any event within 90 days after the end of each Fiscal Year, commencing with the Fiscal Year in which the Closing Date occurs, (i) the consolidated balance sheet of the Borrower and its Subsidiaries as at the end of such Fiscal Year (including, during any Unrestricted Subsidiary Reporting Period, with respect to the consolidated balance sheet, any adjustments necessary to eliminate the accounts of Unrestricted Subsidiaries (if any) (which may be in footnote form only) from the consolidated balance sheet) and the related consolidated statements of income,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7" w:right="339" w:bottom="1440" w:gutter="0" w:footer="0" w:header="0"/>
        </w:sectPr>
      </w:pPr>
    </w:p>
    <w:bookmarkStart w:id="525" w:name="page526"/>
    <w:bookmarkEnd w:id="525"/>
    <w:p>
      <w:pPr>
        <w:jc w:val="both"/>
        <w:spacing w:after="0" w:line="286" w:lineRule="auto"/>
        <w:rPr>
          <w:sz w:val="20"/>
          <w:szCs w:val="20"/>
          <w:color w:val="auto"/>
        </w:rPr>
      </w:pPr>
      <w:r>
        <w:rPr>
          <w:rFonts w:ascii="Arial" w:cs="Arial" w:eastAsia="Arial" w:hAnsi="Arial"/>
          <w:sz w:val="19"/>
          <w:szCs w:val="19"/>
          <w:color w:val="auto"/>
        </w:rPr>
        <w:t>equity and cash flows of the Borrower and its Subsidiaries for such Fiscal Year, setting forth in each case in comparative form the corresponding figures for the previous Fiscal Year, in reasonable detail, together with a Financial Officer Certification and a Narrative Report with respect thereto; and (ii) with respect to such consolidated financial statements a report thereon of [___] or other independent certified public accountants of recognized national standing selected by the Borrower and reasonably satisfactory to Administrative Agent (which report and/or the accompanying financial statements shall be unqualified as to going concern (except any “going concern” qualification due to the impeding maturity of any indebtedness under this Agreement within one year from the date of such opinion or any prospective default of any financial maintenance covenant included in this Agreement) and scope of audit, and shall state that such consolidated financial statements fairly present, in all material respects, the consolidated financial position of the Borrower and its Subsidiaries as at the dates indicated and the results of their operations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 (it being understood that the filing by the Borrower of an Annual Report on Form 10-K with the SEC shall satisfy the requirements of paragraph (i) of this Section 5.1(c), without prejudice to the obligation of the Borrower, during any Unrestricted Subsidiary Reporting Period, to deliver a statement setting forth any adjustments necessary to eliminate the accounts of Unrestricted Subsidiaries from the consolidated balance sheet);</w:t>
      </w:r>
    </w:p>
    <w:p>
      <w:pPr>
        <w:spacing w:after="0" w:line="200" w:lineRule="exact"/>
        <w:rPr>
          <w:sz w:val="20"/>
          <w:szCs w:val="20"/>
          <w:color w:val="auto"/>
        </w:rPr>
      </w:pPr>
    </w:p>
    <w:p>
      <w:pPr>
        <w:spacing w:after="0" w:line="215" w:lineRule="exact"/>
        <w:rPr>
          <w:sz w:val="20"/>
          <w:szCs w:val="20"/>
          <w:color w:val="auto"/>
        </w:rPr>
      </w:pPr>
    </w:p>
    <w:p>
      <w:pPr>
        <w:ind w:firstLine="1286"/>
        <w:spacing w:after="0" w:line="263" w:lineRule="auto"/>
        <w:tabs>
          <w:tab w:leader="none" w:pos="1656" w:val="left"/>
        </w:tabs>
        <w:numPr>
          <w:ilvl w:val="0"/>
          <w:numId w:val="395"/>
        </w:numPr>
        <w:rPr>
          <w:rFonts w:ascii="Arial" w:cs="Arial" w:eastAsia="Arial" w:hAnsi="Arial"/>
          <w:sz w:val="22"/>
          <w:szCs w:val="22"/>
          <w:color w:val="auto"/>
        </w:rPr>
      </w:pPr>
      <w:r>
        <w:rPr>
          <w:rFonts w:ascii="Arial" w:cs="Arial" w:eastAsia="Arial" w:hAnsi="Arial"/>
          <w:sz w:val="22"/>
          <w:szCs w:val="22"/>
          <w:u w:val="single" w:color="auto"/>
          <w:color w:val="auto"/>
        </w:rPr>
        <w:t>Compliance Certificate</w:t>
      </w:r>
      <w:r>
        <w:rPr>
          <w:rFonts w:ascii="Arial" w:cs="Arial" w:eastAsia="Arial" w:hAnsi="Arial"/>
          <w:sz w:val="22"/>
          <w:szCs w:val="22"/>
          <w:color w:val="auto"/>
        </w:rPr>
        <w:t>. Together with each delivery of financial statements of the Borrower and its Subsidiaries pursuant to Sections 5.1(b) and 5.1(c), a duly executed and completed Compliance Certificate;</w:t>
      </w:r>
    </w:p>
    <w:p>
      <w:pPr>
        <w:spacing w:after="0" w:line="174" w:lineRule="exact"/>
        <w:rPr>
          <w:rFonts w:ascii="Arial" w:cs="Arial" w:eastAsia="Arial" w:hAnsi="Arial"/>
          <w:sz w:val="22"/>
          <w:szCs w:val="22"/>
          <w:color w:val="auto"/>
        </w:rPr>
      </w:pPr>
    </w:p>
    <w:p>
      <w:pPr>
        <w:ind w:left="1580" w:hanging="294"/>
        <w:spacing w:after="0"/>
        <w:tabs>
          <w:tab w:leader="none" w:pos="1580" w:val="left"/>
        </w:tabs>
        <w:numPr>
          <w:ilvl w:val="0"/>
          <w:numId w:val="39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286"/>
        <w:spacing w:after="0" w:line="261" w:lineRule="auto"/>
        <w:tabs>
          <w:tab w:leader="none" w:pos="1579" w:val="left"/>
        </w:tabs>
        <w:numPr>
          <w:ilvl w:val="0"/>
          <w:numId w:val="395"/>
        </w:numPr>
        <w:rPr>
          <w:rFonts w:ascii="Arial" w:cs="Arial" w:eastAsia="Arial" w:hAnsi="Arial"/>
          <w:sz w:val="21"/>
          <w:szCs w:val="21"/>
          <w:color w:val="auto"/>
        </w:rPr>
      </w:pPr>
      <w:r>
        <w:rPr>
          <w:rFonts w:ascii="Arial" w:cs="Arial" w:eastAsia="Arial" w:hAnsi="Arial"/>
          <w:sz w:val="21"/>
          <w:szCs w:val="21"/>
          <w:u w:val="single" w:color="auto"/>
          <w:color w:val="auto"/>
        </w:rPr>
        <w:t>Notice of Default</w:t>
      </w:r>
      <w:r>
        <w:rPr>
          <w:rFonts w:ascii="Arial" w:cs="Arial" w:eastAsia="Arial" w:hAnsi="Arial"/>
          <w:sz w:val="21"/>
          <w:szCs w:val="21"/>
          <w:color w:val="auto"/>
        </w:rPr>
        <w:t>. Promptly upon any officer of the Borrower or Borrower obtaining knowledge (i) of any condition or event that constitutes a Default or an Event of Default; (ii) of the occurrence of any event or change that has caused or evidences, either in any case or in the aggregate, a Material Adverse Effect, a certificate of an Authorized Officer specifying the nature and period of existence of such condition, event or change, or specifying the notice given and action taken by any such Person and the nature of such claimed Event of Default, Default, event or condition, and what action Borrower has taken, is taking and proposes to take with respect thereto;</w:t>
      </w:r>
    </w:p>
    <w:p>
      <w:pPr>
        <w:spacing w:after="0" w:line="179" w:lineRule="exact"/>
        <w:rPr>
          <w:rFonts w:ascii="Arial" w:cs="Arial" w:eastAsia="Arial" w:hAnsi="Arial"/>
          <w:sz w:val="21"/>
          <w:szCs w:val="21"/>
          <w:color w:val="auto"/>
        </w:rPr>
      </w:pPr>
    </w:p>
    <w:p>
      <w:pPr>
        <w:jc w:val="both"/>
        <w:ind w:firstLine="1286"/>
        <w:spacing w:after="0" w:line="261" w:lineRule="auto"/>
        <w:tabs>
          <w:tab w:leader="none" w:pos="1602" w:val="left"/>
        </w:tabs>
        <w:numPr>
          <w:ilvl w:val="0"/>
          <w:numId w:val="395"/>
        </w:numPr>
        <w:rPr>
          <w:rFonts w:ascii="Arial" w:cs="Arial" w:eastAsia="Arial" w:hAnsi="Arial"/>
          <w:sz w:val="21"/>
          <w:szCs w:val="21"/>
          <w:color w:val="auto"/>
        </w:rPr>
      </w:pPr>
      <w:r>
        <w:rPr>
          <w:rFonts w:ascii="Arial" w:cs="Arial" w:eastAsia="Arial" w:hAnsi="Arial"/>
          <w:sz w:val="21"/>
          <w:szCs w:val="21"/>
          <w:u w:val="single" w:color="auto"/>
          <w:color w:val="auto"/>
        </w:rPr>
        <w:t>Notice of Litigation</w:t>
      </w:r>
      <w:r>
        <w:rPr>
          <w:rFonts w:ascii="Arial" w:cs="Arial" w:eastAsia="Arial" w:hAnsi="Arial"/>
          <w:sz w:val="21"/>
          <w:szCs w:val="21"/>
          <w:color w:val="auto"/>
        </w:rPr>
        <w:t>. Promptly upon any officer of the Borrower or Borrower obtaining knowledge of (i) any Adverse Proceeding not previously disclosed in writing by Borrower to Lenders, or (ii) any development in any Adverse Proceeding that, in the case of either clause (i) or (ii)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Borrower to enable Lenders and their counsel to evaluate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060"/>
          </w:cols>
          <w:pgMar w:left="500" w:top="1427" w:right="339" w:bottom="1440" w:gutter="0" w:footer="0" w:header="0"/>
        </w:sectPr>
      </w:pPr>
    </w:p>
    <w:bookmarkStart w:id="526" w:name="page527"/>
    <w:bookmarkEnd w:id="526"/>
    <w:p>
      <w:pPr>
        <w:jc w:val="both"/>
        <w:ind w:left="180" w:firstLine="1286"/>
        <w:spacing w:after="0" w:line="292" w:lineRule="auto"/>
        <w:tabs>
          <w:tab w:leader="none" w:pos="1795"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Promptly upon becoming aware of the occurrence of or forthcoming occurrence of any ERISA Event, a written notice specifying the nature thereof, what action the Borrower,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all notices received by the Borrower, any of its Subsidiaries or any of their respective ERISA Affiliates from a Multiemployer Plan sponsor concerning an ERISA Event; and (2) copies of such other documents or governmental reports or filings relating to any Employee Benefit Plan as Administrative Agent shall reasonably request.</w:t>
      </w:r>
    </w:p>
    <w:p>
      <w:pPr>
        <w:spacing w:after="0" w:line="150" w:lineRule="exact"/>
        <w:rPr>
          <w:rFonts w:ascii="Arial" w:cs="Arial" w:eastAsia="Arial" w:hAnsi="Arial"/>
          <w:sz w:val="19"/>
          <w:szCs w:val="19"/>
          <w:color w:val="auto"/>
        </w:rPr>
      </w:pPr>
    </w:p>
    <w:p>
      <w:pPr>
        <w:jc w:val="both"/>
        <w:ind w:left="180" w:firstLine="1286"/>
        <w:spacing w:after="0" w:line="271" w:lineRule="auto"/>
        <w:tabs>
          <w:tab w:leader="none" w:pos="1734" w:val="left"/>
        </w:tabs>
        <w:numPr>
          <w:ilvl w:val="0"/>
          <w:numId w:val="396"/>
        </w:numPr>
        <w:rPr>
          <w:rFonts w:ascii="Arial" w:cs="Arial" w:eastAsia="Arial" w:hAnsi="Arial"/>
          <w:sz w:val="21"/>
          <w:szCs w:val="21"/>
          <w:color w:val="auto"/>
        </w:rPr>
      </w:pPr>
      <w:r>
        <w:rPr>
          <w:rFonts w:ascii="Arial" w:cs="Arial" w:eastAsia="Arial" w:hAnsi="Arial"/>
          <w:sz w:val="21"/>
          <w:szCs w:val="21"/>
          <w:u w:val="single" w:color="auto"/>
          <w:color w:val="auto"/>
        </w:rPr>
        <w:t>Financial Plan</w:t>
      </w:r>
      <w:r>
        <w:rPr>
          <w:rFonts w:ascii="Arial" w:cs="Arial" w:eastAsia="Arial" w:hAnsi="Arial"/>
          <w:sz w:val="21"/>
          <w:szCs w:val="21"/>
          <w:color w:val="auto"/>
        </w:rPr>
        <w:t>. As soon as practicable and in any event no later than ninety days after the beginning of each Fiscal Year, a forecast prepared by management of the Borrower of the consolidated statement of income of the Borrower and its Subsidiaries on a quarterly basis for such Fiscal Year (a “</w:t>
      </w:r>
      <w:r>
        <w:rPr>
          <w:rFonts w:ascii="Arial" w:cs="Arial" w:eastAsia="Arial" w:hAnsi="Arial"/>
          <w:sz w:val="21"/>
          <w:szCs w:val="21"/>
          <w:u w:val="single" w:color="auto"/>
          <w:color w:val="auto"/>
        </w:rPr>
        <w:t>Financial Plan</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left="1720" w:hanging="254"/>
        <w:spacing w:after="0"/>
        <w:tabs>
          <w:tab w:leader="none" w:pos="1720" w:val="left"/>
        </w:tabs>
        <w:numPr>
          <w:ilvl w:val="0"/>
          <w:numId w:val="396"/>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0" w:right="20" w:firstLine="1286"/>
        <w:spacing w:after="0" w:line="263" w:lineRule="auto"/>
        <w:tabs>
          <w:tab w:leader="none" w:pos="1782" w:val="left"/>
        </w:tabs>
        <w:numPr>
          <w:ilvl w:val="0"/>
          <w:numId w:val="396"/>
        </w:numPr>
        <w:rPr>
          <w:rFonts w:ascii="Arial" w:cs="Arial" w:eastAsia="Arial" w:hAnsi="Arial"/>
          <w:sz w:val="22"/>
          <w:szCs w:val="22"/>
          <w:color w:val="auto"/>
        </w:rPr>
      </w:pPr>
      <w:r>
        <w:rPr>
          <w:rFonts w:ascii="Arial" w:cs="Arial" w:eastAsia="Arial" w:hAnsi="Arial"/>
          <w:sz w:val="22"/>
          <w:szCs w:val="22"/>
          <w:u w:val="single" w:color="auto"/>
          <w:color w:val="auto"/>
        </w:rPr>
        <w:t>Other Information</w:t>
      </w:r>
      <w:r>
        <w:rPr>
          <w:rFonts w:ascii="Arial" w:cs="Arial" w:eastAsia="Arial" w:hAnsi="Arial"/>
          <w:sz w:val="22"/>
          <w:szCs w:val="22"/>
          <w:color w:val="auto"/>
        </w:rPr>
        <w:t>. Such other information and data with respect to the Borrower or any of its Subsidiaries as from time to time may be reasonably requested by Administrative Agent or any Lender; and</w:t>
      </w:r>
    </w:p>
    <w:p>
      <w:pPr>
        <w:spacing w:after="0" w:line="174" w:lineRule="exact"/>
        <w:rPr>
          <w:rFonts w:ascii="Arial" w:cs="Arial" w:eastAsia="Arial" w:hAnsi="Arial"/>
          <w:sz w:val="22"/>
          <w:szCs w:val="22"/>
          <w:color w:val="auto"/>
        </w:rPr>
      </w:pPr>
    </w:p>
    <w:p>
      <w:pPr>
        <w:jc w:val="both"/>
        <w:ind w:left="180" w:firstLine="1286"/>
        <w:spacing w:after="0" w:line="289" w:lineRule="auto"/>
        <w:tabs>
          <w:tab w:leader="none" w:pos="1747"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Designation of Public Information</w:t>
      </w:r>
      <w:r>
        <w:rPr>
          <w:rFonts w:ascii="Arial" w:cs="Arial" w:eastAsia="Arial" w:hAnsi="Arial"/>
          <w:sz w:val="19"/>
          <w:szCs w:val="19"/>
          <w:color w:val="auto"/>
        </w:rPr>
        <w:t xml:space="preserve">. The Borrower and each Lender acknowledge that certain of the Lenders may be Public Lenders and, if documents or notices required to be delivered pursuant to this Section 5.1 or otherwise are being distributed through Debt Domain, Intralinks, SyndTrak or another relevant website or other information platform (the </w:t>
      </w:r>
      <w:r>
        <w:rPr>
          <w:rFonts w:ascii="Arial" w:cs="Arial" w:eastAsia="Arial" w:hAnsi="Arial"/>
          <w:sz w:val="19"/>
          <w:szCs w:val="19"/>
          <w:b w:val="1"/>
          <w:bCs w:val="1"/>
          <w:color w:val="auto"/>
        </w:rPr>
        <w:t>“Platform”</w:t>
      </w:r>
      <w:r>
        <w:rPr>
          <w:rFonts w:ascii="Arial" w:cs="Arial" w:eastAsia="Arial" w:hAnsi="Arial"/>
          <w:sz w:val="19"/>
          <w:szCs w:val="19"/>
          <w:color w:val="auto"/>
        </w:rPr>
        <w:t>), any document or notice that the Borrower has indicated contains Private-Side Information shall not be posted on</w:t>
      </w:r>
      <w:r>
        <w:rPr>
          <w:rFonts w:ascii="Arial" w:cs="Arial" w:eastAsia="Arial" w:hAnsi="Arial"/>
          <w:sz w:val="19"/>
          <w:szCs w:val="19"/>
          <w:b w:val="1"/>
          <w:bCs w:val="1"/>
          <w:color w:val="auto"/>
        </w:rPr>
        <w:t xml:space="preserve"> </w:t>
      </w:r>
      <w:r>
        <w:rPr>
          <w:rFonts w:ascii="Arial" w:cs="Arial" w:eastAsia="Arial" w:hAnsi="Arial"/>
          <w:sz w:val="19"/>
          <w:szCs w:val="19"/>
          <w:color w:val="auto"/>
        </w:rPr>
        <w:t>that portion of the Platform designated for such Public Lenders. The Borrower agrees to clearly designate all information provided to Administrative Agent by or on behalf of the Borrower which contains only Public-Side Information, and by doing so shall be deemed to have represented that such information contains only Public-Side Information. If the Borrower has not indicated whether a document or notice delivered pursuant to this Section 5.1 contains Private-Side Information, Administrative Agent reserves the right to post such document or notice solely on that portion of the Platform designated for Private Lenders.</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5.2. Existence</w:t>
      </w:r>
      <w:r>
        <w:rPr>
          <w:rFonts w:ascii="Arial" w:cs="Arial" w:eastAsia="Arial" w:hAnsi="Arial"/>
          <w:sz w:val="21"/>
          <w:szCs w:val="21"/>
          <w:color w:val="auto"/>
        </w:rPr>
        <w:t>. Except as otherwise permitted under Section 6.8, each Credit Party will, and will cause each of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Subsidiaries to, at all times preserve and keep in full force and effect its existence and all rights and franchises, licenses and permits material to its business; </w:t>
      </w:r>
      <w:r>
        <w:rPr>
          <w:rFonts w:ascii="Arial" w:cs="Arial" w:eastAsia="Arial" w:hAnsi="Arial"/>
          <w:sz w:val="21"/>
          <w:szCs w:val="21"/>
          <w:u w:val="single" w:color="auto"/>
          <w:color w:val="auto"/>
        </w:rPr>
        <w:t>provided</w:t>
      </w:r>
      <w:r>
        <w:rPr>
          <w:rFonts w:ascii="Arial" w:cs="Arial" w:eastAsia="Arial" w:hAnsi="Arial"/>
          <w:sz w:val="21"/>
          <w:szCs w:val="21"/>
          <w:color w:val="auto"/>
        </w:rPr>
        <w:t>, no Credit Party (other than the Borrower with respect to existence) or any of its Subsidiaries shall be required to preserve any such existence, right or franchise, licenses and permits if the failure to do so would not reasonably be expected, individually or in the aggregate, to have a Material Adverse Effect.</w:t>
      </w:r>
    </w:p>
    <w:p>
      <w:pPr>
        <w:spacing w:after="0" w:line="17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5.3. Payment of Taxes and Claims</w:t>
      </w:r>
      <w:r>
        <w:rPr>
          <w:rFonts w:ascii="Arial" w:cs="Arial" w:eastAsia="Arial" w:hAnsi="Arial"/>
          <w:sz w:val="22"/>
          <w:szCs w:val="22"/>
          <w:color w:val="auto"/>
        </w:rPr>
        <w:t>. Except to the extent that the failure to do so could not reasonably be expected to</w:t>
      </w:r>
      <w:r>
        <w:rPr>
          <w:rFonts w:ascii="Arial" w:cs="Arial" w:eastAsia="Arial" w:hAnsi="Arial"/>
          <w:sz w:val="22"/>
          <w:szCs w:val="22"/>
          <w:b w:val="1"/>
          <w:bCs w:val="1"/>
          <w:color w:val="auto"/>
        </w:rPr>
        <w:t xml:space="preserve"> </w:t>
      </w:r>
      <w:r>
        <w:rPr>
          <w:rFonts w:ascii="Arial" w:cs="Arial" w:eastAsia="Arial" w:hAnsi="Arial"/>
          <w:sz w:val="22"/>
          <w:szCs w:val="22"/>
          <w:color w:val="auto"/>
        </w:rPr>
        <w:t>have a Material Adverse Effect, each Credit Party will,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7" w:right="339" w:bottom="1440" w:gutter="0" w:footer="0" w:header="0"/>
        </w:sectPr>
      </w:pPr>
    </w:p>
    <w:bookmarkStart w:id="527" w:name="page528"/>
    <w:bookmarkEnd w:id="527"/>
    <w:p>
      <w:pPr>
        <w:jc w:val="both"/>
        <w:spacing w:after="0" w:line="290" w:lineRule="auto"/>
        <w:rPr>
          <w:sz w:val="20"/>
          <w:szCs w:val="20"/>
          <w:color w:val="auto"/>
        </w:rPr>
      </w:pPr>
      <w:r>
        <w:rPr>
          <w:rFonts w:ascii="Arial" w:cs="Arial" w:eastAsia="Arial" w:hAnsi="Arial"/>
          <w:sz w:val="19"/>
          <w:szCs w:val="19"/>
          <w:color w:val="auto"/>
        </w:rPr>
        <w:t xml:space="preserve">cause each of its Subsidiaries to, pay all Taxes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no such Tax or claim need be paid if it is being contested in good faith by appropriate proceedings promptly instituted and diligently conducted, so long as adequate reserve or other appropriate provision, as shall be required in conformity with GAAP shall have been made therefor. No Credit Party will, nor will it permit any of its Subsidiaries to, file or consent to the filing of any consolidated income tax return with any Person (other than the Borrower or any of its Subsidiaries).</w:t>
      </w:r>
    </w:p>
    <w:p>
      <w:pPr>
        <w:spacing w:after="0" w:line="15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5.4. Maintenance of Properties</w:t>
      </w:r>
      <w:r>
        <w:rPr>
          <w:rFonts w:ascii="Arial" w:cs="Arial" w:eastAsia="Arial" w:hAnsi="Arial"/>
          <w:sz w:val="22"/>
          <w:szCs w:val="22"/>
          <w:color w:val="auto"/>
        </w:rPr>
        <w:t>. Each Credit Party will, and will cause each of its Subsidiaries to, maintain or cause to be</w:t>
      </w:r>
      <w:r>
        <w:rPr>
          <w:rFonts w:ascii="Arial" w:cs="Arial" w:eastAsia="Arial" w:hAnsi="Arial"/>
          <w:sz w:val="22"/>
          <w:szCs w:val="22"/>
          <w:b w:val="1"/>
          <w:bCs w:val="1"/>
          <w:color w:val="auto"/>
        </w:rPr>
        <w:t xml:space="preserve"> </w:t>
      </w:r>
      <w:r>
        <w:rPr>
          <w:rFonts w:ascii="Arial" w:cs="Arial" w:eastAsia="Arial" w:hAnsi="Arial"/>
          <w:sz w:val="22"/>
          <w:szCs w:val="22"/>
          <w:color w:val="auto"/>
        </w:rPr>
        <w:t>maintained in good repair, working order and condition, ordinary wear and tear excepted, all material properties used or useful in the business of the Borrower and its Subsidiaries and from time to time will make or cause to be made all appropriate repairs, renewals and replacements thereof, except where the failure to do so would not reasonably be expected, individually or in the aggregate, to have a Material Adverse Effect.</w:t>
      </w:r>
    </w:p>
    <w:p>
      <w:pPr>
        <w:spacing w:after="0" w:line="18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5.5. Insurance</w:t>
      </w:r>
      <w:r>
        <w:rPr>
          <w:rFonts w:ascii="Arial" w:cs="Arial" w:eastAsia="Arial" w:hAnsi="Arial"/>
          <w:sz w:val="19"/>
          <w:szCs w:val="19"/>
          <w:color w:val="auto"/>
        </w:rPr>
        <w:t>. Each Credit Party will maintain or cause to be maintained, with financially sound and reputable insurers,</w:t>
      </w:r>
      <w:r>
        <w:rPr>
          <w:rFonts w:ascii="Arial" w:cs="Arial" w:eastAsia="Arial" w:hAnsi="Arial"/>
          <w:sz w:val="19"/>
          <w:szCs w:val="19"/>
          <w:b w:val="1"/>
          <w:bCs w:val="1"/>
          <w:color w:val="auto"/>
        </w:rPr>
        <w:t xml:space="preserve"> </w:t>
      </w:r>
      <w:r>
        <w:rPr>
          <w:rFonts w:ascii="Arial" w:cs="Arial" w:eastAsia="Arial" w:hAnsi="Arial"/>
          <w:sz w:val="19"/>
          <w:szCs w:val="19"/>
          <w:color w:val="auto"/>
        </w:rPr>
        <w:t>such public liability insurance, third party property damage insurance, business interruption insurance and casualty insurance with respect to liabilities, losses or damage in respect of the assets, properties and businesses of the Borrower and its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w:t>
      </w:r>
    </w:p>
    <w:p>
      <w:pPr>
        <w:spacing w:after="0" w:line="1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5.6. Books and Records; Inspections</w:t>
      </w:r>
      <w:r>
        <w:rPr>
          <w:rFonts w:ascii="Arial" w:cs="Arial" w:eastAsia="Arial" w:hAnsi="Arial"/>
          <w:sz w:val="19"/>
          <w:szCs w:val="19"/>
          <w:color w:val="auto"/>
        </w:rPr>
        <w:t>. Each Credit Party will, and will cause each of its Subsidiaries to, keep proper</w:t>
      </w:r>
      <w:r>
        <w:rPr>
          <w:rFonts w:ascii="Arial" w:cs="Arial" w:eastAsia="Arial" w:hAnsi="Arial"/>
          <w:sz w:val="19"/>
          <w:szCs w:val="19"/>
          <w:b w:val="1"/>
          <w:bCs w:val="1"/>
          <w:color w:val="auto"/>
        </w:rPr>
        <w:t xml:space="preserve"> </w:t>
      </w:r>
      <w:r>
        <w:rPr>
          <w:rFonts w:ascii="Arial" w:cs="Arial" w:eastAsia="Arial" w:hAnsi="Arial"/>
          <w:sz w:val="19"/>
          <w:szCs w:val="19"/>
          <w:color w:val="auto"/>
        </w:rPr>
        <w:t>books of record and accounts in which full, true and correct entries in conformity in all material respects with GAAP shall be made of all dealings and transactions in relation to its business and activities. Each Credit Party will, and will cause each of its Subsidiaries to, permit any authorized representatives designated by the Administrative Agent to visit and inspect any of the properties of any Credit Party and any of its respective Subsidiaries, to inspect, copy and take extracts from its and their financial and accounting records, and to discuss its and their affairs, finances and accounts with its and their officers and independent public accountants, all upon reasonable notice and at such reasonable times during normal business hours and, unless an Event of Default has occurred and is continuing, no more than once per year.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5.7. [Reserved]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5.8. Compliance with Laws</w:t>
      </w:r>
      <w:r>
        <w:rPr>
          <w:rFonts w:ascii="Arial" w:cs="Arial" w:eastAsia="Arial" w:hAnsi="Arial"/>
          <w:sz w:val="22"/>
          <w:szCs w:val="22"/>
          <w:color w:val="auto"/>
        </w:rPr>
        <w:t>. Each Credit Party will comply, and shall cause each of its Subsidiaries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if any, on or occupying any Facilities to comply, with the requirements of all applicable laws, rules, regulations and orders of any Governmental Authority (including all Environmental Laws), except to the extent that noncompliance therewith could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7" w:right="339" w:bottom="1440" w:gutter="0" w:footer="0" w:header="0"/>
        </w:sectPr>
      </w:pPr>
    </w:p>
    <w:bookmarkStart w:id="528" w:name="page529"/>
    <w:bookmarkEnd w:id="528"/>
    <w:p>
      <w:pPr>
        <w:jc w:val="both"/>
        <w:spacing w:after="0" w:line="343" w:lineRule="auto"/>
        <w:rPr>
          <w:sz w:val="20"/>
          <w:szCs w:val="20"/>
          <w:color w:val="auto"/>
        </w:rPr>
      </w:pPr>
      <w:r>
        <w:rPr>
          <w:rFonts w:ascii="Arial" w:cs="Arial" w:eastAsia="Arial" w:hAnsi="Arial"/>
          <w:sz w:val="19"/>
          <w:szCs w:val="19"/>
          <w:color w:val="auto"/>
        </w:rPr>
        <w:t>reasonably be expected to have, individually or in the aggregate, a Material Adverse Effect (or, in the case of the laws, rules, regulations and orders referred to in Section 4.26, except to the extent that noncompliance therewith is not material).</w:t>
      </w:r>
    </w:p>
    <w:p>
      <w:pPr>
        <w:spacing w:after="0" w:line="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5.9. Environmental</w:t>
      </w:r>
      <w:r>
        <w:rPr>
          <w:rFonts w:ascii="Arial" w:cs="Arial" w:eastAsia="Arial" w:hAnsi="Arial"/>
          <w:sz w:val="22"/>
          <w:szCs w:val="22"/>
          <w:color w:val="auto"/>
        </w:rPr>
        <w:t>. Each Credit Party shall promptly take, and shall cause each of its Subsidiaries promptly to take, any</w:t>
      </w:r>
      <w:r>
        <w:rPr>
          <w:rFonts w:ascii="Arial" w:cs="Arial" w:eastAsia="Arial" w:hAnsi="Arial"/>
          <w:sz w:val="22"/>
          <w:szCs w:val="22"/>
          <w:b w:val="1"/>
          <w:bCs w:val="1"/>
          <w:color w:val="auto"/>
        </w:rPr>
        <w:t xml:space="preserve"> </w:t>
      </w:r>
      <w:r>
        <w:rPr>
          <w:rFonts w:ascii="Arial" w:cs="Arial" w:eastAsia="Arial" w:hAnsi="Arial"/>
          <w:sz w:val="22"/>
          <w:szCs w:val="22"/>
          <w:color w:val="auto"/>
        </w:rPr>
        <w:t>and all actions necessary to (i) cure any violation of applicable Environmental Laws by such Credit Party or its Subsidiaries that could reasonably be expected to have, individually or in the aggregate, a Material Adverse Effect, and (ii) make an appropriate response to any Environmental Claim against such Credit Party or any of its Subsidiaries and discharge any obligations it may have to any Person thereunder where failure to do so could reasonably be expected to have, individually or in the aggregate, a Material Adverse Effect.</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5.10. Subsidiaries</w:t>
      </w:r>
      <w:r>
        <w:rPr>
          <w:rFonts w:ascii="Arial" w:cs="Arial" w:eastAsia="Arial" w:hAnsi="Arial"/>
          <w:sz w:val="19"/>
          <w:szCs w:val="19"/>
          <w:color w:val="auto"/>
        </w:rPr>
        <w:t>. In the event that any Person becomes a Domestic Subsidiary of Borrower or any Unrestricted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is converted into a Restricted Subsidiary that is a Domestic Subsidiary after the Closing Date, Borrower shall (a) promptly cause such Domestic Subsidiary to become a Guarantor hereunder by executing and delivering to Administrative Agent a Counterpart Agreement, and (b) take all such actions and execute and deliver, or cause to be executed and delivered, all such documents, instruments, agreements, and certificates reasonably requested by Administrative Agent, including those which are similar to those described in Sections [3.1(b), 3.1(k) and 3.1(l)]. With respect to each Subsidiary, Borrower shall promptly send to Administrative Agent written notice setting forth with respect to such Person (i) the date on which such Person became a Subsidiary of Borrower or was converted into a Restricted Subsidiary, as applicable, and (ii) all of the data required to be set forth in Schedules 4.1 and 4.2 with respect to all Subsidiaries of Borrower; and such written notice shall be deemed to supplement Schedule 4.1 and 4.2 for all purposes hereof.</w:t>
      </w:r>
    </w:p>
    <w:p>
      <w:pPr>
        <w:spacing w:after="0" w:line="1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5.11. Further Assurances</w:t>
      </w:r>
      <w:r>
        <w:rPr>
          <w:rFonts w:ascii="Arial" w:cs="Arial" w:eastAsia="Arial" w:hAnsi="Arial"/>
          <w:sz w:val="21"/>
          <w:szCs w:val="21"/>
          <w:color w:val="auto"/>
        </w:rPr>
        <w:t>. At any time or from time to time upon the request of Administrative Agent, each Credit Party</w:t>
      </w:r>
      <w:r>
        <w:rPr>
          <w:rFonts w:ascii="Arial" w:cs="Arial" w:eastAsia="Arial" w:hAnsi="Arial"/>
          <w:sz w:val="21"/>
          <w:szCs w:val="21"/>
          <w:b w:val="1"/>
          <w:bCs w:val="1"/>
          <w:color w:val="auto"/>
        </w:rPr>
        <w:t xml:space="preserve"> </w:t>
      </w:r>
      <w:r>
        <w:rPr>
          <w:rFonts w:ascii="Arial" w:cs="Arial" w:eastAsia="Arial" w:hAnsi="Arial"/>
          <w:sz w:val="21"/>
          <w:szCs w:val="21"/>
          <w:color w:val="auto"/>
        </w:rPr>
        <w:t>will, at its expense, promptly execute, acknowledge and deliver such further documents and do such other acts and things as Administrative Agent may reasonably request in order to effect fully the purposes of the Credit Documents. In furtherance and not in limitation of the foregoing, each Credit Party shall take such actions as Administrative Agent may reasonably request from time to time to ensure that the Obligations are guaranteed by the Guarantors.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5.12. Engagement Letter and Fee Letters. </w:t>
      </w:r>
      <w:r>
        <w:rPr>
          <w:rFonts w:ascii="Arial" w:cs="Arial" w:eastAsia="Arial" w:hAnsi="Arial"/>
          <w:sz w:val="22"/>
          <w:szCs w:val="22"/>
          <w:color w:val="auto"/>
        </w:rPr>
        <w:t>The Borrower will comply, and will cause each of its Subsidiaries to comply,</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terms of any Fee Letter and the Engagement Letter.</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5.13. Designation of Subsidiaries</w:t>
      </w:r>
      <w:r>
        <w:rPr>
          <w:rFonts w:ascii="Arial" w:cs="Arial" w:eastAsia="Arial" w:hAnsi="Arial"/>
          <w:sz w:val="19"/>
          <w:szCs w:val="19"/>
          <w:color w:val="auto"/>
        </w:rPr>
        <w:t>. The Borrower may at any time designate any Restricted Subsidiary as an Unrestricted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Subsidiary or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immediately before and after such designation, no Default or Event of Default shall have occurred and be continuing, (ii) immediately after giving effect to such designation, the Borrower and its Subsidiaries shall be in pro forma compliance with each of the covenants set forth in Section 6.7, (iii) no Subsidiary may be designated as an Unrestricted Subsidiary if it is a “Restricted Subsidiary” for the purpose of the Senior Credit Agreement or the documentation relating to the Permanent Debt, (iv) no Restricted Subsidiary may be designated as an Unrestricted Subsidiary if it was previously designated an Unrestricted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7" w:right="339" w:bottom="1440" w:gutter="0" w:footer="0" w:header="0"/>
        </w:sectPr>
      </w:pPr>
    </w:p>
    <w:bookmarkStart w:id="529" w:name="page530"/>
    <w:bookmarkEnd w:id="529"/>
    <w:p>
      <w:pPr>
        <w:jc w:val="both"/>
        <w:spacing w:after="0" w:line="286" w:lineRule="auto"/>
        <w:rPr>
          <w:sz w:val="20"/>
          <w:szCs w:val="20"/>
          <w:color w:val="auto"/>
        </w:rPr>
      </w:pPr>
      <w:r>
        <w:rPr>
          <w:rFonts w:ascii="Arial" w:cs="Arial" w:eastAsia="Arial" w:hAnsi="Arial"/>
          <w:sz w:val="19"/>
          <w:szCs w:val="19"/>
          <w:color w:val="auto"/>
        </w:rPr>
        <w:t xml:space="preserve">Subsidiary and (v) Borrower shall deliver to Administrative Agent at least five Business Days prior to such designation a certificate of an Authorized Officer of Borrower certifying as to compliance with the foregoing clauses (i) through (iv) of this Section 5.13 and, if applicable, certifying that such subsidiary meets the requirements of an “Unrestricted Subsidiary”. The designation of any subsidiary as an Unrestricted Subsidiary shall constitute an Investment by Borrower therein at the date of designation in an amount equal to the fair market value of Borrower’s Investment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a redesignation of such subsidiary as a Restricted Subsidiary, Borrower shall be deemed to continue to have a permanent Investment in an Unrestricted Subsidiary in an amount (if positive) equal to (i) the lesser of (A) the fair market value of Investments of Borrower and its Subsidiaries in such Unrestricted Subsidiary at the time of such redesignation, combination or transfer (or of the assets transferred or conveyed, as applicable) and (B) the fair market value of Investments of Borrower and its Subsidiaries made in connection with the designation of such Subsidiary as an Unrestricted Subsidiary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portion (proportionate to Borrower’s and its Subsidiaries’ Equity Interest in such Subsidiary) of the fair market value of the net assets of such Subsidiary at the time of such redesignation. The designation of any Unrestricted Subsidiary as a Restricted Subsidiary shall constitute the incurrence at the time of designation of any Indebtedness or Liens of such Subsidiary existing at such time.</w:t>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6. NEGATIVE COVENANTS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Credit Party covenants and agrees that, so long as any Commitment is in effect and until payment in full of all Obligations (other than amounts in respect of indemnification, expense reimbursement, yield protection or tax gross-up and other contingent obligations with respect to which no claim has been made), such Credit Party shall perform, and shall cause each of its Subsidiaries to perform, all covenants in this Section 6.</w:t>
      </w:r>
    </w:p>
    <w:p>
      <w:pPr>
        <w:spacing w:after="0" w:line="18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6.1. Indebtedness</w:t>
      </w:r>
      <w:r>
        <w:rPr>
          <w:rFonts w:ascii="Arial" w:cs="Arial" w:eastAsia="Arial" w:hAnsi="Arial"/>
          <w:sz w:val="19"/>
          <w:szCs w:val="19"/>
          <w:color w:val="auto"/>
        </w:rPr>
        <w:t>. No Credit Party shall, nor shall it permit any of its Subsidiaries to, directly or indirectly, create, incur,</w:t>
      </w:r>
      <w:r>
        <w:rPr>
          <w:rFonts w:ascii="Arial" w:cs="Arial" w:eastAsia="Arial" w:hAnsi="Arial"/>
          <w:sz w:val="19"/>
          <w:szCs w:val="19"/>
          <w:b w:val="1"/>
          <w:bCs w:val="1"/>
          <w:color w:val="auto"/>
        </w:rPr>
        <w:t xml:space="preserve"> </w:t>
      </w:r>
      <w:r>
        <w:rPr>
          <w:rFonts w:ascii="Arial" w:cs="Arial" w:eastAsia="Arial" w:hAnsi="Arial"/>
          <w:sz w:val="19"/>
          <w:szCs w:val="19"/>
          <w:color w:val="auto"/>
        </w:rPr>
        <w:t>assume or guaranty, or otherwise become or remain directly or indirectly liable with respect to any Indebtedness, except:</w:t>
      </w:r>
    </w:p>
    <w:p>
      <w:pPr>
        <w:spacing w:after="0" w:line="100" w:lineRule="exact"/>
        <w:rPr>
          <w:sz w:val="20"/>
          <w:szCs w:val="20"/>
          <w:color w:val="auto"/>
        </w:rPr>
      </w:pPr>
    </w:p>
    <w:p>
      <w:pPr>
        <w:ind w:left="1760" w:hanging="294"/>
        <w:spacing w:after="0"/>
        <w:tabs>
          <w:tab w:leader="none" w:pos="1760" w:val="left"/>
        </w:tabs>
        <w:numPr>
          <w:ilvl w:val="0"/>
          <w:numId w:val="397"/>
        </w:numPr>
        <w:rPr>
          <w:rFonts w:ascii="Arial" w:cs="Arial" w:eastAsia="Arial" w:hAnsi="Arial"/>
          <w:sz w:val="19"/>
          <w:szCs w:val="19"/>
          <w:color w:val="auto"/>
        </w:rPr>
      </w:pPr>
      <w:r>
        <w:rPr>
          <w:rFonts w:ascii="Arial" w:cs="Arial" w:eastAsia="Arial" w:hAnsi="Arial"/>
          <w:sz w:val="19"/>
          <w:szCs w:val="19"/>
          <w:color w:val="auto"/>
        </w:rPr>
        <w:t>(i) the Obligations and (ii) any Refinancing Indebtedness with respect thereto in the form of Permanent Debt;</w:t>
      </w:r>
    </w:p>
    <w:p>
      <w:pPr>
        <w:spacing w:after="0" w:line="254" w:lineRule="exact"/>
        <w:rPr>
          <w:rFonts w:ascii="Arial" w:cs="Arial" w:eastAsia="Arial" w:hAnsi="Arial"/>
          <w:sz w:val="19"/>
          <w:szCs w:val="19"/>
          <w:color w:val="auto"/>
        </w:rPr>
      </w:pPr>
    </w:p>
    <w:p>
      <w:pPr>
        <w:ind w:left="1780" w:hanging="314"/>
        <w:spacing w:after="0"/>
        <w:tabs>
          <w:tab w:leader="none" w:pos="1780" w:val="left"/>
        </w:tabs>
        <w:numPr>
          <w:ilvl w:val="0"/>
          <w:numId w:val="397"/>
        </w:numPr>
        <w:rPr>
          <w:rFonts w:ascii="Arial" w:cs="Arial" w:eastAsia="Arial" w:hAnsi="Arial"/>
          <w:sz w:val="22"/>
          <w:szCs w:val="22"/>
          <w:color w:val="auto"/>
        </w:rPr>
      </w:pPr>
      <w:r>
        <w:rPr>
          <w:rFonts w:ascii="Arial" w:cs="Arial" w:eastAsia="Arial" w:hAnsi="Arial"/>
          <w:sz w:val="22"/>
          <w:szCs w:val="22"/>
          <w:color w:val="auto"/>
        </w:rPr>
        <w:t>Senior Loans in an aggregate principal amount not to exceed $300,000,000;</w:t>
      </w:r>
    </w:p>
    <w:p>
      <w:pPr>
        <w:spacing w:after="0" w:line="219" w:lineRule="exact"/>
        <w:rPr>
          <w:rFonts w:ascii="Arial" w:cs="Arial" w:eastAsia="Arial" w:hAnsi="Arial"/>
          <w:sz w:val="22"/>
          <w:szCs w:val="22"/>
          <w:color w:val="auto"/>
        </w:rPr>
      </w:pPr>
    </w:p>
    <w:p>
      <w:pPr>
        <w:jc w:val="both"/>
        <w:ind w:left="180" w:firstLine="1286"/>
        <w:spacing w:after="0" w:line="250" w:lineRule="auto"/>
        <w:tabs>
          <w:tab w:leader="none" w:pos="1783" w:val="left"/>
        </w:tabs>
        <w:numPr>
          <w:ilvl w:val="0"/>
          <w:numId w:val="397"/>
        </w:numPr>
        <w:rPr>
          <w:rFonts w:ascii="Arial" w:cs="Arial" w:eastAsia="Arial" w:hAnsi="Arial"/>
          <w:sz w:val="22"/>
          <w:szCs w:val="22"/>
          <w:color w:val="auto"/>
        </w:rPr>
      </w:pPr>
      <w:r>
        <w:rPr>
          <w:rFonts w:ascii="Arial" w:cs="Arial" w:eastAsia="Arial" w:hAnsi="Arial"/>
          <w:sz w:val="22"/>
          <w:szCs w:val="22"/>
          <w:color w:val="auto"/>
        </w:rPr>
        <w:t xml:space="preserve">Indebtedness of any Subsidiary to Borrower or to any other Subsidiary, or of Borrower to any Subsidiary; </w:t>
      </w:r>
      <w:r>
        <w:rPr>
          <w:rFonts w:ascii="Arial" w:cs="Arial" w:eastAsia="Arial" w:hAnsi="Arial"/>
          <w:sz w:val="22"/>
          <w:szCs w:val="22"/>
          <w:u w:val="single" w:color="auto"/>
          <w:color w:val="auto"/>
        </w:rPr>
        <w:t>provided (i)</w:t>
      </w:r>
      <w:r>
        <w:rPr>
          <w:rFonts w:ascii="Arial" w:cs="Arial" w:eastAsia="Arial" w:hAnsi="Arial"/>
          <w:sz w:val="22"/>
          <w:szCs w:val="22"/>
          <w:color w:val="auto"/>
        </w:rPr>
        <w:t xml:space="preserve"> all such Indebtedness shall be unsecured and subordinated in right of payment to the payment in full of the Obligations pursuant to the terms of the Intercompany Subordination Agreement, and (ii) such Indebtedness is permitted as an Investment under Section 6.6(b) or (d);</w:t>
      </w:r>
    </w:p>
    <w:p>
      <w:pPr>
        <w:spacing w:after="0" w:line="187" w:lineRule="exact"/>
        <w:rPr>
          <w:rFonts w:ascii="Arial" w:cs="Arial" w:eastAsia="Arial" w:hAnsi="Arial"/>
          <w:sz w:val="22"/>
          <w:szCs w:val="22"/>
          <w:color w:val="auto"/>
        </w:rPr>
      </w:pPr>
    </w:p>
    <w:p>
      <w:pPr>
        <w:jc w:val="both"/>
        <w:ind w:left="180" w:firstLine="1286"/>
        <w:spacing w:after="0" w:line="312" w:lineRule="auto"/>
        <w:tabs>
          <w:tab w:leader="none" w:pos="1809" w:val="left"/>
        </w:tabs>
        <w:numPr>
          <w:ilvl w:val="0"/>
          <w:numId w:val="397"/>
        </w:numPr>
        <w:rPr>
          <w:rFonts w:ascii="Arial" w:cs="Arial" w:eastAsia="Arial" w:hAnsi="Arial"/>
          <w:sz w:val="19"/>
          <w:szCs w:val="19"/>
          <w:color w:val="auto"/>
        </w:rPr>
      </w:pPr>
      <w:r>
        <w:rPr>
          <w:rFonts w:ascii="Arial" w:cs="Arial" w:eastAsia="Arial" w:hAnsi="Arial"/>
          <w:sz w:val="19"/>
          <w:szCs w:val="19"/>
          <w:color w:val="auto"/>
        </w:rPr>
        <w:t>Indebtedness incurred by the Borrower or any of its Subsidiaries arising from agreements providing for indemnification, adjustment of purchase price or similar obligations (including, Indebtedness consisting of the deferred purchase price of property acquired in a Permitted Acquisition), or from guaranties or letters of credit, surety bonds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27" w:right="339" w:bottom="1440" w:gutter="0" w:footer="0" w:header="0"/>
        </w:sectPr>
      </w:pPr>
    </w:p>
    <w:bookmarkStart w:id="530" w:name="page531"/>
    <w:bookmarkEnd w:id="530"/>
    <w:p>
      <w:pPr>
        <w:jc w:val="both"/>
        <w:ind w:left="10"/>
        <w:spacing w:after="0" w:line="253" w:lineRule="auto"/>
        <w:rPr>
          <w:sz w:val="20"/>
          <w:szCs w:val="20"/>
          <w:color w:val="auto"/>
        </w:rPr>
      </w:pPr>
      <w:r>
        <w:rPr>
          <w:rFonts w:ascii="Arial" w:cs="Arial" w:eastAsia="Arial" w:hAnsi="Arial"/>
          <w:sz w:val="22"/>
          <w:szCs w:val="22"/>
          <w:color w:val="auto"/>
        </w:rPr>
        <w:t>performance bonds securing the performance of Borrower or any such Subsidiary pursuant to such agreements, in connection with Permitted Acquisitions or permitted dispositions of any business, assets or Subsidiary of the Borrower or any of its Subsidiaries;</w:t>
      </w:r>
    </w:p>
    <w:p>
      <w:pPr>
        <w:spacing w:after="0" w:line="185" w:lineRule="exact"/>
        <w:rPr>
          <w:sz w:val="20"/>
          <w:szCs w:val="20"/>
          <w:color w:val="auto"/>
        </w:rPr>
      </w:pPr>
    </w:p>
    <w:p>
      <w:pPr>
        <w:jc w:val="both"/>
        <w:ind w:left="10" w:firstLine="1286"/>
        <w:spacing w:after="0" w:line="312" w:lineRule="auto"/>
        <w:tabs>
          <w:tab w:leader="none" w:pos="1600" w:val="left"/>
        </w:tabs>
        <w:numPr>
          <w:ilvl w:val="1"/>
          <w:numId w:val="398"/>
        </w:numPr>
        <w:rPr>
          <w:rFonts w:ascii="Arial" w:cs="Arial" w:eastAsia="Arial" w:hAnsi="Arial"/>
          <w:sz w:val="19"/>
          <w:szCs w:val="19"/>
          <w:color w:val="auto"/>
        </w:rPr>
      </w:pPr>
      <w:r>
        <w:rPr>
          <w:rFonts w:ascii="Arial" w:cs="Arial" w:eastAsia="Arial" w:hAnsi="Arial"/>
          <w:sz w:val="19"/>
          <w:szCs w:val="19"/>
          <w:color w:val="auto"/>
        </w:rPr>
        <w:t>Indebtedness which may be deemed to exist pursuant to any guaranties, performance, surety, statutory, appeal or similar obligations or obligations in respect of letters of credit, bank guarantees or similar instruments related thereto in each case incurred in the ordinary course of business in an aggregate amount not to exceed at any time $100,000,000;</w:t>
      </w:r>
    </w:p>
    <w:p>
      <w:pPr>
        <w:spacing w:after="0" w:line="133" w:lineRule="exact"/>
        <w:rPr>
          <w:rFonts w:ascii="Arial" w:cs="Arial" w:eastAsia="Arial" w:hAnsi="Arial"/>
          <w:sz w:val="19"/>
          <w:szCs w:val="19"/>
          <w:color w:val="auto"/>
        </w:rPr>
      </w:pPr>
    </w:p>
    <w:p>
      <w:pPr>
        <w:ind w:left="1570" w:hanging="274"/>
        <w:spacing w:after="0"/>
        <w:tabs>
          <w:tab w:leader="none" w:pos="1570" w:val="left"/>
        </w:tabs>
        <w:numPr>
          <w:ilvl w:val="1"/>
          <w:numId w:val="398"/>
        </w:numPr>
        <w:rPr>
          <w:rFonts w:ascii="Arial" w:cs="Arial" w:eastAsia="Arial" w:hAnsi="Arial"/>
          <w:sz w:val="19"/>
          <w:szCs w:val="19"/>
          <w:color w:val="auto"/>
        </w:rPr>
      </w:pPr>
      <w:r>
        <w:rPr>
          <w:rFonts w:ascii="Arial" w:cs="Arial" w:eastAsia="Arial" w:hAnsi="Arial"/>
          <w:sz w:val="19"/>
          <w:szCs w:val="19"/>
          <w:color w:val="auto"/>
        </w:rPr>
        <w:t>Indebtedness in respect of netting services, overdraft protections and otherwise in connection with deposit</w:t>
      </w:r>
    </w:p>
    <w:p>
      <w:pPr>
        <w:spacing w:after="0" w:line="55" w:lineRule="exact"/>
        <w:rPr>
          <w:rFonts w:ascii="Arial" w:cs="Arial" w:eastAsia="Arial" w:hAnsi="Arial"/>
          <w:sz w:val="19"/>
          <w:szCs w:val="19"/>
          <w:color w:val="auto"/>
        </w:rPr>
      </w:pPr>
    </w:p>
    <w:p>
      <w:pPr>
        <w:ind w:left="10"/>
        <w:spacing w:after="0"/>
        <w:rPr>
          <w:rFonts w:ascii="Arial" w:cs="Arial" w:eastAsia="Arial" w:hAnsi="Arial"/>
          <w:sz w:val="19"/>
          <w:szCs w:val="19"/>
          <w:color w:val="auto"/>
        </w:rPr>
      </w:pPr>
      <w:r>
        <w:rPr>
          <w:rFonts w:ascii="Arial" w:cs="Arial" w:eastAsia="Arial" w:hAnsi="Arial"/>
          <w:sz w:val="22"/>
          <w:szCs w:val="22"/>
          <w:color w:val="auto"/>
        </w:rPr>
        <w:t>accounts;</w:t>
      </w:r>
    </w:p>
    <w:p>
      <w:pPr>
        <w:spacing w:after="0" w:line="201" w:lineRule="exact"/>
        <w:rPr>
          <w:rFonts w:ascii="Arial" w:cs="Arial" w:eastAsia="Arial" w:hAnsi="Arial"/>
          <w:sz w:val="19"/>
          <w:szCs w:val="19"/>
          <w:color w:val="auto"/>
        </w:rPr>
      </w:pPr>
    </w:p>
    <w:p>
      <w:pPr>
        <w:jc w:val="both"/>
        <w:ind w:left="10" w:firstLine="1286"/>
        <w:spacing w:after="0" w:line="302" w:lineRule="auto"/>
        <w:tabs>
          <w:tab w:leader="none" w:pos="1652" w:val="left"/>
        </w:tabs>
        <w:numPr>
          <w:ilvl w:val="1"/>
          <w:numId w:val="398"/>
        </w:numPr>
        <w:rPr>
          <w:rFonts w:ascii="Arial" w:cs="Arial" w:eastAsia="Arial" w:hAnsi="Arial"/>
          <w:sz w:val="19"/>
          <w:szCs w:val="19"/>
          <w:color w:val="auto"/>
        </w:rPr>
      </w:pPr>
      <w:r>
        <w:rPr>
          <w:rFonts w:ascii="Arial" w:cs="Arial" w:eastAsia="Arial" w:hAnsi="Arial"/>
          <w:sz w:val="19"/>
          <w:szCs w:val="19"/>
          <w:color w:val="auto"/>
        </w:rPr>
        <w:t>Indebtedness in respect of performance bonds, bid bonds, appeal bonds, surety bonds and completion guarantees and similar obligations in the ordinary course of business, including (i) those incurred to secure health, safety and environmental obligations in the ordinary course of business and (ii) guaranties in the ordinary course of business of the obligations of suppliers, customers, franchisees and licensees of Borrower and its Subsidiaries;</w:t>
      </w:r>
    </w:p>
    <w:p>
      <w:pPr>
        <w:spacing w:after="0" w:line="142" w:lineRule="exact"/>
        <w:rPr>
          <w:rFonts w:ascii="Arial" w:cs="Arial" w:eastAsia="Arial" w:hAnsi="Arial"/>
          <w:sz w:val="19"/>
          <w:szCs w:val="19"/>
          <w:color w:val="auto"/>
        </w:rPr>
      </w:pPr>
    </w:p>
    <w:p>
      <w:pPr>
        <w:jc w:val="both"/>
        <w:ind w:left="10" w:firstLine="1286"/>
        <w:spacing w:after="0" w:line="291" w:lineRule="auto"/>
        <w:tabs>
          <w:tab w:leader="none" w:pos="1625" w:val="left"/>
        </w:tabs>
        <w:numPr>
          <w:ilvl w:val="1"/>
          <w:numId w:val="398"/>
        </w:numPr>
        <w:rPr>
          <w:rFonts w:ascii="Arial" w:cs="Arial" w:eastAsia="Arial" w:hAnsi="Arial"/>
          <w:sz w:val="19"/>
          <w:szCs w:val="19"/>
          <w:color w:val="auto"/>
        </w:rPr>
      </w:pPr>
      <w:r>
        <w:rPr>
          <w:rFonts w:ascii="Arial" w:cs="Arial" w:eastAsia="Arial" w:hAnsi="Arial"/>
          <w:sz w:val="19"/>
          <w:szCs w:val="19"/>
          <w:color w:val="auto"/>
        </w:rPr>
        <w:t xml:space="preserve">guaranties (i) of Indebtedness of a Credit Party otherwise permitted to be incurred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w:t>
      </w:r>
      <w:r>
        <w:rPr>
          <w:rFonts w:ascii="Arial" w:cs="Arial" w:eastAsia="Arial" w:hAnsi="Arial"/>
          <w:sz w:val="19"/>
          <w:szCs w:val="19"/>
          <w:color w:val="auto"/>
        </w:rPr>
        <w:t xml:space="preserve">, (ii) of Indebtedness of a Subsidiary (other than a Credit Party) otherwise permitted to be incurred pursuant to this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jc w:val="both"/>
        <w:ind w:left="10"/>
        <w:spacing w:after="0" w:line="244" w:lineRule="auto"/>
        <w:rPr>
          <w:rFonts w:ascii="Arial" w:cs="Arial" w:eastAsia="Arial" w:hAnsi="Arial"/>
          <w:sz w:val="19"/>
          <w:szCs w:val="19"/>
          <w:color w:val="auto"/>
        </w:rPr>
      </w:pPr>
      <w:r>
        <w:rPr>
          <w:rFonts w:ascii="Arial" w:cs="Arial" w:eastAsia="Arial" w:hAnsi="Arial"/>
          <w:sz w:val="22"/>
          <w:szCs w:val="22"/>
          <w:u w:val="single" w:color="auto"/>
          <w:color w:val="auto"/>
        </w:rPr>
        <w:t>6.1</w:t>
      </w:r>
      <w:r>
        <w:rPr>
          <w:rFonts w:ascii="Arial" w:cs="Arial" w:eastAsia="Arial" w:hAnsi="Arial"/>
          <w:sz w:val="22"/>
          <w:szCs w:val="22"/>
          <w:color w:val="auto"/>
        </w:rPr>
        <w:t xml:space="preserve"> to the extent such guaranties are permitted by </w:t>
      </w:r>
      <w:r>
        <w:rPr>
          <w:rFonts w:ascii="Arial" w:cs="Arial" w:eastAsia="Arial" w:hAnsi="Arial"/>
          <w:sz w:val="22"/>
          <w:szCs w:val="22"/>
          <w:u w:val="single" w:color="auto"/>
          <w:color w:val="auto"/>
        </w:rPr>
        <w:t>Section 6.6</w:t>
      </w:r>
      <w:r>
        <w:rPr>
          <w:rFonts w:ascii="Arial" w:cs="Arial" w:eastAsia="Arial" w:hAnsi="Arial"/>
          <w:sz w:val="22"/>
          <w:szCs w:val="22"/>
          <w:color w:val="auto"/>
        </w:rPr>
        <w:t xml:space="preserve">, or (iii) by a Subsidiary that is not a Credit Party of Indebtedness of another Subsidiary that is not a Credit Party otherwise permitted to be incurred pursuant to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Indebtedness that is being guarantied is unsecured and/or subordinated to the Obligations, the guaranty shall also be unsecured and/or subordinated to the Obligations;</w:t>
      </w:r>
    </w:p>
    <w:p>
      <w:pPr>
        <w:spacing w:after="0" w:line="195" w:lineRule="exact"/>
        <w:rPr>
          <w:rFonts w:ascii="Arial" w:cs="Arial" w:eastAsia="Arial" w:hAnsi="Arial"/>
          <w:sz w:val="19"/>
          <w:szCs w:val="19"/>
          <w:color w:val="auto"/>
        </w:rPr>
      </w:pPr>
    </w:p>
    <w:p>
      <w:pPr>
        <w:jc w:val="both"/>
        <w:ind w:left="10" w:firstLine="1286"/>
        <w:spacing w:after="0" w:line="271" w:lineRule="auto"/>
        <w:tabs>
          <w:tab w:leader="none" w:pos="1564" w:val="left"/>
        </w:tabs>
        <w:numPr>
          <w:ilvl w:val="1"/>
          <w:numId w:val="398"/>
        </w:numPr>
        <w:rPr>
          <w:rFonts w:ascii="Arial" w:cs="Arial" w:eastAsia="Arial" w:hAnsi="Arial"/>
          <w:sz w:val="21"/>
          <w:szCs w:val="21"/>
          <w:color w:val="auto"/>
        </w:rPr>
      </w:pPr>
      <w:r>
        <w:rPr>
          <w:rFonts w:ascii="Arial" w:cs="Arial" w:eastAsia="Arial" w:hAnsi="Arial"/>
          <w:sz w:val="21"/>
          <w:szCs w:val="21"/>
          <w:color w:val="auto"/>
        </w:rPr>
        <w:t xml:space="preserve">Indebtedness with respect to Capital Leases and purchase money Indebtedness, in each case of Borrower and its Subsidiaries, in an aggregate amount not to exceed at any time $150,000,000; </w:t>
      </w:r>
      <w:r>
        <w:rPr>
          <w:rFonts w:ascii="Arial" w:cs="Arial" w:eastAsia="Arial" w:hAnsi="Arial"/>
          <w:sz w:val="21"/>
          <w:szCs w:val="21"/>
          <w:u w:val="single" w:color="auto"/>
          <w:color w:val="auto"/>
        </w:rPr>
        <w:t>provided</w:t>
      </w:r>
      <w:r>
        <w:rPr>
          <w:rFonts w:ascii="Arial" w:cs="Arial" w:eastAsia="Arial" w:hAnsi="Arial"/>
          <w:sz w:val="21"/>
          <w:szCs w:val="21"/>
          <w:color w:val="auto"/>
        </w:rPr>
        <w:t>, any such Indebtedness shall be secured only by the asset acquired in connection with the incurrence of such Indebtedness;</w:t>
      </w:r>
    </w:p>
    <w:p>
      <w:pPr>
        <w:spacing w:after="0" w:line="167" w:lineRule="exact"/>
        <w:rPr>
          <w:rFonts w:ascii="Arial" w:cs="Arial" w:eastAsia="Arial" w:hAnsi="Arial"/>
          <w:sz w:val="21"/>
          <w:szCs w:val="21"/>
          <w:color w:val="auto"/>
        </w:rPr>
      </w:pPr>
    </w:p>
    <w:p>
      <w:pPr>
        <w:jc w:val="both"/>
        <w:ind w:left="10" w:firstLine="1286"/>
        <w:spacing w:after="0" w:line="286" w:lineRule="auto"/>
        <w:tabs>
          <w:tab w:leader="none" w:pos="1564" w:val="left"/>
        </w:tabs>
        <w:numPr>
          <w:ilvl w:val="1"/>
          <w:numId w:val="398"/>
        </w:numPr>
        <w:rPr>
          <w:rFonts w:ascii="Arial" w:cs="Arial" w:eastAsia="Arial" w:hAnsi="Arial"/>
          <w:sz w:val="19"/>
          <w:szCs w:val="19"/>
          <w:color w:val="auto"/>
        </w:rPr>
      </w:pPr>
      <w:r>
        <w:rPr>
          <w:rFonts w:ascii="Arial" w:cs="Arial" w:eastAsia="Arial" w:hAnsi="Arial"/>
          <w:sz w:val="19"/>
          <w:szCs w:val="19"/>
          <w:color w:val="auto"/>
        </w:rPr>
        <w:t xml:space="preserve">(A)(i) Indebtedness of a Person or Indebtedness attaching to assets of a Person that, in either case, becomes a Subsidiary or Indebtedness attaching to assets that are acquired by Borrower or any of its Subsidiaries, in each case after the Closing Date as the result of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Indebtedness existed at the time such Person became a Subsidiary or at the time such assets were acquired and, in each case, was not created in anticipation thereof and</w:t>
      </w:r>
    </w:p>
    <w:p>
      <w:pPr>
        <w:spacing w:after="0" w:line="2" w:lineRule="exact"/>
        <w:rPr>
          <w:rFonts w:ascii="Arial" w:cs="Arial" w:eastAsia="Arial" w:hAnsi="Arial"/>
          <w:sz w:val="19"/>
          <w:szCs w:val="19"/>
          <w:color w:val="auto"/>
        </w:rPr>
      </w:pPr>
    </w:p>
    <w:p>
      <w:pPr>
        <w:jc w:val="both"/>
        <w:ind w:left="10" w:hanging="10"/>
        <w:spacing w:after="0" w:line="292" w:lineRule="auto"/>
        <w:tabs>
          <w:tab w:leader="none" w:pos="332" w:val="left"/>
        </w:tabs>
        <w:numPr>
          <w:ilvl w:val="0"/>
          <w:numId w:val="399"/>
        </w:numPr>
        <w:rPr>
          <w:rFonts w:ascii="Arial" w:cs="Arial" w:eastAsia="Arial" w:hAnsi="Arial"/>
          <w:sz w:val="19"/>
          <w:szCs w:val="19"/>
          <w:color w:val="auto"/>
        </w:rPr>
      </w:pPr>
      <w:r>
        <w:rPr>
          <w:rFonts w:ascii="Arial" w:cs="Arial" w:eastAsia="Arial" w:hAnsi="Arial"/>
          <w:sz w:val="19"/>
          <w:szCs w:val="19"/>
          <w:color w:val="auto"/>
        </w:rPr>
        <w:t xml:space="preserve">such Indebtedness is not guaranteed in any respect by Borrower or any Subsidiary (other than by any such person that so becomes a Subsidiary), and (ii) Indebtedness incurred by the Borrower or any of its Subsidiaries to finance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of (i) and (ii) above at the time of any such incurrence of Indebtedness and after giving pro forma effect thereto and the use of the proceeds thereof the Total Net Leverage Ratio as of the last day of the Fiscal Quarter last ended would not exceed 3.25 :1.00; and (B) and Refinancing Indebtedness incurred to Refinance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070"/>
          </w:cols>
          <w:pgMar w:left="490" w:top="1427" w:right="339" w:bottom="1440" w:gutter="0" w:footer="0" w:header="0"/>
        </w:sectPr>
      </w:pPr>
    </w:p>
    <w:bookmarkStart w:id="531" w:name="page532"/>
    <w:bookmarkEnd w:id="531"/>
    <w:p>
      <w:pPr>
        <w:ind w:right="20" w:firstLine="1286"/>
        <w:spacing w:after="0" w:line="263" w:lineRule="auto"/>
        <w:tabs>
          <w:tab w:leader="none" w:pos="1615" w:val="left"/>
        </w:tabs>
        <w:numPr>
          <w:ilvl w:val="0"/>
          <w:numId w:val="400"/>
        </w:numPr>
        <w:rPr>
          <w:rFonts w:ascii="Arial" w:cs="Arial" w:eastAsia="Arial" w:hAnsi="Arial"/>
          <w:sz w:val="22"/>
          <w:szCs w:val="22"/>
          <w:color w:val="auto"/>
        </w:rPr>
      </w:pPr>
      <w:r>
        <w:rPr>
          <w:rFonts w:ascii="Arial" w:cs="Arial" w:eastAsia="Arial" w:hAnsi="Arial"/>
          <w:sz w:val="22"/>
          <w:szCs w:val="22"/>
          <w:color w:val="auto"/>
        </w:rPr>
        <w:t>Indebtedness of the Borrower or any of its Subsidiaries in connection with the discounting or factoring of receivables in an aggregate amount not to exceed at any time $300,000,000;</w:t>
      </w:r>
    </w:p>
    <w:p>
      <w:pPr>
        <w:spacing w:after="0" w:line="174" w:lineRule="exact"/>
        <w:rPr>
          <w:rFonts w:ascii="Arial" w:cs="Arial" w:eastAsia="Arial" w:hAnsi="Arial"/>
          <w:sz w:val="22"/>
          <w:szCs w:val="22"/>
          <w:color w:val="auto"/>
        </w:rPr>
      </w:pPr>
    </w:p>
    <w:p>
      <w:pPr>
        <w:ind w:firstLine="1286"/>
        <w:spacing w:after="0" w:line="263" w:lineRule="auto"/>
        <w:tabs>
          <w:tab w:leader="none" w:pos="1581" w:val="left"/>
        </w:tabs>
        <w:numPr>
          <w:ilvl w:val="0"/>
          <w:numId w:val="400"/>
        </w:numPr>
        <w:rPr>
          <w:rFonts w:ascii="Arial" w:cs="Arial" w:eastAsia="Arial" w:hAnsi="Arial"/>
          <w:sz w:val="22"/>
          <w:szCs w:val="22"/>
          <w:color w:val="auto"/>
        </w:rPr>
      </w:pPr>
      <w:r>
        <w:rPr>
          <w:rFonts w:ascii="Arial" w:cs="Arial" w:eastAsia="Arial" w:hAnsi="Arial"/>
          <w:sz w:val="22"/>
          <w:szCs w:val="22"/>
          <w:color w:val="auto"/>
        </w:rPr>
        <w:t>Indebtedness incurred by the Borrower or any of its Subsidiary in connection with credit card programs entered into in accordance with past practice;</w:t>
      </w:r>
    </w:p>
    <w:p>
      <w:pPr>
        <w:spacing w:after="0" w:line="174" w:lineRule="exact"/>
        <w:rPr>
          <w:rFonts w:ascii="Arial" w:cs="Arial" w:eastAsia="Arial" w:hAnsi="Arial"/>
          <w:sz w:val="22"/>
          <w:szCs w:val="22"/>
          <w:color w:val="auto"/>
        </w:rPr>
      </w:pPr>
    </w:p>
    <w:p>
      <w:pPr>
        <w:jc w:val="both"/>
        <w:ind w:firstLine="1286"/>
        <w:spacing w:after="0" w:line="288" w:lineRule="auto"/>
        <w:tabs>
          <w:tab w:leader="none" w:pos="1662"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Indebtedness of the Borrower or any Guarantor so long as at the time of any such incurrence of Indebtedness and after giving pro forma effect thereto and the use of the proceeds thereof the Total Net Leverage Ratio as of the last day of the Fiscal Quarter last ended would not exceed 3.25:1.00,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shall not mature prior to the date that is ninety-one days following the Maturity Date; (ii) the weighted average maturity of such Indebtedness shall occur after the weighted-average maturity of the Term Loans; (iii) the affirmative and negative covenants and financial covenants set out in the governing documents of such Indebtedness shall not be materially more restrictive, taken as a whole, than the provisions set forth in the Credit Documents (as determined in good faith and certified in writing to the Administrative Agent by a Authorized Officer of the Borrower), and such governing documents shall not provide for any mandatory offers or obligations to repay, prepay or repurchase any amount under such Indebtedness prior to the final maturity thereof, other than pursuant to customary asset sale and change of control provisions; and (iv) such Indebtedness is unsecured;</w:t>
      </w:r>
    </w:p>
    <w:p>
      <w:pPr>
        <w:spacing w:after="0" w:line="159" w:lineRule="exact"/>
        <w:rPr>
          <w:rFonts w:ascii="Arial" w:cs="Arial" w:eastAsia="Arial" w:hAnsi="Arial"/>
          <w:sz w:val="19"/>
          <w:szCs w:val="19"/>
          <w:color w:val="auto"/>
        </w:rPr>
      </w:pPr>
    </w:p>
    <w:p>
      <w:pPr>
        <w:jc w:val="both"/>
        <w:ind w:right="20" w:firstLine="1286"/>
        <w:spacing w:after="0" w:line="312" w:lineRule="auto"/>
        <w:tabs>
          <w:tab w:leader="none" w:pos="1615" w:val="left"/>
        </w:tabs>
        <w:numPr>
          <w:ilvl w:val="0"/>
          <w:numId w:val="400"/>
        </w:numPr>
        <w:rPr>
          <w:rFonts w:ascii="Arial" w:cs="Arial" w:eastAsia="Arial" w:hAnsi="Arial"/>
          <w:sz w:val="19"/>
          <w:szCs w:val="19"/>
          <w:color w:val="auto"/>
        </w:rPr>
      </w:pPr>
      <w:r>
        <w:rPr>
          <w:rFonts w:ascii="Arial" w:cs="Arial" w:eastAsia="Arial" w:hAnsi="Arial"/>
          <w:sz w:val="19"/>
          <w:szCs w:val="19"/>
          <w:color w:val="auto"/>
        </w:rPr>
        <w:t>Indebtedness of Borrower and its Subsidiaries in an aggregate principal amount not to exceed at any time $50,000,000, provided that the aggregate principal amount of Indebtedness outstanding in reliance on this clause in respect of which the primary obligor or a guarantor is a Subsidiary that is not a Guarantor shall not exceed at any time $25,000,000;</w:t>
      </w:r>
    </w:p>
    <w:p>
      <w:pPr>
        <w:spacing w:after="0" w:line="133" w:lineRule="exact"/>
        <w:rPr>
          <w:rFonts w:ascii="Arial" w:cs="Arial" w:eastAsia="Arial" w:hAnsi="Arial"/>
          <w:sz w:val="19"/>
          <w:szCs w:val="19"/>
          <w:color w:val="auto"/>
        </w:rPr>
      </w:pPr>
    </w:p>
    <w:p>
      <w:pPr>
        <w:jc w:val="both"/>
        <w:ind w:firstLine="1286"/>
        <w:spacing w:after="0" w:line="297" w:lineRule="auto"/>
        <w:tabs>
          <w:tab w:leader="none" w:pos="1615" w:val="left"/>
        </w:tabs>
        <w:numPr>
          <w:ilvl w:val="0"/>
          <w:numId w:val="400"/>
        </w:numPr>
        <w:rPr>
          <w:rFonts w:ascii="Arial" w:cs="Arial" w:eastAsia="Arial" w:hAnsi="Arial"/>
          <w:sz w:val="19"/>
          <w:szCs w:val="19"/>
          <w:color w:val="auto"/>
        </w:rPr>
      </w:pPr>
      <w:r>
        <w:rPr>
          <w:rFonts w:ascii="Arial" w:cs="Arial" w:eastAsia="Arial" w:hAnsi="Arial"/>
          <w:sz w:val="19"/>
          <w:szCs w:val="19"/>
          <w:color w:val="auto"/>
        </w:rPr>
        <w:t>(i) Indebtedness existing on the Closing Date set forth on Schedule 6.1 and any Refinancing Indebtedness incurred to Refinance such Indebtedness; (ii) any Refinancing Indebtedness incurred to Refinance such Indebtedness, and (iii) any Indebtedness in respect of Capital Leases of property acquired to replace property subject to Capital Leases set forth on Schedule 6.1, provided that the amount of such Indebtedness permitted under this clause (iii) does not exceed the amount of Indebtedness existing on the Closing Date in respect of Capital Leases of the property being replaced;</w:t>
      </w:r>
    </w:p>
    <w:p>
      <w:pPr>
        <w:spacing w:after="0" w:line="146" w:lineRule="exact"/>
        <w:rPr>
          <w:rFonts w:ascii="Arial" w:cs="Arial" w:eastAsia="Arial" w:hAnsi="Arial"/>
          <w:sz w:val="19"/>
          <w:szCs w:val="19"/>
          <w:color w:val="auto"/>
        </w:rPr>
      </w:pPr>
    </w:p>
    <w:p>
      <w:pPr>
        <w:jc w:val="both"/>
        <w:ind w:firstLine="1286"/>
        <w:spacing w:after="0" w:line="247" w:lineRule="auto"/>
        <w:tabs>
          <w:tab w:leader="none" w:pos="160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Indebtedness owed to, and obligations in respect of letters of credit or bank guarantees or similar instruments for the benefit of, any person providing workers’ compensation, health, disability or other employee benefits or property, casualty or liability insurance pursuant to reimbursement or indemnification obligations to such person, in each case, in the ordinary course of business; provided that, upon the incurrence of Indebtedness with respect to reimbursement obligations regarding workers’ compensation claims, such obligations are reimbursed not later than sixty (60) days following such incurrence;</w:t>
      </w:r>
    </w:p>
    <w:p>
      <w:pPr>
        <w:spacing w:after="0" w:line="192" w:lineRule="exact"/>
        <w:rPr>
          <w:rFonts w:ascii="Arial" w:cs="Arial" w:eastAsia="Arial" w:hAnsi="Arial"/>
          <w:sz w:val="22"/>
          <w:szCs w:val="22"/>
          <w:color w:val="auto"/>
        </w:rPr>
      </w:pPr>
    </w:p>
    <w:p>
      <w:pPr>
        <w:ind w:right="20" w:firstLine="1286"/>
        <w:spacing w:after="0" w:line="263" w:lineRule="auto"/>
        <w:tabs>
          <w:tab w:leader="none" w:pos="1615" w:val="left"/>
        </w:tabs>
        <w:numPr>
          <w:ilvl w:val="0"/>
          <w:numId w:val="400"/>
        </w:numPr>
        <w:rPr>
          <w:rFonts w:ascii="Arial" w:cs="Arial" w:eastAsia="Arial" w:hAnsi="Arial"/>
          <w:sz w:val="22"/>
          <w:szCs w:val="22"/>
          <w:color w:val="auto"/>
        </w:rPr>
      </w:pPr>
      <w:r>
        <w:rPr>
          <w:rFonts w:ascii="Arial" w:cs="Arial" w:eastAsia="Arial" w:hAnsi="Arial"/>
          <w:sz w:val="22"/>
          <w:szCs w:val="22"/>
          <w:color w:val="auto"/>
        </w:rPr>
        <w:t>Indebtedness arising from the honoring by a bank or other financial institution of a check, draft or similar instrument drawn against insufficient funds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060"/>
          </w:cols>
          <w:pgMar w:left="500" w:top="1427" w:right="339" w:bottom="1440" w:gutter="0" w:footer="0" w:header="0"/>
        </w:sectPr>
      </w:pPr>
    </w:p>
    <w:bookmarkStart w:id="532" w:name="page533"/>
    <w:bookmarkEnd w:id="532"/>
    <w:p>
      <w:pPr>
        <w:ind w:left="180"/>
        <w:spacing w:after="0"/>
        <w:rPr>
          <w:sz w:val="20"/>
          <w:szCs w:val="20"/>
          <w:color w:val="auto"/>
        </w:rPr>
      </w:pPr>
      <w:r>
        <w:rPr>
          <w:rFonts w:ascii="Arial" w:cs="Arial" w:eastAsia="Arial" w:hAnsi="Arial"/>
          <w:sz w:val="22"/>
          <w:szCs w:val="22"/>
          <w:color w:val="auto"/>
        </w:rPr>
        <w:t>ordinary course of business or other cash management treasury services in the ordinary course of business;</w:t>
      </w:r>
    </w:p>
    <w:p>
      <w:pPr>
        <w:spacing w:after="0" w:line="220" w:lineRule="exact"/>
        <w:rPr>
          <w:sz w:val="20"/>
          <w:szCs w:val="20"/>
          <w:color w:val="auto"/>
        </w:rPr>
      </w:pPr>
    </w:p>
    <w:p>
      <w:pPr>
        <w:ind w:left="180" w:firstLine="1286"/>
        <w:spacing w:after="0" w:line="263" w:lineRule="auto"/>
        <w:tabs>
          <w:tab w:leader="none" w:pos="1759" w:val="left"/>
        </w:tabs>
        <w:numPr>
          <w:ilvl w:val="0"/>
          <w:numId w:val="401"/>
        </w:numPr>
        <w:rPr>
          <w:rFonts w:ascii="Arial" w:cs="Arial" w:eastAsia="Arial" w:hAnsi="Arial"/>
          <w:sz w:val="22"/>
          <w:szCs w:val="22"/>
          <w:color w:val="auto"/>
        </w:rPr>
      </w:pPr>
      <w:r>
        <w:rPr>
          <w:rFonts w:ascii="Arial" w:cs="Arial" w:eastAsia="Arial" w:hAnsi="Arial"/>
          <w:sz w:val="22"/>
          <w:szCs w:val="22"/>
          <w:color w:val="auto"/>
        </w:rPr>
        <w:t>Indebtedness consisting of (x) the financing of insurance premiums or (y) take-or-pay obligations contained in supply arrangements, in each case, in the ordinary course of business;</w:t>
      </w:r>
    </w:p>
    <w:p>
      <w:pPr>
        <w:spacing w:after="0" w:line="174" w:lineRule="exact"/>
        <w:rPr>
          <w:rFonts w:ascii="Arial" w:cs="Arial" w:eastAsia="Arial" w:hAnsi="Arial"/>
          <w:sz w:val="22"/>
          <w:szCs w:val="22"/>
          <w:color w:val="auto"/>
        </w:rPr>
      </w:pPr>
    </w:p>
    <w:p>
      <w:pPr>
        <w:ind w:left="180" w:right="20" w:firstLine="1286"/>
        <w:spacing w:after="0" w:line="263" w:lineRule="auto"/>
        <w:tabs>
          <w:tab w:leader="none" w:pos="1798" w:val="left"/>
        </w:tabs>
        <w:numPr>
          <w:ilvl w:val="0"/>
          <w:numId w:val="401"/>
        </w:numPr>
        <w:rPr>
          <w:rFonts w:ascii="Arial" w:cs="Arial" w:eastAsia="Arial" w:hAnsi="Arial"/>
          <w:sz w:val="22"/>
          <w:szCs w:val="22"/>
          <w:color w:val="auto"/>
        </w:rPr>
      </w:pPr>
      <w:r>
        <w:rPr>
          <w:rFonts w:ascii="Arial" w:cs="Arial" w:eastAsia="Arial" w:hAnsi="Arial"/>
          <w:sz w:val="22"/>
          <w:szCs w:val="22"/>
          <w:color w:val="auto"/>
        </w:rPr>
        <w:t>Indebtedness representing deferred compensation to employees, directors or consultants incurred in the ordinary course of business; and</w:t>
      </w:r>
    </w:p>
    <w:p>
      <w:pPr>
        <w:spacing w:after="0" w:line="174" w:lineRule="exact"/>
        <w:rPr>
          <w:rFonts w:ascii="Arial" w:cs="Arial" w:eastAsia="Arial" w:hAnsi="Arial"/>
          <w:sz w:val="22"/>
          <w:szCs w:val="22"/>
          <w:color w:val="auto"/>
        </w:rPr>
      </w:pPr>
    </w:p>
    <w:p>
      <w:pPr>
        <w:jc w:val="both"/>
        <w:ind w:left="180" w:firstLine="1286"/>
        <w:spacing w:after="0" w:line="253" w:lineRule="auto"/>
        <w:tabs>
          <w:tab w:leader="none" w:pos="1734" w:val="left"/>
        </w:tabs>
        <w:numPr>
          <w:ilvl w:val="0"/>
          <w:numId w:val="401"/>
        </w:numPr>
        <w:rPr>
          <w:rFonts w:ascii="Arial" w:cs="Arial" w:eastAsia="Arial" w:hAnsi="Arial"/>
          <w:sz w:val="22"/>
          <w:szCs w:val="22"/>
          <w:color w:val="auto"/>
        </w:rPr>
      </w:pPr>
      <w:r>
        <w:rPr>
          <w:rFonts w:ascii="Arial" w:cs="Arial" w:eastAsia="Arial" w:hAnsi="Arial"/>
          <w:sz w:val="22"/>
          <w:szCs w:val="22"/>
          <w:color w:val="auto"/>
        </w:rPr>
        <w:t>Indebtedness in respect of letters of credit, bank guarantees, warehouse receipts or similar instruments issued to support performance obligations and trade letters of credit (other than obligations in respect of other Indebtedness) in the ordinary course of business.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6.2. Liens</w:t>
      </w:r>
      <w:r>
        <w:rPr>
          <w:rFonts w:ascii="Arial" w:cs="Arial" w:eastAsia="Arial" w:hAnsi="Arial"/>
          <w:sz w:val="22"/>
          <w:szCs w:val="22"/>
          <w:color w:val="auto"/>
        </w:rPr>
        <w:t>. No Credit Party shall, nor shall it permit any of its Subsidiaries to, directly or indirectly, create, incur, assume</w:t>
      </w:r>
      <w:r>
        <w:rPr>
          <w:rFonts w:ascii="Arial" w:cs="Arial" w:eastAsia="Arial" w:hAnsi="Arial"/>
          <w:sz w:val="22"/>
          <w:szCs w:val="22"/>
          <w:b w:val="1"/>
          <w:bCs w:val="1"/>
          <w:color w:val="auto"/>
        </w:rPr>
        <w:t xml:space="preserve"> </w:t>
      </w:r>
      <w:r>
        <w:rPr>
          <w:rFonts w:ascii="Arial" w:cs="Arial" w:eastAsia="Arial" w:hAnsi="Arial"/>
          <w:sz w:val="22"/>
          <w:szCs w:val="22"/>
          <w:color w:val="auto"/>
        </w:rPr>
        <w:t>or permit to exist any Lien on or with respect to any property or asset of any kind (including any document or instrument in respect of goods or accounts receivable) of the Borrower or any of its Subsidiaries, whether now owned or hereafter acquired or licensed, or any income, profits or royalties therefrom, or file or permit the filing of, or permit to remain in effect, any financing statement or other similar notice of any Lien with respect to any such property, asset, income, profits or royalties under the UCC of any State or under any similar recording or notice statute or under any applicable intellectual property laws, rules or procedures, except:</w:t>
      </w:r>
    </w:p>
    <w:p>
      <w:pPr>
        <w:spacing w:after="0" w:line="195" w:lineRule="exact"/>
        <w:rPr>
          <w:sz w:val="20"/>
          <w:szCs w:val="20"/>
          <w:color w:val="auto"/>
        </w:rPr>
      </w:pPr>
    </w:p>
    <w:p>
      <w:pPr>
        <w:ind w:left="1760" w:hanging="294"/>
        <w:spacing w:after="0"/>
        <w:tabs>
          <w:tab w:leader="none" w:pos="1760" w:val="left"/>
        </w:tabs>
        <w:numPr>
          <w:ilvl w:val="0"/>
          <w:numId w:val="40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180" w:firstLine="1286"/>
        <w:spacing w:after="0" w:line="253" w:lineRule="auto"/>
        <w:tabs>
          <w:tab w:leader="none" w:pos="1782" w:val="left"/>
        </w:tabs>
        <w:numPr>
          <w:ilvl w:val="0"/>
          <w:numId w:val="402"/>
        </w:numPr>
        <w:rPr>
          <w:rFonts w:ascii="Arial" w:cs="Arial" w:eastAsia="Arial" w:hAnsi="Arial"/>
          <w:sz w:val="22"/>
          <w:szCs w:val="22"/>
          <w:color w:val="auto"/>
        </w:rPr>
      </w:pPr>
      <w:r>
        <w:rPr>
          <w:rFonts w:ascii="Arial" w:cs="Arial" w:eastAsia="Arial" w:hAnsi="Arial"/>
          <w:sz w:val="22"/>
          <w:szCs w:val="22"/>
          <w:color w:val="auto"/>
        </w:rPr>
        <w:t>Liens for Taxes if not yet delinquent or the obligations with respect to such Taxes are being contested in good faith by appropriate proceedings promptly instituted and diligently conducted and adequate reserves have been made in accordance with GAAP;</w:t>
      </w:r>
    </w:p>
    <w:p>
      <w:pPr>
        <w:spacing w:after="0" w:line="185" w:lineRule="exact"/>
        <w:rPr>
          <w:rFonts w:ascii="Arial" w:cs="Arial" w:eastAsia="Arial" w:hAnsi="Arial"/>
          <w:sz w:val="22"/>
          <w:szCs w:val="22"/>
          <w:color w:val="auto"/>
        </w:rPr>
      </w:pPr>
    </w:p>
    <w:p>
      <w:pPr>
        <w:jc w:val="both"/>
        <w:ind w:left="180" w:firstLine="1286"/>
        <w:spacing w:after="0" w:line="294" w:lineRule="auto"/>
        <w:tabs>
          <w:tab w:leader="none" w:pos="177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statutory Liens of landlords, carriers, warehousemen, mechanics, repairmen, workmen and materialmen, and other Liens imposed by law (other than any such Lien imposed pursuant to Section 430(k) of the Internal Revenue Code or ERISA or a violation of Section 436 of the Internal Revenue Code), in each case incurred in the ordinary course of business (i) for amounts not yet overdue or (ii) for amounts that are overdue and that (in the case of any such amounts overdue for a period in excess of 60 days) are being contested in good faith by appropriate proceedings, so long as such reserves or other appropriate provisions, if any, as shall be required by GAAP shall have been made for any such contested amounts;</w:t>
      </w:r>
    </w:p>
    <w:p>
      <w:pPr>
        <w:spacing w:after="0" w:line="149" w:lineRule="exact"/>
        <w:rPr>
          <w:rFonts w:ascii="Arial" w:cs="Arial" w:eastAsia="Arial" w:hAnsi="Arial"/>
          <w:sz w:val="19"/>
          <w:szCs w:val="19"/>
          <w:color w:val="auto"/>
        </w:rPr>
      </w:pPr>
    </w:p>
    <w:p>
      <w:pPr>
        <w:jc w:val="both"/>
        <w:ind w:left="180" w:firstLine="1286"/>
        <w:spacing w:after="0" w:line="302" w:lineRule="auto"/>
        <w:tabs>
          <w:tab w:leader="none" w:pos="1782" w:val="left"/>
        </w:tabs>
        <w:numPr>
          <w:ilvl w:val="0"/>
          <w:numId w:val="402"/>
        </w:numPr>
        <w:rPr>
          <w:rFonts w:ascii="Arial" w:cs="Arial" w:eastAsia="Arial" w:hAnsi="Arial"/>
          <w:sz w:val="19"/>
          <w:szCs w:val="19"/>
          <w:color w:val="auto"/>
        </w:rPr>
      </w:pPr>
      <w:r>
        <w:rPr>
          <w:rFonts w:ascii="Arial" w:cs="Arial" w:eastAsia="Arial" w:hAnsi="Arial"/>
          <w:sz w:val="19"/>
          <w:szCs w:val="19"/>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or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7" w:right="339" w:bottom="1440" w:gutter="0" w:footer="0" w:header="0"/>
        </w:sectPr>
      </w:pPr>
    </w:p>
    <w:bookmarkStart w:id="533" w:name="page534"/>
    <w:bookmarkEnd w:id="533"/>
    <w:p>
      <w:pPr>
        <w:jc w:val="both"/>
        <w:ind w:firstLine="1286"/>
        <w:spacing w:after="0" w:line="253" w:lineRule="auto"/>
        <w:tabs>
          <w:tab w:leader="none" w:pos="1617" w:val="left"/>
        </w:tabs>
        <w:numPr>
          <w:ilvl w:val="0"/>
          <w:numId w:val="403"/>
        </w:numPr>
        <w:rPr>
          <w:rFonts w:ascii="Arial" w:cs="Arial" w:eastAsia="Arial" w:hAnsi="Arial"/>
          <w:sz w:val="22"/>
          <w:szCs w:val="22"/>
          <w:color w:val="auto"/>
        </w:rPr>
      </w:pPr>
      <w:r>
        <w:rPr>
          <w:rFonts w:ascii="Arial" w:cs="Arial" w:eastAsia="Arial" w:hAnsi="Arial"/>
          <w:sz w:val="22"/>
          <w:szCs w:val="22"/>
          <w:color w:val="auto"/>
        </w:rPr>
        <w:t>easements, rights-of-way, restrictions, encroachments, and other minor defects or irregularities in title, in each case which do not and will not interfere in any material respect with the ordinary conduct of the business of the Borrower or any of its Subsidiaries;</w:t>
      </w:r>
    </w:p>
    <w:p>
      <w:pPr>
        <w:spacing w:after="0" w:line="185" w:lineRule="exact"/>
        <w:rPr>
          <w:rFonts w:ascii="Arial" w:cs="Arial" w:eastAsia="Arial" w:hAnsi="Arial"/>
          <w:sz w:val="22"/>
          <w:szCs w:val="22"/>
          <w:color w:val="auto"/>
        </w:rPr>
      </w:pPr>
    </w:p>
    <w:p>
      <w:pPr>
        <w:ind w:left="1560" w:hanging="274"/>
        <w:spacing w:after="0"/>
        <w:tabs>
          <w:tab w:leader="none" w:pos="15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any interest or title of a lessor or sublessor under any lease of real estate permitted hereunder;</w:t>
      </w:r>
    </w:p>
    <w:p>
      <w:pPr>
        <w:spacing w:after="0" w:line="219" w:lineRule="exact"/>
        <w:rPr>
          <w:rFonts w:ascii="Arial" w:cs="Arial" w:eastAsia="Arial" w:hAnsi="Arial"/>
          <w:sz w:val="22"/>
          <w:szCs w:val="22"/>
          <w:color w:val="auto"/>
        </w:rPr>
      </w:pPr>
    </w:p>
    <w:p>
      <w:pPr>
        <w:ind w:firstLine="1286"/>
        <w:spacing w:after="0" w:line="263" w:lineRule="auto"/>
        <w:tabs>
          <w:tab w:leader="none" w:pos="1642" w:val="left"/>
        </w:tabs>
        <w:numPr>
          <w:ilvl w:val="0"/>
          <w:numId w:val="403"/>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by the Borrower or any of its Subsidiaries in connection with any letter of intent or purchase agreement permitted hereunder;</w:t>
      </w:r>
    </w:p>
    <w:p>
      <w:pPr>
        <w:spacing w:after="0" w:line="174" w:lineRule="exact"/>
        <w:rPr>
          <w:rFonts w:ascii="Arial" w:cs="Arial" w:eastAsia="Arial" w:hAnsi="Arial"/>
          <w:sz w:val="22"/>
          <w:szCs w:val="22"/>
          <w:color w:val="auto"/>
        </w:rPr>
      </w:pPr>
    </w:p>
    <w:p>
      <w:pPr>
        <w:ind w:right="20" w:firstLine="1286"/>
        <w:spacing w:after="0" w:line="263" w:lineRule="auto"/>
        <w:tabs>
          <w:tab w:leader="none" w:pos="1642"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purported Liens evidenced by the filing of precautionary UCC financing statements relating solely to operating leases of personal property entered into in the ordinary course of business;</w:t>
      </w:r>
    </w:p>
    <w:p>
      <w:pPr>
        <w:spacing w:after="0" w:line="174" w:lineRule="exact"/>
        <w:rPr>
          <w:rFonts w:ascii="Arial" w:cs="Arial" w:eastAsia="Arial" w:hAnsi="Arial"/>
          <w:sz w:val="22"/>
          <w:szCs w:val="22"/>
          <w:color w:val="auto"/>
        </w:rPr>
      </w:pPr>
    </w:p>
    <w:p>
      <w:pPr>
        <w:ind w:firstLine="1286"/>
        <w:spacing w:after="0" w:line="263" w:lineRule="auto"/>
        <w:tabs>
          <w:tab w:leader="none" w:pos="1567" w:val="left"/>
        </w:tabs>
        <w:numPr>
          <w:ilvl w:val="0"/>
          <w:numId w:val="403"/>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174" w:lineRule="exact"/>
        <w:rPr>
          <w:rFonts w:ascii="Arial" w:cs="Arial" w:eastAsia="Arial" w:hAnsi="Arial"/>
          <w:sz w:val="22"/>
          <w:szCs w:val="22"/>
          <w:color w:val="auto"/>
        </w:rPr>
      </w:pPr>
    </w:p>
    <w:p>
      <w:pPr>
        <w:ind w:right="20" w:firstLine="1286"/>
        <w:spacing w:after="0" w:line="263" w:lineRule="auto"/>
        <w:tabs>
          <w:tab w:leader="none" w:pos="1567" w:val="left"/>
        </w:tabs>
        <w:numPr>
          <w:ilvl w:val="0"/>
          <w:numId w:val="403"/>
        </w:numPr>
        <w:rPr>
          <w:rFonts w:ascii="Arial" w:cs="Arial" w:eastAsia="Arial" w:hAnsi="Arial"/>
          <w:sz w:val="22"/>
          <w:szCs w:val="22"/>
          <w:color w:val="auto"/>
        </w:rPr>
      </w:pPr>
      <w:r>
        <w:rPr>
          <w:rFonts w:ascii="Arial" w:cs="Arial" w:eastAsia="Arial" w:hAnsi="Arial"/>
          <w:sz w:val="22"/>
          <w:szCs w:val="22"/>
          <w:color w:val="auto"/>
        </w:rPr>
        <w:t>any zoning or similar law or right reserved to or vested in any governmental office or agency to control or regulate the use of any real property;</w:t>
      </w:r>
    </w:p>
    <w:p>
      <w:pPr>
        <w:spacing w:after="0" w:line="174" w:lineRule="exact"/>
        <w:rPr>
          <w:rFonts w:ascii="Arial" w:cs="Arial" w:eastAsia="Arial" w:hAnsi="Arial"/>
          <w:sz w:val="22"/>
          <w:szCs w:val="22"/>
          <w:color w:val="auto"/>
        </w:rPr>
      </w:pPr>
    </w:p>
    <w:p>
      <w:pPr>
        <w:jc w:val="both"/>
        <w:ind w:firstLine="1286"/>
        <w:spacing w:after="0" w:line="271" w:lineRule="auto"/>
        <w:tabs>
          <w:tab w:leader="none" w:pos="1629" w:val="left"/>
        </w:tabs>
        <w:numPr>
          <w:ilvl w:val="0"/>
          <w:numId w:val="403"/>
        </w:numPr>
        <w:rPr>
          <w:rFonts w:ascii="Arial" w:cs="Arial" w:eastAsia="Arial" w:hAnsi="Arial"/>
          <w:sz w:val="21"/>
          <w:szCs w:val="21"/>
          <w:color w:val="auto"/>
        </w:rPr>
      </w:pPr>
      <w:r>
        <w:rPr>
          <w:rFonts w:ascii="Arial" w:cs="Arial" w:eastAsia="Arial" w:hAnsi="Arial"/>
          <w:sz w:val="21"/>
          <w:szCs w:val="21"/>
          <w:color w:val="auto"/>
        </w:rPr>
        <w:t>outbound licenses of patents, copyrights, trademarks and other intellectual property rights granted by the Borrower or any of its Subsidiaries in the ordinary course of business and not interfering in any material respect with the ordinary conduct of or materially detracting from the value of the business of Borrower or such Subsidiary;</w:t>
      </w:r>
    </w:p>
    <w:p>
      <w:pPr>
        <w:spacing w:after="0" w:line="167" w:lineRule="exact"/>
        <w:rPr>
          <w:rFonts w:ascii="Arial" w:cs="Arial" w:eastAsia="Arial" w:hAnsi="Arial"/>
          <w:sz w:val="21"/>
          <w:szCs w:val="21"/>
          <w:color w:val="auto"/>
        </w:rPr>
      </w:pPr>
    </w:p>
    <w:p>
      <w:pPr>
        <w:ind w:firstLine="1286"/>
        <w:spacing w:after="0" w:line="263" w:lineRule="auto"/>
        <w:tabs>
          <w:tab w:leader="none" w:pos="1567" w:val="left"/>
        </w:tabs>
        <w:numPr>
          <w:ilvl w:val="0"/>
          <w:numId w:val="403"/>
        </w:numPr>
        <w:rPr>
          <w:rFonts w:ascii="Arial" w:cs="Arial" w:eastAsia="Arial" w:hAnsi="Arial"/>
          <w:sz w:val="22"/>
          <w:szCs w:val="22"/>
          <w:color w:val="auto"/>
        </w:rPr>
      </w:pPr>
      <w:r>
        <w:rPr>
          <w:rFonts w:ascii="Arial" w:cs="Arial" w:eastAsia="Arial" w:hAnsi="Arial"/>
          <w:sz w:val="22"/>
          <w:szCs w:val="22"/>
          <w:color w:val="auto"/>
        </w:rPr>
        <w:t>Liens solely on Cash collateral securing Indebtedness consisting of reimbursement obligations in respect of the letters of credit permitted pursuant to Section 6.1(e);</w:t>
      </w:r>
    </w:p>
    <w:p>
      <w:pPr>
        <w:spacing w:after="0" w:line="174" w:lineRule="exact"/>
        <w:rPr>
          <w:rFonts w:ascii="Arial" w:cs="Arial" w:eastAsia="Arial" w:hAnsi="Arial"/>
          <w:sz w:val="22"/>
          <w:szCs w:val="22"/>
          <w:color w:val="auto"/>
        </w:rPr>
      </w:pPr>
    </w:p>
    <w:p>
      <w:pPr>
        <w:ind w:left="1660" w:hanging="374"/>
        <w:spacing w:after="0"/>
        <w:tabs>
          <w:tab w:leader="none" w:pos="16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Liens on accounts receivable securing Indebtedness permitted by Section 6.1(k);</w:t>
      </w:r>
    </w:p>
    <w:p>
      <w:pPr>
        <w:spacing w:after="0" w:line="219" w:lineRule="exact"/>
        <w:rPr>
          <w:rFonts w:ascii="Arial" w:cs="Arial" w:eastAsia="Arial" w:hAnsi="Arial"/>
          <w:sz w:val="22"/>
          <w:szCs w:val="22"/>
          <w:color w:val="auto"/>
        </w:rPr>
      </w:pPr>
    </w:p>
    <w:p>
      <w:pPr>
        <w:ind w:firstLine="1286"/>
        <w:spacing w:after="0" w:line="263" w:lineRule="auto"/>
        <w:tabs>
          <w:tab w:leader="none" w:pos="1629" w:val="left"/>
        </w:tabs>
        <w:numPr>
          <w:ilvl w:val="0"/>
          <w:numId w:val="403"/>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pursuant to Section 6.1(i) </w:t>
      </w:r>
      <w:r>
        <w:rPr>
          <w:rFonts w:ascii="Arial" w:cs="Arial" w:eastAsia="Arial" w:hAnsi="Arial"/>
          <w:sz w:val="22"/>
          <w:szCs w:val="22"/>
          <w:u w:val="single" w:color="auto"/>
          <w:color w:val="auto"/>
        </w:rPr>
        <w:t>provided</w:t>
      </w:r>
      <w:r>
        <w:rPr>
          <w:rFonts w:ascii="Arial" w:cs="Arial" w:eastAsia="Arial" w:hAnsi="Arial"/>
          <w:sz w:val="22"/>
          <w:szCs w:val="22"/>
          <w:color w:val="auto"/>
        </w:rPr>
        <w:t>, any such Lien shall encumber only the asset acquired with the proceeds of such Indebtedness;</w:t>
      </w:r>
    </w:p>
    <w:p>
      <w:pPr>
        <w:spacing w:after="0" w:line="174" w:lineRule="exact"/>
        <w:rPr>
          <w:rFonts w:ascii="Arial" w:cs="Arial" w:eastAsia="Arial" w:hAnsi="Arial"/>
          <w:sz w:val="22"/>
          <w:szCs w:val="22"/>
          <w:color w:val="auto"/>
        </w:rPr>
      </w:pPr>
    </w:p>
    <w:p>
      <w:pPr>
        <w:jc w:val="both"/>
        <w:ind w:firstLine="1286"/>
        <w:spacing w:after="0" w:line="263" w:lineRule="auto"/>
        <w:tabs>
          <w:tab w:leader="none" w:pos="1602" w:val="left"/>
        </w:tabs>
        <w:numPr>
          <w:ilvl w:val="0"/>
          <w:numId w:val="403"/>
        </w:numPr>
        <w:rPr>
          <w:rFonts w:ascii="Arial" w:cs="Arial" w:eastAsia="Arial" w:hAnsi="Arial"/>
          <w:sz w:val="21"/>
          <w:szCs w:val="21"/>
          <w:color w:val="auto"/>
        </w:rPr>
      </w:pPr>
      <w:r>
        <w:rPr>
          <w:rFonts w:ascii="Arial" w:cs="Arial" w:eastAsia="Arial" w:hAnsi="Arial"/>
          <w:sz w:val="21"/>
          <w:szCs w:val="21"/>
          <w:color w:val="auto"/>
        </w:rPr>
        <w:t xml:space="preserve">Liens on assets that are acquired as the result of a Permitted Acquisition securing (i) Indebtedness in respect of Capital Leases permitted by Section 6.1(j)(i) or (ii) other Indebtedness permitted by Section 6.1(j)(i), in the case of clause (ii), in an aggregate amount not to exceed $25,000,000 at any time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any such Lien shall not extend to any additional property other than (1) after-acquired property that is affixed or incorporated into the property covered by such Lien and (2) proceeds and products thereof;</w:t>
      </w:r>
    </w:p>
    <w:p>
      <w:pPr>
        <w:spacing w:after="0" w:line="175" w:lineRule="exact"/>
        <w:rPr>
          <w:rFonts w:ascii="Arial" w:cs="Arial" w:eastAsia="Arial" w:hAnsi="Arial"/>
          <w:sz w:val="21"/>
          <w:szCs w:val="21"/>
          <w:color w:val="auto"/>
        </w:rPr>
      </w:pPr>
    </w:p>
    <w:p>
      <w:pPr>
        <w:ind w:firstLine="1286"/>
        <w:spacing w:after="0" w:line="287" w:lineRule="auto"/>
        <w:tabs>
          <w:tab w:leader="none" w:pos="1629" w:val="left"/>
        </w:tabs>
        <w:numPr>
          <w:ilvl w:val="0"/>
          <w:numId w:val="403"/>
        </w:numPr>
        <w:rPr>
          <w:rFonts w:ascii="Arial" w:cs="Arial" w:eastAsia="Arial" w:hAnsi="Arial"/>
          <w:sz w:val="21"/>
          <w:szCs w:val="21"/>
          <w:color w:val="auto"/>
        </w:rPr>
      </w:pPr>
      <w:r>
        <w:rPr>
          <w:rFonts w:ascii="Arial" w:cs="Arial" w:eastAsia="Arial" w:hAnsi="Arial"/>
          <w:sz w:val="21"/>
          <w:szCs w:val="21"/>
          <w:color w:val="auto"/>
        </w:rPr>
        <w:t>Liens arising in the ordinary course of business by virtue of any statutory or common law provisions or similar provisions applicable in foreign jurisdictions relating to banker’s liens, rights of set-off or similar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060"/>
          </w:cols>
          <w:pgMar w:left="500" w:top="1427" w:right="339" w:bottom="1440" w:gutter="0" w:footer="0" w:header="0"/>
        </w:sectPr>
      </w:pPr>
    </w:p>
    <w:bookmarkStart w:id="534" w:name="page535"/>
    <w:bookmarkEnd w:id="534"/>
    <w:p>
      <w:pPr>
        <w:ind w:left="180" w:firstLine="1286"/>
        <w:spacing w:after="0" w:line="263" w:lineRule="auto"/>
        <w:tabs>
          <w:tab w:leader="none" w:pos="1809" w:val="left"/>
        </w:tabs>
        <w:numPr>
          <w:ilvl w:val="0"/>
          <w:numId w:val="404"/>
        </w:numPr>
        <w:rPr>
          <w:rFonts w:ascii="Arial" w:cs="Arial" w:eastAsia="Arial" w:hAnsi="Arial"/>
          <w:sz w:val="22"/>
          <w:szCs w:val="22"/>
          <w:color w:val="auto"/>
        </w:rPr>
      </w:pPr>
      <w:r>
        <w:rPr>
          <w:rFonts w:ascii="Arial" w:cs="Arial" w:eastAsia="Arial" w:hAnsi="Arial"/>
          <w:sz w:val="22"/>
          <w:szCs w:val="22"/>
          <w:color w:val="auto"/>
        </w:rPr>
        <w:t>Liens on assets of Subsidiaries of the Borrower that are not Guarantors securing Indebtedness permitted under Section 6.1(n) in an aggregate amount not to exceed $50,000,000 at any time outstanding;</w:t>
      </w:r>
    </w:p>
    <w:p>
      <w:pPr>
        <w:spacing w:after="0" w:line="174" w:lineRule="exact"/>
        <w:rPr>
          <w:rFonts w:ascii="Arial" w:cs="Arial" w:eastAsia="Arial" w:hAnsi="Arial"/>
          <w:sz w:val="22"/>
          <w:szCs w:val="22"/>
          <w:color w:val="auto"/>
        </w:rPr>
      </w:pPr>
    </w:p>
    <w:p>
      <w:pPr>
        <w:ind w:left="1740" w:hanging="274"/>
        <w:spacing w:after="0"/>
        <w:tabs>
          <w:tab w:leader="none" w:pos="174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other Liens securing Indebtedness in an aggregate amount not to exceed $25,000,000 at any time outstanding;</w:t>
      </w:r>
    </w:p>
    <w:p>
      <w:pPr>
        <w:spacing w:after="0" w:line="254" w:lineRule="exact"/>
        <w:rPr>
          <w:rFonts w:ascii="Arial" w:cs="Arial" w:eastAsia="Arial" w:hAnsi="Arial"/>
          <w:sz w:val="19"/>
          <w:szCs w:val="19"/>
          <w:color w:val="auto"/>
        </w:rPr>
      </w:pPr>
    </w:p>
    <w:p>
      <w:pPr>
        <w:jc w:val="both"/>
        <w:ind w:left="180" w:firstLine="1286"/>
        <w:spacing w:after="0" w:line="253" w:lineRule="auto"/>
        <w:tabs>
          <w:tab w:leader="none" w:pos="1785" w:val="left"/>
        </w:tabs>
        <w:numPr>
          <w:ilvl w:val="0"/>
          <w:numId w:val="404"/>
        </w:numPr>
        <w:rPr>
          <w:rFonts w:ascii="Arial" w:cs="Arial" w:eastAsia="Arial" w:hAnsi="Arial"/>
          <w:sz w:val="22"/>
          <w:szCs w:val="22"/>
          <w:color w:val="auto"/>
        </w:rPr>
      </w:pPr>
      <w:r>
        <w:rPr>
          <w:rFonts w:ascii="Arial" w:cs="Arial" w:eastAsia="Arial" w:hAnsi="Arial"/>
          <w:sz w:val="22"/>
          <w:szCs w:val="22"/>
          <w:color w:val="auto"/>
        </w:rPr>
        <w:t>Liens on Equity Interests of any Joint Venture or Unrestricted Subsidiary (i) securing obligations of such Joint Venture or Unrestricted Subsidiary, as the case may be, or (ii) pursuant to the relevant Joint Venture agreement or arrangement;</w:t>
      </w:r>
    </w:p>
    <w:p>
      <w:pPr>
        <w:spacing w:after="0" w:line="185" w:lineRule="exact"/>
        <w:rPr>
          <w:rFonts w:ascii="Arial" w:cs="Arial" w:eastAsia="Arial" w:hAnsi="Arial"/>
          <w:sz w:val="22"/>
          <w:szCs w:val="22"/>
          <w:color w:val="auto"/>
        </w:rPr>
      </w:pPr>
    </w:p>
    <w:p>
      <w:pPr>
        <w:ind w:left="180" w:firstLine="1286"/>
        <w:spacing w:after="0" w:line="263" w:lineRule="auto"/>
        <w:tabs>
          <w:tab w:leader="none" w:pos="1747" w:val="left"/>
        </w:tabs>
        <w:numPr>
          <w:ilvl w:val="0"/>
          <w:numId w:val="404"/>
        </w:numPr>
        <w:rPr>
          <w:rFonts w:ascii="Arial" w:cs="Arial" w:eastAsia="Arial" w:hAnsi="Arial"/>
          <w:sz w:val="22"/>
          <w:szCs w:val="22"/>
          <w:color w:val="auto"/>
        </w:rPr>
      </w:pPr>
      <w:r>
        <w:rPr>
          <w:rFonts w:ascii="Arial" w:cs="Arial" w:eastAsia="Arial" w:hAnsi="Arial"/>
          <w:sz w:val="22"/>
          <w:szCs w:val="22"/>
          <w:color w:val="auto"/>
        </w:rPr>
        <w:t>Liens arising out of consignment or similar arrangements for the sale of goods entered into in the ordinary course of business;</w:t>
      </w:r>
    </w:p>
    <w:p>
      <w:pPr>
        <w:spacing w:after="0" w:line="174" w:lineRule="exact"/>
        <w:rPr>
          <w:rFonts w:ascii="Arial" w:cs="Arial" w:eastAsia="Arial" w:hAnsi="Arial"/>
          <w:sz w:val="22"/>
          <w:szCs w:val="22"/>
          <w:color w:val="auto"/>
        </w:rPr>
      </w:pPr>
    </w:p>
    <w:p>
      <w:pPr>
        <w:ind w:left="1780" w:hanging="314"/>
        <w:spacing w:after="0"/>
        <w:tabs>
          <w:tab w:leader="none" w:pos="178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Liens securing judgments that do not constitute an Event of Default under Section 8.1(h);</w:t>
      </w:r>
    </w:p>
    <w:p>
      <w:pPr>
        <w:spacing w:after="0" w:line="219" w:lineRule="exact"/>
        <w:rPr>
          <w:rFonts w:ascii="Arial" w:cs="Arial" w:eastAsia="Arial" w:hAnsi="Arial"/>
          <w:sz w:val="22"/>
          <w:szCs w:val="22"/>
          <w:color w:val="auto"/>
        </w:rPr>
      </w:pPr>
    </w:p>
    <w:p>
      <w:pPr>
        <w:jc w:val="both"/>
        <w:ind w:left="180" w:firstLine="1286"/>
        <w:spacing w:after="0" w:line="294" w:lineRule="auto"/>
        <w:tabs>
          <w:tab w:leader="none" w:pos="1782" w:val="left"/>
        </w:tabs>
        <w:numPr>
          <w:ilvl w:val="0"/>
          <w:numId w:val="404"/>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not given in connection with the issuance of Indebtedness, (ii) relating to pooled deposit or sweep accounts or cash pooling arrangements (including with respect to any joint and several liability provisions in relation thereto) of the Borrower or any Restricted Subsidiary to permit satisfaction of overdraft or similar obligations incurred in the ordinary course of business of the Borrower and the Restricted Subsidiaries or (iii) relating to purchase orders and other agreements (other than Indebtedness for borrowed money) entered into with customers in the ordinary course of business;</w:t>
      </w:r>
    </w:p>
    <w:p>
      <w:pPr>
        <w:spacing w:after="0" w:line="149" w:lineRule="exact"/>
        <w:rPr>
          <w:rFonts w:ascii="Arial" w:cs="Arial" w:eastAsia="Arial" w:hAnsi="Arial"/>
          <w:sz w:val="19"/>
          <w:szCs w:val="19"/>
          <w:color w:val="auto"/>
        </w:rPr>
      </w:pPr>
    </w:p>
    <w:p>
      <w:pPr>
        <w:ind w:left="1820" w:hanging="354"/>
        <w:spacing w:after="0"/>
        <w:tabs>
          <w:tab w:leader="none" w:pos="18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Liens existing on the Closing Date and set forth on Schedule 6.2.</w:t>
      </w:r>
    </w:p>
    <w:p>
      <w:pPr>
        <w:spacing w:after="0" w:line="21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6.3. Equitable Lien</w:t>
      </w:r>
      <w:r>
        <w:rPr>
          <w:rFonts w:ascii="Arial" w:cs="Arial" w:eastAsia="Arial" w:hAnsi="Arial"/>
          <w:sz w:val="22"/>
          <w:szCs w:val="22"/>
          <w:color w:val="auto"/>
        </w:rPr>
        <w:t>. If any Credit Party or any of its Subsidiaries shall create or assume any Lien upon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properties or assets, whether now owned or hereafter acquired, other than Liens permitted pursuant to Section 6.2 (including as a result of an amendment or waiver of Section 6.2 made with the consent of the Requisite Lenders), it shall make or cause to be made effective provisions whereby the Obligations will be secured by such Lien equally and ratably with any and all other Indebtedness secured thereby as long as any such Indebtedness shall be so secured; </w:t>
      </w:r>
      <w:r>
        <w:rPr>
          <w:rFonts w:ascii="Arial" w:cs="Arial" w:eastAsia="Arial" w:hAnsi="Arial"/>
          <w:sz w:val="22"/>
          <w:szCs w:val="22"/>
          <w:u w:val="single" w:color="auto"/>
          <w:color w:val="auto"/>
        </w:rPr>
        <w:t>provided</w:t>
      </w:r>
      <w:r>
        <w:rPr>
          <w:rFonts w:ascii="Arial" w:cs="Arial" w:eastAsia="Arial" w:hAnsi="Arial"/>
          <w:sz w:val="22"/>
          <w:szCs w:val="22"/>
          <w:color w:val="auto"/>
        </w:rPr>
        <w:t>, notwithstanding the foregoing, this covenant shall not be construed as a consent by Requisite Lenders to the creation or assumption of any such Lien not otherwise permitted hereby.</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6.4. Restricted Junior Payments</w:t>
      </w:r>
      <w:r>
        <w:rPr>
          <w:rFonts w:ascii="Arial" w:cs="Arial" w:eastAsia="Arial" w:hAnsi="Arial"/>
          <w:sz w:val="22"/>
          <w:szCs w:val="22"/>
          <w:color w:val="auto"/>
        </w:rPr>
        <w:t>. The Borrower shall not and shall not permit any of its Subsidiaries through any</w:t>
      </w:r>
      <w:r>
        <w:rPr>
          <w:rFonts w:ascii="Arial" w:cs="Arial" w:eastAsia="Arial" w:hAnsi="Arial"/>
          <w:sz w:val="22"/>
          <w:szCs w:val="22"/>
          <w:b w:val="1"/>
          <w:bCs w:val="1"/>
          <w:color w:val="auto"/>
        </w:rPr>
        <w:t xml:space="preserve"> </w:t>
      </w:r>
      <w:r>
        <w:rPr>
          <w:rFonts w:ascii="Arial" w:cs="Arial" w:eastAsia="Arial" w:hAnsi="Arial"/>
          <w:sz w:val="22"/>
          <w:szCs w:val="22"/>
          <w:color w:val="auto"/>
        </w:rPr>
        <w:t>manner or means or through any other Person to, directly or indirectly, declare, order, pay, make or set apart, or agree to declare, order, pay, make or set apart, any sum for any Restricted Junior Payment except that:</w:t>
      </w:r>
    </w:p>
    <w:p>
      <w:pPr>
        <w:spacing w:after="0" w:line="182"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(a) Any Subsidiary of Borrower may declare and pay dividends or make other distributions ratably to its equity</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7" w:right="339" w:bottom="1440" w:gutter="0" w:footer="0" w:header="0"/>
        </w:sectPr>
      </w:pPr>
    </w:p>
    <w:bookmarkStart w:id="535" w:name="page536"/>
    <w:bookmarkEnd w:id="535"/>
    <w:p>
      <w:pPr>
        <w:jc w:val="both"/>
        <w:ind w:firstLine="1286"/>
        <w:spacing w:after="0" w:line="312" w:lineRule="auto"/>
        <w:tabs>
          <w:tab w:leader="none" w:pos="1615" w:val="left"/>
        </w:tabs>
        <w:numPr>
          <w:ilvl w:val="0"/>
          <w:numId w:val="405"/>
        </w:numPr>
        <w:rPr>
          <w:rFonts w:ascii="Arial" w:cs="Arial" w:eastAsia="Arial" w:hAnsi="Arial"/>
          <w:sz w:val="19"/>
          <w:szCs w:val="19"/>
          <w:color w:val="auto"/>
        </w:rPr>
      </w:pPr>
      <w:r>
        <w:rPr>
          <w:rFonts w:ascii="Arial" w:cs="Arial" w:eastAsia="Arial" w:hAnsi="Arial"/>
          <w:sz w:val="19"/>
          <w:szCs w:val="19"/>
          <w:color w:val="auto"/>
        </w:rPr>
        <w:t>The Borrower may make Restricted Junior Payments to its equity holders in the form of dividends on the Borrower’s common stock in an aggregate amount not to exceed $10,000,000 per annum, provided that, immediately prior to, and after giving effect thereto, no Default or Event of Default shall have occurred and be continuing or would result therefrom;</w:t>
      </w:r>
    </w:p>
    <w:p>
      <w:pPr>
        <w:spacing w:after="0" w:line="133" w:lineRule="exact"/>
        <w:rPr>
          <w:rFonts w:ascii="Arial" w:cs="Arial" w:eastAsia="Arial" w:hAnsi="Arial"/>
          <w:sz w:val="19"/>
          <w:szCs w:val="19"/>
          <w:color w:val="auto"/>
        </w:rPr>
      </w:pPr>
    </w:p>
    <w:p>
      <w:pPr>
        <w:jc w:val="both"/>
        <w:ind w:firstLine="1286"/>
        <w:spacing w:after="0" w:line="258" w:lineRule="auto"/>
        <w:tabs>
          <w:tab w:leader="none" w:pos="1590" w:val="left"/>
        </w:tabs>
        <w:numPr>
          <w:ilvl w:val="0"/>
          <w:numId w:val="405"/>
        </w:numPr>
        <w:rPr>
          <w:rFonts w:ascii="Arial" w:cs="Arial" w:eastAsia="Arial" w:hAnsi="Arial"/>
          <w:sz w:val="21"/>
          <w:szCs w:val="21"/>
          <w:color w:val="auto"/>
        </w:rPr>
      </w:pPr>
      <w:r>
        <w:rPr>
          <w:rFonts w:ascii="Arial" w:cs="Arial" w:eastAsia="Arial" w:hAnsi="Arial"/>
          <w:sz w:val="21"/>
          <w:szCs w:val="21"/>
          <w:color w:val="auto"/>
        </w:rPr>
        <w:t xml:space="preserve">The Borrower may make Restricted Junior Payments up to an amount not to exceed the Cumulative Amount as in effect immediately prior to the making of such Restricted Junior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immediately prior to, and after giving effect thereto, (i) no Default or Event of Default shall have occurred and be continuing or would result therefrom, and (ii) the Borrower and its Subsidiaries shall be in compliance on a pro forma basis with the financial covenants set forth in Section 6.7 and with a Total Net Leverage Ratio of [2.50]:1.00 or less, in each case, as of the last day of the Fiscal Quarter most recently ended and (B) Borrower shall have delivered to Administrative Agent a Compliance Certificate, together with all relevant financial information reasonably requested by Administrative Agent, demonstrating in reasonable detail the calculation of the Cumulative Amount immediately prior to the making of such Restricted Junior Payment and the amount thereof elected to be so applied and evidencing compliance with Section 6.7 and the Total Net Leverage Ratio as required under clause (A)(ii) above;</w:t>
      </w:r>
    </w:p>
    <w:p>
      <w:pPr>
        <w:spacing w:after="0" w:line="185" w:lineRule="exact"/>
        <w:rPr>
          <w:rFonts w:ascii="Arial" w:cs="Arial" w:eastAsia="Arial" w:hAnsi="Arial"/>
          <w:sz w:val="21"/>
          <w:szCs w:val="21"/>
          <w:color w:val="auto"/>
        </w:rPr>
      </w:pPr>
    </w:p>
    <w:p>
      <w:pPr>
        <w:ind w:firstLine="1286"/>
        <w:spacing w:after="0" w:line="263" w:lineRule="auto"/>
        <w:tabs>
          <w:tab w:leader="none" w:pos="1629" w:val="left"/>
        </w:tabs>
        <w:numPr>
          <w:ilvl w:val="0"/>
          <w:numId w:val="405"/>
        </w:numPr>
        <w:rPr>
          <w:rFonts w:ascii="Arial" w:cs="Arial" w:eastAsia="Arial" w:hAnsi="Arial"/>
          <w:sz w:val="22"/>
          <w:szCs w:val="22"/>
          <w:color w:val="auto"/>
        </w:rPr>
      </w:pPr>
      <w:r>
        <w:rPr>
          <w:rFonts w:ascii="Arial" w:cs="Arial" w:eastAsia="Arial" w:hAnsi="Arial"/>
          <w:sz w:val="22"/>
          <w:szCs w:val="22"/>
          <w:color w:val="auto"/>
        </w:rPr>
        <w:t>The Borrower may make other Restricted Junior Payments in an aggregate amount of up to $25,000,000 during the term of this Agreement;</w:t>
      </w:r>
    </w:p>
    <w:p>
      <w:pPr>
        <w:spacing w:after="0" w:line="174" w:lineRule="exact"/>
        <w:rPr>
          <w:rFonts w:ascii="Arial" w:cs="Arial" w:eastAsia="Arial" w:hAnsi="Arial"/>
          <w:sz w:val="22"/>
          <w:szCs w:val="22"/>
          <w:color w:val="auto"/>
        </w:rPr>
      </w:pPr>
    </w:p>
    <w:p>
      <w:pPr>
        <w:jc w:val="both"/>
        <w:ind w:firstLine="1286"/>
        <w:spacing w:after="0" w:line="260" w:lineRule="auto"/>
        <w:tabs>
          <w:tab w:leader="none" w:pos="1603" w:val="left"/>
        </w:tabs>
        <w:numPr>
          <w:ilvl w:val="0"/>
          <w:numId w:val="405"/>
        </w:numPr>
        <w:rPr>
          <w:rFonts w:ascii="Arial" w:cs="Arial" w:eastAsia="Arial" w:hAnsi="Arial"/>
          <w:sz w:val="21"/>
          <w:szCs w:val="21"/>
          <w:color w:val="auto"/>
        </w:rPr>
      </w:pPr>
      <w:r>
        <w:rPr>
          <w:rFonts w:ascii="Arial" w:cs="Arial" w:eastAsia="Arial" w:hAnsi="Arial"/>
          <w:sz w:val="21"/>
          <w:szCs w:val="21"/>
          <w:color w:val="auto"/>
        </w:rPr>
        <w:t>the payment by the Borrower or any Subsidiary of any dividend or the consummation of any irrevocable redemption within 60 days after the date of declaration thereof or giving the notice of the redemption, if on the date of declaration or notice the payment would have complied with this Section 6.4 (assuming, in the case of redemption, the giving of the notice would have been deemed to be a Restricted Payment at such time and such deemed Restricted Payment would have been permitted at such time); provided that any Restricted Payment pursuant to this clause (i) shall be deemed to have utilized capacity under the exception that such Restricted Payment would have been permitted to have been made in reliance of at the time of declaration or notice of redemption, as applicable;</w:t>
      </w:r>
    </w:p>
    <w:p>
      <w:pPr>
        <w:spacing w:after="0" w:line="180" w:lineRule="exact"/>
        <w:rPr>
          <w:rFonts w:ascii="Arial" w:cs="Arial" w:eastAsia="Arial" w:hAnsi="Arial"/>
          <w:sz w:val="21"/>
          <w:szCs w:val="21"/>
          <w:color w:val="auto"/>
        </w:rPr>
      </w:pPr>
    </w:p>
    <w:p>
      <w:pPr>
        <w:jc w:val="both"/>
        <w:ind w:firstLine="1286"/>
        <w:spacing w:after="0" w:line="250" w:lineRule="auto"/>
        <w:tabs>
          <w:tab w:leader="none" w:pos="1566" w:val="left"/>
        </w:tabs>
        <w:numPr>
          <w:ilvl w:val="0"/>
          <w:numId w:val="405"/>
        </w:numPr>
        <w:rPr>
          <w:rFonts w:ascii="Arial" w:cs="Arial" w:eastAsia="Arial" w:hAnsi="Arial"/>
          <w:sz w:val="22"/>
          <w:szCs w:val="22"/>
          <w:color w:val="auto"/>
        </w:rPr>
      </w:pPr>
      <w:r>
        <w:rPr>
          <w:rFonts w:ascii="Arial" w:cs="Arial" w:eastAsia="Arial" w:hAnsi="Arial"/>
          <w:sz w:val="22"/>
          <w:szCs w:val="22"/>
          <w:color w:val="auto"/>
        </w:rPr>
        <w:t>the Borrower may declare or make a Restricted Payment with respect to its Equity Interest payable solely in Qualified Equity Interests or redeem any of its Equity Interests in exchange for, or out of the proceeds of the substantially concurrent issuance and sale of, Qualified Equity Interests or through accretion or accumulation of such dividends on such Equity Interests;</w:t>
      </w:r>
    </w:p>
    <w:p>
      <w:pPr>
        <w:spacing w:after="0" w:line="187" w:lineRule="exact"/>
        <w:rPr>
          <w:rFonts w:ascii="Arial" w:cs="Arial" w:eastAsia="Arial" w:hAnsi="Arial"/>
          <w:sz w:val="22"/>
          <w:szCs w:val="22"/>
          <w:color w:val="auto"/>
        </w:rPr>
      </w:pPr>
    </w:p>
    <w:p>
      <w:pPr>
        <w:jc w:val="both"/>
        <w:ind w:firstLine="1286"/>
        <w:spacing w:after="0" w:line="250" w:lineRule="auto"/>
        <w:tabs>
          <w:tab w:leader="none" w:pos="1615" w:val="left"/>
        </w:tabs>
        <w:numPr>
          <w:ilvl w:val="0"/>
          <w:numId w:val="405"/>
        </w:numPr>
        <w:rPr>
          <w:rFonts w:ascii="Arial" w:cs="Arial" w:eastAsia="Arial" w:hAnsi="Arial"/>
          <w:sz w:val="22"/>
          <w:szCs w:val="22"/>
          <w:color w:val="auto"/>
        </w:rPr>
      </w:pPr>
      <w:r>
        <w:rPr>
          <w:rFonts w:ascii="Arial" w:cs="Arial" w:eastAsia="Arial" w:hAnsi="Arial"/>
          <w:sz w:val="22"/>
          <w:szCs w:val="22"/>
          <w:color w:val="auto"/>
        </w:rPr>
        <w:t>repurchase, redemption or other acquisition for value by the Borrower of, Equity Interests of the Borrower held by officers, directors or employees or former officers, directors or employees of the Borrower and any Restricted Subsidiary (or their transferees, estates or beneficiaries under their estates), upon their death, disability, retirement, severance or termination of employment or service;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060"/>
          </w:cols>
          <w:pgMar w:left="500" w:top="1427" w:right="339" w:bottom="1440" w:gutter="0" w:footer="0" w:header="0"/>
        </w:sectPr>
      </w:pPr>
    </w:p>
    <w:bookmarkStart w:id="536" w:name="page537"/>
    <w:bookmarkEnd w:id="536"/>
    <w:p>
      <w:pPr>
        <w:jc w:val="both"/>
        <w:ind w:left="180" w:firstLine="1286"/>
        <w:spacing w:after="0" w:line="250" w:lineRule="auto"/>
        <w:tabs>
          <w:tab w:leader="none" w:pos="1795" w:val="left"/>
        </w:tabs>
        <w:numPr>
          <w:ilvl w:val="0"/>
          <w:numId w:val="406"/>
        </w:numPr>
        <w:rPr>
          <w:rFonts w:ascii="Arial" w:cs="Arial" w:eastAsia="Arial" w:hAnsi="Arial"/>
          <w:sz w:val="22"/>
          <w:szCs w:val="22"/>
          <w:color w:val="auto"/>
        </w:rPr>
      </w:pPr>
      <w:r>
        <w:rPr>
          <w:rFonts w:ascii="Arial" w:cs="Arial" w:eastAsia="Arial" w:hAnsi="Arial"/>
          <w:sz w:val="22"/>
          <w:szCs w:val="22"/>
          <w:color w:val="auto"/>
        </w:rPr>
        <w:t>repurchases of Equity Interests deemed to occur (a) upon the exercise of stock options, warrants, or similar rights if the Equity Interests represent all or a portion of the exercise price thereof or (b) in connection with the satisfaction of any withholding Tax obligations incurred relating to the vesting or exercise of stock options, warrants, restricted stock units or similar rights.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6.5. Restrictions on Subsidiary Distributions</w:t>
      </w:r>
      <w:r>
        <w:rPr>
          <w:rFonts w:ascii="Arial" w:cs="Arial" w:eastAsia="Arial" w:hAnsi="Arial"/>
          <w:sz w:val="19"/>
          <w:szCs w:val="19"/>
          <w:color w:val="auto"/>
        </w:rPr>
        <w:t>. Except as provided herein, no Credit Party shall, nor shall it permit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Subsidiaries to, create or otherwise cause or suffer to exist or become effective any consensual encumbrance or restriction of any kind on the ability of any Subsidiary of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lease or license any of its property or assets to Borrower or any other Subsidiary of Borrower other than restrictions (i) in agreements evidencing Indebtedness permitted by Sections 6.1(i) and 6.1(j) that impose restrictions on the property so acquired, (ii) by reason of customary provisions restricting assignments, subletting or other transfers contained in leases, licenses, joint venture agreements and similar agreements entered into in the ordinary course of business, (iii) that are or were created by virtue of any transfer of, agreement to transfer or option or right with respect to any property, assets or Equity Interests not otherwise prohibited under this Agreement, (iv) existing under or by reason of applicable law, regulation or order, (v) customary provisions in partnership agreements, limited liability company organizational governance documents, joint venture agreements, shareholder agreements and other similar agreements that restrict the transfer of ownership interests in such partnership, limited liability company, joint venture, corporation or similar Person, (vi) restrictions on cash or other deposits or net worth imposed by suppliers, customers or landlords under contracts entered into in the ordinary course of business, or (vii) described on Schedule 6.5.</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6.6. Investments</w:t>
      </w:r>
      <w:r>
        <w:rPr>
          <w:rFonts w:ascii="Arial" w:cs="Arial" w:eastAsia="Arial" w:hAnsi="Arial"/>
          <w:sz w:val="22"/>
          <w:szCs w:val="22"/>
          <w:color w:val="auto"/>
        </w:rPr>
        <w:t>. The Borrower shall not, and shall not permit any of its Subsidiaries to, directly or indirectly, make or</w:t>
      </w:r>
      <w:r>
        <w:rPr>
          <w:rFonts w:ascii="Arial" w:cs="Arial" w:eastAsia="Arial" w:hAnsi="Arial"/>
          <w:sz w:val="22"/>
          <w:szCs w:val="22"/>
          <w:b w:val="1"/>
          <w:bCs w:val="1"/>
          <w:color w:val="auto"/>
        </w:rPr>
        <w:t xml:space="preserve"> </w:t>
      </w:r>
      <w:r>
        <w:rPr>
          <w:rFonts w:ascii="Arial" w:cs="Arial" w:eastAsia="Arial" w:hAnsi="Arial"/>
          <w:sz w:val="22"/>
          <w:szCs w:val="22"/>
          <w:color w:val="auto"/>
        </w:rPr>
        <w:t>own any Investment in any Person, including any Joint Venture, except:</w:t>
      </w:r>
    </w:p>
    <w:p>
      <w:pPr>
        <w:spacing w:after="0" w:line="168" w:lineRule="exact"/>
        <w:rPr>
          <w:sz w:val="20"/>
          <w:szCs w:val="20"/>
          <w:color w:val="auto"/>
        </w:rPr>
      </w:pPr>
    </w:p>
    <w:p>
      <w:pPr>
        <w:ind w:left="1760" w:hanging="294"/>
        <w:spacing w:after="0"/>
        <w:tabs>
          <w:tab w:leader="none" w:pos="1760" w:val="left"/>
        </w:tabs>
        <w:numPr>
          <w:ilvl w:val="0"/>
          <w:numId w:val="407"/>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219" w:lineRule="exact"/>
        <w:rPr>
          <w:rFonts w:ascii="Arial" w:cs="Arial" w:eastAsia="Arial" w:hAnsi="Arial"/>
          <w:sz w:val="22"/>
          <w:szCs w:val="22"/>
          <w:color w:val="auto"/>
        </w:rPr>
      </w:pPr>
    </w:p>
    <w:p>
      <w:pPr>
        <w:ind w:left="180" w:firstLine="1286"/>
        <w:spacing w:after="0" w:line="263" w:lineRule="auto"/>
        <w:tabs>
          <w:tab w:leader="none" w:pos="1782" w:val="left"/>
        </w:tabs>
        <w:numPr>
          <w:ilvl w:val="0"/>
          <w:numId w:val="407"/>
        </w:numPr>
        <w:rPr>
          <w:rFonts w:ascii="Arial" w:cs="Arial" w:eastAsia="Arial" w:hAnsi="Arial"/>
          <w:sz w:val="22"/>
          <w:szCs w:val="22"/>
          <w:color w:val="auto"/>
        </w:rPr>
      </w:pPr>
      <w:r>
        <w:rPr>
          <w:rFonts w:ascii="Arial" w:cs="Arial" w:eastAsia="Arial" w:hAnsi="Arial"/>
          <w:sz w:val="22"/>
          <w:szCs w:val="22"/>
          <w:color w:val="auto"/>
        </w:rPr>
        <w:t>equity Investments owned as of the Closing Date in any Subsidiary and Investments made after the Closing Date in the Borrower and any Guarantor that is a Subsidiary of Borrower;</w:t>
      </w:r>
    </w:p>
    <w:p>
      <w:pPr>
        <w:spacing w:after="0" w:line="174" w:lineRule="exact"/>
        <w:rPr>
          <w:rFonts w:ascii="Arial" w:cs="Arial" w:eastAsia="Arial" w:hAnsi="Arial"/>
          <w:sz w:val="22"/>
          <w:szCs w:val="22"/>
          <w:color w:val="auto"/>
        </w:rPr>
      </w:pPr>
    </w:p>
    <w:p>
      <w:pPr>
        <w:jc w:val="both"/>
        <w:ind w:left="180" w:right="20" w:firstLine="1286"/>
        <w:spacing w:after="0" w:line="253" w:lineRule="auto"/>
        <w:tabs>
          <w:tab w:leader="none" w:pos="1810" w:val="left"/>
        </w:tabs>
        <w:numPr>
          <w:ilvl w:val="0"/>
          <w:numId w:val="407"/>
        </w:numPr>
        <w:rPr>
          <w:rFonts w:ascii="Arial" w:cs="Arial" w:eastAsia="Arial" w:hAnsi="Arial"/>
          <w:sz w:val="22"/>
          <w:szCs w:val="22"/>
          <w:color w:val="auto"/>
        </w:rPr>
      </w:pPr>
      <w:r>
        <w:rPr>
          <w:rFonts w:ascii="Arial" w:cs="Arial" w:eastAsia="Arial" w:hAnsi="Arial"/>
          <w:sz w:val="22"/>
          <w:szCs w:val="22"/>
          <w:color w:val="auto"/>
        </w:rPr>
        <w:t>Investments (i) in any Securities received in satisfaction or partial satisfaction thereof from financially troubled account debtors and (ii) deposits, prepayments and other credits to suppliers made in the ordinary course of business consistent with the past practices of the Borrower and its Subsidiaries;</w:t>
      </w:r>
    </w:p>
    <w:p>
      <w:pPr>
        <w:spacing w:after="0" w:line="185" w:lineRule="exact"/>
        <w:rPr>
          <w:rFonts w:ascii="Arial" w:cs="Arial" w:eastAsia="Arial" w:hAnsi="Arial"/>
          <w:sz w:val="22"/>
          <w:szCs w:val="22"/>
          <w:color w:val="auto"/>
        </w:rPr>
      </w:pPr>
    </w:p>
    <w:p>
      <w:pPr>
        <w:jc w:val="both"/>
        <w:ind w:left="180" w:firstLine="1286"/>
        <w:spacing w:after="0" w:line="253" w:lineRule="auto"/>
        <w:tabs>
          <w:tab w:leader="none" w:pos="1782" w:val="left"/>
        </w:tabs>
        <w:numPr>
          <w:ilvl w:val="0"/>
          <w:numId w:val="407"/>
        </w:numPr>
        <w:rPr>
          <w:rFonts w:ascii="Arial" w:cs="Arial" w:eastAsia="Arial" w:hAnsi="Arial"/>
          <w:sz w:val="22"/>
          <w:szCs w:val="22"/>
          <w:color w:val="auto"/>
        </w:rPr>
      </w:pPr>
      <w:r>
        <w:rPr>
          <w:rFonts w:ascii="Arial" w:cs="Arial" w:eastAsia="Arial" w:hAnsi="Arial"/>
          <w:sz w:val="22"/>
          <w:szCs w:val="22"/>
          <w:color w:val="auto"/>
        </w:rPr>
        <w:t xml:space="preserve">intercompany loans to the extent permitted under Section 6.1(c) and other Investments in Subsidiaries other than Guarantors,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Investments (including through intercompany loans and any Permitted Acquisition) in Subsidiaries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7" w:right="339" w:bottom="1440" w:gutter="0" w:footer="0" w:header="0"/>
        </w:sectPr>
      </w:pPr>
    </w:p>
    <w:bookmarkStart w:id="537" w:name="page538"/>
    <w:bookmarkEnd w:id="537"/>
    <w:p>
      <w:pPr>
        <w:spacing w:after="0"/>
        <w:rPr>
          <w:sz w:val="20"/>
          <w:szCs w:val="20"/>
          <w:color w:val="auto"/>
        </w:rPr>
      </w:pPr>
      <w:r>
        <w:rPr>
          <w:rFonts w:ascii="Arial" w:cs="Arial" w:eastAsia="Arial" w:hAnsi="Arial"/>
          <w:sz w:val="19"/>
          <w:szCs w:val="19"/>
          <w:color w:val="auto"/>
        </w:rPr>
        <w:t>Guarantors, together with any Investment permitted under Section 6.06(k), shall not exceed at any time an aggregate amount</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equal to the sum of (x) $75,000,000 plus (y) the aggregate amount of all cash payments made since [ ], 2021 by Subsidiaries that are not Guarantors to the Borrower and the Guarantors in the form of dividends, distributions, return of capital, repurchases of Equity Interests, repayment of loans or advances, without duplication, in each case, with any item already deducted from the calculation of the amount of any Investment pursuant to the last sentence of the definition thereof ((x) plus (y), the </w:t>
      </w:r>
      <w:r>
        <w:rPr>
          <w:rFonts w:ascii="Arial" w:cs="Arial" w:eastAsia="Arial" w:hAnsi="Arial"/>
          <w:sz w:val="22"/>
          <w:szCs w:val="22"/>
          <w:b w:val="1"/>
          <w:bCs w:val="1"/>
          <w:color w:val="auto"/>
        </w:rPr>
        <w:t>“Non-Guarantor Basket”</w:t>
      </w:r>
      <w:r>
        <w:rPr>
          <w:rFonts w:ascii="Arial" w:cs="Arial" w:eastAsia="Arial" w:hAnsi="Arial"/>
          <w:sz w:val="22"/>
          <w:szCs w:val="22"/>
          <w:color w:val="auto"/>
        </w:rPr>
        <w:t>);</w:t>
      </w:r>
    </w:p>
    <w:p>
      <w:pPr>
        <w:spacing w:after="0" w:line="195" w:lineRule="exact"/>
        <w:rPr>
          <w:sz w:val="20"/>
          <w:szCs w:val="20"/>
          <w:color w:val="auto"/>
        </w:rPr>
      </w:pPr>
    </w:p>
    <w:p>
      <w:pPr>
        <w:ind w:firstLine="1286"/>
        <w:spacing w:after="0" w:line="263" w:lineRule="auto"/>
        <w:tabs>
          <w:tab w:leader="none" w:pos="1630" w:val="left"/>
        </w:tabs>
        <w:numPr>
          <w:ilvl w:val="0"/>
          <w:numId w:val="408"/>
        </w:numPr>
        <w:rPr>
          <w:rFonts w:ascii="Arial" w:cs="Arial" w:eastAsia="Arial" w:hAnsi="Arial"/>
          <w:sz w:val="22"/>
          <w:szCs w:val="22"/>
          <w:color w:val="auto"/>
        </w:rPr>
      </w:pPr>
      <w:r>
        <w:rPr>
          <w:rFonts w:ascii="Arial" w:cs="Arial" w:eastAsia="Arial" w:hAnsi="Arial"/>
          <w:sz w:val="22"/>
          <w:szCs w:val="22"/>
          <w:color w:val="auto"/>
        </w:rPr>
        <w:t>loans and advances to employees of the Borrower and its Subsidiaries made in the ordinary course of business in an aggregate principal amount not to exceed $10,000,000;</w:t>
      </w:r>
    </w:p>
    <w:p>
      <w:pPr>
        <w:spacing w:after="0" w:line="174" w:lineRule="exact"/>
        <w:rPr>
          <w:rFonts w:ascii="Arial" w:cs="Arial" w:eastAsia="Arial" w:hAnsi="Arial"/>
          <w:sz w:val="22"/>
          <w:szCs w:val="22"/>
          <w:color w:val="auto"/>
        </w:rPr>
      </w:pPr>
    </w:p>
    <w:p>
      <w:pPr>
        <w:ind w:left="1560" w:hanging="274"/>
        <w:spacing w:after="0"/>
        <w:tabs>
          <w:tab w:leader="none" w:pos="1560" w:val="left"/>
        </w:tabs>
        <w:numPr>
          <w:ilvl w:val="0"/>
          <w:numId w:val="408"/>
        </w:numPr>
        <w:rPr>
          <w:rFonts w:ascii="Arial" w:cs="Arial" w:eastAsia="Arial" w:hAnsi="Arial"/>
          <w:sz w:val="22"/>
          <w:szCs w:val="22"/>
          <w:color w:val="auto"/>
        </w:rPr>
      </w:pPr>
      <w:r>
        <w:rPr>
          <w:rFonts w:ascii="Arial" w:cs="Arial" w:eastAsia="Arial" w:hAnsi="Arial"/>
          <w:sz w:val="22"/>
          <w:szCs w:val="22"/>
          <w:color w:val="auto"/>
        </w:rPr>
        <w:t>Permitted Acquisitions permitted pursuant to Section 6.8;</w:t>
      </w:r>
    </w:p>
    <w:p>
      <w:pPr>
        <w:spacing w:after="0" w:line="219" w:lineRule="exact"/>
        <w:rPr>
          <w:rFonts w:ascii="Arial" w:cs="Arial" w:eastAsia="Arial" w:hAnsi="Arial"/>
          <w:sz w:val="22"/>
          <w:szCs w:val="22"/>
          <w:color w:val="auto"/>
        </w:rPr>
      </w:pPr>
    </w:p>
    <w:p>
      <w:pPr>
        <w:ind w:left="1600" w:hanging="314"/>
        <w:spacing w:after="0"/>
        <w:tabs>
          <w:tab w:leader="none" w:pos="1600" w:val="left"/>
        </w:tabs>
        <w:numPr>
          <w:ilvl w:val="0"/>
          <w:numId w:val="408"/>
        </w:numPr>
        <w:rPr>
          <w:rFonts w:ascii="Arial" w:cs="Arial" w:eastAsia="Arial" w:hAnsi="Arial"/>
          <w:sz w:val="22"/>
          <w:szCs w:val="22"/>
          <w:color w:val="auto"/>
        </w:rPr>
      </w:pPr>
      <w:r>
        <w:rPr>
          <w:rFonts w:ascii="Arial" w:cs="Arial" w:eastAsia="Arial" w:hAnsi="Arial"/>
          <w:sz w:val="22"/>
          <w:szCs w:val="22"/>
          <w:color w:val="auto"/>
        </w:rPr>
        <w:t>Investments described in Schedule 6.6;</w:t>
      </w:r>
    </w:p>
    <w:p>
      <w:pPr>
        <w:spacing w:after="0" w:line="219" w:lineRule="exact"/>
        <w:rPr>
          <w:rFonts w:ascii="Arial" w:cs="Arial" w:eastAsia="Arial" w:hAnsi="Arial"/>
          <w:sz w:val="22"/>
          <w:szCs w:val="22"/>
          <w:color w:val="auto"/>
        </w:rPr>
      </w:pPr>
    </w:p>
    <w:p>
      <w:pPr>
        <w:ind w:left="1600" w:hanging="314"/>
        <w:spacing w:after="0"/>
        <w:tabs>
          <w:tab w:leader="none" w:pos="1600" w:val="left"/>
        </w:tabs>
        <w:numPr>
          <w:ilvl w:val="0"/>
          <w:numId w:val="408"/>
        </w:numPr>
        <w:rPr>
          <w:rFonts w:ascii="Arial" w:cs="Arial" w:eastAsia="Arial" w:hAnsi="Arial"/>
          <w:sz w:val="22"/>
          <w:szCs w:val="22"/>
          <w:color w:val="auto"/>
        </w:rPr>
      </w:pPr>
      <w:r>
        <w:rPr>
          <w:rFonts w:ascii="Arial" w:cs="Arial" w:eastAsia="Arial" w:hAnsi="Arial"/>
          <w:sz w:val="22"/>
          <w:szCs w:val="22"/>
          <w:color w:val="auto"/>
        </w:rPr>
        <w:t>Hedge Agreements which constitute Investments</w:t>
      </w:r>
    </w:p>
    <w:p>
      <w:pPr>
        <w:spacing w:after="0" w:line="219" w:lineRule="exact"/>
        <w:rPr>
          <w:rFonts w:ascii="Arial" w:cs="Arial" w:eastAsia="Arial" w:hAnsi="Arial"/>
          <w:sz w:val="22"/>
          <w:szCs w:val="22"/>
          <w:color w:val="auto"/>
        </w:rPr>
      </w:pPr>
    </w:p>
    <w:p>
      <w:pPr>
        <w:jc w:val="both"/>
        <w:ind w:firstLine="1286"/>
        <w:spacing w:after="0" w:line="289" w:lineRule="auto"/>
        <w:tabs>
          <w:tab w:leader="none" w:pos="1567" w:val="left"/>
        </w:tabs>
        <w:numPr>
          <w:ilvl w:val="0"/>
          <w:numId w:val="408"/>
        </w:numPr>
        <w:rPr>
          <w:rFonts w:ascii="Arial" w:cs="Arial" w:eastAsia="Arial" w:hAnsi="Arial"/>
          <w:sz w:val="19"/>
          <w:szCs w:val="19"/>
          <w:color w:val="auto"/>
        </w:rPr>
      </w:pPr>
      <w:r>
        <w:rPr>
          <w:rFonts w:ascii="Arial" w:cs="Arial" w:eastAsia="Arial" w:hAnsi="Arial"/>
          <w:sz w:val="19"/>
          <w:szCs w:val="19"/>
          <w:color w:val="auto"/>
        </w:rPr>
        <w:t>other Investments in an aggregate amount not to exceed the Cumulative Amount as in effect immediately prior to the making of such Investment; provided that (A) immediately prior to, and after giving effect thereto, (i) no Default or Event of Default shall have occurred and be continuing or would result therefrom and (ii) the Borrower and its Subsidiaries shall be in compliance on a pro forma basis with the financial covenants set forth in Section 6.7 and with a Total Net Leverage Ratio of 2.50:1.00 or less, in each case, as of the last day of the Fiscal Quarter most recently ended and (B) Borrower shall have delivered to Administrative Agent a Compliance Certificate, together with all relevant financial information reasonably requested by Administrative Agent, demonstrating in reasonable detail the calculation of the Cumulative Amount immediately prior to the making of such Investment and the amount thereof elected to be so applied and evidencing compliance with Section 6.7 and the Total Net Leverage Ratio as required under clause (A)(ii) above;</w:t>
      </w:r>
    </w:p>
    <w:p>
      <w:pPr>
        <w:spacing w:after="0" w:line="156" w:lineRule="exact"/>
        <w:rPr>
          <w:rFonts w:ascii="Arial" w:cs="Arial" w:eastAsia="Arial" w:hAnsi="Arial"/>
          <w:sz w:val="19"/>
          <w:szCs w:val="19"/>
          <w:color w:val="auto"/>
        </w:rPr>
      </w:pPr>
    </w:p>
    <w:p>
      <w:pPr>
        <w:ind w:firstLine="1286"/>
        <w:spacing w:after="0" w:line="263" w:lineRule="auto"/>
        <w:tabs>
          <w:tab w:leader="none" w:pos="1608" w:val="left"/>
        </w:tabs>
        <w:numPr>
          <w:ilvl w:val="0"/>
          <w:numId w:val="408"/>
        </w:numPr>
        <w:rPr>
          <w:rFonts w:ascii="Arial" w:cs="Arial" w:eastAsia="Arial" w:hAnsi="Arial"/>
          <w:sz w:val="22"/>
          <w:szCs w:val="22"/>
          <w:color w:val="auto"/>
        </w:rPr>
      </w:pPr>
      <w:r>
        <w:rPr>
          <w:rFonts w:ascii="Arial" w:cs="Arial" w:eastAsia="Arial" w:hAnsi="Arial"/>
          <w:sz w:val="22"/>
          <w:szCs w:val="22"/>
          <w:color w:val="auto"/>
        </w:rPr>
        <w:t>Investments received in exchange for the issuance of Equity Interests (other than Disqualified Equity Interests) of the Borrower;</w:t>
      </w:r>
    </w:p>
    <w:p>
      <w:pPr>
        <w:spacing w:after="0" w:line="174" w:lineRule="exact"/>
        <w:rPr>
          <w:rFonts w:ascii="Arial" w:cs="Arial" w:eastAsia="Arial" w:hAnsi="Arial"/>
          <w:sz w:val="22"/>
          <w:szCs w:val="22"/>
          <w:color w:val="auto"/>
        </w:rPr>
      </w:pPr>
    </w:p>
    <w:p>
      <w:pPr>
        <w:jc w:val="both"/>
        <w:ind w:firstLine="1286"/>
        <w:spacing w:after="0" w:line="253" w:lineRule="auto"/>
        <w:tabs>
          <w:tab w:leader="none" w:pos="1602" w:val="left"/>
        </w:tabs>
        <w:numPr>
          <w:ilvl w:val="0"/>
          <w:numId w:val="408"/>
        </w:numPr>
        <w:rPr>
          <w:rFonts w:ascii="Arial" w:cs="Arial" w:eastAsia="Arial" w:hAnsi="Arial"/>
          <w:sz w:val="22"/>
          <w:szCs w:val="22"/>
          <w:color w:val="auto"/>
        </w:rPr>
      </w:pPr>
      <w:r>
        <w:rPr>
          <w:rFonts w:ascii="Arial" w:cs="Arial" w:eastAsia="Arial" w:hAnsi="Arial"/>
          <w:sz w:val="22"/>
          <w:szCs w:val="22"/>
          <w:color w:val="auto"/>
        </w:rPr>
        <w:t>Investments in Joint Ventures and Unrestricted Subsidiaries in an aggregate amount not exceeding, together with any Investment permitted under the proviso to Section 6.06(d) in Subsidiaries other than Guarantors, the Non-Guarantor Basket;</w:t>
      </w:r>
    </w:p>
    <w:p>
      <w:pPr>
        <w:spacing w:after="0" w:line="185" w:lineRule="exact"/>
        <w:rPr>
          <w:rFonts w:ascii="Arial" w:cs="Arial" w:eastAsia="Arial" w:hAnsi="Arial"/>
          <w:sz w:val="22"/>
          <w:szCs w:val="22"/>
          <w:color w:val="auto"/>
        </w:rPr>
      </w:pPr>
    </w:p>
    <w:p>
      <w:pPr>
        <w:ind w:firstLine="1286"/>
        <w:spacing w:after="0" w:line="263" w:lineRule="auto"/>
        <w:tabs>
          <w:tab w:leader="none" w:pos="1554" w:val="left"/>
        </w:tabs>
        <w:numPr>
          <w:ilvl w:val="0"/>
          <w:numId w:val="408"/>
        </w:numPr>
        <w:rPr>
          <w:rFonts w:ascii="Arial" w:cs="Arial" w:eastAsia="Arial" w:hAnsi="Arial"/>
          <w:sz w:val="22"/>
          <w:szCs w:val="22"/>
          <w:color w:val="auto"/>
        </w:rPr>
      </w:pPr>
      <w:r>
        <w:rPr>
          <w:rFonts w:ascii="Arial" w:cs="Arial" w:eastAsia="Arial" w:hAnsi="Arial"/>
          <w:sz w:val="22"/>
          <w:szCs w:val="22"/>
          <w:color w:val="auto"/>
        </w:rPr>
        <w:t>Investments so long as the Total Net Leverage Ratio does not exceed on a pro forma basis 1.75:1.00 as of the last day of the Fiscal Quarter most recently ended.</w:t>
      </w:r>
    </w:p>
    <w:p>
      <w:pPr>
        <w:spacing w:after="0" w:line="174" w:lineRule="exact"/>
        <w:rPr>
          <w:rFonts w:ascii="Arial" w:cs="Arial" w:eastAsia="Arial" w:hAnsi="Arial"/>
          <w:sz w:val="22"/>
          <w:szCs w:val="22"/>
          <w:color w:val="auto"/>
        </w:rPr>
      </w:pPr>
    </w:p>
    <w:p>
      <w:pPr>
        <w:ind w:firstLine="1286"/>
        <w:spacing w:after="0" w:line="263" w:lineRule="auto"/>
        <w:tabs>
          <w:tab w:leader="none" w:pos="1689" w:val="left"/>
        </w:tabs>
        <w:numPr>
          <w:ilvl w:val="0"/>
          <w:numId w:val="408"/>
        </w:numPr>
        <w:rPr>
          <w:rFonts w:ascii="Arial" w:cs="Arial" w:eastAsia="Arial" w:hAnsi="Arial"/>
          <w:sz w:val="22"/>
          <w:szCs w:val="22"/>
          <w:color w:val="auto"/>
        </w:rPr>
      </w:pPr>
      <w:r>
        <w:rPr>
          <w:rFonts w:ascii="Arial" w:cs="Arial" w:eastAsia="Arial" w:hAnsi="Arial"/>
          <w:sz w:val="22"/>
          <w:szCs w:val="22"/>
          <w:color w:val="auto"/>
        </w:rPr>
        <w:t>other Investments in an aggregate amount outstanding at any time not to exceed $50,000,000 during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060"/>
          </w:cols>
          <w:pgMar w:left="500" w:top="1427" w:right="339" w:bottom="1440" w:gutter="0" w:footer="0" w:header="0"/>
        </w:sectPr>
      </w:pPr>
    </w:p>
    <w:bookmarkStart w:id="538" w:name="page539"/>
    <w:bookmarkEnd w:id="538"/>
    <w:p>
      <w:pPr>
        <w:ind w:firstLine="648"/>
        <w:spacing w:after="0" w:line="263" w:lineRule="auto"/>
        <w:rPr>
          <w:sz w:val="20"/>
          <w:szCs w:val="20"/>
          <w:color w:val="auto"/>
        </w:rPr>
      </w:pPr>
      <w:r>
        <w:rPr>
          <w:rFonts w:ascii="Arial" w:cs="Arial" w:eastAsia="Arial" w:hAnsi="Arial"/>
          <w:sz w:val="22"/>
          <w:szCs w:val="22"/>
          <w:color w:val="auto"/>
        </w:rPr>
        <w:t>Notwithstanding the foregoing, in no event shall any Credit Party make any Investment which results in or facilitates in any manner any Restricted Junior Payment not otherwise permitted under the terms of Section 6.4.</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6.7. Financial Covenants</w:t>
      </w:r>
      <w:r>
        <w:rPr>
          <w:rFonts w:ascii="Arial" w:cs="Arial" w:eastAsia="Arial" w:hAnsi="Arial"/>
          <w:sz w:val="22"/>
          <w:szCs w:val="22"/>
          <w:color w:val="auto"/>
        </w:rPr>
        <w:t>.</w:t>
      </w:r>
    </w:p>
    <w:p>
      <w:pPr>
        <w:spacing w:after="0" w:line="226" w:lineRule="exact"/>
        <w:rPr>
          <w:sz w:val="20"/>
          <w:szCs w:val="20"/>
          <w:color w:val="auto"/>
        </w:rPr>
      </w:pPr>
    </w:p>
    <w:p>
      <w:pPr>
        <w:ind w:left="180" w:firstLine="1286"/>
        <w:spacing w:after="0" w:line="287" w:lineRule="auto"/>
        <w:tabs>
          <w:tab w:leader="none" w:pos="1770" w:val="left"/>
        </w:tabs>
        <w:numPr>
          <w:ilvl w:val="0"/>
          <w:numId w:val="409"/>
        </w:numPr>
        <w:rPr>
          <w:rFonts w:ascii="Arial" w:cs="Arial" w:eastAsia="Arial" w:hAnsi="Arial"/>
          <w:sz w:val="21"/>
          <w:szCs w:val="21"/>
          <w:color w:val="auto"/>
        </w:rPr>
      </w:pPr>
      <w:r>
        <w:rPr>
          <w:rFonts w:ascii="Arial" w:cs="Arial" w:eastAsia="Arial" w:hAnsi="Arial"/>
          <w:sz w:val="21"/>
          <w:szCs w:val="21"/>
          <w:u w:val="single" w:color="auto"/>
          <w:color w:val="auto"/>
        </w:rPr>
        <w:t>Net Interest Coverage Ratio</w:t>
      </w:r>
      <w:r>
        <w:rPr>
          <w:rFonts w:ascii="Arial" w:cs="Arial" w:eastAsia="Arial" w:hAnsi="Arial"/>
          <w:sz w:val="21"/>
          <w:szCs w:val="21"/>
          <w:color w:val="auto"/>
        </w:rPr>
        <w:t>. The Borrower shall not permit the Net Interest Coverage Ratio as of the last day of any Fiscal Quarter, beginning with the Fiscal Quarter ending on June 30, 2021, to be less than 3.25 to 1.00.</w:t>
      </w:r>
    </w:p>
    <w:p>
      <w:pPr>
        <w:spacing w:after="0" w:line="151" w:lineRule="exact"/>
        <w:rPr>
          <w:rFonts w:ascii="Arial" w:cs="Arial" w:eastAsia="Arial" w:hAnsi="Arial"/>
          <w:sz w:val="21"/>
          <w:szCs w:val="21"/>
          <w:color w:val="auto"/>
        </w:rPr>
      </w:pPr>
    </w:p>
    <w:p>
      <w:pPr>
        <w:ind w:left="180" w:firstLine="1286"/>
        <w:spacing w:after="0" w:line="263" w:lineRule="auto"/>
        <w:tabs>
          <w:tab w:leader="none" w:pos="1782" w:val="left"/>
        </w:tabs>
        <w:numPr>
          <w:ilvl w:val="0"/>
          <w:numId w:val="409"/>
        </w:numPr>
        <w:rPr>
          <w:rFonts w:ascii="Arial" w:cs="Arial" w:eastAsia="Arial" w:hAnsi="Arial"/>
          <w:sz w:val="22"/>
          <w:szCs w:val="22"/>
          <w:color w:val="auto"/>
        </w:rPr>
      </w:pPr>
      <w:r>
        <w:rPr>
          <w:rFonts w:ascii="Arial" w:cs="Arial" w:eastAsia="Arial" w:hAnsi="Arial"/>
          <w:sz w:val="22"/>
          <w:szCs w:val="22"/>
          <w:u w:val="single" w:color="auto"/>
          <w:color w:val="auto"/>
        </w:rPr>
        <w:t>Total Net Leverage Ratio</w:t>
      </w:r>
      <w:r>
        <w:rPr>
          <w:rFonts w:ascii="Arial" w:cs="Arial" w:eastAsia="Arial" w:hAnsi="Arial"/>
          <w:sz w:val="22"/>
          <w:szCs w:val="22"/>
          <w:color w:val="auto"/>
        </w:rPr>
        <w:t>. The Borrower shall not permit the Total Net Leverage Ratio as of the last day of any Fiscal Quarter, beginning with the Fiscal Quarter ending on June 30, 2021, to exceed 3.75 to 1.00.</w:t>
      </w:r>
    </w:p>
    <w:p>
      <w:pPr>
        <w:spacing w:after="0" w:line="174" w:lineRule="exact"/>
        <w:rPr>
          <w:rFonts w:ascii="Arial" w:cs="Arial" w:eastAsia="Arial" w:hAnsi="Arial"/>
          <w:sz w:val="22"/>
          <w:szCs w:val="22"/>
          <w:color w:val="auto"/>
        </w:rPr>
      </w:pPr>
    </w:p>
    <w:p>
      <w:pPr>
        <w:jc w:val="both"/>
        <w:ind w:left="180" w:firstLine="1286"/>
        <w:spacing w:after="0" w:line="287" w:lineRule="auto"/>
        <w:tabs>
          <w:tab w:leader="none" w:pos="1783" w:val="left"/>
        </w:tabs>
        <w:numPr>
          <w:ilvl w:val="0"/>
          <w:numId w:val="409"/>
        </w:numPr>
        <w:rPr>
          <w:rFonts w:ascii="Arial" w:cs="Arial" w:eastAsia="Arial" w:hAnsi="Arial"/>
          <w:sz w:val="19"/>
          <w:szCs w:val="19"/>
          <w:color w:val="auto"/>
        </w:rPr>
      </w:pPr>
      <w:r>
        <w:rPr>
          <w:rFonts w:ascii="Arial" w:cs="Arial" w:eastAsia="Arial" w:hAnsi="Arial"/>
          <w:sz w:val="19"/>
          <w:szCs w:val="19"/>
          <w:u w:val="single" w:color="auto"/>
          <w:color w:val="auto"/>
        </w:rPr>
        <w:t>Certain Calculations</w:t>
      </w:r>
      <w:r>
        <w:rPr>
          <w:rFonts w:ascii="Arial" w:cs="Arial" w:eastAsia="Arial" w:hAnsi="Arial"/>
          <w:sz w:val="19"/>
          <w:szCs w:val="19"/>
          <w:color w:val="auto"/>
        </w:rPr>
        <w:t xml:space="preserve">. With respect to any period during which (x) a Permitted Acquisition or an Asset Sale has occurred or (y) a subsidiary has been designated an Unrestricted Subsidiary or a Restricted Subsidiary, as applicable, pursuant to Section 5.13 (each, a </w:t>
      </w:r>
      <w:r>
        <w:rPr>
          <w:rFonts w:ascii="Arial" w:cs="Arial" w:eastAsia="Arial" w:hAnsi="Arial"/>
          <w:sz w:val="19"/>
          <w:szCs w:val="19"/>
          <w:b w:val="1"/>
          <w:bCs w:val="1"/>
          <w:color w:val="auto"/>
        </w:rPr>
        <w:t>“Subject Transaction”</w:t>
      </w:r>
      <w:r>
        <w:rPr>
          <w:rFonts w:ascii="Arial" w:cs="Arial" w:eastAsia="Arial" w:hAnsi="Arial"/>
          <w:sz w:val="19"/>
          <w:szCs w:val="19"/>
          <w:color w:val="auto"/>
        </w:rPr>
        <w:t>), for purposes of determining compliance with the financial covenants set forth in this Section 6.7,Consolidated Adjusted EBITDA and the components of Consolidated Net Interest Expense shall be calculated with respect to such period on a pro forma basis using the historical (audited, to the extent available) financial statements of any business so acquired or to be acquired or sold or to be sold or designated or to be designated as a Restricted Subsidiary or an Unrestricted Subsidiary and the consolidated financial statements of the Borrower and its Subsidiaries which shall be reformulated as if such Subject Transaction, and any Indebtedness incurred or repaid in connection therewith, had been consummated or incurred or repaid at the beginning of such period (and assuming that such Indebtedness bears interest during any portion of the applicable measurement period prior to the relevant acquisition at the weighted average of the interest rates applicable to outstanding Loans incurred during such period).</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6.8. Fundamental Changes; Disposition of Assets; Acquisitions</w:t>
      </w:r>
      <w:r>
        <w:rPr>
          <w:rFonts w:ascii="Arial" w:cs="Arial" w:eastAsia="Arial" w:hAnsi="Arial"/>
          <w:sz w:val="19"/>
          <w:szCs w:val="19"/>
          <w:color w:val="auto"/>
        </w:rPr>
        <w:t>. No Credit Party shall, nor shall it permit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to, enter into any transaction of merger or consolidation, or liquidate, wind-up or dissolve itself (or suffer any liquidation or dissolution), or convey, sell, lease or license, exchange, transfer or otherwise dispose of, in one transaction or a series of transactions, all or any part of its business, assets or property of any kind whatsoever, whether real, personal or mixed and whether tangible or intangible, whether now owned or hereafter acquired, leased or licensed, or acquire by purchase or otherwise (other than purchases or other acquisitions of inventory, materials and equipment and capital expenditures in the ordinary course of business) the business, property or fixed assets of, or stock or other evidence of beneficial ownership of, any Person or any division or line of business or other business unit of any Person, except:</w:t>
      </w:r>
    </w:p>
    <w:p>
      <w:pPr>
        <w:spacing w:after="0" w:line="155" w:lineRule="exact"/>
        <w:rPr>
          <w:sz w:val="20"/>
          <w:szCs w:val="20"/>
          <w:color w:val="auto"/>
        </w:rPr>
      </w:pPr>
    </w:p>
    <w:p>
      <w:pPr>
        <w:jc w:val="both"/>
        <w:ind w:left="180" w:firstLine="1286"/>
        <w:spacing w:after="0" w:line="312" w:lineRule="auto"/>
        <w:tabs>
          <w:tab w:leader="none" w:pos="1770" w:val="left"/>
        </w:tabs>
        <w:numPr>
          <w:ilvl w:val="0"/>
          <w:numId w:val="410"/>
        </w:numPr>
        <w:rPr>
          <w:rFonts w:ascii="Arial" w:cs="Arial" w:eastAsia="Arial" w:hAnsi="Arial"/>
          <w:sz w:val="19"/>
          <w:szCs w:val="19"/>
          <w:color w:val="auto"/>
        </w:rPr>
      </w:pPr>
      <w:r>
        <w:rPr>
          <w:rFonts w:ascii="Arial" w:cs="Arial" w:eastAsia="Arial" w:hAnsi="Arial"/>
          <w:sz w:val="19"/>
          <w:szCs w:val="19"/>
          <w:color w:val="auto"/>
        </w:rPr>
        <w:t xml:space="preserve">any Subsidiary of Borrower may be merged with or into Borrower or any Guarantor, or be liquidated, wound up or dissolved, or all or any part of its business, property or assets may be conveyed, sold, leased, transferred or otherwise disposed of, in one transaction or a series of transactions, to Borrower or any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27" w:right="339" w:bottom="1440" w:gutter="0" w:footer="0" w:header="0"/>
        </w:sectPr>
      </w:pPr>
    </w:p>
    <w:bookmarkStart w:id="539" w:name="page540"/>
    <w:bookmarkEnd w:id="539"/>
    <w:p>
      <w:pPr>
        <w:ind w:left="180"/>
        <w:spacing w:after="0"/>
        <w:rPr>
          <w:sz w:val="20"/>
          <w:szCs w:val="20"/>
          <w:color w:val="auto"/>
        </w:rPr>
      </w:pPr>
      <w:r>
        <w:rPr>
          <w:rFonts w:ascii="Arial" w:cs="Arial" w:eastAsia="Arial" w:hAnsi="Arial"/>
          <w:sz w:val="22"/>
          <w:szCs w:val="22"/>
          <w:color w:val="auto"/>
        </w:rPr>
        <w:t>such a merger, Borrower or such Guarantor, as applicable, shall be the continuing or surviving Person;</w:t>
      </w:r>
    </w:p>
    <w:p>
      <w:pPr>
        <w:spacing w:after="0" w:line="220" w:lineRule="exact"/>
        <w:rPr>
          <w:sz w:val="20"/>
          <w:szCs w:val="20"/>
          <w:color w:val="auto"/>
        </w:rPr>
      </w:pPr>
    </w:p>
    <w:p>
      <w:pPr>
        <w:ind w:left="1780" w:hanging="314"/>
        <w:spacing w:after="0"/>
        <w:tabs>
          <w:tab w:leader="none" w:pos="1780" w:val="left"/>
        </w:tabs>
        <w:numPr>
          <w:ilvl w:val="0"/>
          <w:numId w:val="411"/>
        </w:numPr>
        <w:rPr>
          <w:rFonts w:ascii="Arial" w:cs="Arial" w:eastAsia="Arial" w:hAnsi="Arial"/>
          <w:sz w:val="22"/>
          <w:szCs w:val="22"/>
          <w:color w:val="auto"/>
        </w:rPr>
      </w:pPr>
      <w:r>
        <w:rPr>
          <w:rFonts w:ascii="Arial" w:cs="Arial" w:eastAsia="Arial" w:hAnsi="Arial"/>
          <w:sz w:val="22"/>
          <w:szCs w:val="22"/>
          <w:color w:val="auto"/>
        </w:rPr>
        <w:t>sales or other dispositions of assets that do not constitute Asset Sales;</w:t>
      </w:r>
    </w:p>
    <w:p>
      <w:pPr>
        <w:spacing w:after="0" w:line="219" w:lineRule="exact"/>
        <w:rPr>
          <w:rFonts w:ascii="Arial" w:cs="Arial" w:eastAsia="Arial" w:hAnsi="Arial"/>
          <w:sz w:val="22"/>
          <w:szCs w:val="22"/>
          <w:color w:val="auto"/>
        </w:rPr>
      </w:pPr>
    </w:p>
    <w:p>
      <w:pPr>
        <w:jc w:val="both"/>
        <w:ind w:left="180" w:firstLine="1286"/>
        <w:spacing w:after="0" w:line="289" w:lineRule="auto"/>
        <w:tabs>
          <w:tab w:leader="none" w:pos="1770" w:val="left"/>
        </w:tabs>
        <w:numPr>
          <w:ilvl w:val="0"/>
          <w:numId w:val="411"/>
        </w:numPr>
        <w:rPr>
          <w:rFonts w:ascii="Arial" w:cs="Arial" w:eastAsia="Arial" w:hAnsi="Arial"/>
          <w:sz w:val="19"/>
          <w:szCs w:val="19"/>
          <w:color w:val="auto"/>
        </w:rPr>
      </w:pPr>
      <w:r>
        <w:rPr>
          <w:rFonts w:ascii="Arial" w:cs="Arial" w:eastAsia="Arial" w:hAnsi="Arial"/>
          <w:sz w:val="19"/>
          <w:szCs w:val="19"/>
          <w:color w:val="auto"/>
        </w:rPr>
        <w:t xml:space="preserve">as long as no Default is continuing or would result therefrom, Asset Sales,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Asset Sale made pursuant to this Section 6.8(c), (1) the consideration received shall be in an amount at least equal to the fair market value thereof (determined in good faith by the board of directors of Borrower (or similar governing body)) and (2) no less than 75% thereof shall be paid in Cash or Cash Equivalents and (3) the Net Asset Sale Proceeds thereof shall be applied as required by Section 2.14(a);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Designated Non-Cash Consideration received in respect of such Asset Sale having an aggregate fair market value, taken together with all other Designated Non-Cash Consideration received pursuant to this Section 6.8(c) that is at any time outstanding, not in excess of $25,000,000 at the time of the receipt of such Designated Non Cash Consideration, with the fair market value of each item of Designated Non-Cash Consideration being measured at the time received and without giving effect to subsequent changes in value, shall be deemed to be cash or Cash Equivalents;</w:t>
      </w:r>
    </w:p>
    <w:p>
      <w:pPr>
        <w:spacing w:after="0" w:line="156" w:lineRule="exact"/>
        <w:rPr>
          <w:rFonts w:ascii="Arial" w:cs="Arial" w:eastAsia="Arial" w:hAnsi="Arial"/>
          <w:sz w:val="19"/>
          <w:szCs w:val="19"/>
          <w:color w:val="auto"/>
        </w:rPr>
      </w:pPr>
    </w:p>
    <w:p>
      <w:pPr>
        <w:ind w:left="1780" w:hanging="314"/>
        <w:spacing w:after="0"/>
        <w:tabs>
          <w:tab w:leader="none" w:pos="1780" w:val="left"/>
        </w:tabs>
        <w:numPr>
          <w:ilvl w:val="0"/>
          <w:numId w:val="411"/>
        </w:numPr>
        <w:rPr>
          <w:rFonts w:ascii="Arial" w:cs="Arial" w:eastAsia="Arial" w:hAnsi="Arial"/>
          <w:sz w:val="22"/>
          <w:szCs w:val="22"/>
          <w:color w:val="auto"/>
        </w:rPr>
      </w:pPr>
      <w:r>
        <w:rPr>
          <w:rFonts w:ascii="Arial" w:cs="Arial" w:eastAsia="Arial" w:hAnsi="Arial"/>
          <w:sz w:val="22"/>
          <w:szCs w:val="22"/>
          <w:color w:val="auto"/>
        </w:rPr>
        <w:t>disposals of obsolete, worn out or surplus equipment;</w:t>
      </w:r>
    </w:p>
    <w:p>
      <w:pPr>
        <w:spacing w:after="0" w:line="219" w:lineRule="exact"/>
        <w:rPr>
          <w:rFonts w:ascii="Arial" w:cs="Arial" w:eastAsia="Arial" w:hAnsi="Arial"/>
          <w:sz w:val="22"/>
          <w:szCs w:val="22"/>
          <w:color w:val="auto"/>
        </w:rPr>
      </w:pPr>
    </w:p>
    <w:p>
      <w:pPr>
        <w:jc w:val="both"/>
        <w:ind w:left="180" w:firstLine="1286"/>
        <w:spacing w:after="0" w:line="265" w:lineRule="auto"/>
        <w:tabs>
          <w:tab w:leader="none" w:pos="1770" w:val="left"/>
        </w:tabs>
        <w:numPr>
          <w:ilvl w:val="0"/>
          <w:numId w:val="411"/>
        </w:numPr>
        <w:rPr>
          <w:rFonts w:ascii="Arial" w:cs="Arial" w:eastAsia="Arial" w:hAnsi="Arial"/>
          <w:sz w:val="21"/>
          <w:szCs w:val="21"/>
          <w:color w:val="auto"/>
        </w:rPr>
      </w:pPr>
      <w:r>
        <w:rPr>
          <w:rFonts w:ascii="Arial" w:cs="Arial" w:eastAsia="Arial" w:hAnsi="Arial"/>
          <w:sz w:val="21"/>
          <w:szCs w:val="21"/>
          <w:color w:val="auto"/>
        </w:rPr>
        <w:t xml:space="preserve">Permitted Acquisitions,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consideration for Permitted Acquisitions of Equity Interests in any Person which does not become a Guarantor shall not exceed, collectively with any Investment permitted under the proviso to Section 6.6(d) in Subsidiaries other than Guarantors and any Investment permitted under Section 6.06(k), an aggregate amount during the term of this Agreement equal to the Non-Guarantor Basket; and</w:t>
      </w:r>
    </w:p>
    <w:p>
      <w:pPr>
        <w:spacing w:after="0" w:line="175" w:lineRule="exact"/>
        <w:rPr>
          <w:rFonts w:ascii="Arial" w:cs="Arial" w:eastAsia="Arial" w:hAnsi="Arial"/>
          <w:sz w:val="21"/>
          <w:szCs w:val="21"/>
          <w:color w:val="auto"/>
        </w:rPr>
      </w:pPr>
    </w:p>
    <w:p>
      <w:pPr>
        <w:ind w:left="1740" w:hanging="274"/>
        <w:spacing w:after="0"/>
        <w:tabs>
          <w:tab w:leader="none" w:pos="1740" w:val="left"/>
        </w:tabs>
        <w:numPr>
          <w:ilvl w:val="0"/>
          <w:numId w:val="411"/>
        </w:numPr>
        <w:rPr>
          <w:rFonts w:ascii="Arial" w:cs="Arial" w:eastAsia="Arial" w:hAnsi="Arial"/>
          <w:sz w:val="22"/>
          <w:szCs w:val="22"/>
          <w:color w:val="auto"/>
        </w:rPr>
      </w:pPr>
      <w:r>
        <w:rPr>
          <w:rFonts w:ascii="Arial" w:cs="Arial" w:eastAsia="Arial" w:hAnsi="Arial"/>
          <w:sz w:val="22"/>
          <w:szCs w:val="22"/>
          <w:color w:val="auto"/>
        </w:rPr>
        <w:t>Investments made in accordance with Section 6.6;</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6.9. [Reserved.]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6.10. [Reserved]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6.11. Transactions with Shareholders and Affiliates</w:t>
      </w:r>
      <w:r>
        <w:rPr>
          <w:rFonts w:ascii="Arial" w:cs="Arial" w:eastAsia="Arial" w:hAnsi="Arial"/>
          <w:sz w:val="19"/>
          <w:szCs w:val="19"/>
          <w:color w:val="auto"/>
        </w:rPr>
        <w:t>. No Credit Party shall, nor shall it permit any of its Subsidiaries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directly or indirectly, enter into or permit to exist any transaction (including the purchase, sale, lease or exchange of any property or the rendering of any service) with any Affiliate of the Borrower on terms that are materially less favorable to the Borrower or that Subsidiary, as the case may be, than those that might be obtained at the time from a Person who is not such a holder or Affiliate; </w:t>
      </w:r>
      <w:r>
        <w:rPr>
          <w:rFonts w:ascii="Arial" w:cs="Arial" w:eastAsia="Arial" w:hAnsi="Arial"/>
          <w:sz w:val="19"/>
          <w:szCs w:val="19"/>
          <w:u w:val="single" w:color="auto"/>
          <w:color w:val="auto"/>
        </w:rPr>
        <w:t>provided</w:t>
      </w:r>
      <w:r>
        <w:rPr>
          <w:rFonts w:ascii="Arial" w:cs="Arial" w:eastAsia="Arial" w:hAnsi="Arial"/>
          <w:sz w:val="19"/>
          <w:szCs w:val="19"/>
          <w:color w:val="auto"/>
        </w:rPr>
        <w:t>, the foregoing restriction shall not apply to (a) any transaction between Borrower and any Guarantor;</w:t>
      </w:r>
    </w:p>
    <w:p>
      <w:pPr>
        <w:jc w:val="both"/>
        <w:ind w:firstLine="8"/>
        <w:spacing w:after="0" w:line="262" w:lineRule="auto"/>
        <w:tabs>
          <w:tab w:leader="none" w:pos="312" w:val="left"/>
        </w:tabs>
        <w:numPr>
          <w:ilvl w:val="0"/>
          <w:numId w:val="412"/>
        </w:numPr>
        <w:rPr>
          <w:rFonts w:ascii="Arial" w:cs="Arial" w:eastAsia="Arial" w:hAnsi="Arial"/>
          <w:sz w:val="21"/>
          <w:szCs w:val="21"/>
          <w:color w:val="auto"/>
        </w:rPr>
      </w:pPr>
      <w:r>
        <w:rPr>
          <w:rFonts w:ascii="Arial" w:cs="Arial" w:eastAsia="Arial" w:hAnsi="Arial"/>
          <w:sz w:val="21"/>
          <w:szCs w:val="21"/>
          <w:color w:val="auto"/>
        </w:rPr>
        <w:t>reasonable and customary fees paid to members of the board of directors (or similar governing body) of the Borrower and its Subsidiaries; (c) compensation arrangements for officers and other employees of the Borrower and its Subsidiaries entered into in the ordinary course of business; and (d) transactions described in Schedule 6.11.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27" w:right="339" w:bottom="1440" w:gutter="0" w:footer="0" w:header="0"/>
        </w:sectPr>
      </w:pPr>
    </w:p>
    <w:bookmarkStart w:id="540" w:name="page541"/>
    <w:bookmarkEnd w:id="540"/>
    <w:p>
      <w:pPr>
        <w:jc w:val="both"/>
        <w:ind w:firstLine="648"/>
        <w:spacing w:after="0" w:line="315" w:lineRule="auto"/>
        <w:rPr>
          <w:sz w:val="20"/>
          <w:szCs w:val="20"/>
          <w:color w:val="auto"/>
        </w:rPr>
      </w:pPr>
      <w:r>
        <w:rPr>
          <w:rFonts w:ascii="Arial" w:cs="Arial" w:eastAsia="Arial" w:hAnsi="Arial"/>
          <w:sz w:val="19"/>
          <w:szCs w:val="19"/>
          <w:b w:val="1"/>
          <w:bCs w:val="1"/>
          <w:color w:val="auto"/>
        </w:rPr>
        <w:t>6.12. Conduct of Business</w:t>
      </w:r>
      <w:r>
        <w:rPr>
          <w:rFonts w:ascii="Arial" w:cs="Arial" w:eastAsia="Arial" w:hAnsi="Arial"/>
          <w:sz w:val="19"/>
          <w:szCs w:val="19"/>
          <w:color w:val="auto"/>
        </w:rPr>
        <w:t>. From and after the Closing Date, no Credit Party shall, nor shall it permit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to, engage in any business other than (i) the businesses engaged in by such Credit Party on the Closing Date and similar or related businesses and (ii) such other lines of business as may be consented to by Requisite Lenders.</w:t>
      </w:r>
    </w:p>
    <w:p>
      <w:pPr>
        <w:spacing w:after="0" w:line="1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6.13. Amendments or Waivers of Organizational Documents and Certain Related Agreements</w:t>
      </w:r>
      <w:r>
        <w:rPr>
          <w:rFonts w:ascii="Arial" w:cs="Arial" w:eastAsia="Arial" w:hAnsi="Arial"/>
          <w:sz w:val="21"/>
          <w:szCs w:val="21"/>
          <w:color w:val="auto"/>
        </w:rPr>
        <w:t>. No Credit Party shall</w:t>
      </w:r>
      <w:r>
        <w:rPr>
          <w:rFonts w:ascii="Arial" w:cs="Arial" w:eastAsia="Arial" w:hAnsi="Arial"/>
          <w:sz w:val="21"/>
          <w:szCs w:val="21"/>
          <w:b w:val="1"/>
          <w:bCs w:val="1"/>
          <w:color w:val="auto"/>
        </w:rPr>
        <w:t xml:space="preserve"> </w:t>
      </w:r>
      <w:r>
        <w:rPr>
          <w:rFonts w:ascii="Arial" w:cs="Arial" w:eastAsia="Arial" w:hAnsi="Arial"/>
          <w:sz w:val="21"/>
          <w:szCs w:val="21"/>
          <w:color w:val="auto"/>
        </w:rPr>
        <w:t>nor shall it permit any of its Subsidiaries to, agree to any material amendment, restatement, supplement or other modification to, or waiver of, any of its Organizational Documents or any of its material rights under any Related Agreement after the Closing Date , in each case that would be materially adverse to the Lenders.</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6.14. Amendments or Waivers of with respect to Certain Indebtedness</w:t>
      </w:r>
      <w:r>
        <w:rPr>
          <w:rFonts w:ascii="Arial" w:cs="Arial" w:eastAsia="Arial" w:hAnsi="Arial"/>
          <w:sz w:val="19"/>
          <w:szCs w:val="19"/>
          <w:color w:val="auto"/>
        </w:rPr>
        <w:t>. No Credit Party shall, nor shall it permit any</w:t>
      </w:r>
      <w:r>
        <w:rPr>
          <w:rFonts w:ascii="Arial" w:cs="Arial" w:eastAsia="Arial" w:hAnsi="Arial"/>
          <w:sz w:val="19"/>
          <w:szCs w:val="19"/>
          <w:b w:val="1"/>
          <w:bCs w:val="1"/>
          <w:color w:val="auto"/>
        </w:rPr>
        <w:t xml:space="preserve"> </w:t>
      </w:r>
      <w:r>
        <w:rPr>
          <w:rFonts w:ascii="Arial" w:cs="Arial" w:eastAsia="Arial" w:hAnsi="Arial"/>
          <w:sz w:val="19"/>
          <w:szCs w:val="19"/>
          <w:color w:val="auto"/>
        </w:rPr>
        <w:t>of its Subsidiaries to, amend or otherwise change the terms of any Subordinated Indebtedness, or make any payment consistent with an amendment thereof or change thereto, if the effect of such amendment or change is to increase the interest rate on such Subordinated Indebtedness, change (to earlier dates) any dates upon which payments of principal or interest are due thereon, change the redemption, prepayment or defeasance provisions thereof in a manner adverse to the Lenders, change the subordination provisions of such Subordinated Indebtedness (or of any guaranty thereof) in a manner adverse to the Lenders, or if the effect of such amendment or change, together with all other amendments or changes made, is to increase materially the obligations of the obligor thereunder or to confer any additional rights on the holders of such Subordinated Indebtedness (or a trustee or other representative on their behalf) which would be materially adverse to the Lenders.</w:t>
      </w:r>
    </w:p>
    <w:p>
      <w:pPr>
        <w:spacing w:after="0" w:line="1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6.15. Fiscal Year</w:t>
      </w:r>
      <w:r>
        <w:rPr>
          <w:rFonts w:ascii="Arial" w:cs="Arial" w:eastAsia="Arial" w:hAnsi="Arial"/>
          <w:sz w:val="22"/>
          <w:szCs w:val="22"/>
          <w:color w:val="auto"/>
        </w:rPr>
        <w:t>. No Credit Party shall, nor shall it permit any of its Subsidiaries to change its Fiscal Year-end from</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7. GUARANTY</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7.1. Guaranty of the Obligations</w:t>
      </w:r>
      <w:r>
        <w:rPr>
          <w:rFonts w:ascii="Arial" w:cs="Arial" w:eastAsia="Arial" w:hAnsi="Arial"/>
          <w:sz w:val="19"/>
          <w:szCs w:val="19"/>
          <w:color w:val="auto"/>
        </w:rPr>
        <w:t>. Subject to the provisions of Section 7.2, Guarantors jointly and severally hereby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irrevocably and unconditionally guaranty to Administrative Agent,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9"/>
          <w:szCs w:val="19"/>
          <w:b w:val="1"/>
          <w:bCs w:val="1"/>
          <w:color w:val="auto"/>
        </w:rPr>
        <w:t>“Guaranteed Obligations”</w:t>
      </w:r>
      <w:r>
        <w:rPr>
          <w:rFonts w:ascii="Arial" w:cs="Arial" w:eastAsia="Arial" w:hAnsi="Arial"/>
          <w:sz w:val="19"/>
          <w:szCs w:val="19"/>
          <w:color w:val="auto"/>
        </w:rPr>
        <w:t>).</w:t>
      </w:r>
    </w:p>
    <w:p>
      <w:pPr>
        <w:spacing w:after="0" w:line="1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7.2. Contribution by Guarantors</w:t>
      </w:r>
      <w:r>
        <w:rPr>
          <w:rFonts w:ascii="Arial" w:cs="Arial" w:eastAsia="Arial" w:hAnsi="Arial"/>
          <w:sz w:val="19"/>
          <w:szCs w:val="19"/>
          <w:color w:val="auto"/>
        </w:rPr>
        <w:t>. All Guarantors desire to allocate among themselves (collectively, the</w:t>
      </w:r>
      <w:r>
        <w:rPr>
          <w:rFonts w:ascii="Arial" w:cs="Arial" w:eastAsia="Arial" w:hAnsi="Arial"/>
          <w:sz w:val="19"/>
          <w:szCs w:val="19"/>
          <w:b w:val="1"/>
          <w:bCs w:val="1"/>
          <w:color w:val="auto"/>
        </w:rPr>
        <w:t xml:space="preserve"> “Contributing Guarantors”</w:t>
      </w:r>
      <w:r>
        <w:rPr>
          <w:rFonts w:ascii="Arial" w:cs="Arial" w:eastAsia="Arial" w:hAnsi="Arial"/>
          <w:sz w:val="19"/>
          <w:szCs w:val="19"/>
          <w:color w:val="auto"/>
        </w:rPr>
        <w:t>), in a fair and equitable manner, their obligations arising under this Guaranty. Accordingly, in the event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payment or distribution is made on any date by a Guarantor (a </w:t>
      </w:r>
      <w:r>
        <w:rPr>
          <w:rFonts w:ascii="Arial" w:cs="Arial" w:eastAsia="Arial" w:hAnsi="Arial"/>
          <w:sz w:val="19"/>
          <w:szCs w:val="19"/>
          <w:b w:val="1"/>
          <w:bCs w:val="1"/>
          <w:color w:val="auto"/>
        </w:rPr>
        <w:t>“Funding Guarantor”</w:t>
      </w:r>
      <w:r>
        <w:rPr>
          <w:rFonts w:ascii="Arial" w:cs="Arial" w:eastAsia="Arial" w:hAnsi="Arial"/>
          <w:sz w:val="19"/>
          <w:szCs w:val="19"/>
          <w:color w:val="auto"/>
        </w:rPr>
        <w:t xml:space="preserve">)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9"/>
          <w:szCs w:val="19"/>
          <w:b w:val="1"/>
          <w:bCs w:val="1"/>
          <w:color w:val="auto"/>
        </w:rPr>
        <w:t>“Fair Share”</w:t>
      </w:r>
      <w:r>
        <w:rPr>
          <w:rFonts w:ascii="Arial" w:cs="Arial" w:eastAsia="Arial" w:hAnsi="Arial"/>
          <w:sz w:val="19"/>
          <w:szCs w:val="19"/>
          <w:color w:val="auto"/>
        </w:rPr>
        <w:t xml:space="preserve"> means, with respect to a Contributing Guarantor as of any date of determination, an amount equal to (a) the ratio of (i) the Fair Share Contribution Amount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21" w:right="339" w:bottom="1440" w:gutter="0" w:footer="0" w:header="0"/>
        </w:sectPr>
      </w:pPr>
    </w:p>
    <w:bookmarkStart w:id="541" w:name="page542"/>
    <w:bookmarkEnd w:id="541"/>
    <w:p>
      <w:pPr>
        <w:jc w:val="both"/>
        <w:spacing w:after="0" w:line="285" w:lineRule="auto"/>
        <w:rPr>
          <w:sz w:val="20"/>
          <w:szCs w:val="20"/>
          <w:color w:val="auto"/>
        </w:rPr>
      </w:pPr>
      <w:r>
        <w:rPr>
          <w:rFonts w:ascii="Arial" w:cs="Arial" w:eastAsia="Arial" w:hAnsi="Arial"/>
          <w:sz w:val="19"/>
          <w:szCs w:val="19"/>
          <w:color w:val="auto"/>
        </w:rPr>
        <w:t xml:space="preserve">Contributing Guarantor to (ii) the aggregate of the Fair Share Contribution Amounts with respect to all Contributing Guarantors multiplied by (b) the aggregate amount paid or distributed on or before such date by all Funding Guarantors under this Guaranty in respect of the obligations Guaranteed. </w:t>
      </w:r>
      <w:r>
        <w:rPr>
          <w:rFonts w:ascii="Arial" w:cs="Arial" w:eastAsia="Arial" w:hAnsi="Arial"/>
          <w:sz w:val="19"/>
          <w:szCs w:val="19"/>
          <w:b w:val="1"/>
          <w:bCs w:val="1"/>
          <w:color w:val="auto"/>
        </w:rPr>
        <w:t>“Fair Share Contribution Amount”</w:t>
      </w:r>
      <w:r>
        <w:rPr>
          <w:rFonts w:ascii="Arial" w:cs="Arial" w:eastAsia="Arial" w:hAnsi="Arial"/>
          <w:sz w:val="19"/>
          <w:szCs w:val="19"/>
          <w:color w:val="auto"/>
        </w:rPr>
        <w:t xml:space="preserve"> means, with respect to a Contributing Guarantor as of any date of determination, the maximum aggregate amount of the obligations of such Contributing Guarantor under this Guaranty that would not render its obligations hereunder or thereunder subject to avoidance as a fraudulent transfer or conveyance under Section 548 of Title 11 of the United States Code or any comparable applicable provisions of state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solely for purposes of calculating the </w:t>
      </w:r>
      <w:r>
        <w:rPr>
          <w:rFonts w:ascii="Arial" w:cs="Arial" w:eastAsia="Arial" w:hAnsi="Arial"/>
          <w:sz w:val="19"/>
          <w:szCs w:val="19"/>
          <w:b w:val="1"/>
          <w:bCs w:val="1"/>
          <w:color w:val="auto"/>
        </w:rPr>
        <w:t>“Fair Share Contribution Amount”</w:t>
      </w:r>
      <w:r>
        <w:rPr>
          <w:rFonts w:ascii="Arial" w:cs="Arial" w:eastAsia="Arial" w:hAnsi="Arial"/>
          <w:sz w:val="19"/>
          <w:szCs w:val="19"/>
          <w:color w:val="auto"/>
        </w:rPr>
        <w:t xml:space="preserve"> with respect to any Contributing Guarantor for purposes of this Section 7.2,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Arial" w:cs="Arial" w:eastAsia="Arial" w:hAnsi="Arial"/>
          <w:sz w:val="19"/>
          <w:szCs w:val="19"/>
          <w:b w:val="1"/>
          <w:bCs w:val="1"/>
          <w:color w:val="auto"/>
        </w:rPr>
        <w:t>“Aggregate Payments”</w:t>
      </w:r>
      <w:r>
        <w:rPr>
          <w:rFonts w:ascii="Arial" w:cs="Arial" w:eastAsia="Arial" w:hAnsi="Arial"/>
          <w:sz w:val="19"/>
          <w:szCs w:val="19"/>
          <w:color w:val="auto"/>
        </w:rPr>
        <w:t xml:space="preserve"> means, with respect to a Contributing Guarantor as of any date of determination, an amount equal to (1) the aggregate amount of all payments and distributions made on or before such date by such Contributing Guarantor in respect of this Guaranty (including in respect of this Section 7.2),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(2) the aggregate amount of all payments received on or before such date by such Contributing Guarantor from the other Contributing Guarantors as contributions under this Section 7.2. The amounts payable as contributions hereunder shall be determined as of the date on which the related payment or distribution is made by the applicable Funding Guarantor. The allocation among Contributing Guarantors of their obligations as set forth in this Section 7.2 shall not be construed in any way to limit the liability of any Contributing Guarantor hereunder. Each Guarantor is a third party beneficiary to the contribution agreement set forth in this Section 7.2.</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7.3. Payment by Guarantors</w:t>
      </w:r>
      <w:r>
        <w:rPr>
          <w:rFonts w:ascii="Arial" w:cs="Arial" w:eastAsia="Arial" w:hAnsi="Arial"/>
          <w:sz w:val="21"/>
          <w:szCs w:val="21"/>
          <w:color w:val="auto"/>
        </w:rPr>
        <w:t>. Subject to Section 7.2, Guarantors hereby jointly and severally agree, in furtherance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foregoing and not in limitation of any other right which any Beneficiary may have at law or in equity against any Guarantor by virtue hereof, that upon the failure of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which, but for Borrower’s becoming the subject of a case under the Bankruptcy Code, would have accrued on such Guaranteed Obligations, whether or not a claim is allowed against Borrower for such interest in the related bankruptcy case) and all other Guaranteed Obligations then owed to Beneficiaries as aforesaid.</w:t>
      </w:r>
    </w:p>
    <w:p>
      <w:pPr>
        <w:spacing w:after="0" w:line="1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7.4. Liability of Guarantors Absolute</w:t>
      </w:r>
      <w:r>
        <w:rPr>
          <w:rFonts w:ascii="Arial" w:cs="Arial" w:eastAsia="Arial" w:hAnsi="Arial"/>
          <w:sz w:val="22"/>
          <w:szCs w:val="22"/>
          <w:color w:val="auto"/>
        </w:rPr>
        <w:t>. Each Guarantor agrees that its obligations hereunder are irrevocable, absolute,</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and unconditional and shall not be affected by any circumstance which constitutes a legal or equitable discharge of a guarantor or surety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7" w:right="339" w:bottom="1440" w:gutter="0" w:footer="0" w:header="0"/>
        </w:sectPr>
      </w:pPr>
    </w:p>
    <w:bookmarkStart w:id="542" w:name="page543"/>
    <w:bookmarkEnd w:id="542"/>
    <w:p>
      <w:pPr>
        <w:spacing w:after="0" w:line="263" w:lineRule="auto"/>
        <w:rPr>
          <w:sz w:val="20"/>
          <w:szCs w:val="20"/>
          <w:color w:val="auto"/>
        </w:rPr>
      </w:pPr>
      <w:r>
        <w:rPr>
          <w:rFonts w:ascii="Arial" w:cs="Arial" w:eastAsia="Arial" w:hAnsi="Arial"/>
          <w:sz w:val="22"/>
          <w:szCs w:val="22"/>
          <w:color w:val="auto"/>
        </w:rPr>
        <w:t>than payment in full of the Guaranteed Obligations. In furtherance of the foregoing and without limiting the generality thereof, each Guarantor agrees as follows:</w:t>
      </w:r>
    </w:p>
    <w:p>
      <w:pPr>
        <w:spacing w:after="0" w:line="175" w:lineRule="exact"/>
        <w:rPr>
          <w:sz w:val="20"/>
          <w:szCs w:val="20"/>
          <w:color w:val="auto"/>
        </w:rPr>
      </w:pPr>
    </w:p>
    <w:p>
      <w:pPr>
        <w:ind w:left="180" w:right="20" w:firstLine="1286"/>
        <w:spacing w:after="0" w:line="263" w:lineRule="auto"/>
        <w:tabs>
          <w:tab w:leader="none" w:pos="1797" w:val="left"/>
        </w:tabs>
        <w:numPr>
          <w:ilvl w:val="1"/>
          <w:numId w:val="413"/>
        </w:numPr>
        <w:rPr>
          <w:rFonts w:ascii="Arial" w:cs="Arial" w:eastAsia="Arial" w:hAnsi="Arial"/>
          <w:sz w:val="22"/>
          <w:szCs w:val="22"/>
          <w:color w:val="auto"/>
        </w:rPr>
      </w:pPr>
      <w:r>
        <w:rPr>
          <w:rFonts w:ascii="Arial" w:cs="Arial" w:eastAsia="Arial" w:hAnsi="Arial"/>
          <w:sz w:val="22"/>
          <w:szCs w:val="22"/>
          <w:color w:val="auto"/>
        </w:rPr>
        <w:t>this Guaranty is a guaranty of payment when due and not of collectability. This Guaranty is a primary obligation of each Guarantor and not merely a contract of surety;</w:t>
      </w:r>
    </w:p>
    <w:p>
      <w:pPr>
        <w:spacing w:after="0" w:line="174" w:lineRule="exact"/>
        <w:rPr>
          <w:rFonts w:ascii="Arial" w:cs="Arial" w:eastAsia="Arial" w:hAnsi="Arial"/>
          <w:sz w:val="22"/>
          <w:szCs w:val="22"/>
          <w:color w:val="auto"/>
        </w:rPr>
      </w:pPr>
    </w:p>
    <w:p>
      <w:pPr>
        <w:ind w:left="180" w:firstLine="1286"/>
        <w:spacing w:after="0" w:line="343" w:lineRule="auto"/>
        <w:tabs>
          <w:tab w:leader="none" w:pos="1782" w:val="left"/>
        </w:tabs>
        <w:numPr>
          <w:ilvl w:val="1"/>
          <w:numId w:val="413"/>
        </w:numPr>
        <w:rPr>
          <w:rFonts w:ascii="Arial" w:cs="Arial" w:eastAsia="Arial" w:hAnsi="Arial"/>
          <w:sz w:val="19"/>
          <w:szCs w:val="19"/>
          <w:color w:val="auto"/>
        </w:rPr>
      </w:pPr>
      <w:r>
        <w:rPr>
          <w:rFonts w:ascii="Arial" w:cs="Arial" w:eastAsia="Arial" w:hAnsi="Arial"/>
          <w:sz w:val="19"/>
          <w:szCs w:val="19"/>
          <w:color w:val="auto"/>
        </w:rPr>
        <w:t>Administrative Agent may enforce this Guaranty upon the occurrence of an Event of Default notwithstanding the existence of any dispute between Borrower and any Beneficiary with respect to the existence of such Event of Default;</w:t>
      </w:r>
    </w:p>
    <w:p>
      <w:pPr>
        <w:spacing w:after="0" w:line="104" w:lineRule="exact"/>
        <w:rPr>
          <w:rFonts w:ascii="Arial" w:cs="Arial" w:eastAsia="Arial" w:hAnsi="Arial"/>
          <w:sz w:val="19"/>
          <w:szCs w:val="19"/>
          <w:color w:val="auto"/>
        </w:rPr>
      </w:pPr>
    </w:p>
    <w:p>
      <w:pPr>
        <w:jc w:val="both"/>
        <w:ind w:left="180" w:firstLine="1286"/>
        <w:spacing w:after="0" w:line="265" w:lineRule="auto"/>
        <w:tabs>
          <w:tab w:leader="none" w:pos="1824" w:val="left"/>
        </w:tabs>
        <w:numPr>
          <w:ilvl w:val="1"/>
          <w:numId w:val="413"/>
        </w:numPr>
        <w:rPr>
          <w:rFonts w:ascii="Arial" w:cs="Arial" w:eastAsia="Arial" w:hAnsi="Arial"/>
          <w:sz w:val="21"/>
          <w:szCs w:val="21"/>
          <w:color w:val="auto"/>
        </w:rPr>
      </w:pPr>
      <w:r>
        <w:rPr>
          <w:rFonts w:ascii="Arial" w:cs="Arial" w:eastAsia="Arial" w:hAnsi="Arial"/>
          <w:sz w:val="21"/>
          <w:szCs w:val="21"/>
          <w:color w:val="auto"/>
        </w:rPr>
        <w:t>the obligations of each Guarantor hereunder are independent of the obligations of Borrower and the obligations of any other guarantor (including any other Guarantor) of the obligations of Borrower, and a separate action or actions may be brought and prosecuted against such Guarantor whether or not any action is brought against Borrower or any of such other guarantors and whether or not Borrower is joined in any such action or actions;</w:t>
      </w:r>
    </w:p>
    <w:p>
      <w:pPr>
        <w:spacing w:after="0" w:line="175" w:lineRule="exact"/>
        <w:rPr>
          <w:rFonts w:ascii="Arial" w:cs="Arial" w:eastAsia="Arial" w:hAnsi="Arial"/>
          <w:sz w:val="21"/>
          <w:szCs w:val="21"/>
          <w:color w:val="auto"/>
        </w:rPr>
      </w:pPr>
    </w:p>
    <w:p>
      <w:pPr>
        <w:jc w:val="both"/>
        <w:ind w:left="180" w:firstLine="1286"/>
        <w:spacing w:after="0" w:line="260" w:lineRule="auto"/>
        <w:tabs>
          <w:tab w:leader="none" w:pos="1795" w:val="left"/>
        </w:tabs>
        <w:numPr>
          <w:ilvl w:val="1"/>
          <w:numId w:val="413"/>
        </w:numPr>
        <w:rPr>
          <w:rFonts w:ascii="Arial" w:cs="Arial" w:eastAsia="Arial" w:hAnsi="Arial"/>
          <w:sz w:val="21"/>
          <w:szCs w:val="21"/>
          <w:color w:val="auto"/>
        </w:rPr>
      </w:pPr>
      <w:r>
        <w:rPr>
          <w:rFonts w:ascii="Arial" w:cs="Arial" w:eastAsia="Arial" w:hAnsi="Arial"/>
          <w:sz w:val="21"/>
          <w:szCs w:val="21"/>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0" w:lineRule="exact"/>
        <w:rPr>
          <w:rFonts w:ascii="Arial" w:cs="Arial" w:eastAsia="Arial" w:hAnsi="Arial"/>
          <w:sz w:val="21"/>
          <w:szCs w:val="21"/>
          <w:color w:val="auto"/>
        </w:rPr>
      </w:pPr>
    </w:p>
    <w:p>
      <w:pPr>
        <w:jc w:val="both"/>
        <w:ind w:left="180" w:firstLine="1286"/>
        <w:spacing w:after="0" w:line="283" w:lineRule="auto"/>
        <w:tabs>
          <w:tab w:leader="none" w:pos="1770" w:val="left"/>
        </w:tabs>
        <w:numPr>
          <w:ilvl w:val="1"/>
          <w:numId w:val="413"/>
        </w:numPr>
        <w:rPr>
          <w:rFonts w:ascii="Arial" w:cs="Arial" w:eastAsia="Arial" w:hAnsi="Arial"/>
          <w:sz w:val="19"/>
          <w:szCs w:val="19"/>
          <w:color w:val="auto"/>
        </w:rPr>
      </w:pPr>
      <w:r>
        <w:rPr>
          <w:rFonts w:ascii="Arial" w:cs="Arial" w:eastAsia="Arial" w:hAnsi="Arial"/>
          <w:sz w:val="19"/>
          <w:szCs w:val="19"/>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6" w:lineRule="exact"/>
        <w:rPr>
          <w:rFonts w:ascii="Arial" w:cs="Arial" w:eastAsia="Arial" w:hAnsi="Arial"/>
          <w:sz w:val="19"/>
          <w:szCs w:val="19"/>
          <w:color w:val="auto"/>
        </w:rPr>
      </w:pPr>
    </w:p>
    <w:p>
      <w:pPr>
        <w:jc w:val="both"/>
        <w:ind w:left="180" w:hanging="10"/>
        <w:spacing w:after="0" w:line="295" w:lineRule="auto"/>
        <w:tabs>
          <w:tab w:leader="none" w:pos="515" w:val="left"/>
        </w:tabs>
        <w:numPr>
          <w:ilvl w:val="0"/>
          <w:numId w:val="414"/>
        </w:numPr>
        <w:rPr>
          <w:rFonts w:ascii="Arial" w:cs="Arial" w:eastAsia="Arial" w:hAnsi="Arial"/>
          <w:sz w:val="19"/>
          <w:szCs w:val="19"/>
          <w:color w:val="auto"/>
        </w:rPr>
      </w:pPr>
      <w:r>
        <w:rPr>
          <w:rFonts w:ascii="Arial" w:cs="Arial" w:eastAsia="Arial" w:hAnsi="Arial"/>
          <w:sz w:val="19"/>
          <w:szCs w:val="19"/>
          <w:color w:val="auto"/>
        </w:rPr>
        <w:t>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7" w:right="339" w:bottom="1440" w:gutter="0" w:footer="0" w:header="0"/>
        </w:sectPr>
      </w:pPr>
    </w:p>
    <w:bookmarkStart w:id="543" w:name="page544"/>
    <w:bookmarkEnd w:id="543"/>
    <w:p>
      <w:pPr>
        <w:jc w:val="both"/>
        <w:ind w:left="180"/>
        <w:spacing w:after="0" w:line="250" w:lineRule="auto"/>
        <w:rPr>
          <w:sz w:val="20"/>
          <w:szCs w:val="20"/>
          <w:color w:val="auto"/>
        </w:rPr>
      </w:pPr>
      <w:r>
        <w:rPr>
          <w:rFonts w:ascii="Arial" w:cs="Arial" w:eastAsia="Arial" w:hAnsi="Arial"/>
          <w:sz w:val="22"/>
          <w:szCs w:val="22"/>
          <w:color w:val="auto"/>
        </w:rPr>
        <w:t>nonjudicial sales, whether or not every aspect of any such sale is commercially reasonable, and even though such action operates to impair or extinguish any right of reimbursement or subrogation or other right or remedy of any Guarantor against any other Credit Party or any security for the Guaranteed Obligations; and (vi) exercise any other rights available to it under the Credit Documents; and</w:t>
      </w:r>
    </w:p>
    <w:p>
      <w:pPr>
        <w:spacing w:after="0" w:line="188" w:lineRule="exact"/>
        <w:rPr>
          <w:sz w:val="20"/>
          <w:szCs w:val="20"/>
          <w:color w:val="auto"/>
        </w:rPr>
      </w:pPr>
    </w:p>
    <w:p>
      <w:pPr>
        <w:jc w:val="both"/>
        <w:ind w:left="180" w:firstLine="1286"/>
        <w:spacing w:after="0" w:line="282" w:lineRule="auto"/>
        <w:tabs>
          <w:tab w:leader="none" w:pos="1759" w:val="left"/>
        </w:tabs>
        <w:numPr>
          <w:ilvl w:val="1"/>
          <w:numId w:val="415"/>
        </w:numPr>
        <w:rPr>
          <w:rFonts w:ascii="Arial" w:cs="Arial" w:eastAsia="Arial" w:hAnsi="Arial"/>
          <w:sz w:val="19"/>
          <w:szCs w:val="19"/>
          <w:color w:val="auto"/>
        </w:rPr>
      </w:pPr>
      <w:r>
        <w:rPr>
          <w:rFonts w:ascii="Arial" w:cs="Arial" w:eastAsia="Arial" w:hAnsi="Arial"/>
          <w:sz w:val="19"/>
          <w:szCs w:val="19"/>
          <w:color w:val="auto"/>
        </w:rPr>
        <w:t>this Guaranty and the obligations of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Credit Documents or any agreement or instrument executed pursuant thereto, or of any other guaranty or security for the Guaranteed Obligations, in each case whether or not in accordance with the terms hereof or such Credit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Credit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the Borrower or any of its Subsidiaries and to any corresponding restructuring of the Guaranteed Obligations; (vi) any failure to perfect or continue perfection of a security interest in any collateral which secures any of the Guaranteed Obligations; (vii) any defenses, set-offs or counterclaims which Borrower may allege or assert against any Beneficiary in respect of the Guaranteed Obligations, including failure of consideration, breach of warranty, payment, statute of frauds, statute of limitations, accord and satisfaction and usury; and</w:t>
      </w:r>
    </w:p>
    <w:p>
      <w:pPr>
        <w:spacing w:after="0" w:line="13" w:lineRule="exact"/>
        <w:rPr>
          <w:rFonts w:ascii="Arial" w:cs="Arial" w:eastAsia="Arial" w:hAnsi="Arial"/>
          <w:sz w:val="19"/>
          <w:szCs w:val="19"/>
          <w:color w:val="auto"/>
        </w:rPr>
      </w:pPr>
    </w:p>
    <w:p>
      <w:pPr>
        <w:ind w:left="180" w:hanging="10"/>
        <w:spacing w:after="0" w:line="246" w:lineRule="auto"/>
        <w:tabs>
          <w:tab w:leader="none" w:pos="685" w:val="left"/>
        </w:tabs>
        <w:numPr>
          <w:ilvl w:val="0"/>
          <w:numId w:val="416"/>
        </w:numPr>
        <w:rPr>
          <w:rFonts w:ascii="Arial" w:cs="Arial" w:eastAsia="Arial" w:hAnsi="Arial"/>
          <w:sz w:val="22"/>
          <w:szCs w:val="22"/>
          <w:color w:val="auto"/>
        </w:rPr>
      </w:pPr>
      <w:r>
        <w:rPr>
          <w:rFonts w:ascii="Arial" w:cs="Arial" w:eastAsia="Arial" w:hAnsi="Arial"/>
          <w:sz w:val="22"/>
          <w:szCs w:val="22"/>
          <w:color w:val="auto"/>
        </w:rPr>
        <w:t>any other act or thing or omission, or delay to do any other act or thing, which may or might in any manner or to any extent vary the risk of any Guarantor as an obligor in respect of the Guaranteed Obligations.</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7.5. Waivers by Guarantors</w:t>
      </w:r>
      <w:r>
        <w:rPr>
          <w:rFonts w:ascii="Arial" w:cs="Arial" w:eastAsia="Arial" w:hAnsi="Arial"/>
          <w:sz w:val="22"/>
          <w:szCs w:val="22"/>
          <w:color w:val="auto"/>
        </w:rPr>
        <w:t>. Each Guarantor hereby waives, for the benefit of Beneficiaries: (a) any right to require any</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Beneficiary, as a condition of payment or performance by such Guarantor, to (i) proceed against Borrower, any other guarantor (including any other Guarantor) of the Guaranteed Obligations or any other Person, (ii) proceed against or exhaust any security held from Borrower, any such other guarantor or any other Person, (iii) proceed against or have resort to any balance of any Deposit Account or credit on the books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27" w:right="339" w:bottom="1440" w:gutter="0" w:footer="0" w:header="0"/>
        </w:sectPr>
      </w:pPr>
    </w:p>
    <w:bookmarkStart w:id="544" w:name="page545"/>
    <w:bookmarkEnd w:id="544"/>
    <w:p>
      <w:pPr>
        <w:jc w:val="both"/>
        <w:spacing w:after="0" w:line="285" w:lineRule="auto"/>
        <w:rPr>
          <w:sz w:val="20"/>
          <w:szCs w:val="20"/>
          <w:color w:val="auto"/>
        </w:rPr>
      </w:pPr>
      <w:r>
        <w:rPr>
          <w:rFonts w:ascii="Arial" w:cs="Arial" w:eastAsia="Arial" w:hAnsi="Arial"/>
          <w:sz w:val="19"/>
          <w:szCs w:val="19"/>
          <w:color w:val="auto"/>
        </w:rPr>
        <w:t>Beneficiary in favor of any Credit Party or any other Person, or (iv) pursue any other remedy in the power of any Beneficiary whatsoever; (b) any defense arising by reason of the incapacity, lack of authority or any disability or other defense of Borrower or any other Guarantor including any defense based on or arising out of the lack of validity or the unenforceability of the Guaranteed Obligations or any agreement or instrument relating thereto or by reason of the cessation of the liability of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notices of any renewal, extension or modification of the Guaranteed Obligations or any agreement related thereto, notices of any extension of credit to Borrower and notices of any of the matters referred to in Section 7.4 and any right to consent to any thereof; and (g) any defenses or benefits that may be derived from or afforded by law which limit the liability of or exonerate guarantors or sureties, or which may conflict with the terms hereof.</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7.6. Guarantors’ Rights of Subrogation, Contribution, Etc. </w:t>
      </w:r>
      <w:r>
        <w:rPr>
          <w:rFonts w:ascii="Arial" w:cs="Arial" w:eastAsia="Arial" w:hAnsi="Arial"/>
          <w:sz w:val="19"/>
          <w:szCs w:val="19"/>
          <w:color w:val="auto"/>
        </w:rPr>
        <w:t>Until the Guaranteed Obligations shall have been</w:t>
      </w:r>
      <w:r>
        <w:rPr>
          <w:rFonts w:ascii="Arial" w:cs="Arial" w:eastAsia="Arial" w:hAnsi="Arial"/>
          <w:sz w:val="19"/>
          <w:szCs w:val="19"/>
          <w:b w:val="1"/>
          <w:bCs w:val="1"/>
          <w:color w:val="auto"/>
        </w:rPr>
        <w:t xml:space="preserve"> </w:t>
      </w:r>
      <w:r>
        <w:rPr>
          <w:rFonts w:ascii="Arial" w:cs="Arial" w:eastAsia="Arial" w:hAnsi="Arial"/>
          <w:sz w:val="19"/>
          <w:szCs w:val="19"/>
          <w:color w:val="auto"/>
        </w:rPr>
        <w:t>indefeasibly paid in full, each Guarantor hereby waives any claim, right or remedy, direct or indirect, that such Guarantor now has or may hereafter have against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Borrower with respect to the Guaranteed Obligations,</w:t>
      </w:r>
    </w:p>
    <w:p>
      <w:pPr>
        <w:spacing w:after="0" w:line="1" w:lineRule="exact"/>
        <w:rPr>
          <w:sz w:val="20"/>
          <w:szCs w:val="20"/>
          <w:color w:val="auto"/>
        </w:rPr>
      </w:pPr>
    </w:p>
    <w:p>
      <w:pPr>
        <w:jc w:val="both"/>
        <w:ind w:firstLine="8"/>
        <w:spacing w:after="0" w:line="286" w:lineRule="auto"/>
        <w:tabs>
          <w:tab w:leader="none" w:pos="333" w:val="left"/>
        </w:tabs>
        <w:numPr>
          <w:ilvl w:val="0"/>
          <w:numId w:val="417"/>
        </w:numPr>
        <w:rPr>
          <w:rFonts w:ascii="Arial" w:cs="Arial" w:eastAsia="Arial" w:hAnsi="Arial"/>
          <w:sz w:val="19"/>
          <w:szCs w:val="19"/>
          <w:color w:val="auto"/>
        </w:rPr>
      </w:pPr>
      <w:r>
        <w:rPr>
          <w:rFonts w:ascii="Arial" w:cs="Arial" w:eastAsia="Arial" w:hAnsi="Arial"/>
          <w:sz w:val="19"/>
          <w:szCs w:val="19"/>
          <w:color w:val="auto"/>
        </w:rPr>
        <w:t>any right to enforce, or to participate in, any claim, right or remedy that any Beneficiary now has or may hereafter have against Borrower, and (c) any benefit of, and any right to participate in, any collateral or security now or hereafter held by any Beneficiary. In addition, until the Guaranteed Obligations shall have been indefeasibly paid in full, each Guarantor shall withhold exercise of any right of contribution such Guarantor may have against any other guarantor (including any other Guarantor) of the Guaranteed Obligations, including any such right of contribution as contemplated by Section 7.2.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Borrower or against any collateral or security, and any rights of contribution such Guarantor may have against any such other guarantor, shall be junior and subordinate to any rights any Beneficiary may have against Borrower, to all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7" w:right="339" w:bottom="1440" w:gutter="0" w:footer="0" w:header="0"/>
        </w:sectPr>
      </w:pPr>
    </w:p>
    <w:bookmarkStart w:id="545" w:name="page546"/>
    <w:bookmarkEnd w:id="545"/>
    <w:p>
      <w:pPr>
        <w:jc w:val="both"/>
        <w:spacing w:after="0" w:line="261" w:lineRule="auto"/>
        <w:rPr>
          <w:sz w:val="20"/>
          <w:szCs w:val="20"/>
          <w:color w:val="auto"/>
        </w:rPr>
      </w:pPr>
      <w:r>
        <w:rPr>
          <w:rFonts w:ascii="Arial" w:cs="Arial" w:eastAsia="Arial" w:hAnsi="Arial"/>
          <w:sz w:val="21"/>
          <w:szCs w:val="21"/>
          <w:color w:val="auto"/>
        </w:rPr>
        <w:t>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7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7.7. Subordination of Other Obligations</w:t>
      </w:r>
      <w:r>
        <w:rPr>
          <w:rFonts w:ascii="Arial" w:cs="Arial" w:eastAsia="Arial" w:hAnsi="Arial"/>
          <w:sz w:val="19"/>
          <w:szCs w:val="19"/>
          <w:color w:val="auto"/>
        </w:rPr>
        <w:t>. Any Indebtedness of Borrower or any Guarantor now or hereafter held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Guarantor (the </w:t>
      </w:r>
      <w:r>
        <w:rPr>
          <w:rFonts w:ascii="Arial" w:cs="Arial" w:eastAsia="Arial" w:hAnsi="Arial"/>
          <w:sz w:val="19"/>
          <w:szCs w:val="19"/>
          <w:b w:val="1"/>
          <w:bCs w:val="1"/>
          <w:color w:val="auto"/>
        </w:rPr>
        <w:t>“Obligee Guarantor”</w:t>
      </w:r>
      <w:r>
        <w:rPr>
          <w:rFonts w:ascii="Arial" w:cs="Arial" w:eastAsia="Arial" w:hAnsi="Arial"/>
          <w:sz w:val="19"/>
          <w:szCs w:val="19"/>
          <w:color w:val="auto"/>
        </w:rPr>
        <w:t>) is hereby subordinated in right of payment to the Guaranteed Obligations, and any such Indebtedness collected or received by the Obligee Guarantor after an Event of Default has occurred and is continuing shall be held in trust for Administrative Agent on behalf of Beneficiaries and shall forthwith be paid over to Administrative Agent for the benefit of Beneficiaries to be credited and applied against the Guaranteed Obligations but without affecting, impairing or limiting in any manner the liability of the Obligee Guarantor under any other provision hereof.</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7.8. Continuing Guaranty</w:t>
      </w:r>
      <w:r>
        <w:rPr>
          <w:rFonts w:ascii="Arial" w:cs="Arial" w:eastAsia="Arial" w:hAnsi="Arial"/>
          <w:sz w:val="22"/>
          <w:szCs w:val="22"/>
          <w:color w:val="auto"/>
        </w:rPr>
        <w:t>. This Guaranty is a continuing guaranty and shall remain in effect until all of the Guaranteed</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shall have been paid in full. Each Guarantor hereby irrevocably waives any right to revoke this Guaranty as to future transactions giving rise to any Guaranteed Obligations.</w:t>
      </w:r>
    </w:p>
    <w:p>
      <w:pPr>
        <w:spacing w:after="0" w:line="176"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7.9. Authority of Guarantors or Borrower</w:t>
      </w:r>
      <w:r>
        <w:rPr>
          <w:rFonts w:ascii="Arial" w:cs="Arial" w:eastAsia="Arial" w:hAnsi="Arial"/>
          <w:sz w:val="19"/>
          <w:szCs w:val="19"/>
          <w:color w:val="auto"/>
        </w:rPr>
        <w:t>. It is not necessary for any Beneficiary to inquire into the capacity or powers</w:t>
      </w:r>
      <w:r>
        <w:rPr>
          <w:rFonts w:ascii="Arial" w:cs="Arial" w:eastAsia="Arial" w:hAnsi="Arial"/>
          <w:sz w:val="19"/>
          <w:szCs w:val="19"/>
          <w:b w:val="1"/>
          <w:bCs w:val="1"/>
          <w:color w:val="auto"/>
        </w:rPr>
        <w:t xml:space="preserve"> </w:t>
      </w:r>
      <w:r>
        <w:rPr>
          <w:rFonts w:ascii="Arial" w:cs="Arial" w:eastAsia="Arial" w:hAnsi="Arial"/>
          <w:sz w:val="19"/>
          <w:szCs w:val="19"/>
          <w:color w:val="auto"/>
        </w:rPr>
        <w:t>of any Guarantor or Borrower or the officers, directors or any agents acting or purporting to act on behalf of any of them.</w:t>
      </w:r>
    </w:p>
    <w:p>
      <w:pPr>
        <w:spacing w:after="0" w:line="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7.10. Financial Condition of Borrower</w:t>
      </w:r>
      <w:r>
        <w:rPr>
          <w:rFonts w:ascii="Arial" w:cs="Arial" w:eastAsia="Arial" w:hAnsi="Arial"/>
          <w:sz w:val="19"/>
          <w:szCs w:val="19"/>
          <w:color w:val="auto"/>
        </w:rPr>
        <w:t>. Any Credit Extension may be made to Borrower or continued from time to time</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notice to or authorization from any Guarantor regardless of the financial or other condition of Borrower at the time of any such grant or continuation. No Beneficiary shall have any obligation to disclose or discuss with any Guarantor its assessment, or any Guarantor’s assessment, of the financial condition of Borrower. Each Guarantor has adequate means to obtain information from Borrower on a continuing basis concerning the financial condition of Borrower and its ability to perform its obligations under the Credit Documents, and each Guarantor assumes the responsibility for being and keeping informed of the financial condition of Borrower and of all circumstances bearing upon the risk of nonpayment of the Guaranteed Obligations. Each Guarantor hereby waives and relinquishes any duty on the part of any Beneficiary to disclose any matter, fact or thing relating to the business, operations or conditions of Borrower now known or hereafter known by any Beneficiary.</w:t>
      </w:r>
    </w:p>
    <w:p>
      <w:pPr>
        <w:spacing w:after="0" w:line="1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7.11. Bankruptcy, Etc. </w:t>
      </w:r>
      <w:r>
        <w:rPr>
          <w:rFonts w:ascii="Arial" w:cs="Arial" w:eastAsia="Arial" w:hAnsi="Arial"/>
          <w:sz w:val="22"/>
          <w:szCs w:val="22"/>
          <w:color w:val="auto"/>
        </w:rPr>
        <w:t>(a) So long as any Guaranteed Obligations remain outstanding, no Guarantor shall, without the</w:t>
      </w:r>
      <w:r>
        <w:rPr>
          <w:rFonts w:ascii="Arial" w:cs="Arial" w:eastAsia="Arial" w:hAnsi="Arial"/>
          <w:sz w:val="22"/>
          <w:szCs w:val="22"/>
          <w:b w:val="1"/>
          <w:bCs w:val="1"/>
          <w:color w:val="auto"/>
        </w:rPr>
        <w:t xml:space="preserve"> </w:t>
      </w:r>
      <w:r>
        <w:rPr>
          <w:rFonts w:ascii="Arial" w:cs="Arial" w:eastAsia="Arial" w:hAnsi="Arial"/>
          <w:sz w:val="22"/>
          <w:szCs w:val="22"/>
          <w:color w:val="auto"/>
        </w:rPr>
        <w:t>prior written consent of Administrative Agent acting pursuant to the instructions of Requisite Lenders, commence or join with any other Person in commencing any bankruptcy, reorganization or insolvency case or proceeding of or against Borrower or any other Guarantor. The obligations of Guarantors hereunder shall not be reduced, limited, impaired, discharged, deferred, suspended or terminated by any case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7" w:right="339" w:bottom="1440" w:gutter="0" w:footer="0" w:header="0"/>
        </w:sectPr>
      </w:pPr>
    </w:p>
    <w:bookmarkStart w:id="546" w:name="page547"/>
    <w:bookmarkEnd w:id="546"/>
    <w:p>
      <w:pPr>
        <w:jc w:val="both"/>
        <w:spacing w:after="0" w:line="271" w:lineRule="auto"/>
        <w:rPr>
          <w:sz w:val="20"/>
          <w:szCs w:val="20"/>
          <w:color w:val="auto"/>
        </w:rPr>
      </w:pPr>
      <w:r>
        <w:rPr>
          <w:rFonts w:ascii="Arial" w:cs="Arial" w:eastAsia="Arial" w:hAnsi="Arial"/>
          <w:sz w:val="21"/>
          <w:szCs w:val="21"/>
          <w:color w:val="auto"/>
        </w:rPr>
        <w:t>voluntary or involuntary, involving the bankruptcy, insolvency, receivership, reorganization, liquidation or arrangement of Borrower or any other Guarantor or by any defense which Borrower or any other Guarantor may have by reason of the order, decree or decision of any court or administrative body resulting from any such proceeding.</w:t>
      </w:r>
    </w:p>
    <w:p>
      <w:pPr>
        <w:spacing w:after="0" w:line="167" w:lineRule="exact"/>
        <w:rPr>
          <w:sz w:val="20"/>
          <w:szCs w:val="20"/>
          <w:color w:val="auto"/>
        </w:rPr>
      </w:pPr>
    </w:p>
    <w:p>
      <w:pPr>
        <w:jc w:val="both"/>
        <w:ind w:left="180" w:firstLine="1286"/>
        <w:spacing w:after="0" w:line="288" w:lineRule="auto"/>
        <w:tabs>
          <w:tab w:leader="none" w:pos="1809" w:val="left"/>
        </w:tabs>
        <w:numPr>
          <w:ilvl w:val="0"/>
          <w:numId w:val="418"/>
        </w:numPr>
        <w:rPr>
          <w:rFonts w:ascii="Arial" w:cs="Arial" w:eastAsia="Arial" w:hAnsi="Arial"/>
          <w:sz w:val="19"/>
          <w:szCs w:val="19"/>
          <w:color w:val="auto"/>
        </w:rPr>
      </w:pPr>
      <w:r>
        <w:rPr>
          <w:rFonts w:ascii="Arial" w:cs="Arial" w:eastAsia="Arial" w:hAnsi="Arial"/>
          <w:sz w:val="19"/>
          <w:szCs w:val="19"/>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Borrower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59" w:lineRule="exact"/>
        <w:rPr>
          <w:rFonts w:ascii="Arial" w:cs="Arial" w:eastAsia="Arial" w:hAnsi="Arial"/>
          <w:sz w:val="19"/>
          <w:szCs w:val="19"/>
          <w:color w:val="auto"/>
        </w:rPr>
      </w:pPr>
    </w:p>
    <w:p>
      <w:pPr>
        <w:jc w:val="both"/>
        <w:ind w:left="180" w:firstLine="1286"/>
        <w:spacing w:after="0" w:line="248" w:lineRule="auto"/>
        <w:tabs>
          <w:tab w:leader="none" w:pos="1783" w:val="left"/>
        </w:tabs>
        <w:numPr>
          <w:ilvl w:val="0"/>
          <w:numId w:val="418"/>
        </w:numPr>
        <w:rPr>
          <w:rFonts w:ascii="Arial" w:cs="Arial" w:eastAsia="Arial" w:hAnsi="Arial"/>
          <w:sz w:val="22"/>
          <w:szCs w:val="22"/>
          <w:color w:val="auto"/>
        </w:rPr>
      </w:pPr>
      <w:r>
        <w:rPr>
          <w:rFonts w:ascii="Arial" w:cs="Arial" w:eastAsia="Arial" w:hAnsi="Arial"/>
          <w:sz w:val="22"/>
          <w:szCs w:val="22"/>
          <w:color w:val="auto"/>
        </w:rPr>
        <w:t>In the event that all or any portion of the Guaranteed Obligations are paid by Borrower,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8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7.12. Discharge of Guaranty Upon Sale of Guarantor</w:t>
      </w:r>
      <w:r>
        <w:rPr>
          <w:rFonts w:ascii="Arial" w:cs="Arial" w:eastAsia="Arial" w:hAnsi="Arial"/>
          <w:sz w:val="21"/>
          <w:szCs w:val="21"/>
          <w:color w:val="auto"/>
        </w:rPr>
        <w:t>. If (A) all of the Equity Interests of any Guarantor or any of its</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successors in interest hereunder shall be sold or otherwise disposed of (including by merger or consolidation) in accordance with the terms and conditions hereof or (B) if a Guarantor is designated as an Unrestricted Subsidiary in accordance with Section 5.13, then in the case of each of clauses (A) and (B), the Guaranty of such Guarantor or such successor in interest, as the case may be, hereunder shall automatically be discharged and released without any further action by any Beneficiary or any other Person effective as of the time of such Asset Sale.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8. EVENTS OF DEFAULT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8.1. Events of Default</w:t>
      </w:r>
      <w:r>
        <w:rPr>
          <w:rFonts w:ascii="Arial" w:cs="Arial" w:eastAsia="Arial" w:hAnsi="Arial"/>
          <w:sz w:val="22"/>
          <w:szCs w:val="22"/>
          <w:color w:val="auto"/>
        </w:rPr>
        <w:t>. If any one or more of the following conditions or events shall occur:</w:t>
      </w:r>
    </w:p>
    <w:p>
      <w:pPr>
        <w:spacing w:after="0" w:line="226" w:lineRule="exact"/>
        <w:rPr>
          <w:sz w:val="20"/>
          <w:szCs w:val="20"/>
          <w:color w:val="auto"/>
        </w:rPr>
      </w:pPr>
    </w:p>
    <w:p>
      <w:pPr>
        <w:jc w:val="both"/>
        <w:ind w:left="180" w:firstLine="1286"/>
        <w:spacing w:after="0" w:line="250" w:lineRule="auto"/>
        <w:tabs>
          <w:tab w:leader="none" w:pos="1770" w:val="left"/>
        </w:tabs>
        <w:numPr>
          <w:ilvl w:val="0"/>
          <w:numId w:val="419"/>
        </w:numPr>
        <w:rPr>
          <w:rFonts w:ascii="Arial" w:cs="Arial" w:eastAsia="Arial" w:hAnsi="Arial"/>
          <w:sz w:val="22"/>
          <w:szCs w:val="22"/>
          <w:color w:val="auto"/>
        </w:rPr>
      </w:pPr>
      <w:r>
        <w:rPr>
          <w:rFonts w:ascii="Arial" w:cs="Arial" w:eastAsia="Arial" w:hAnsi="Arial"/>
          <w:sz w:val="22"/>
          <w:szCs w:val="22"/>
          <w:u w:val="single" w:color="auto"/>
          <w:color w:val="auto"/>
        </w:rPr>
        <w:t>Failure to Make Payments When Due</w:t>
      </w:r>
      <w:r>
        <w:rPr>
          <w:rFonts w:ascii="Arial" w:cs="Arial" w:eastAsia="Arial" w:hAnsi="Arial"/>
          <w:sz w:val="22"/>
          <w:szCs w:val="22"/>
          <w:color w:val="auto"/>
        </w:rPr>
        <w:t>. Failure by Borrower to pay (i) when due any installment of principal of any Loan, whether at stated maturity, by acceleration, by notice of voluntary prepayment, by mandatory prepayment or otherwise; or (ii) any interest on any Loan or any fee or any other amount due hereunder within five Business Days after the date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27" w:right="339" w:bottom="1440" w:gutter="0" w:footer="0" w:header="0"/>
        </w:sectPr>
      </w:pPr>
    </w:p>
    <w:bookmarkStart w:id="547" w:name="page548"/>
    <w:bookmarkEnd w:id="547"/>
    <w:p>
      <w:pPr>
        <w:jc w:val="both"/>
        <w:ind w:firstLine="1286"/>
        <w:spacing w:after="0" w:line="288" w:lineRule="auto"/>
        <w:tabs>
          <w:tab w:leader="none" w:pos="1615" w:val="left"/>
        </w:tabs>
        <w:numPr>
          <w:ilvl w:val="0"/>
          <w:numId w:val="420"/>
        </w:numPr>
        <w:rPr>
          <w:rFonts w:ascii="Arial" w:cs="Arial" w:eastAsia="Arial" w:hAnsi="Arial"/>
          <w:sz w:val="19"/>
          <w:szCs w:val="19"/>
          <w:color w:val="auto"/>
        </w:rPr>
      </w:pPr>
      <w:r>
        <w:rPr>
          <w:rFonts w:ascii="Arial" w:cs="Arial" w:eastAsia="Arial" w:hAnsi="Arial"/>
          <w:sz w:val="19"/>
          <w:szCs w:val="19"/>
          <w:u w:val="single" w:color="auto"/>
          <w:color w:val="auto"/>
        </w:rPr>
        <w:t>Default in Other Agreements</w:t>
      </w:r>
      <w:r>
        <w:rPr>
          <w:rFonts w:ascii="Arial" w:cs="Arial" w:eastAsia="Arial" w:hAnsi="Arial"/>
          <w:sz w:val="19"/>
          <w:szCs w:val="19"/>
          <w:color w:val="auto"/>
        </w:rPr>
        <w:t>. (i) Failure of any Credit Party or any of their respective Subsidiaries to pay when due any principal of or interest on or any other amount, including any payment in settlement, payable in respect of Indebtedness (other than Indebtedness referred to in Section 8.1(a)) with a principal amount (or Net Mark-to-Market Exposure), individually or in the aggregate, of $50,000,000 or more, in each case beyond the grace period, if any, provided therefor; or (ii) breach or default by any Credit Party with respect to any other material term of (1) Indebtedness in the individual or aggregate principal amount (or Net Mark-to-Market Exposure) referred to in clause (i) above or (2) any loan agreement, mortgage, indenture or other agreement relating to such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or</w:t>
      </w:r>
    </w:p>
    <w:p>
      <w:pPr>
        <w:spacing w:after="0" w:line="159" w:lineRule="exact"/>
        <w:rPr>
          <w:rFonts w:ascii="Arial" w:cs="Arial" w:eastAsia="Arial" w:hAnsi="Arial"/>
          <w:sz w:val="19"/>
          <w:szCs w:val="19"/>
          <w:color w:val="auto"/>
        </w:rPr>
      </w:pPr>
    </w:p>
    <w:p>
      <w:pPr>
        <w:jc w:val="both"/>
        <w:ind w:firstLine="1286"/>
        <w:spacing w:after="0" w:line="248" w:lineRule="auto"/>
        <w:tabs>
          <w:tab w:leader="none" w:pos="1603" w:val="left"/>
        </w:tabs>
        <w:numPr>
          <w:ilvl w:val="0"/>
          <w:numId w:val="420"/>
        </w:numPr>
        <w:rPr>
          <w:rFonts w:ascii="Arial" w:cs="Arial" w:eastAsia="Arial" w:hAnsi="Arial"/>
          <w:sz w:val="22"/>
          <w:szCs w:val="22"/>
          <w:color w:val="auto"/>
        </w:rPr>
      </w:pPr>
      <w:r>
        <w:rPr>
          <w:rFonts w:ascii="Arial" w:cs="Arial" w:eastAsia="Arial" w:hAnsi="Arial"/>
          <w:sz w:val="22"/>
          <w:szCs w:val="22"/>
          <w:u w:val="single" w:color="auto"/>
          <w:color w:val="auto"/>
        </w:rPr>
        <w:t>Breach of Certain Covenants</w:t>
      </w:r>
      <w:r>
        <w:rPr>
          <w:rFonts w:ascii="Arial" w:cs="Arial" w:eastAsia="Arial" w:hAnsi="Arial"/>
          <w:sz w:val="22"/>
          <w:szCs w:val="22"/>
          <w:color w:val="auto"/>
        </w:rPr>
        <w:t>. Failure of any Credit Party to perform or comply with any term or condition contained in (i) Section 2.6, Section 5.1(f) or Section 5.2 or (ii) Section 6 unless, in the case of this clause (ii), such default is capable of remedy and shall have been remedied or waived within thirty days after the earlier of (A) an officer of such Credit Party becoming aware of such default or (B) receipt by Borrower of notice from Administrative Agent or any Lender of such default; or</w:t>
      </w:r>
    </w:p>
    <w:p>
      <w:pPr>
        <w:spacing w:after="0" w:line="191" w:lineRule="exact"/>
        <w:rPr>
          <w:rFonts w:ascii="Arial" w:cs="Arial" w:eastAsia="Arial" w:hAnsi="Arial"/>
          <w:sz w:val="22"/>
          <w:szCs w:val="22"/>
          <w:color w:val="auto"/>
        </w:rPr>
      </w:pPr>
    </w:p>
    <w:p>
      <w:pPr>
        <w:jc w:val="both"/>
        <w:ind w:firstLine="1286"/>
        <w:spacing w:after="0" w:line="250" w:lineRule="auto"/>
        <w:tabs>
          <w:tab w:leader="none" w:pos="1642" w:val="left"/>
        </w:tabs>
        <w:numPr>
          <w:ilvl w:val="0"/>
          <w:numId w:val="420"/>
        </w:numPr>
        <w:rPr>
          <w:rFonts w:ascii="Arial" w:cs="Arial" w:eastAsia="Arial" w:hAnsi="Arial"/>
          <w:sz w:val="22"/>
          <w:szCs w:val="22"/>
          <w:color w:val="auto"/>
        </w:rPr>
      </w:pPr>
      <w:r>
        <w:rPr>
          <w:rFonts w:ascii="Arial" w:cs="Arial" w:eastAsia="Arial" w:hAnsi="Arial"/>
          <w:sz w:val="22"/>
          <w:szCs w:val="22"/>
          <w:u w:val="single" w:color="auto"/>
          <w:color w:val="auto"/>
        </w:rPr>
        <w:t>Breach of Representations, Etc.</w:t>
      </w:r>
      <w:r>
        <w:rPr>
          <w:rFonts w:ascii="Arial" w:cs="Arial" w:eastAsia="Arial" w:hAnsi="Arial"/>
          <w:sz w:val="22"/>
          <w:szCs w:val="22"/>
          <w:color w:val="auto"/>
        </w:rPr>
        <w:t xml:space="preserve"> Any representation, warranty, certification or other statement made or deemed made by any Credit Party in any Credit Document or in any statement or certificate at any time given by any Credit Party or any of its Subsidiaries in writing pursuant hereto or thereto or in connection herewith or therewith shall be false in any material respect as of the date made or deemed made; or</w:t>
      </w:r>
    </w:p>
    <w:p>
      <w:pPr>
        <w:spacing w:after="0" w:line="187" w:lineRule="exact"/>
        <w:rPr>
          <w:rFonts w:ascii="Arial" w:cs="Arial" w:eastAsia="Arial" w:hAnsi="Arial"/>
          <w:sz w:val="22"/>
          <w:szCs w:val="22"/>
          <w:color w:val="auto"/>
        </w:rPr>
      </w:pPr>
    </w:p>
    <w:p>
      <w:pPr>
        <w:jc w:val="both"/>
        <w:ind w:firstLine="1286"/>
        <w:spacing w:after="0" w:line="248" w:lineRule="auto"/>
        <w:tabs>
          <w:tab w:leader="none" w:pos="1590" w:val="left"/>
        </w:tabs>
        <w:numPr>
          <w:ilvl w:val="0"/>
          <w:numId w:val="420"/>
        </w:numPr>
        <w:rPr>
          <w:rFonts w:ascii="Arial" w:cs="Arial" w:eastAsia="Arial" w:hAnsi="Arial"/>
          <w:sz w:val="22"/>
          <w:szCs w:val="22"/>
          <w:color w:val="auto"/>
        </w:rPr>
      </w:pPr>
      <w:r>
        <w:rPr>
          <w:rFonts w:ascii="Arial" w:cs="Arial" w:eastAsia="Arial" w:hAnsi="Arial"/>
          <w:sz w:val="22"/>
          <w:szCs w:val="22"/>
          <w:u w:val="single" w:color="auto"/>
          <w:color w:val="auto"/>
        </w:rPr>
        <w:t>Other Defaults Under Credit Documents</w:t>
      </w:r>
      <w:r>
        <w:rPr>
          <w:rFonts w:ascii="Arial" w:cs="Arial" w:eastAsia="Arial" w:hAnsi="Arial"/>
          <w:sz w:val="22"/>
          <w:szCs w:val="22"/>
          <w:color w:val="auto"/>
        </w:rPr>
        <w:t>. Any Credit Party shall default in the performance of or compliance with any term contained herein or any of the other Credit Documents, other than any such term referred to in any other paragraph of this Section 8.1, and such default shall not have been remedied or waived within thirty days after the earlier of (i) an officer of such Credit Party becoming aware of such default or (ii) receipt by Borrower of notice from Administrative Agent or any Lender of such default; or</w:t>
      </w:r>
    </w:p>
    <w:p>
      <w:pPr>
        <w:spacing w:after="0" w:line="191" w:lineRule="exact"/>
        <w:rPr>
          <w:rFonts w:ascii="Arial" w:cs="Arial" w:eastAsia="Arial" w:hAnsi="Arial"/>
          <w:sz w:val="22"/>
          <w:szCs w:val="22"/>
          <w:color w:val="auto"/>
        </w:rPr>
      </w:pPr>
    </w:p>
    <w:p>
      <w:pPr>
        <w:jc w:val="both"/>
        <w:ind w:firstLine="1286"/>
        <w:spacing w:after="0" w:line="259" w:lineRule="auto"/>
        <w:tabs>
          <w:tab w:leader="none" w:pos="1579" w:val="left"/>
        </w:tabs>
        <w:numPr>
          <w:ilvl w:val="0"/>
          <w:numId w:val="420"/>
        </w:numPr>
        <w:rPr>
          <w:rFonts w:ascii="Arial" w:cs="Arial" w:eastAsia="Arial" w:hAnsi="Arial"/>
          <w:sz w:val="21"/>
          <w:szCs w:val="21"/>
          <w:color w:val="auto"/>
        </w:rPr>
      </w:pPr>
      <w:r>
        <w:rPr>
          <w:rFonts w:ascii="Arial" w:cs="Arial" w:eastAsia="Arial" w:hAnsi="Arial"/>
          <w:sz w:val="21"/>
          <w:szCs w:val="21"/>
          <w:u w:val="single" w:color="auto"/>
          <w:color w:val="auto"/>
        </w:rPr>
        <w:t>Involuntary Bankruptcy; Appointment of Receiver, Etc.</w:t>
      </w:r>
      <w:r>
        <w:rPr>
          <w:rFonts w:ascii="Arial" w:cs="Arial" w:eastAsia="Arial" w:hAnsi="Arial"/>
          <w:sz w:val="21"/>
          <w:szCs w:val="21"/>
          <w:color w:val="auto"/>
        </w:rPr>
        <w:t xml:space="preserve"> (i) A court of competent jurisdiction shall enter a decree or order for relief in respect of the Borrower or any of its Subsidiaries in an involuntary case under any Debtor Relief Laws now or hereafter in effect, which decree or order is not stayed; or any other similar relief shall be granted under any applicable federal or state law; or (ii) an involuntary case shall be commenced against the Borrower or any of its Subsidiaries under any Debtor Relief Laws now or hereafter in effect; or a decree or order of a court having jurisdiction in the premises for the appointment of a receiver, liquidator, sequestrator, trustee, custodian or other officer having similar powers over the Borrower or any of its Subsidiaries, or over all or a substantial part of its property, shall have been entered; or there shall have occurred the involuntary appointment of an interim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060"/>
          </w:cols>
          <w:pgMar w:left="500" w:top="1427" w:right="339" w:bottom="1440" w:gutter="0" w:footer="0" w:header="0"/>
        </w:sectPr>
      </w:pPr>
    </w:p>
    <w:bookmarkStart w:id="548" w:name="page549"/>
    <w:bookmarkEnd w:id="548"/>
    <w:p>
      <w:pPr>
        <w:jc w:val="both"/>
        <w:ind w:left="10"/>
        <w:spacing w:after="0" w:line="250" w:lineRule="auto"/>
        <w:rPr>
          <w:sz w:val="20"/>
          <w:szCs w:val="20"/>
          <w:color w:val="auto"/>
        </w:rPr>
      </w:pPr>
      <w:r>
        <w:rPr>
          <w:rFonts w:ascii="Arial" w:cs="Arial" w:eastAsia="Arial" w:hAnsi="Arial"/>
          <w:sz w:val="22"/>
          <w:szCs w:val="22"/>
          <w:color w:val="auto"/>
        </w:rPr>
        <w:t>receiver, trustee or other custodian of the Borrower or any of its Subsidiaries for all or a substantial part of its property; or a warrant of attachment, execution or similar process shall have been issued against any substantial part of the property of the Borrower or any of its Subsidiaries, and any such event described in this clause (ii) shall continue for sixty days without having been dismissed, bonded or discharged; or</w:t>
      </w:r>
    </w:p>
    <w:p>
      <w:pPr>
        <w:spacing w:after="0" w:line="188" w:lineRule="exact"/>
        <w:rPr>
          <w:sz w:val="20"/>
          <w:szCs w:val="20"/>
          <w:color w:val="auto"/>
        </w:rPr>
      </w:pPr>
    </w:p>
    <w:p>
      <w:pPr>
        <w:jc w:val="both"/>
        <w:ind w:left="10" w:firstLine="1286"/>
        <w:spacing w:after="0" w:line="289" w:lineRule="auto"/>
        <w:tabs>
          <w:tab w:leader="none" w:pos="1612" w:val="left"/>
        </w:tabs>
        <w:numPr>
          <w:ilvl w:val="1"/>
          <w:numId w:val="421"/>
        </w:numPr>
        <w:rPr>
          <w:rFonts w:ascii="Arial" w:cs="Arial" w:eastAsia="Arial" w:hAnsi="Arial"/>
          <w:sz w:val="19"/>
          <w:szCs w:val="19"/>
          <w:color w:val="auto"/>
        </w:rPr>
      </w:pPr>
      <w:r>
        <w:rPr>
          <w:rFonts w:ascii="Arial" w:cs="Arial" w:eastAsia="Arial" w:hAnsi="Arial"/>
          <w:sz w:val="19"/>
          <w:szCs w:val="19"/>
          <w:u w:val="single" w:color="auto"/>
          <w:color w:val="auto"/>
        </w:rPr>
        <w:t>Voluntary Bankruptcy; Appointment of Receiver, Etc.</w:t>
      </w:r>
      <w:r>
        <w:rPr>
          <w:rFonts w:ascii="Arial" w:cs="Arial" w:eastAsia="Arial" w:hAnsi="Arial"/>
          <w:sz w:val="19"/>
          <w:szCs w:val="19"/>
          <w:color w:val="auto"/>
        </w:rPr>
        <w:t xml:space="preserve"> (i) The Borrower or any of its Subsidiaries shall have an order for relief entered with respect to it or shall commence a voluntary case under any Debtor Relief Laws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the Borrower or any of its Subsidiaries shall make any assignment for the benefit of creditors; or (ii) the Borrower or any of its Subsidiaries shall be unable, or shall fail generally, or shall admit in writing its inability, to pay its debts as such debts become due; or the board of directors (or similar governing body) of the Borrower or any of its Subsidiaries (or any committee thereof) shall adopt any resolution or otherwise authorize any action to approve any of the actions referred to herein or in Section 8.1(f); or</w:t>
      </w:r>
    </w:p>
    <w:p>
      <w:pPr>
        <w:spacing w:after="0" w:line="156" w:lineRule="exact"/>
        <w:rPr>
          <w:rFonts w:ascii="Arial" w:cs="Arial" w:eastAsia="Arial" w:hAnsi="Arial"/>
          <w:sz w:val="19"/>
          <w:szCs w:val="19"/>
          <w:color w:val="auto"/>
        </w:rPr>
      </w:pPr>
    </w:p>
    <w:p>
      <w:pPr>
        <w:jc w:val="both"/>
        <w:ind w:left="10" w:firstLine="1286"/>
        <w:spacing w:after="0" w:line="247" w:lineRule="auto"/>
        <w:tabs>
          <w:tab w:leader="none" w:pos="1666" w:val="left"/>
        </w:tabs>
        <w:numPr>
          <w:ilvl w:val="1"/>
          <w:numId w:val="421"/>
        </w:numPr>
        <w:rPr>
          <w:rFonts w:ascii="Arial" w:cs="Arial" w:eastAsia="Arial" w:hAnsi="Arial"/>
          <w:sz w:val="22"/>
          <w:szCs w:val="22"/>
          <w:color w:val="auto"/>
        </w:rPr>
      </w:pPr>
      <w:r>
        <w:rPr>
          <w:rFonts w:ascii="Arial" w:cs="Arial" w:eastAsia="Arial" w:hAnsi="Arial"/>
          <w:sz w:val="22"/>
          <w:szCs w:val="22"/>
          <w:u w:val="single" w:color="auto"/>
          <w:color w:val="auto"/>
        </w:rPr>
        <w:t>Judgments and Attachments</w:t>
      </w:r>
      <w:r>
        <w:rPr>
          <w:rFonts w:ascii="Arial" w:cs="Arial" w:eastAsia="Arial" w:hAnsi="Arial"/>
          <w:sz w:val="22"/>
          <w:szCs w:val="22"/>
          <w:color w:val="auto"/>
        </w:rPr>
        <w:t>. Any money judgment, writ or warrant of attachment or similar process involving, individually or in the aggregate at any time an amount in excess of $50,000,000 (in either case to the extent not adequately covered by insurance as to which a solvent and unaffiliated insurance company has acknowledged coverage) shall be entered or filed against the Borrower or any of its Subsidiaries or any of their respective assets and shall remain undischarged, unvacated, unbonded or unstayed for a period of sixty days (or in any event later than five days prior to the date of any proposed sale thereunder); or</w:t>
      </w:r>
    </w:p>
    <w:p>
      <w:pPr>
        <w:spacing w:after="0" w:line="192" w:lineRule="exact"/>
        <w:rPr>
          <w:rFonts w:ascii="Arial" w:cs="Arial" w:eastAsia="Arial" w:hAnsi="Arial"/>
          <w:sz w:val="22"/>
          <w:szCs w:val="22"/>
          <w:color w:val="auto"/>
        </w:rPr>
      </w:pPr>
    </w:p>
    <w:p>
      <w:pPr>
        <w:ind w:left="1550" w:hanging="254"/>
        <w:spacing w:after="0"/>
        <w:tabs>
          <w:tab w:leader="none" w:pos="1550" w:val="left"/>
        </w:tabs>
        <w:numPr>
          <w:ilvl w:val="1"/>
          <w:numId w:val="42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0" w:firstLine="1286"/>
        <w:spacing w:after="0" w:line="263" w:lineRule="auto"/>
        <w:tabs>
          <w:tab w:leader="none" w:pos="1604" w:val="left"/>
        </w:tabs>
        <w:numPr>
          <w:ilvl w:val="1"/>
          <w:numId w:val="421"/>
        </w:numPr>
        <w:rPr>
          <w:rFonts w:ascii="Arial" w:cs="Arial" w:eastAsia="Arial" w:hAnsi="Arial"/>
          <w:sz w:val="21"/>
          <w:szCs w:val="21"/>
          <w:color w:val="auto"/>
        </w:rPr>
      </w:pPr>
      <w:r>
        <w:rPr>
          <w:rFonts w:ascii="Arial" w:cs="Arial" w:eastAsia="Arial" w:hAnsi="Arial"/>
          <w:sz w:val="21"/>
          <w:szCs w:val="21"/>
          <w:u w:val="single" w:color="auto"/>
          <w:color w:val="auto"/>
        </w:rPr>
        <w:t>Employee Benefit Plans</w:t>
      </w:r>
      <w:r>
        <w:rPr>
          <w:rFonts w:ascii="Arial" w:cs="Arial" w:eastAsia="Arial" w:hAnsi="Arial"/>
          <w:sz w:val="21"/>
          <w:szCs w:val="21"/>
          <w:color w:val="auto"/>
        </w:rPr>
        <w:t>. (i) There shall occur one or more ERISA Events which individually or in the aggregate results in or might reasonably be expected to result in liability of the Borrower, any of its Subsidiaries or any of their respective ERISA Affiliates in excess of $50,000,000 during the term hereof; or (ii) there exists any fact or circumstance that reasonably could be expected to result in the imposition of a Lien or security interest pursuant to Section 430(k) of the Internal Revenue Code or ERISA or a violation of Section 436 of the Internal Revenue Code; or</w:t>
      </w:r>
    </w:p>
    <w:p>
      <w:pPr>
        <w:spacing w:after="0" w:line="175" w:lineRule="exact"/>
        <w:rPr>
          <w:rFonts w:ascii="Arial" w:cs="Arial" w:eastAsia="Arial" w:hAnsi="Arial"/>
          <w:sz w:val="21"/>
          <w:szCs w:val="21"/>
          <w:color w:val="auto"/>
        </w:rPr>
      </w:pPr>
    </w:p>
    <w:p>
      <w:pPr>
        <w:ind w:left="1610" w:hanging="314"/>
        <w:spacing w:after="0"/>
        <w:tabs>
          <w:tab w:leader="none" w:pos="1610" w:val="left"/>
        </w:tabs>
        <w:numPr>
          <w:ilvl w:val="1"/>
          <w:numId w:val="4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 or</w:t>
      </w:r>
    </w:p>
    <w:p>
      <w:pPr>
        <w:spacing w:after="0" w:line="219" w:lineRule="exact"/>
        <w:rPr>
          <w:rFonts w:ascii="Arial" w:cs="Arial" w:eastAsia="Arial" w:hAnsi="Arial"/>
          <w:sz w:val="22"/>
          <w:szCs w:val="22"/>
          <w:color w:val="auto"/>
        </w:rPr>
      </w:pPr>
    </w:p>
    <w:p>
      <w:pPr>
        <w:jc w:val="both"/>
        <w:ind w:left="10" w:firstLine="1286"/>
        <w:spacing w:after="0" w:line="288" w:lineRule="auto"/>
        <w:tabs>
          <w:tab w:leader="none" w:pos="1604" w:val="left"/>
        </w:tabs>
        <w:numPr>
          <w:ilvl w:val="1"/>
          <w:numId w:val="421"/>
        </w:numPr>
        <w:rPr>
          <w:rFonts w:ascii="Arial" w:cs="Arial" w:eastAsia="Arial" w:hAnsi="Arial"/>
          <w:sz w:val="19"/>
          <w:szCs w:val="19"/>
          <w:color w:val="auto"/>
        </w:rPr>
      </w:pPr>
      <w:r>
        <w:rPr>
          <w:rFonts w:ascii="Arial" w:cs="Arial" w:eastAsia="Arial" w:hAnsi="Arial"/>
          <w:sz w:val="19"/>
          <w:szCs w:val="19"/>
          <w:u w:val="single" w:color="auto"/>
          <w:color w:val="auto"/>
        </w:rPr>
        <w:t>Guaranties, and other Credit Documents</w:t>
      </w:r>
      <w:r>
        <w:rPr>
          <w:rFonts w:ascii="Arial" w:cs="Arial" w:eastAsia="Arial" w:hAnsi="Arial"/>
          <w:sz w:val="19"/>
          <w:szCs w:val="19"/>
          <w:color w:val="auto"/>
        </w:rPr>
        <w:t>. At any time after the execution and delivery thereof, (i) the Guaranty for any reason, other than the satisfaction in full of all Obligations, shall cease to be in full force and effect (other than in accordance with its terms) or shall be declared to be null and void or any Guarantor shall repudiate its obligations thereunder,</w:t>
      </w:r>
    </w:p>
    <w:p>
      <w:pPr>
        <w:jc w:val="both"/>
        <w:ind w:left="10" w:hanging="10"/>
        <w:spacing w:after="0" w:line="245" w:lineRule="auto"/>
        <w:tabs>
          <w:tab w:leader="none" w:pos="363" w:val="left"/>
        </w:tabs>
        <w:numPr>
          <w:ilvl w:val="0"/>
          <w:numId w:val="422"/>
        </w:numPr>
        <w:rPr>
          <w:rFonts w:ascii="Arial" w:cs="Arial" w:eastAsia="Arial" w:hAnsi="Arial"/>
          <w:sz w:val="22"/>
          <w:szCs w:val="22"/>
          <w:color w:val="auto"/>
        </w:rPr>
      </w:pPr>
      <w:r>
        <w:rPr>
          <w:rFonts w:ascii="Arial" w:cs="Arial" w:eastAsia="Arial" w:hAnsi="Arial"/>
          <w:sz w:val="22"/>
          <w:szCs w:val="22"/>
          <w:color w:val="auto"/>
        </w:rPr>
        <w:t>this Agreement ceases to be in full force and effect (other than by reason of satisfaction in full of the Obligations in accordance with the terms hereof) or shall be declared null and void, or (iii) any Credit Party shall contest the validity or enforceability of any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0"/>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070"/>
          </w:cols>
          <w:pgMar w:left="490" w:top="1427" w:right="339" w:bottom="1440" w:gutter="0" w:footer="0" w:header="0"/>
        </w:sectPr>
      </w:pPr>
    </w:p>
    <w:bookmarkStart w:id="549" w:name="page550"/>
    <w:bookmarkEnd w:id="549"/>
    <w:p>
      <w:pPr>
        <w:ind w:left="180"/>
        <w:spacing w:after="0" w:line="263" w:lineRule="auto"/>
        <w:rPr>
          <w:sz w:val="20"/>
          <w:szCs w:val="20"/>
          <w:color w:val="auto"/>
        </w:rPr>
      </w:pPr>
      <w:r>
        <w:rPr>
          <w:rFonts w:ascii="Arial" w:cs="Arial" w:eastAsia="Arial" w:hAnsi="Arial"/>
          <w:sz w:val="22"/>
          <w:szCs w:val="22"/>
          <w:color w:val="auto"/>
        </w:rPr>
        <w:t>Document in writing or deny in writing that it has any further liability, including with respect to future advances by Lenders, under any Credit Document to which it is a party.</w:t>
      </w:r>
    </w:p>
    <w:p>
      <w:pPr>
        <w:spacing w:after="0" w:line="169" w:lineRule="exact"/>
        <w:rPr>
          <w:sz w:val="20"/>
          <w:szCs w:val="20"/>
          <w:color w:val="auto"/>
        </w:rPr>
      </w:pPr>
    </w:p>
    <w:p>
      <w:pPr>
        <w:jc w:val="both"/>
        <w:ind w:firstLine="638"/>
        <w:spacing w:after="0" w:line="248" w:lineRule="auto"/>
        <w:rPr>
          <w:sz w:val="20"/>
          <w:szCs w:val="20"/>
          <w:color w:val="auto"/>
        </w:rPr>
      </w:pPr>
      <w:r>
        <w:rPr>
          <w:rFonts w:ascii="Arial" w:cs="Arial" w:eastAsia="Arial" w:hAnsi="Arial"/>
          <w:sz w:val="22"/>
          <w:szCs w:val="22"/>
          <w:b w:val="1"/>
          <w:bCs w:val="1"/>
          <w:color w:val="auto"/>
        </w:rPr>
        <w:t>THEN</w:t>
      </w:r>
      <w:r>
        <w:rPr>
          <w:rFonts w:ascii="Arial" w:cs="Arial" w:eastAsia="Arial" w:hAnsi="Arial"/>
          <w:sz w:val="22"/>
          <w:szCs w:val="22"/>
          <w:color w:val="auto"/>
        </w:rPr>
        <w:t>, (1) upon the occurrence of any Event of Default described in Section 8.1(f) or 8.1(g), automatically, and (2) upon</w:t>
      </w:r>
      <w:r>
        <w:rPr>
          <w:rFonts w:ascii="Arial" w:cs="Arial" w:eastAsia="Arial" w:hAnsi="Arial"/>
          <w:sz w:val="22"/>
          <w:szCs w:val="22"/>
          <w:b w:val="1"/>
          <w:bCs w:val="1"/>
          <w:color w:val="auto"/>
        </w:rPr>
        <w:t xml:space="preserve"> </w:t>
      </w:r>
      <w:r>
        <w:rPr>
          <w:rFonts w:ascii="Arial" w:cs="Arial" w:eastAsia="Arial" w:hAnsi="Arial"/>
          <w:sz w:val="22"/>
          <w:szCs w:val="22"/>
          <w:color w:val="auto"/>
        </w:rPr>
        <w:t>the occurrence and during the continuance of any other Event of Default, at the request of (or with the consent of) Requisite Lenders, upon notice to Borrower by Administrative Agent, each of the following shall immediately become due and payable, in each case without presentment, demand, protest or other requirements of any kind, all of which are hereby expressly waived by each Credit Party: (I) the unpaid principal amount of and accrued interest and premium on the Loans, and (II) all other Obligations.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8.2. Borrower’s Right to Cure</w:t>
      </w:r>
      <w:r>
        <w:rPr>
          <w:rFonts w:ascii="Arial" w:cs="Arial" w:eastAsia="Arial" w:hAnsi="Arial"/>
          <w:sz w:val="19"/>
          <w:szCs w:val="19"/>
          <w:color w:val="auto"/>
        </w:rPr>
        <w:t>. Notwithstanding anything to the contrary contained in Section 8.1, for purposes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determining whether an Event of Default has occurred under any financial covenant set forth in Section 6.7, any equity contribution (in the form of Qualified Equity Interests) made to Borrower after the last day of any Fiscal Quarter and on or prior to the day that is 10 days after the day on which financial statements are required to be delivered for that Fiscal Quarter will, at the request of Borrower, be included in the calculation of Consolidated Adjusted EBITDA solely for the purposes of determining compliance with the financial covenants at the end of such Fiscal Quarter and any subsequent period that includes such Fiscal Quarter (any such equity contribution, a </w:t>
      </w:r>
      <w:r>
        <w:rPr>
          <w:rFonts w:ascii="Arial" w:cs="Arial" w:eastAsia="Arial" w:hAnsi="Arial"/>
          <w:sz w:val="19"/>
          <w:szCs w:val="19"/>
          <w:b w:val="1"/>
          <w:bCs w:val="1"/>
          <w:color w:val="auto"/>
        </w:rPr>
        <w:t>“Specified Equity Contribution”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Borrower shall not be permitted to so request that a Specified Equity Contribution be included in the calculation of Consolidated Adjusted EBITDA with respect to any Fiscal Quarter unless, after giving effect to such requested Specified Equity Contribution, there shall be no more than two Fiscal Quarters in the Relevant Four Fiscal Quarter Period in respect of which a Specified Equity Contribution is made, (b) no more than 4 Specified Equity Contributions will be made in the aggregate, (c) the amount of any Specified Equity Contribution and the use of proceeds therefrom will be no greater than the amount required to cause Borrower to be in compliance with the financial covenants, and (d) all Specified Equity Contributions and the use of proceeds therefrom will be disregarded for all other purposes under the Credit Documents (including calculating Consolidated Adjusted EBITDA for purposes of determining basket levels and other items governed by reference to Consolidated Adjusted EBITDA, calculating the amount of Unrestricted Cash to be deducted pursuant to clause (b) of the definition of Consolidated Total Net Debt, and for purposes of the Restricted Junior Payments covenant in Section 6.4). To the extent that the proceeds of the Specified Equity Contribution are used to repay Indebtedness, such Indebtedness shall not be deemed to have been repaid for purposes of calculating any financial covenant set forth in Section 6.7 for the Relevant Four Fiscal Quarter Period. For purposes of this paragraph, the term </w:t>
      </w:r>
      <w:r>
        <w:rPr>
          <w:rFonts w:ascii="Arial" w:cs="Arial" w:eastAsia="Arial" w:hAnsi="Arial"/>
          <w:sz w:val="19"/>
          <w:szCs w:val="19"/>
          <w:b w:val="1"/>
          <w:bCs w:val="1"/>
          <w:color w:val="auto"/>
        </w:rPr>
        <w:t>“Relevant Four Fiscal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Quarter Period” </w:t>
      </w:r>
      <w:r>
        <w:rPr>
          <w:rFonts w:ascii="Arial" w:cs="Arial" w:eastAsia="Arial" w:hAnsi="Arial"/>
          <w:sz w:val="19"/>
          <w:szCs w:val="19"/>
          <w:color w:val="auto"/>
        </w:rPr>
        <w:t>shall mean, with respect to any requested Specified Equity Contribution, the four Fiscal Quarter period ending</w:t>
      </w:r>
      <w:r>
        <w:rPr>
          <w:rFonts w:ascii="Arial" w:cs="Arial" w:eastAsia="Arial" w:hAnsi="Arial"/>
          <w:sz w:val="19"/>
          <w:szCs w:val="19"/>
          <w:b w:val="1"/>
          <w:bCs w:val="1"/>
          <w:color w:val="auto"/>
        </w:rPr>
        <w:t xml:space="preserve"> </w:t>
      </w:r>
      <w:r>
        <w:rPr>
          <w:rFonts w:ascii="Arial" w:cs="Arial" w:eastAsia="Arial" w:hAnsi="Arial"/>
          <w:sz w:val="19"/>
          <w:szCs w:val="19"/>
          <w:color w:val="auto"/>
        </w:rPr>
        <w:t>on (and including) the Fiscal Quarter in which Consolidated Adjusted EBITDA will be increased as a result of such Specified Equity Contribution.</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9. AGENTS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9.1. Appointment of Agents</w:t>
      </w:r>
      <w:r>
        <w:rPr>
          <w:rFonts w:ascii="Arial" w:cs="Arial" w:eastAsia="Arial" w:hAnsi="Arial"/>
          <w:sz w:val="22"/>
          <w:szCs w:val="22"/>
          <w:color w:val="auto"/>
        </w:rPr>
        <w:t>. Goldman Sachs and JPMorgan Chase Bank, N.A. are hereby appointed Syndication Agents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Goldman Sachs, BofA Securities, Inc., JPMorgan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7" w:right="339" w:bottom="1440" w:gutter="0" w:footer="0" w:header="0"/>
        </w:sectPr>
      </w:pPr>
    </w:p>
    <w:bookmarkStart w:id="550" w:name="page551"/>
    <w:bookmarkEnd w:id="550"/>
    <w:p>
      <w:pPr>
        <w:jc w:val="both"/>
        <w:spacing w:after="0" w:line="284" w:lineRule="auto"/>
        <w:rPr>
          <w:sz w:val="20"/>
          <w:szCs w:val="20"/>
          <w:color w:val="auto"/>
        </w:rPr>
      </w:pPr>
      <w:r>
        <w:rPr>
          <w:rFonts w:ascii="Arial" w:cs="Arial" w:eastAsia="Arial" w:hAnsi="Arial"/>
          <w:sz w:val="19"/>
          <w:szCs w:val="19"/>
          <w:color w:val="auto"/>
        </w:rPr>
        <w:t>Chase Bank, N.A., Barclays Bank PLC, Citibank, N.A., London Branch, Credit Suisse Loan Funding LLC and Morgan Stanley Senior Funding, Inc. are hereby appointed Bookrunners hereunder, and each Lender hereby authorizes them to act, respectively, as Syndication Agents and Bookrunners in accordance with the terms hereof and the other Credit Documents. Goldman Sachs is hereby appointed Administrative Agent hereunder and under the other Credit Documents and each Lender hereby authorizes Goldman Sachs to act as Administrative Agent in accordance with the terms hereof and the other Credit Documents. Barclays Bank PLC, Citibank, N.A., London Branch, Credit Suisse Loan Funding LLC and Morgan Stanley Senior Funding, Inc. are hereby appointed Documentation Agents hereunder, and each Lender hereby authorizes Barclays Bank PLC, Citibank, N.A., London Branch, Credit Suisse Loan Funding LLC and Morgan Stanley Senior Funding, Inc. to act as Documentation Agents in accordance with the terms hereof and the other Credit Documents. Each Agent hereby agrees to act in its capacity as such upon the express conditions contained herein and the other Credit Documents, as applicable. The provisions of this Section 9 are solely for the benefit of Agents and Lenders and no Credit Party shall have any rights as a third party beneficiary of any of the provisions thereof. In performing its functions and duties hereunder, each Agent shall act solely as an agent of Lenders and does not assume and shall not be deemed to have assumed any obligation towards or relationship of agency or trust with or for the Borrower or any of its Subsidiaries. Each Syndication Agents and Documentation Agent, without consent of or notice to any party hereto, may assign any and all of its rights or obligations hereunder to any of its Affiliates. As of the Closing Date, neither Goldman Sachs nor JPMorgan Chase Bank, N.A., in their capacity as Syndication Agents, nor Goldman Sachs, BofA Securities, Inc., JPMorgan Chase Bank, N.A., Barclays Bank PLC, Citibank, N.A., London Branch, Credit Suisse Loan Funding LLC or Morgan Stanley Senior Funding, Inc., in their capacity as Bookrunners, nor Barclays Bank PLC, Citibank, N.A., London Branch, Credit Suisse Loan Funding LLC or Morgan Stanley Senior Funding, Inc., in their capacity as Documentation Agent, shall have any obligations but shall be entitled to all benefits of this Section 9. Each Syndication Agent, Documentation Agent, Bookrunner and any Agent described in clause (g) of the definition thereof may resign from such role at any time, with immediate effect, by giving prior written notice thereof to Administrative Agent and Borrower. It is understood and agreed that the use of the term “agent” herein or in any other Credit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9.2. Powers and Duties</w:t>
      </w:r>
      <w:r>
        <w:rPr>
          <w:rFonts w:ascii="Arial" w:cs="Arial" w:eastAsia="Arial" w:hAnsi="Arial"/>
          <w:sz w:val="19"/>
          <w:szCs w:val="19"/>
          <w:color w:val="auto"/>
        </w:rPr>
        <w:t>. Each Lender irrevocably authorizes each Agent to take such action on such Lender’s behalf and</w:t>
      </w:r>
      <w:r>
        <w:rPr>
          <w:rFonts w:ascii="Arial" w:cs="Arial" w:eastAsia="Arial" w:hAnsi="Arial"/>
          <w:sz w:val="19"/>
          <w:szCs w:val="19"/>
          <w:b w:val="1"/>
          <w:bCs w:val="1"/>
          <w:color w:val="auto"/>
        </w:rPr>
        <w:t xml:space="preserve"> </w:t>
      </w:r>
      <w:r>
        <w:rPr>
          <w:rFonts w:ascii="Arial" w:cs="Arial" w:eastAsia="Arial" w:hAnsi="Arial"/>
          <w:sz w:val="19"/>
          <w:szCs w:val="19"/>
          <w:color w:val="auto"/>
        </w:rPr>
        <w:t>to exercise such powers, rights and remedies hereunder and under the other Credit Documents as are specifically delegated or granted to such Agent by the terms hereof and thereof, together with such powers, rights and remedies as are reasonably incidental thereto. Each Agent shall have only those duties and responsibilities that are expressly specified herein and the other Credit Documents. Each Agent may exercise such powers, rights and remedies and perform such duties by or through its agents or employees. No Agent shall have, by reason hereof or any of the other Credit Documents, a fiduciary relationship in respect of any Lender or any other Person; and nothing herein or any of the other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27" w:right="339" w:bottom="1440" w:gutter="0" w:footer="0" w:header="0"/>
        </w:sectPr>
      </w:pPr>
    </w:p>
    <w:bookmarkStart w:id="551" w:name="page552"/>
    <w:bookmarkEnd w:id="551"/>
    <w:p>
      <w:pPr>
        <w:ind w:right="20"/>
        <w:spacing w:after="0" w:line="263" w:lineRule="auto"/>
        <w:rPr>
          <w:sz w:val="20"/>
          <w:szCs w:val="20"/>
          <w:color w:val="auto"/>
        </w:rPr>
      </w:pPr>
      <w:r>
        <w:rPr>
          <w:rFonts w:ascii="Arial" w:cs="Arial" w:eastAsia="Arial" w:hAnsi="Arial"/>
          <w:sz w:val="22"/>
          <w:szCs w:val="22"/>
          <w:color w:val="auto"/>
        </w:rPr>
        <w:t>expressed or implied, is intended to or shall be so construed as to impose upon any Agent any obligations in respect hereof or any of the other Credit Documents except as expressly set forth herein or therein.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9.3. General Immunity</w:t>
      </w:r>
      <w:r>
        <w:rPr>
          <w:rFonts w:ascii="Arial" w:cs="Arial" w:eastAsia="Arial" w:hAnsi="Arial"/>
          <w:sz w:val="22"/>
          <w:szCs w:val="22"/>
          <w:color w:val="auto"/>
        </w:rPr>
        <w:t>.</w:t>
      </w:r>
    </w:p>
    <w:p>
      <w:pPr>
        <w:spacing w:after="0" w:line="226" w:lineRule="exact"/>
        <w:rPr>
          <w:sz w:val="20"/>
          <w:szCs w:val="20"/>
          <w:color w:val="auto"/>
        </w:rPr>
      </w:pPr>
    </w:p>
    <w:p>
      <w:pPr>
        <w:jc w:val="both"/>
        <w:ind w:left="180" w:firstLine="1286"/>
        <w:spacing w:after="0" w:line="287" w:lineRule="auto"/>
        <w:tabs>
          <w:tab w:leader="none" w:pos="1810" w:val="left"/>
        </w:tabs>
        <w:numPr>
          <w:ilvl w:val="0"/>
          <w:numId w:val="423"/>
        </w:numPr>
        <w:rPr>
          <w:rFonts w:ascii="Arial" w:cs="Arial" w:eastAsia="Arial" w:hAnsi="Arial"/>
          <w:sz w:val="19"/>
          <w:szCs w:val="19"/>
          <w:color w:val="auto"/>
        </w:rPr>
      </w:pPr>
      <w:r>
        <w:rPr>
          <w:rFonts w:ascii="Arial" w:cs="Arial" w:eastAsia="Arial" w:hAnsi="Arial"/>
          <w:sz w:val="19"/>
          <w:szCs w:val="19"/>
          <w:u w:val="single" w:color="auto"/>
          <w:color w:val="auto"/>
        </w:rPr>
        <w:t>No Responsibility for Certain Matters</w:t>
      </w:r>
      <w:r>
        <w:rPr>
          <w:rFonts w:ascii="Arial" w:cs="Arial" w:eastAsia="Arial" w:hAnsi="Arial"/>
          <w:sz w:val="19"/>
          <w:szCs w:val="19"/>
          <w:color w:val="auto"/>
        </w:rPr>
        <w:t>. No Agent shall be responsible to any Lender for the execution, effectiveness, genuineness, validity, enforceability, collectability or sufficiency hereof or any other Credit Document or for any representations, warranties, recitals or statements made herein or therein or made in any written or oral statements or in any financial or other statements, instruments, reports or certificates or any other documents furnished or made by any Agent to Lenders or by or on behalf of any Credit Party to any Agent or any Lender in connection with the Credit Documents and the transactions contemplated thereby or for the financial condition or business affairs of any Credit Party or any other Person liable for the payment of any Obligations, nor shall any Agent be required to ascertain or inquire as to the performance or observance of any of the terms, conditions, provisions, covenants or agreements contained in any of the Credit Documents or as to the use of the proceeds of the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Loans or the component amounts thereof.</w:t>
      </w:r>
    </w:p>
    <w:p>
      <w:pPr>
        <w:spacing w:after="0" w:line="163" w:lineRule="exact"/>
        <w:rPr>
          <w:rFonts w:ascii="Arial" w:cs="Arial" w:eastAsia="Arial" w:hAnsi="Arial"/>
          <w:sz w:val="19"/>
          <w:szCs w:val="19"/>
          <w:color w:val="auto"/>
        </w:rPr>
      </w:pPr>
    </w:p>
    <w:p>
      <w:pPr>
        <w:jc w:val="both"/>
        <w:ind w:left="180" w:firstLine="1286"/>
        <w:spacing w:after="0" w:line="285" w:lineRule="auto"/>
        <w:tabs>
          <w:tab w:leader="none" w:pos="1795" w:val="left"/>
        </w:tabs>
        <w:numPr>
          <w:ilvl w:val="0"/>
          <w:numId w:val="423"/>
        </w:numPr>
        <w:rPr>
          <w:rFonts w:ascii="Arial" w:cs="Arial" w:eastAsia="Arial" w:hAnsi="Arial"/>
          <w:sz w:val="19"/>
          <w:szCs w:val="19"/>
          <w:color w:val="auto"/>
        </w:rPr>
      </w:pPr>
      <w:r>
        <w:rPr>
          <w:rFonts w:ascii="Arial" w:cs="Arial" w:eastAsia="Arial" w:hAnsi="Arial"/>
          <w:sz w:val="19"/>
          <w:szCs w:val="19"/>
          <w:u w:val="single" w:color="auto"/>
          <w:color w:val="auto"/>
        </w:rPr>
        <w:t>Exculpatory Provisions</w:t>
      </w:r>
      <w:r>
        <w:rPr>
          <w:rFonts w:ascii="Arial" w:cs="Arial" w:eastAsia="Arial" w:hAnsi="Arial"/>
          <w:sz w:val="19"/>
          <w:szCs w:val="19"/>
          <w:color w:val="auto"/>
        </w:rPr>
        <w:t>. No Agent nor any of its officers, partners, directors, employees or agents shall be liable to Lenders for any action taken or omitted by any Agent under or in connection with any of the Credit Documents except to the extent caused by such Agent’s gross negligence or willful misconduct, as determined by a final, non-appealable judgment of a court of competent jurisdiction. Each Agent shall be entitled to refrain from any act or the taking of any action (including the failure to take an action) in connection herewith or any of the other Credit Documents or from the exercise of any power, discretion or authority vested in it hereunder or thereunder unless and until such Agent shall have received instructions in respect thereof from Requisite Lenders (or such other Lenders as may be required to give such instructions under Section 10.5) and, upon receipt of such instructions from Requisite Lenders (or such other Lenders, as the case may be), such Agent shall be entitled to act or (where so instructed) refrain from acting, or to exercise such power, discretion or authority, in accordance with such instructions,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the Borrower and its Subsidiaries), accountants, experts and other professional advisors selected by it; and (ii) no Lender shall have any right of action whatsoever against any Agent as a result of such Agent acting or (where so instructed)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27" w:right="339" w:bottom="1440" w:gutter="0" w:footer="0" w:header="0"/>
        </w:sectPr>
      </w:pPr>
    </w:p>
    <w:bookmarkStart w:id="552" w:name="page553"/>
    <w:bookmarkEnd w:id="552"/>
    <w:p>
      <w:pPr>
        <w:ind w:left="180"/>
        <w:spacing w:after="0" w:line="263" w:lineRule="auto"/>
        <w:rPr>
          <w:sz w:val="20"/>
          <w:szCs w:val="20"/>
          <w:color w:val="auto"/>
        </w:rPr>
      </w:pPr>
      <w:r>
        <w:rPr>
          <w:rFonts w:ascii="Arial" w:cs="Arial" w:eastAsia="Arial" w:hAnsi="Arial"/>
          <w:sz w:val="22"/>
          <w:szCs w:val="22"/>
          <w:color w:val="auto"/>
        </w:rPr>
        <w:t>refraining from acting hereunder or any of the other Credit Documents in accordance with the instructions of Requisite Lenders (or such other Lenders as may be required to give such instructions under Section 10.5).</w:t>
      </w:r>
    </w:p>
    <w:p>
      <w:pPr>
        <w:spacing w:after="0" w:line="175" w:lineRule="exact"/>
        <w:rPr>
          <w:sz w:val="20"/>
          <w:szCs w:val="20"/>
          <w:color w:val="auto"/>
        </w:rPr>
      </w:pPr>
    </w:p>
    <w:p>
      <w:pPr>
        <w:jc w:val="both"/>
        <w:ind w:left="180" w:firstLine="1286"/>
        <w:spacing w:after="0" w:line="284" w:lineRule="auto"/>
        <w:tabs>
          <w:tab w:leader="none" w:pos="1770" w:val="left"/>
        </w:tabs>
        <w:numPr>
          <w:ilvl w:val="0"/>
          <w:numId w:val="424"/>
        </w:numPr>
        <w:rPr>
          <w:rFonts w:ascii="Arial" w:cs="Arial" w:eastAsia="Arial" w:hAnsi="Arial"/>
          <w:sz w:val="19"/>
          <w:szCs w:val="19"/>
          <w:color w:val="auto"/>
        </w:rPr>
      </w:pPr>
      <w:r>
        <w:rPr>
          <w:rFonts w:ascii="Arial" w:cs="Arial" w:eastAsia="Arial" w:hAnsi="Arial"/>
          <w:sz w:val="19"/>
          <w:szCs w:val="19"/>
          <w:u w:val="single" w:color="auto"/>
          <w:color w:val="auto"/>
        </w:rPr>
        <w:t>Delegation of Duties</w:t>
      </w:r>
      <w:r>
        <w:rPr>
          <w:rFonts w:ascii="Arial" w:cs="Arial" w:eastAsia="Arial" w:hAnsi="Arial"/>
          <w:sz w:val="19"/>
          <w:szCs w:val="19"/>
          <w:color w:val="auto"/>
        </w:rPr>
        <w:t>. Administrative Agent may perform any and all of its duties and exercise its rights and powers under this Agreement or under any other Credit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this Section 9.3 and of Section 9.6 shall apply to any the Affiliates of Administrative Agent and shall apply to their respective activities in connection with the syndication of the credit facilities provided for herein as well as activities as Administrative Agent. All of the rights, benefits, and privileges (including the exculpatory and indemnification provisions) of this Section 9.3 and of Section 9.6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Credit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Credit Party, Lender or any other Person and no Credit Party, Lender or any other Person shall have any rights, directly or indirectly, as a third party beneficiary or otherwise, against such sub-agent.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9.4. Agents Entitled to Act as Lender</w:t>
      </w:r>
      <w:r>
        <w:rPr>
          <w:rFonts w:ascii="Arial" w:cs="Arial" w:eastAsia="Arial" w:hAnsi="Arial"/>
          <w:sz w:val="21"/>
          <w:szCs w:val="21"/>
          <w:color w:val="auto"/>
        </w:rPr>
        <w:t>. The agency hereby created shall in no way impair or affect any of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powers of, or impose any duties or obligations upon, any Agent in its individual capacity as a Lender hereunder. With respect to its participation in the Loans, each Agent shall have the same rights and powers hereunder as any other Lender and may exercise the same as if it were not performing the duties and functions delegated to it hereunder, and the term “Lender” shall, unless the context clearly otherwise indicates, include each Agent in its individual capacity. Any Agent and its Affiliates may accept deposits from, lend money to, own securities of, and generally engage in any kind of banking, trust, financial advisory or other business with the Borrower or any of its Affiliates as if it were not performing the duties specified herein, and may accept fees and other consideration from Borrower for services in connection herewith and otherwise without having to account for the same to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27" w:right="339" w:bottom="1440" w:gutter="0" w:footer="0" w:header="0"/>
        </w:sectPr>
      </w:pPr>
    </w:p>
    <w:bookmarkStart w:id="553" w:name="page554"/>
    <w:bookmarkEnd w:id="553"/>
    <w:p>
      <w:pPr>
        <w:ind w:left="660"/>
        <w:spacing w:after="0"/>
        <w:rPr>
          <w:sz w:val="20"/>
          <w:szCs w:val="20"/>
          <w:color w:val="auto"/>
        </w:rPr>
      </w:pPr>
      <w:r>
        <w:rPr>
          <w:rFonts w:ascii="Arial" w:cs="Arial" w:eastAsia="Arial" w:hAnsi="Arial"/>
          <w:sz w:val="22"/>
          <w:szCs w:val="22"/>
          <w:b w:val="1"/>
          <w:bCs w:val="1"/>
          <w:color w:val="auto"/>
        </w:rPr>
        <w:t>9.5. Lenders’ Representations, Warranties and Acknowledgment</w:t>
      </w:r>
      <w:r>
        <w:rPr>
          <w:rFonts w:ascii="Arial" w:cs="Arial" w:eastAsia="Arial" w:hAnsi="Arial"/>
          <w:sz w:val="22"/>
          <w:szCs w:val="22"/>
          <w:color w:val="auto"/>
        </w:rPr>
        <w:t>.</w:t>
      </w:r>
    </w:p>
    <w:p>
      <w:pPr>
        <w:spacing w:after="0" w:line="226" w:lineRule="exact"/>
        <w:rPr>
          <w:sz w:val="20"/>
          <w:szCs w:val="20"/>
          <w:color w:val="auto"/>
        </w:rPr>
      </w:pPr>
    </w:p>
    <w:p>
      <w:pPr>
        <w:jc w:val="both"/>
        <w:ind w:left="180" w:firstLine="1286"/>
        <w:spacing w:after="0" w:line="292" w:lineRule="auto"/>
        <w:tabs>
          <w:tab w:leader="none" w:pos="1797" w:val="left"/>
        </w:tabs>
        <w:numPr>
          <w:ilvl w:val="0"/>
          <w:numId w:val="425"/>
        </w:numPr>
        <w:rPr>
          <w:rFonts w:ascii="Arial" w:cs="Arial" w:eastAsia="Arial" w:hAnsi="Arial"/>
          <w:sz w:val="19"/>
          <w:szCs w:val="19"/>
          <w:color w:val="auto"/>
        </w:rPr>
      </w:pPr>
      <w:r>
        <w:rPr>
          <w:rFonts w:ascii="Arial" w:cs="Arial" w:eastAsia="Arial" w:hAnsi="Arial"/>
          <w:sz w:val="19"/>
          <w:szCs w:val="19"/>
          <w:color w:val="auto"/>
        </w:rPr>
        <w:t>Each Lender represents and warrants that it has made its own independent investigation of the financial condition and affairs of the Borrower and its Subsidiaries in connection with Credit Extensions hereunder and that it has made and shall continue to make its own appraisal of the creditworthiness of the Borrower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spacing w:after="0" w:line="150" w:lineRule="exact"/>
        <w:rPr>
          <w:rFonts w:ascii="Arial" w:cs="Arial" w:eastAsia="Arial" w:hAnsi="Arial"/>
          <w:sz w:val="19"/>
          <w:szCs w:val="19"/>
          <w:color w:val="auto"/>
        </w:rPr>
      </w:pPr>
    </w:p>
    <w:p>
      <w:pPr>
        <w:jc w:val="both"/>
        <w:ind w:left="180" w:firstLine="1286"/>
        <w:spacing w:after="0" w:line="250" w:lineRule="auto"/>
        <w:tabs>
          <w:tab w:leader="none" w:pos="1782" w:val="left"/>
        </w:tabs>
        <w:numPr>
          <w:ilvl w:val="0"/>
          <w:numId w:val="425"/>
        </w:numPr>
        <w:rPr>
          <w:rFonts w:ascii="Arial" w:cs="Arial" w:eastAsia="Arial" w:hAnsi="Arial"/>
          <w:sz w:val="22"/>
          <w:szCs w:val="22"/>
          <w:color w:val="auto"/>
        </w:rPr>
      </w:pPr>
      <w:r>
        <w:rPr>
          <w:rFonts w:ascii="Arial" w:cs="Arial" w:eastAsia="Arial" w:hAnsi="Arial"/>
          <w:sz w:val="22"/>
          <w:szCs w:val="22"/>
          <w:color w:val="auto"/>
        </w:rPr>
        <w:t>Each Lender, by delivering its signature page to this Agreement or an Assignment Agreement and funding its Term Loan on the Closing Date, shall be deemed to have acknowledged receipt of, and consented to and approved, each Credit Document and each other document required to be approved by any Agent, Requisite Lenders or Lenders, as applicable on the Closing Date.</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9.6. Right to Indemnity</w:t>
      </w:r>
      <w:r>
        <w:rPr>
          <w:rFonts w:ascii="Arial" w:cs="Arial" w:eastAsia="Arial" w:hAnsi="Arial"/>
          <w:sz w:val="19"/>
          <w:szCs w:val="19"/>
          <w:color w:val="auto"/>
        </w:rPr>
        <w:t>. Each Lender, in proportion to its Pro Rata Share, severally agrees to indemnify each Agent,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extent that such Agent shall not have been reimbursed by any Credit Party,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Credit Documents or otherwise in its capacity as such Agent in any way relating to or arising out of this Agreement, the other Credit Documents, or the use of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no Lender shall be liable for any portion of such liabilities, obligations, losses, damages, penalties, actions, judgments, suits, costs, expenses or disbursements resulting from such Agent’s gross negligence or willful misconduct, as determined by a final, non-appealable judgment of a court of competent jurisdiction.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no event shall this sentence require any Lender to indemnify any Agent against any liability, obligation, loss, damage, penalty, action, judgment, suit, cost, expense or disbursement in excess of such Lender’s Pro Rata Share thereof;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this sentence shall not be deemed to require any Lender to indemnify any Agent against any liability, obligation, loss, damage, penalty, action, judgment, suit, cost, expense or disbursement described in the proviso in the immediately preceding sentence.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9.7. Successor Administrative Agent </w:t>
      </w:r>
      <w:r>
        <w:rPr>
          <w:rFonts w:ascii="Arial" w:cs="Arial" w:eastAsia="Arial" w:hAnsi="Arial"/>
          <w:sz w:val="22"/>
          <w:szCs w:val="22"/>
          <w:color w:val="auto"/>
        </w:rPr>
        <w:t>.</w:t>
      </w:r>
    </w:p>
    <w:p>
      <w:pPr>
        <w:spacing w:after="0" w:line="226" w:lineRule="exact"/>
        <w:rPr>
          <w:sz w:val="20"/>
          <w:szCs w:val="20"/>
          <w:color w:val="auto"/>
        </w:rPr>
      </w:pPr>
    </w:p>
    <w:p>
      <w:pPr>
        <w:jc w:val="both"/>
        <w:ind w:left="180" w:firstLine="1286"/>
        <w:spacing w:after="0" w:line="253" w:lineRule="auto"/>
        <w:tabs>
          <w:tab w:leader="none" w:pos="1797" w:val="left"/>
        </w:tabs>
        <w:numPr>
          <w:ilvl w:val="0"/>
          <w:numId w:val="426"/>
        </w:numPr>
        <w:rPr>
          <w:rFonts w:ascii="Arial" w:cs="Arial" w:eastAsia="Arial" w:hAnsi="Arial"/>
          <w:sz w:val="22"/>
          <w:szCs w:val="22"/>
          <w:color w:val="auto"/>
        </w:rPr>
      </w:pPr>
      <w:r>
        <w:rPr>
          <w:rFonts w:ascii="Arial" w:cs="Arial" w:eastAsia="Arial" w:hAnsi="Arial"/>
          <w:sz w:val="22"/>
          <w:szCs w:val="22"/>
          <w:color w:val="auto"/>
        </w:rPr>
        <w:t>Administrative Agent shall have the right to resign at any time by giving prior written notice thereof to Lenders and Borrower and Administrative Agent may be removed at any time with or without cause by an instrument or concurrent instruments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21" w:right="339" w:bottom="1440" w:gutter="0" w:footer="0" w:header="0"/>
        </w:sectPr>
      </w:pPr>
    </w:p>
    <w:bookmarkStart w:id="554" w:name="page555"/>
    <w:bookmarkEnd w:id="554"/>
    <w:p>
      <w:pPr>
        <w:jc w:val="both"/>
        <w:spacing w:after="0" w:line="285" w:lineRule="auto"/>
        <w:rPr>
          <w:sz w:val="20"/>
          <w:szCs w:val="20"/>
          <w:color w:val="auto"/>
        </w:rPr>
      </w:pPr>
      <w:r>
        <w:rPr>
          <w:rFonts w:ascii="Arial" w:cs="Arial" w:eastAsia="Arial" w:hAnsi="Arial"/>
          <w:sz w:val="19"/>
          <w:szCs w:val="19"/>
          <w:color w:val="auto"/>
        </w:rPr>
        <w:t>writing delivered to Borrower and Administrative Agent and signed by the Requisite Lenders. Administrative Agent shall have the right to appoint a financial institution to act as Administrative Agent hereunder, subject to the reasonable satisfaction of Borrower and the Requisite Lenders, and Administrative Agent’s resignation shall become effective on the earliest of (i) 30 days after delivery of the notice of resignation (regardless of whether a successor has been appointed or not), (ii) the acceptance of such successor Administrative Agent by Borrower and the Requisite Lenders or (iii) such other date, if any, agreed to by the Requisite Lenders. Upon any such notice of resignation or any such removal, if a successor Administrative Agent has not already been appointed by the resigning Administrative Agent, the Requisite Lenders shall have the right, upon five Business Days’ notice to Borrower, to appoint a successor Administrative Agent. If neither the Requisite Lenders nor Administrative Agent have appointed a successor Administrative Agent, the Requisite Lenders shall be deemed to have succeeded to and become vested with all the rights, powers, privileges and duties of the resigning Administrative Agent. Upon the acceptance of any appointment as Administrative Agent hereunder by a successor Administrative Agent, that successor Administrative Agent shall thereupon succeed to and become vested with all the rights, powers, privileges and duties of the resigning or removed Administrative Agent and the resigning or removed Administrative Agent shall promptly (i) transfer to such successor Administrative Agent all records and other documents necessary or appropriate in connection with the performance of the duties of the successor Administrative Agent under the Credit Documents, and (ii)take such other actions, as may be necessary or appropriate in connection with the performance of the duties of the successor Administrative Agent , whereupon such resigning or removed Administrative Agent shall be discharged from its duties and obligations hereunder. After any resigning or removed Administrative Agent’s resignation or removal hereunder as Administrative Agent, the provisions of this Section 9 shall inure to its benefit as to any actions taken or omitted to be taken by it while it was Administrative Agent hereunder.</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9.8. Guaranty</w:t>
      </w:r>
      <w:r>
        <w:rPr>
          <w:rFonts w:ascii="Arial" w:cs="Arial" w:eastAsia="Arial" w:hAnsi="Arial"/>
          <w:sz w:val="22"/>
          <w:szCs w:val="22"/>
          <w:color w:val="auto"/>
        </w:rPr>
        <w:t>.</w:t>
      </w:r>
    </w:p>
    <w:p>
      <w:pPr>
        <w:spacing w:after="0" w:line="226" w:lineRule="exact"/>
        <w:rPr>
          <w:sz w:val="20"/>
          <w:szCs w:val="20"/>
          <w:color w:val="auto"/>
        </w:rPr>
      </w:pPr>
    </w:p>
    <w:p>
      <w:pPr>
        <w:jc w:val="both"/>
        <w:ind w:firstLine="1286"/>
        <w:spacing w:after="0" w:line="297" w:lineRule="auto"/>
        <w:tabs>
          <w:tab w:leader="none" w:pos="1603" w:val="left"/>
        </w:tabs>
        <w:numPr>
          <w:ilvl w:val="0"/>
          <w:numId w:val="427"/>
        </w:numPr>
        <w:rPr>
          <w:rFonts w:ascii="Arial" w:cs="Arial" w:eastAsia="Arial" w:hAnsi="Arial"/>
          <w:sz w:val="19"/>
          <w:szCs w:val="19"/>
          <w:color w:val="auto"/>
        </w:rPr>
      </w:pPr>
      <w:r>
        <w:rPr>
          <w:rFonts w:ascii="Arial" w:cs="Arial" w:eastAsia="Arial" w:hAnsi="Arial"/>
          <w:sz w:val="19"/>
          <w:szCs w:val="19"/>
          <w:u w:val="single" w:color="auto"/>
          <w:color w:val="auto"/>
        </w:rPr>
        <w:t>Agents under Guaranty</w:t>
      </w:r>
      <w:r>
        <w:rPr>
          <w:rFonts w:ascii="Arial" w:cs="Arial" w:eastAsia="Arial" w:hAnsi="Arial"/>
          <w:sz w:val="19"/>
          <w:szCs w:val="19"/>
          <w:color w:val="auto"/>
        </w:rPr>
        <w:t>. Each Lender hereby further authorizes Administrative Agent, on behalf of and for the benefit of the Lenders, to be the agent for and representative of the Lenders with respect to the Guaranty. Subject to Section 10.5, without further written consent or authorization from any Lender, Administrative Agent may execute any documents or instruments necessary to release any Guarantor from the Guaranty pursuant to Section 7.12 or with respect to which Requisite Lenders (or such other Lenders as may be required to give such consent under Section 10.5) have otherwise consented.</w:t>
      </w:r>
    </w:p>
    <w:p>
      <w:pPr>
        <w:spacing w:after="0" w:line="146" w:lineRule="exact"/>
        <w:rPr>
          <w:rFonts w:ascii="Arial" w:cs="Arial" w:eastAsia="Arial" w:hAnsi="Arial"/>
          <w:sz w:val="19"/>
          <w:szCs w:val="19"/>
          <w:color w:val="auto"/>
        </w:rPr>
      </w:pPr>
    </w:p>
    <w:p>
      <w:pPr>
        <w:jc w:val="both"/>
        <w:ind w:firstLine="1286"/>
        <w:spacing w:after="0" w:line="248" w:lineRule="auto"/>
        <w:tabs>
          <w:tab w:leader="none" w:pos="1683" w:val="left"/>
        </w:tabs>
        <w:numPr>
          <w:ilvl w:val="0"/>
          <w:numId w:val="427"/>
        </w:numPr>
        <w:rPr>
          <w:rFonts w:ascii="Arial" w:cs="Arial" w:eastAsia="Arial" w:hAnsi="Arial"/>
          <w:sz w:val="22"/>
          <w:szCs w:val="22"/>
          <w:color w:val="auto"/>
        </w:rPr>
      </w:pPr>
      <w:r>
        <w:rPr>
          <w:rFonts w:ascii="Arial" w:cs="Arial" w:eastAsia="Arial" w:hAnsi="Arial"/>
          <w:sz w:val="22"/>
          <w:szCs w:val="22"/>
          <w:u w:val="single" w:color="auto"/>
          <w:color w:val="auto"/>
        </w:rPr>
        <w:t>Right to Enforce Guaranty</w:t>
      </w:r>
      <w:r>
        <w:rPr>
          <w:rFonts w:ascii="Arial" w:cs="Arial" w:eastAsia="Arial" w:hAnsi="Arial"/>
          <w:sz w:val="22"/>
          <w:szCs w:val="22"/>
          <w:color w:val="auto"/>
        </w:rPr>
        <w:t>. Anything contained in any of the Credit Documents to the contrary notwithstanding, Borrower, Administrative Agent and each Lender hereby agree that (i) no Lender shall have any right individually to enforce the Guaranty, it being understood and agreed that all powers, rights and remedies hereunder and under any of the Credit Documents may be exercised solely by Administrative Agent for the benefit of the Lenders in accordance with the terms hereof.</w:t>
      </w:r>
    </w:p>
    <w:p>
      <w:pPr>
        <w:spacing w:after="0" w:line="191" w:lineRule="exact"/>
        <w:rPr>
          <w:rFonts w:ascii="Arial" w:cs="Arial" w:eastAsia="Arial" w:hAnsi="Arial"/>
          <w:sz w:val="22"/>
          <w:szCs w:val="22"/>
          <w:color w:val="auto"/>
        </w:rPr>
      </w:pPr>
    </w:p>
    <w:p>
      <w:pPr>
        <w:ind w:left="1580" w:hanging="294"/>
        <w:spacing w:after="0"/>
        <w:tabs>
          <w:tab w:leader="none" w:pos="1580" w:val="left"/>
        </w:tabs>
        <w:numPr>
          <w:ilvl w:val="0"/>
          <w:numId w:val="427"/>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060"/>
          </w:cols>
          <w:pgMar w:left="500" w:top="1427" w:right="339" w:bottom="1440" w:gutter="0" w:footer="0" w:header="0"/>
        </w:sectPr>
      </w:pPr>
    </w:p>
    <w:bookmarkStart w:id="555" w:name="page556"/>
    <w:bookmarkEnd w:id="555"/>
    <w:p>
      <w:pPr>
        <w:jc w:val="both"/>
        <w:ind w:left="180" w:firstLine="1286"/>
        <w:spacing w:after="0" w:line="289" w:lineRule="auto"/>
        <w:tabs>
          <w:tab w:leader="none" w:pos="1849" w:val="left"/>
        </w:tabs>
        <w:numPr>
          <w:ilvl w:val="0"/>
          <w:numId w:val="428"/>
        </w:numPr>
        <w:rPr>
          <w:rFonts w:ascii="Arial" w:cs="Arial" w:eastAsia="Arial" w:hAnsi="Arial"/>
          <w:sz w:val="19"/>
          <w:szCs w:val="19"/>
          <w:color w:val="auto"/>
        </w:rPr>
      </w:pPr>
      <w:r>
        <w:rPr>
          <w:rFonts w:ascii="Arial" w:cs="Arial" w:eastAsia="Arial" w:hAnsi="Arial"/>
          <w:sz w:val="19"/>
          <w:szCs w:val="19"/>
          <w:u w:val="single" w:color="auto"/>
          <w:color w:val="auto"/>
        </w:rPr>
        <w:t>Release of Guarantees, Termination of Credit Documents</w:t>
      </w:r>
      <w:r>
        <w:rPr>
          <w:rFonts w:ascii="Arial" w:cs="Arial" w:eastAsia="Arial" w:hAnsi="Arial"/>
          <w:sz w:val="19"/>
          <w:szCs w:val="19"/>
          <w:color w:val="auto"/>
        </w:rPr>
        <w:t>. Notwithstanding anything to the contrary contained herein or any other Credit Document, when all Obligations have been paid in full, all Commitments have terminated or expired, Administrative Agent shall (without notice to, or vote or consent of, any Lender) take such actions as shall be required to release all guarantee obligations provided for in any Credit Document.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Borrower or any Guarantor, or upon or as a result of the appointment of a receiver, intervenor or conservator of, or trustee or similar officer for, Borrower or any Guarantor or any substantial part of its property, or otherwise, all as though such payment had not been made.</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9.9. Withholding Taxes</w:t>
      </w:r>
      <w:r>
        <w:rPr>
          <w:rFonts w:ascii="Arial" w:cs="Arial" w:eastAsia="Arial" w:hAnsi="Arial"/>
          <w:sz w:val="19"/>
          <w:szCs w:val="19"/>
          <w:color w:val="auto"/>
        </w:rPr>
        <w:t>. To the extent required by any applicable law, Administrative Agent may withhold from any</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to any Lender an amount equivalent to any applicable withholding Tax. Without duplication of the provisions of Section 2.20(h), if the Internal Revenue Service or any other Governmental Authority asserts a claim that Administrative Agent did not properly withhold Tax from amounts paid to or for the account of any Lender because the appropriate form was not delivered or was not properly executed or because such Lender failed to notify Administrative Agent of a change in circumstance which rendered the exemption from, or reduction of, withholding Tax ineffective or for any other reason, or if Administrative Agent reasonably determines that a payment was made to a Lender pursuant to this Agreement without deduction of applicable withholding tax from such payment, such Lender shall indemnify Administrative Agent fully for all amounts paid, directly or indirectly, by Administrative Agent as Tax or otherwise, including any penalties or interest and together with all expenses (including legal expenses, allocated internal costs and out-of-pocket expenses) incurred.</w:t>
      </w:r>
    </w:p>
    <w:p>
      <w:pPr>
        <w:spacing w:after="0" w:line="15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9.10. Administrative Agent May File Bankruptcy Disclosure and Proofs of Claim</w:t>
      </w:r>
      <w:r>
        <w:rPr>
          <w:rFonts w:ascii="Arial" w:cs="Arial" w:eastAsia="Arial" w:hAnsi="Arial"/>
          <w:sz w:val="22"/>
          <w:szCs w:val="22"/>
          <w:color w:val="auto"/>
        </w:rPr>
        <w:t>. In case of the pendency of any</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under any Debtor Relief Laws relative to any Credit Party, Administrative Agent (irrespective of whether the principal of any Loan shall then be due and payable as herein expressed or by declaration or otherwise and irrespective of whether Administrative Agent shall have made any demand on Borrower) shall be entitled and empowered (but not obligated) by intervention in such proceeding or otherwise:</w:t>
      </w:r>
    </w:p>
    <w:p>
      <w:pPr>
        <w:spacing w:after="0" w:line="192" w:lineRule="exact"/>
        <w:rPr>
          <w:sz w:val="20"/>
          <w:szCs w:val="20"/>
          <w:color w:val="auto"/>
        </w:rPr>
      </w:pPr>
    </w:p>
    <w:p>
      <w:pPr>
        <w:ind w:left="180" w:firstLine="1286"/>
        <w:spacing w:after="0" w:line="287" w:lineRule="auto"/>
        <w:tabs>
          <w:tab w:leader="none" w:pos="1783" w:val="left"/>
        </w:tabs>
        <w:numPr>
          <w:ilvl w:val="0"/>
          <w:numId w:val="429"/>
        </w:numPr>
        <w:rPr>
          <w:rFonts w:ascii="Arial" w:cs="Arial" w:eastAsia="Arial" w:hAnsi="Arial"/>
          <w:sz w:val="21"/>
          <w:szCs w:val="21"/>
          <w:color w:val="auto"/>
        </w:rPr>
      </w:pPr>
      <w:r>
        <w:rPr>
          <w:rFonts w:ascii="Arial" w:cs="Arial" w:eastAsia="Arial" w:hAnsi="Arial"/>
          <w:sz w:val="21"/>
          <w:szCs w:val="21"/>
          <w:color w:val="auto"/>
        </w:rPr>
        <w:t>to file a verified statement pursuant to rule 2019 of the Federal Rules of Bankruptcy Procedure that, in its sole opinion, complies with such rule’s disclosure requirements for entities representing more than one creditor;</w:t>
      </w:r>
    </w:p>
    <w:p>
      <w:pPr>
        <w:spacing w:after="0" w:line="151" w:lineRule="exact"/>
        <w:rPr>
          <w:rFonts w:ascii="Arial" w:cs="Arial" w:eastAsia="Arial" w:hAnsi="Arial"/>
          <w:sz w:val="21"/>
          <w:szCs w:val="21"/>
          <w:color w:val="auto"/>
        </w:rPr>
      </w:pPr>
    </w:p>
    <w:p>
      <w:pPr>
        <w:jc w:val="both"/>
        <w:ind w:left="180" w:firstLine="1286"/>
        <w:spacing w:after="0" w:line="250" w:lineRule="auto"/>
        <w:tabs>
          <w:tab w:leader="none" w:pos="1795" w:val="left"/>
        </w:tabs>
        <w:numPr>
          <w:ilvl w:val="0"/>
          <w:numId w:val="429"/>
        </w:numPr>
        <w:rPr>
          <w:rFonts w:ascii="Arial" w:cs="Arial" w:eastAsia="Arial" w:hAnsi="Arial"/>
          <w:sz w:val="22"/>
          <w:szCs w:val="22"/>
          <w:color w:val="auto"/>
        </w:rPr>
      </w:pPr>
      <w:r>
        <w:rPr>
          <w:rFonts w:ascii="Arial" w:cs="Arial" w:eastAsia="Arial" w:hAnsi="Arial"/>
          <w:sz w:val="22"/>
          <w:szCs w:val="22"/>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Administrative Agent (including any claim for the reasonable compensation, expenses, disbursements and advances of Administrative Agent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27" w:right="339" w:bottom="1440" w:gutter="0" w:footer="0" w:header="0"/>
        </w:sectPr>
      </w:pPr>
    </w:p>
    <w:bookmarkStart w:id="556" w:name="page557"/>
    <w:bookmarkEnd w:id="556"/>
    <w:p>
      <w:pPr>
        <w:ind w:left="180"/>
        <w:spacing w:after="0" w:line="263" w:lineRule="auto"/>
        <w:rPr>
          <w:sz w:val="20"/>
          <w:szCs w:val="20"/>
          <w:color w:val="auto"/>
        </w:rPr>
      </w:pPr>
      <w:r>
        <w:rPr>
          <w:rFonts w:ascii="Arial" w:cs="Arial" w:eastAsia="Arial" w:hAnsi="Arial"/>
          <w:sz w:val="22"/>
          <w:szCs w:val="22"/>
          <w:color w:val="auto"/>
        </w:rPr>
        <w:t>respective agents and counsel and all other amounts due the Lenders and Administrative Agent under Sections 2.11, 10.2 and 10.3 allowed in such judicial proceeding); and</w:t>
      </w:r>
    </w:p>
    <w:p>
      <w:pPr>
        <w:spacing w:after="0" w:line="175" w:lineRule="exact"/>
        <w:rPr>
          <w:sz w:val="20"/>
          <w:szCs w:val="20"/>
          <w:color w:val="auto"/>
        </w:rPr>
      </w:pPr>
    </w:p>
    <w:p>
      <w:pPr>
        <w:ind w:left="180" w:firstLine="1286"/>
        <w:spacing w:after="0" w:line="263" w:lineRule="auto"/>
        <w:tabs>
          <w:tab w:leader="none" w:pos="1810" w:val="left"/>
        </w:tabs>
        <w:numPr>
          <w:ilvl w:val="0"/>
          <w:numId w:val="430"/>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the Lenders, to pay to Administrative Agent any amount due for the reasonable compensation, expenses, disbursements and advances of Administrative Agent and its agents and counsel, and any other amounts due Administrative Agent under Sections 2.11, 10.2 and 10.3. To the extent that the payment of any such compensation, expenses, disbursements and advances of Administrative Agent, its agents and counsel, and any other amounts due Administrative Agent under Sections 2.11, 10.2 and 10.3 out of the estate in any such proceeding, shall be denied for any reason, payment of the same shall be secured by a Lien on, and shall be paid out of, any and all distributions, dividends, money, securities and other properties that the Lenders may be entitled to receive in such proceeding whether in liquidation or under any plan of reorganization or arrangement or otherwise.</w:t>
      </w:r>
    </w:p>
    <w:p>
      <w:pPr>
        <w:spacing w:after="0" w:line="15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Nothing contained herein shall be deemed to authorize Administrative Agent to authorize or consent to or accept or adopt on behalf of any Lender any plan of reorganization, arrangement, adjustment or composition affecting the Obligations or the rights of any Lender or to authorize Administrative Agent to vote in respect of the claim of any Lender in any such proceeding.</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SECTION 10. MISCELLANEOUS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10.1. Notices.</w:t>
      </w:r>
    </w:p>
    <w:p>
      <w:pPr>
        <w:spacing w:after="0" w:line="226" w:lineRule="exact"/>
        <w:rPr>
          <w:sz w:val="20"/>
          <w:szCs w:val="20"/>
          <w:color w:val="auto"/>
        </w:rPr>
      </w:pPr>
    </w:p>
    <w:p>
      <w:pPr>
        <w:jc w:val="both"/>
        <w:ind w:left="180" w:firstLine="1286"/>
        <w:spacing w:after="0" w:line="258" w:lineRule="auto"/>
        <w:tabs>
          <w:tab w:leader="none" w:pos="1783" w:val="left"/>
        </w:tabs>
        <w:numPr>
          <w:ilvl w:val="0"/>
          <w:numId w:val="431"/>
        </w:numPr>
        <w:rPr>
          <w:rFonts w:ascii="Arial" w:cs="Arial" w:eastAsia="Arial" w:hAnsi="Arial"/>
          <w:sz w:val="21"/>
          <w:szCs w:val="21"/>
          <w:color w:val="auto"/>
        </w:rPr>
      </w:pPr>
      <w:r>
        <w:rPr>
          <w:rFonts w:ascii="Arial" w:cs="Arial" w:eastAsia="Arial" w:hAnsi="Arial"/>
          <w:sz w:val="21"/>
          <w:szCs w:val="21"/>
          <w:u w:val="single" w:color="auto"/>
          <w:color w:val="auto"/>
        </w:rPr>
        <w:t>Notices Generally</w:t>
      </w:r>
      <w:r>
        <w:rPr>
          <w:rFonts w:ascii="Arial" w:cs="Arial" w:eastAsia="Arial" w:hAnsi="Arial"/>
          <w:sz w:val="21"/>
          <w:szCs w:val="21"/>
          <w:color w:val="auto"/>
        </w:rPr>
        <w:t xml:space="preserve">. Any notice or other communication herein required or permitted to be given to a Credit Party, Syndication Agents, Administrative Agent or Documentation Agent, shall be sent to such Person’s address as set forth on Appendix B or in the other relevant Credit Document, and in the case of any Lender, the address as indicated on Appendix B or otherwise indicated to Administrative Agent in writing. Except as otherwise set forth in Section 3.2(b) or paragraph (b) below, each notice hereunder shall be in writing and may be personally served or sent by facsimile (except for any notices sent to Administrative Agent) or United States mail or courier service and shall be deemed to have been given when delivered in person or by courier service and signed for against receipt thereof, upon receipt of facsimile, or three Business Days after depositing it in the United States mail with postage prepaid and properly addressed;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no notice to any Agent shall be effective until received by such Agent; </w:t>
      </w:r>
      <w:r>
        <w:rPr>
          <w:rFonts w:ascii="Arial" w:cs="Arial" w:eastAsia="Arial" w:hAnsi="Arial"/>
          <w:sz w:val="21"/>
          <w:szCs w:val="21"/>
          <w:u w:val="single" w:color="auto"/>
          <w:color w:val="auto"/>
        </w:rPr>
        <w:t>provided further</w:t>
      </w:r>
      <w:r>
        <w:rPr>
          <w:rFonts w:ascii="Arial" w:cs="Arial" w:eastAsia="Arial" w:hAnsi="Arial"/>
          <w:sz w:val="21"/>
          <w:szCs w:val="21"/>
          <w:color w:val="auto"/>
        </w:rPr>
        <w:t>, any such notice or other communication shall at the request of Administrative Agent be provided to any sub-agent appointed pursuant to Section 9.3(c) as designated by Administrative Agent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27" w:right="339" w:bottom="1440" w:gutter="0" w:footer="0" w:header="0"/>
        </w:sectPr>
      </w:pPr>
    </w:p>
    <w:bookmarkStart w:id="557" w:name="page558"/>
    <w:bookmarkEnd w:id="557"/>
    <w:p>
      <w:pPr>
        <w:ind w:left="660" w:hanging="308"/>
        <w:spacing w:after="0"/>
        <w:tabs>
          <w:tab w:leader="none" w:pos="660" w:val="left"/>
        </w:tabs>
        <w:numPr>
          <w:ilvl w:val="0"/>
          <w:numId w:val="432"/>
        </w:numPr>
        <w:rPr>
          <w:rFonts w:ascii="Arial" w:cs="Arial" w:eastAsia="Arial" w:hAnsi="Arial"/>
          <w:sz w:val="22"/>
          <w:szCs w:val="22"/>
          <w:color w:val="auto"/>
        </w:rPr>
      </w:pPr>
      <w:r>
        <w:rPr>
          <w:rFonts w:ascii="Arial" w:cs="Arial" w:eastAsia="Arial" w:hAnsi="Arial"/>
          <w:sz w:val="22"/>
          <w:szCs w:val="22"/>
          <w:u w:val="single" w:color="auto"/>
          <w:color w:val="auto"/>
        </w:rPr>
        <w:t>Electronic Communications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60" w:firstLine="1292"/>
        <w:spacing w:after="0" w:line="286" w:lineRule="auto"/>
        <w:tabs>
          <w:tab w:leader="none" w:pos="1094" w:val="left"/>
        </w:tabs>
        <w:numPr>
          <w:ilvl w:val="1"/>
          <w:numId w:val="432"/>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any Agent and Lenders hereunder may be delivered or furnished by electronic communication (including e-mail and Internet or intranet websites, including the Platform) pursuant to procedures approved by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Agent or any Lender if such Person has notified Administrative Agent that it is incapable of receiving notices under such Section by electronic communication. Administrative Agent or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Unless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460" w:firstLine="1292"/>
        <w:spacing w:after="0" w:line="248" w:lineRule="auto"/>
        <w:tabs>
          <w:tab w:leader="none" w:pos="1181" w:val="left"/>
        </w:tabs>
        <w:numPr>
          <w:ilvl w:val="1"/>
          <w:numId w:val="432"/>
        </w:numPr>
        <w:rPr>
          <w:rFonts w:ascii="Arial" w:cs="Arial" w:eastAsia="Arial" w:hAnsi="Arial"/>
          <w:sz w:val="22"/>
          <w:szCs w:val="22"/>
          <w:color w:val="auto"/>
        </w:rPr>
      </w:pPr>
      <w:r>
        <w:rPr>
          <w:rFonts w:ascii="Arial" w:cs="Arial" w:eastAsia="Arial" w:hAnsi="Arial"/>
          <w:sz w:val="22"/>
          <w:szCs w:val="22"/>
          <w:color w:val="auto"/>
        </w:rPr>
        <w:t>Each Credit Party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Administrative Agent, as determined by a final, non-appealable judgment of a court of competent jurisdiction.</w:t>
      </w:r>
    </w:p>
    <w:p>
      <w:pPr>
        <w:spacing w:after="0" w:line="191" w:lineRule="exact"/>
        <w:rPr>
          <w:rFonts w:ascii="Arial" w:cs="Arial" w:eastAsia="Arial" w:hAnsi="Arial"/>
          <w:sz w:val="22"/>
          <w:szCs w:val="22"/>
          <w:color w:val="auto"/>
        </w:rPr>
      </w:pPr>
    </w:p>
    <w:p>
      <w:pPr>
        <w:jc w:val="both"/>
        <w:ind w:left="-460" w:firstLine="1292"/>
        <w:spacing w:after="0" w:line="288" w:lineRule="auto"/>
        <w:tabs>
          <w:tab w:leader="none" w:pos="1227" w:val="left"/>
        </w:tabs>
        <w:numPr>
          <w:ilvl w:val="1"/>
          <w:numId w:val="432"/>
        </w:numPr>
        <w:rPr>
          <w:rFonts w:ascii="Arial" w:cs="Arial" w:eastAsia="Arial" w:hAnsi="Arial"/>
          <w:sz w:val="19"/>
          <w:szCs w:val="19"/>
          <w:color w:val="auto"/>
        </w:rPr>
      </w:pPr>
      <w:r>
        <w:rPr>
          <w:rFonts w:ascii="Arial" w:cs="Arial" w:eastAsia="Arial" w:hAnsi="Arial"/>
          <w:sz w:val="19"/>
          <w:szCs w:val="19"/>
          <w:color w:val="auto"/>
        </w:rPr>
        <w:t xml:space="preserve">The Platform and any Approved Electronic Communications are provided “as is” and “as available”. None of the Agents or any of their respective officers, directors, employees, agents, advisors or representatives (the </w:t>
      </w:r>
      <w:r>
        <w:rPr>
          <w:rFonts w:ascii="Arial" w:cs="Arial" w:eastAsia="Arial" w:hAnsi="Arial"/>
          <w:sz w:val="19"/>
          <w:szCs w:val="19"/>
          <w:b w:val="1"/>
          <w:bCs w:val="1"/>
          <w:color w:val="auto"/>
        </w:rPr>
        <w:t>“Agent Affiliates”</w:t>
      </w:r>
      <w:r>
        <w:rPr>
          <w:rFonts w:ascii="Arial" w:cs="Arial" w:eastAsia="Arial" w:hAnsi="Arial"/>
          <w:sz w:val="19"/>
          <w:szCs w:val="19"/>
          <w:color w:val="auto"/>
        </w:rPr>
        <w:t>) warrant the accuracy, adequacy, or completeness of the Approved Electronic Communications or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the Agent Affiliates in connection with the Platform or the Approved Electronic Communications. In no event shall the Agent Affiliates have any liability to Borrower or the other Credit Parties, any Lender or any other Person or entity for damages of any kind, including direct or indirect, special, incidental or consequential damages, losses or expenses (whether in tort, contract or otherwise) arising out of Borrower’s, any Credit Party’s or Administrative Agent’s transmission of communications through the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0120"/>
          </w:cols>
          <w:pgMar w:left="1440" w:top="1427" w:right="339" w:bottom="1440" w:gutter="0" w:footer="0" w:header="0"/>
        </w:sectPr>
      </w:pPr>
    </w:p>
    <w:bookmarkStart w:id="558" w:name="page559"/>
    <w:bookmarkEnd w:id="558"/>
    <w:p>
      <w:pPr>
        <w:jc w:val="both"/>
        <w:ind w:left="660" w:firstLine="1292"/>
        <w:spacing w:after="0" w:line="253" w:lineRule="auto"/>
        <w:tabs>
          <w:tab w:leader="none" w:pos="2322" w:val="left"/>
        </w:tabs>
        <w:numPr>
          <w:ilvl w:val="1"/>
          <w:numId w:val="433"/>
        </w:numPr>
        <w:rPr>
          <w:rFonts w:ascii="Arial" w:cs="Arial" w:eastAsia="Arial" w:hAnsi="Arial"/>
          <w:sz w:val="22"/>
          <w:szCs w:val="22"/>
          <w:color w:val="auto"/>
        </w:rPr>
      </w:pPr>
      <w:r>
        <w:rPr>
          <w:rFonts w:ascii="Arial" w:cs="Arial" w:eastAsia="Arial" w:hAnsi="Arial"/>
          <w:sz w:val="22"/>
          <w:szCs w:val="22"/>
          <w:color w:val="auto"/>
        </w:rPr>
        <w:t>Each Credit Party, each Lender and each Agent agrees that Administrative Agent may, but shall not be obligated to, store any Approved Electronic Communications on the Platform in accordance with Administrative Agent’s customary document retention procedures and policies.</w:t>
      </w:r>
    </w:p>
    <w:p>
      <w:pPr>
        <w:spacing w:after="0" w:line="185" w:lineRule="exact"/>
        <w:rPr>
          <w:rFonts w:ascii="Arial" w:cs="Arial" w:eastAsia="Arial" w:hAnsi="Arial"/>
          <w:sz w:val="22"/>
          <w:szCs w:val="22"/>
          <w:color w:val="auto"/>
        </w:rPr>
      </w:pPr>
    </w:p>
    <w:p>
      <w:pPr>
        <w:ind w:left="660" w:firstLine="1292"/>
        <w:spacing w:after="0" w:line="263" w:lineRule="auto"/>
        <w:tabs>
          <w:tab w:leader="none" w:pos="2302" w:val="left"/>
        </w:tabs>
        <w:numPr>
          <w:ilvl w:val="1"/>
          <w:numId w:val="433"/>
        </w:numPr>
        <w:rPr>
          <w:rFonts w:ascii="Arial" w:cs="Arial" w:eastAsia="Arial" w:hAnsi="Arial"/>
          <w:sz w:val="22"/>
          <w:szCs w:val="22"/>
          <w:color w:val="auto"/>
        </w:rPr>
      </w:pPr>
      <w:r>
        <w:rPr>
          <w:rFonts w:ascii="Arial" w:cs="Arial" w:eastAsia="Arial" w:hAnsi="Arial"/>
          <w:sz w:val="22"/>
          <w:szCs w:val="22"/>
          <w:color w:val="auto"/>
        </w:rPr>
        <w:t>Any notice of Default or Event of Default may be provided by telephone if confirmed promptly thereafter by delivery of written notice thereof.</w:t>
      </w:r>
    </w:p>
    <w:p>
      <w:pPr>
        <w:spacing w:after="0" w:line="174" w:lineRule="exact"/>
        <w:rPr>
          <w:rFonts w:ascii="Arial" w:cs="Arial" w:eastAsia="Arial" w:hAnsi="Arial"/>
          <w:sz w:val="22"/>
          <w:szCs w:val="22"/>
          <w:color w:val="auto"/>
        </w:rPr>
      </w:pPr>
    </w:p>
    <w:p>
      <w:pPr>
        <w:jc w:val="both"/>
        <w:ind w:left="180" w:firstLine="1286"/>
        <w:spacing w:after="0" w:line="289" w:lineRule="auto"/>
        <w:tabs>
          <w:tab w:leader="none" w:pos="1770" w:val="left"/>
        </w:tabs>
        <w:numPr>
          <w:ilvl w:val="0"/>
          <w:numId w:val="434"/>
        </w:numPr>
        <w:rPr>
          <w:rFonts w:ascii="Arial" w:cs="Arial" w:eastAsia="Arial" w:hAnsi="Arial"/>
          <w:sz w:val="19"/>
          <w:szCs w:val="19"/>
          <w:color w:val="auto"/>
        </w:rPr>
      </w:pPr>
      <w:r>
        <w:rPr>
          <w:rFonts w:ascii="Arial" w:cs="Arial" w:eastAsia="Arial" w:hAnsi="Arial"/>
          <w:sz w:val="19"/>
          <w:szCs w:val="19"/>
          <w:u w:val="single" w:color="auto"/>
          <w:color w:val="auto"/>
        </w:rPr>
        <w:t>Private Side Information Contacts</w:t>
      </w:r>
      <w:r>
        <w:rPr>
          <w:rFonts w:ascii="Arial" w:cs="Arial" w:eastAsia="Arial" w:hAnsi="Arial"/>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“Public-Side Information” portion of the Platform and that may contain Private-Side Information.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Credit Documents.</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10.2. Expenses</w:t>
      </w:r>
      <w:r>
        <w:rPr>
          <w:rFonts w:ascii="Arial" w:cs="Arial" w:eastAsia="Arial" w:hAnsi="Arial"/>
          <w:sz w:val="19"/>
          <w:szCs w:val="19"/>
          <w:color w:val="auto"/>
        </w:rPr>
        <w:t>. Whether or not the transactions contemplated hereby shall be consummated, Borrower agrees to pay</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(a) all the actual and reasonable, documented and invoiced out-of-pocket costs and expenses incurred in connection with the negotiation, preparation and execution of the Credit Documents and any consents, amendments, waivers or other modifications thereto; (b) all the costs of furnishing all opinions by counsel for Borrower and the other Credit Parties; (c) the reasonable, documented and invoiced fees and disbursements of one outside counsel to Agents in connection with the negotiation, preparation, execution and administration of the Credit Documents and any consents, amendments, waivers or other modifications thereto and any other documents or matters requested by Borrower; (d) all the actual and reasonable, documented and invoiced out-of-pocket costs and reasonable, documented and invoiced fees and disbursements of any auditors, accountants, consultants or appraisers; (e) all other actual and reasonable, documented and invoiced out-of-pocket costs and expenses incurred by each Agent in connection with the syndication of the Loans and Commitments and the transactions contemplated by the Credit Documents and any consents, amendments, waivers or other modifications thereto and (f) after the occurrence of an Event of Default, all documented and invoiced out-of-pocket costs and expenses, including reasonable, documented and invoiced fees of one outside counsel for all the Agents and Lenders and costs of settlement, incurred by any Agent and Lenders in enforcing any Obligations of or in collecting any payments due from any Credit Party hereunder or under the other Credit Documents by reason of such Default or Event of Default (including in connection with the enforcement of the Guaranty) or in connection with any refinancing or restructuring of the credit arrangements provided hereunder in the nature of a “work-out” or pursuant to any insolvency or bankruptcy cases or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27" w:right="339" w:bottom="1440" w:gutter="0" w:footer="0" w:header="0"/>
        </w:sectPr>
      </w:pPr>
    </w:p>
    <w:bookmarkStart w:id="559" w:name="page560"/>
    <w:bookmarkEnd w:id="559"/>
    <w:p>
      <w:pPr>
        <w:ind w:left="480"/>
        <w:spacing w:after="0"/>
        <w:rPr>
          <w:sz w:val="20"/>
          <w:szCs w:val="20"/>
          <w:color w:val="auto"/>
        </w:rPr>
      </w:pPr>
      <w:r>
        <w:rPr>
          <w:rFonts w:ascii="Arial" w:cs="Arial" w:eastAsia="Arial" w:hAnsi="Arial"/>
          <w:sz w:val="22"/>
          <w:szCs w:val="22"/>
          <w:b w:val="1"/>
          <w:bCs w:val="1"/>
          <w:color w:val="auto"/>
        </w:rPr>
        <w:t>10.3. Indemnity</w:t>
      </w:r>
      <w:r>
        <w:rPr>
          <w:rFonts w:ascii="Arial" w:cs="Arial" w:eastAsia="Arial" w:hAnsi="Arial"/>
          <w:sz w:val="22"/>
          <w:szCs w:val="22"/>
          <w:color w:val="auto"/>
        </w:rPr>
        <w:t>.</w:t>
      </w:r>
    </w:p>
    <w:p>
      <w:pPr>
        <w:spacing w:after="0" w:line="226" w:lineRule="exact"/>
        <w:rPr>
          <w:sz w:val="20"/>
          <w:szCs w:val="20"/>
          <w:color w:val="auto"/>
        </w:rPr>
      </w:pPr>
    </w:p>
    <w:p>
      <w:pPr>
        <w:jc w:val="both"/>
        <w:ind w:firstLine="1286"/>
        <w:spacing w:after="0" w:line="288" w:lineRule="auto"/>
        <w:tabs>
          <w:tab w:leader="none" w:pos="1657" w:val="left"/>
        </w:tabs>
        <w:numPr>
          <w:ilvl w:val="0"/>
          <w:numId w:val="435"/>
        </w:numPr>
        <w:rPr>
          <w:rFonts w:ascii="Arial" w:cs="Arial" w:eastAsia="Arial" w:hAnsi="Arial"/>
          <w:sz w:val="19"/>
          <w:szCs w:val="19"/>
          <w:color w:val="auto"/>
        </w:rPr>
      </w:pPr>
      <w:r>
        <w:rPr>
          <w:rFonts w:ascii="Arial" w:cs="Arial" w:eastAsia="Arial" w:hAnsi="Arial"/>
          <w:sz w:val="19"/>
          <w:szCs w:val="19"/>
          <w:color w:val="auto"/>
        </w:rPr>
        <w:t xml:space="preserve">In addition to the payment of expenses pursuant to Section 10.2, whether or not the transactions contemplated hereby shall be consummated, each Credit Party agrees to defend (subject to Indemnitees’ selection of counsel), indemnify, pay and hold harmless, each Agent and Lender and each of their respective officers, partners, members, directors, trustees, advisors, employees, agents, sub-agents and affiliates (each, an </w:t>
      </w:r>
      <w:r>
        <w:rPr>
          <w:rFonts w:ascii="Arial" w:cs="Arial" w:eastAsia="Arial" w:hAnsi="Arial"/>
          <w:sz w:val="19"/>
          <w:szCs w:val="19"/>
          <w:b w:val="1"/>
          <w:bCs w:val="1"/>
          <w:color w:val="auto"/>
        </w:rPr>
        <w:t>“Indemnitee”</w:t>
      </w:r>
      <w:r>
        <w:rPr>
          <w:rFonts w:ascii="Arial" w:cs="Arial" w:eastAsia="Arial" w:hAnsi="Arial"/>
          <w:sz w:val="19"/>
          <w:szCs w:val="19"/>
          <w:color w:val="auto"/>
        </w:rPr>
        <w:t xml:space="preserve">), from and against any and all Indemnified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no Credit Party shall have any obligation to any Indemnitee hereunder with respect to any Indemnified Liabilities to the extent such Indemnified Liabilities arise directly from the gross negligence or willful misconduct of such Indemnitee, in each case, as determined by a final, non-appealable judgment of a court of competent jurisdiction. To the extent that the undertakings to defend, indemnify, pay and hold harmless set forth in this Section 10.3 may be unenforceable in whole or in part because they are violative of any law or public policy, the applicable Credit Party shall contribute the maximum portion that it is permitted to pay and satisfy under applicable law to the payment and satisfaction of all Indemnified Liabilities incurred by Indemnitees or any of them.</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286"/>
        <w:spacing w:after="0" w:line="289" w:lineRule="auto"/>
        <w:tabs>
          <w:tab w:leader="none" w:pos="1615" w:val="left"/>
        </w:tabs>
        <w:numPr>
          <w:ilvl w:val="0"/>
          <w:numId w:val="435"/>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no Credit Party shall assert, and each Credit Party hereby waives, any claim against each Lender and each Agent and their respective Affiliates, directors, employees, attorneys, agents or sub-agents,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the use of the proceeds thereof. None of any Lender or any Agent or any of their respective Affiliates, directors, employees, attorneys, agents or sub-agents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156" w:lineRule="exact"/>
        <w:rPr>
          <w:rFonts w:ascii="Arial" w:cs="Arial" w:eastAsia="Arial" w:hAnsi="Arial"/>
          <w:sz w:val="19"/>
          <w:szCs w:val="19"/>
          <w:color w:val="auto"/>
        </w:rPr>
      </w:pPr>
    </w:p>
    <w:p>
      <w:pPr>
        <w:jc w:val="both"/>
        <w:ind w:firstLine="1286"/>
        <w:spacing w:after="0" w:line="257" w:lineRule="auto"/>
        <w:tabs>
          <w:tab w:leader="none" w:pos="1603" w:val="left"/>
        </w:tabs>
        <w:numPr>
          <w:ilvl w:val="0"/>
          <w:numId w:val="435"/>
        </w:numPr>
        <w:rPr>
          <w:rFonts w:ascii="Arial" w:cs="Arial" w:eastAsia="Arial" w:hAnsi="Arial"/>
          <w:sz w:val="21"/>
          <w:szCs w:val="21"/>
          <w:color w:val="auto"/>
        </w:rPr>
      </w:pPr>
      <w:r>
        <w:rPr>
          <w:rFonts w:ascii="Arial" w:cs="Arial" w:eastAsia="Arial" w:hAnsi="Arial"/>
          <w:sz w:val="21"/>
          <w:szCs w:val="21"/>
          <w:color w:val="auto"/>
        </w:rPr>
        <w:t xml:space="preserve">Each Credit Party also agrees that no Lender or Agent nor their respective Affiliates, directors, employees, attorneys, agents or sub-agents will have any liability to any Credit Party or any person asserting claims on behalf of or in right of any Credit Party or any other person in connection with or as a result of this Agreement or any Credit Document or any agreement or instrument contemplated hereby or thereby or referred to herein or therein, the transactions contemplated hereby or thereby, any Loan, or the use of the proceeds thereof or any act or omission or event occurring in connection therewith, in each case, except in the case of any Credit Party to the extent that any losses, claims, damages, liabilities or expenses incurred by such Credit Party or its affiliates, shareholders, partners or other equity holders have been found by a final, non-appealable judgment of a court of competent jurisdiction to have resulted directly from the gross negligence or willful misconduct of such Lender or Agent or their respective Affiliates, directors, employees, attorneys, agents or sub-agents in performing its obligations under this Agreement or any Credit Document or any agreement or instrument contemplated hereby or thereby or referred to herein or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will such Lender or Agent, or their respective Affiliates, directors,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060"/>
          </w:cols>
          <w:pgMar w:left="500" w:top="1421" w:right="339" w:bottom="1440" w:gutter="0" w:footer="0" w:header="0"/>
        </w:sectPr>
      </w:pPr>
    </w:p>
    <w:bookmarkStart w:id="560" w:name="page561"/>
    <w:bookmarkEnd w:id="560"/>
    <w:p>
      <w:pPr>
        <w:jc w:val="both"/>
        <w:ind w:left="180"/>
        <w:spacing w:after="0" w:line="250" w:lineRule="auto"/>
        <w:rPr>
          <w:sz w:val="20"/>
          <w:szCs w:val="20"/>
          <w:color w:val="auto"/>
        </w:rPr>
      </w:pPr>
      <w:r>
        <w:rPr>
          <w:rFonts w:ascii="Arial" w:cs="Arial" w:eastAsia="Arial" w:hAnsi="Arial"/>
          <w:sz w:val="22"/>
          <w:szCs w:val="22"/>
          <w:color w:val="auto"/>
        </w:rPr>
        <w:t>attorneys, agents or sub-agents have any liability for any indirect, consequential, special or punitive damages in connection with or as a result of such Lender’s or Agent’s, or their respective Affiliates’, directors’, employees’, attorneys’, agents’ or sub-agents’ activities related to this Agreement, any Credit Document, or any agreement or instrument contemplated hereby or thereby or referred to herein or therein.</w:t>
      </w:r>
    </w:p>
    <w:p>
      <w:pPr>
        <w:spacing w:after="0" w:line="18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10.4. Set-Off</w:t>
      </w:r>
      <w:r>
        <w:rPr>
          <w:rFonts w:ascii="Arial" w:cs="Arial" w:eastAsia="Arial" w:hAnsi="Arial"/>
          <w:sz w:val="19"/>
          <w:szCs w:val="19"/>
          <w:color w:val="auto"/>
        </w:rPr>
        <w:t>. In addition to any rights now or hereafter granted under applicable law and not by way of limitation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rights, upon the occurrence of any Event of Default each Lender is hereby authorized by each Credit Party at any time or from time to time subject to the consent of Administrative Agent (such consent not to be unreasonably withheld or delayed),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and any other Indebtedness at any time held or owing by such Lender to or for the credit or the account of any Credit Party against and on account of the obligations and liabilities of any Credit Party to such Lender hereunder, and under the other Credit Documents, including all claims of any nature or description arising out of or connected hereto, or with any other Credit Document, irrespective of whether or not (a) such Lender shall have made any demand hereunder or (b) the principal of or the interest on the Loans or any other amounts due hereunder shall have become due and payable pursuant to Section 2 and although such obligations and liabilities, or any of them, may be contingent or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Administrative Agent for further application in accordance with the provisions of Sections 2.17 and 2.22 and, pending such payment, shall be segregated by such Defaulting Lender from its other funds and deemed held in trust for the benefit of Administrative Agent and the Lenders, and (y) the Defaulting Lender shall provide promptly to Administrative Agent a statement describing in reasonable detail the Obligations owing to such Defaulting Lender as to which it exercised such right of setoff. The rights of each Lender and their respective Affiliates under this Section 10.4 are in addition to other rights and remedies (including other rights of setoff) that such Lender or their respective Affiliates may have.</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10.5. Amendments and Waivers</w:t>
      </w:r>
      <w:r>
        <w:rPr>
          <w:rFonts w:ascii="Arial" w:cs="Arial" w:eastAsia="Arial" w:hAnsi="Arial"/>
          <w:sz w:val="22"/>
          <w:szCs w:val="22"/>
          <w:color w:val="auto"/>
        </w:rPr>
        <w:t>.</w:t>
      </w:r>
    </w:p>
    <w:p>
      <w:pPr>
        <w:spacing w:after="0" w:line="226" w:lineRule="exact"/>
        <w:rPr>
          <w:sz w:val="20"/>
          <w:szCs w:val="20"/>
          <w:color w:val="auto"/>
        </w:rPr>
      </w:pPr>
    </w:p>
    <w:p>
      <w:pPr>
        <w:jc w:val="both"/>
        <w:ind w:left="180" w:firstLine="1286"/>
        <w:spacing w:after="0" w:line="259" w:lineRule="auto"/>
        <w:tabs>
          <w:tab w:leader="none" w:pos="1810" w:val="left"/>
        </w:tabs>
        <w:numPr>
          <w:ilvl w:val="0"/>
          <w:numId w:val="436"/>
        </w:numPr>
        <w:rPr>
          <w:rFonts w:ascii="Arial" w:cs="Arial" w:eastAsia="Arial" w:hAnsi="Arial"/>
          <w:sz w:val="21"/>
          <w:szCs w:val="21"/>
          <w:color w:val="auto"/>
        </w:rPr>
      </w:pPr>
      <w:r>
        <w:rPr>
          <w:rFonts w:ascii="Arial" w:cs="Arial" w:eastAsia="Arial" w:hAnsi="Arial"/>
          <w:sz w:val="21"/>
          <w:szCs w:val="21"/>
          <w:u w:val="single" w:color="auto"/>
          <w:color w:val="auto"/>
        </w:rPr>
        <w:t>Requisite Lenders’ Consent</w:t>
      </w:r>
      <w:r>
        <w:rPr>
          <w:rFonts w:ascii="Arial" w:cs="Arial" w:eastAsia="Arial" w:hAnsi="Arial"/>
          <w:sz w:val="21"/>
          <w:szCs w:val="21"/>
          <w:color w:val="auto"/>
        </w:rPr>
        <w:t xml:space="preserve">. Subject to the additional requirements of Sections 10.5(b) and 10.5(c), no amendment, modification, termination or waiver of any provision of the Credit Documents, or consent to any departure by any Credit Party therefrom, shall in any event be effective without the written concurrence of the Borrower and the Requisite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Administrative Agent may, with the consent of Borrower only, amend, modify or supplement this Agreement or any other Credit Document to cure any ambiguity, omission, defect or inconsistency (as reasonably determined by Administrative Agent), so long as such amendment, modification or supplement does not adversely affect the rights of any Lender or the Lenders shall have received at least five Business Days’ prior written notice thereof and Administrative Agent shall not have received, within five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27" w:right="339" w:bottom="1440" w:gutter="0" w:footer="0" w:header="0"/>
        </w:sectPr>
      </w:pPr>
    </w:p>
    <w:bookmarkStart w:id="561" w:name="page562"/>
    <w:bookmarkEnd w:id="561"/>
    <w:p>
      <w:pPr>
        <w:spacing w:after="0" w:line="263" w:lineRule="auto"/>
        <w:rPr>
          <w:sz w:val="20"/>
          <w:szCs w:val="20"/>
          <w:color w:val="auto"/>
        </w:rPr>
      </w:pPr>
      <w:r>
        <w:rPr>
          <w:rFonts w:ascii="Arial" w:cs="Arial" w:eastAsia="Arial" w:hAnsi="Arial"/>
          <w:sz w:val="22"/>
          <w:szCs w:val="22"/>
          <w:color w:val="auto"/>
        </w:rPr>
        <w:t>Days of the date of such notice to the Lenders, a written notice from the Requisite Lenders stating that the Requisite Lenders object to such amendment.</w:t>
      </w:r>
    </w:p>
    <w:p>
      <w:pPr>
        <w:spacing w:after="0" w:line="175" w:lineRule="exact"/>
        <w:rPr>
          <w:sz w:val="20"/>
          <w:szCs w:val="20"/>
          <w:color w:val="auto"/>
        </w:rPr>
      </w:pPr>
    </w:p>
    <w:p>
      <w:pPr>
        <w:ind w:firstLine="1286"/>
        <w:spacing w:after="0" w:line="287" w:lineRule="auto"/>
        <w:tabs>
          <w:tab w:leader="none" w:pos="1629" w:val="left"/>
        </w:tabs>
        <w:numPr>
          <w:ilvl w:val="0"/>
          <w:numId w:val="437"/>
        </w:numPr>
        <w:rPr>
          <w:rFonts w:ascii="Arial" w:cs="Arial" w:eastAsia="Arial" w:hAnsi="Arial"/>
          <w:sz w:val="21"/>
          <w:szCs w:val="21"/>
          <w:color w:val="auto"/>
        </w:rPr>
      </w:pPr>
      <w:r>
        <w:rPr>
          <w:rFonts w:ascii="Arial" w:cs="Arial" w:eastAsia="Arial" w:hAnsi="Arial"/>
          <w:sz w:val="21"/>
          <w:szCs w:val="21"/>
          <w:u w:val="single" w:color="auto"/>
          <w:color w:val="auto"/>
        </w:rPr>
        <w:t>Affected Lenders’ Consent</w:t>
      </w:r>
      <w:r>
        <w:rPr>
          <w:rFonts w:ascii="Arial" w:cs="Arial" w:eastAsia="Arial" w:hAnsi="Arial"/>
          <w:sz w:val="21"/>
          <w:szCs w:val="21"/>
          <w:color w:val="auto"/>
        </w:rPr>
        <w:t>. Without the written consent of each Lender that would be directly affected thereby, no amendment, modification, termination, or consent shall be effective if the effect thereof would:</w:t>
      </w:r>
    </w:p>
    <w:p>
      <w:pPr>
        <w:spacing w:after="0" w:line="151" w:lineRule="exact"/>
        <w:rPr>
          <w:rFonts w:ascii="Arial" w:cs="Arial" w:eastAsia="Arial" w:hAnsi="Arial"/>
          <w:sz w:val="21"/>
          <w:szCs w:val="21"/>
          <w:color w:val="auto"/>
        </w:rPr>
      </w:pPr>
    </w:p>
    <w:p>
      <w:pPr>
        <w:ind w:left="2020" w:hanging="248"/>
        <w:spacing w:after="0"/>
        <w:tabs>
          <w:tab w:leader="none" w:pos="2020" w:val="left"/>
        </w:tabs>
        <w:numPr>
          <w:ilvl w:val="1"/>
          <w:numId w:val="437"/>
        </w:numPr>
        <w:rPr>
          <w:rFonts w:ascii="Arial" w:cs="Arial" w:eastAsia="Arial" w:hAnsi="Arial"/>
          <w:sz w:val="22"/>
          <w:szCs w:val="22"/>
          <w:color w:val="auto"/>
        </w:rPr>
      </w:pPr>
      <w:r>
        <w:rPr>
          <w:rFonts w:ascii="Arial" w:cs="Arial" w:eastAsia="Arial" w:hAnsi="Arial"/>
          <w:sz w:val="22"/>
          <w:szCs w:val="22"/>
          <w:color w:val="auto"/>
        </w:rPr>
        <w:t>extend the scheduled final maturity of any Loan or Note;</w:t>
      </w:r>
    </w:p>
    <w:p>
      <w:pPr>
        <w:spacing w:after="0" w:line="219" w:lineRule="exact"/>
        <w:rPr>
          <w:rFonts w:ascii="Arial" w:cs="Arial" w:eastAsia="Arial" w:hAnsi="Arial"/>
          <w:sz w:val="22"/>
          <w:szCs w:val="22"/>
          <w:color w:val="auto"/>
        </w:rPr>
      </w:pPr>
    </w:p>
    <w:p>
      <w:pPr>
        <w:ind w:left="2080" w:hanging="308"/>
        <w:spacing w:after="0"/>
        <w:tabs>
          <w:tab w:leader="none" w:pos="2080" w:val="left"/>
        </w:tabs>
        <w:numPr>
          <w:ilvl w:val="1"/>
          <w:numId w:val="437"/>
        </w:numPr>
        <w:rPr>
          <w:rFonts w:ascii="Arial" w:cs="Arial" w:eastAsia="Arial" w:hAnsi="Arial"/>
          <w:sz w:val="22"/>
          <w:szCs w:val="22"/>
          <w:color w:val="auto"/>
        </w:rPr>
      </w:pPr>
      <w:r>
        <w:rPr>
          <w:rFonts w:ascii="Arial" w:cs="Arial" w:eastAsia="Arial" w:hAnsi="Arial"/>
          <w:sz w:val="22"/>
          <w:szCs w:val="22"/>
          <w:color w:val="auto"/>
        </w:rPr>
        <w:t>waive, reduce or postpone any scheduled repayment (but not prepayment);</w:t>
      </w:r>
    </w:p>
    <w:p>
      <w:pPr>
        <w:spacing w:after="0" w:line="219" w:lineRule="exact"/>
        <w:rPr>
          <w:rFonts w:ascii="Arial" w:cs="Arial" w:eastAsia="Arial" w:hAnsi="Arial"/>
          <w:sz w:val="22"/>
          <w:szCs w:val="22"/>
          <w:color w:val="auto"/>
        </w:rPr>
      </w:pPr>
    </w:p>
    <w:p>
      <w:pPr>
        <w:ind w:left="480" w:firstLine="1292"/>
        <w:spacing w:after="0" w:line="263" w:lineRule="auto"/>
        <w:tabs>
          <w:tab w:leader="none" w:pos="2167" w:val="left"/>
        </w:tabs>
        <w:numPr>
          <w:ilvl w:val="1"/>
          <w:numId w:val="437"/>
        </w:numPr>
        <w:rPr>
          <w:rFonts w:ascii="Arial" w:cs="Arial" w:eastAsia="Arial" w:hAnsi="Arial"/>
          <w:sz w:val="22"/>
          <w:szCs w:val="22"/>
          <w:color w:val="auto"/>
        </w:rPr>
      </w:pPr>
      <w:r>
        <w:rPr>
          <w:rFonts w:ascii="Arial" w:cs="Arial" w:eastAsia="Arial" w:hAnsi="Arial"/>
          <w:sz w:val="22"/>
          <w:szCs w:val="22"/>
          <w:color w:val="auto"/>
        </w:rPr>
        <w:t>amend, modify, terminate or waive any provision of Section 2.14(a) through Section 2.14(e) (or any defined terms used therein or the constituent definitions thereof);</w:t>
      </w:r>
    </w:p>
    <w:p>
      <w:pPr>
        <w:spacing w:after="0" w:line="174" w:lineRule="exact"/>
        <w:rPr>
          <w:rFonts w:ascii="Arial" w:cs="Arial" w:eastAsia="Arial" w:hAnsi="Arial"/>
          <w:sz w:val="22"/>
          <w:szCs w:val="22"/>
          <w:color w:val="auto"/>
        </w:rPr>
      </w:pPr>
    </w:p>
    <w:p>
      <w:pPr>
        <w:ind w:left="480" w:firstLine="1292"/>
        <w:spacing w:after="0" w:line="263" w:lineRule="auto"/>
        <w:tabs>
          <w:tab w:leader="none" w:pos="2169" w:val="left"/>
        </w:tabs>
        <w:numPr>
          <w:ilvl w:val="1"/>
          <w:numId w:val="437"/>
        </w:numPr>
        <w:rPr>
          <w:rFonts w:ascii="Arial" w:cs="Arial" w:eastAsia="Arial" w:hAnsi="Arial"/>
          <w:sz w:val="22"/>
          <w:szCs w:val="22"/>
          <w:color w:val="auto"/>
        </w:rPr>
      </w:pPr>
      <w:r>
        <w:rPr>
          <w:rFonts w:ascii="Arial" w:cs="Arial" w:eastAsia="Arial" w:hAnsi="Arial"/>
          <w:sz w:val="22"/>
          <w:szCs w:val="22"/>
          <w:color w:val="auto"/>
        </w:rPr>
        <w:t>reduce the rate of interest on any Loan (other than any waiver of any increase in the interest rate applicable to any Loan pursuant to Section 2.10) or any fee or any premium payable hereunder;</w:t>
      </w:r>
    </w:p>
    <w:p>
      <w:pPr>
        <w:spacing w:after="0" w:line="174" w:lineRule="exact"/>
        <w:rPr>
          <w:rFonts w:ascii="Arial" w:cs="Arial" w:eastAsia="Arial" w:hAnsi="Arial"/>
          <w:sz w:val="22"/>
          <w:szCs w:val="22"/>
          <w:color w:val="auto"/>
        </w:rPr>
      </w:pPr>
    </w:p>
    <w:p>
      <w:pPr>
        <w:ind w:left="2080" w:hanging="308"/>
        <w:spacing w:after="0"/>
        <w:tabs>
          <w:tab w:leader="none" w:pos="2080" w:val="left"/>
        </w:tabs>
        <w:numPr>
          <w:ilvl w:val="1"/>
          <w:numId w:val="437"/>
        </w:numPr>
        <w:rPr>
          <w:rFonts w:ascii="Arial" w:cs="Arial" w:eastAsia="Arial" w:hAnsi="Arial"/>
          <w:sz w:val="22"/>
          <w:szCs w:val="22"/>
          <w:color w:val="auto"/>
        </w:rPr>
      </w:pPr>
      <w:r>
        <w:rPr>
          <w:rFonts w:ascii="Arial" w:cs="Arial" w:eastAsia="Arial" w:hAnsi="Arial"/>
          <w:sz w:val="22"/>
          <w:szCs w:val="22"/>
          <w:color w:val="auto"/>
        </w:rPr>
        <w:t>extend the time for payment of any such interest, fees or premium;</w:t>
      </w:r>
    </w:p>
    <w:p>
      <w:pPr>
        <w:spacing w:after="0" w:line="219" w:lineRule="exact"/>
        <w:rPr>
          <w:rFonts w:ascii="Arial" w:cs="Arial" w:eastAsia="Arial" w:hAnsi="Arial"/>
          <w:sz w:val="22"/>
          <w:szCs w:val="22"/>
          <w:color w:val="auto"/>
        </w:rPr>
      </w:pPr>
    </w:p>
    <w:p>
      <w:pPr>
        <w:ind w:left="2140" w:hanging="368"/>
        <w:spacing w:after="0"/>
        <w:tabs>
          <w:tab w:leader="none" w:pos="2140" w:val="left"/>
        </w:tabs>
        <w:numPr>
          <w:ilvl w:val="1"/>
          <w:numId w:val="437"/>
        </w:numPr>
        <w:rPr>
          <w:rFonts w:ascii="Arial" w:cs="Arial" w:eastAsia="Arial" w:hAnsi="Arial"/>
          <w:sz w:val="22"/>
          <w:szCs w:val="22"/>
          <w:color w:val="auto"/>
        </w:rPr>
      </w:pPr>
      <w:r>
        <w:rPr>
          <w:rFonts w:ascii="Arial" w:cs="Arial" w:eastAsia="Arial" w:hAnsi="Arial"/>
          <w:sz w:val="22"/>
          <w:szCs w:val="22"/>
          <w:color w:val="auto"/>
        </w:rPr>
        <w:t>reduce the principal amount of any Loan;</w:t>
      </w:r>
    </w:p>
    <w:p>
      <w:pPr>
        <w:spacing w:after="0" w:line="219" w:lineRule="exact"/>
        <w:rPr>
          <w:rFonts w:ascii="Arial" w:cs="Arial" w:eastAsia="Arial" w:hAnsi="Arial"/>
          <w:sz w:val="22"/>
          <w:szCs w:val="22"/>
          <w:color w:val="auto"/>
        </w:rPr>
      </w:pPr>
    </w:p>
    <w:p>
      <w:pPr>
        <w:ind w:left="480" w:right="20" w:firstLine="1292"/>
        <w:spacing w:after="0" w:line="263" w:lineRule="auto"/>
        <w:tabs>
          <w:tab w:leader="none" w:pos="2202" w:val="left"/>
        </w:tabs>
        <w:numPr>
          <w:ilvl w:val="1"/>
          <w:numId w:val="437"/>
        </w:numPr>
        <w:rPr>
          <w:rFonts w:ascii="Arial" w:cs="Arial" w:eastAsia="Arial" w:hAnsi="Arial"/>
          <w:sz w:val="22"/>
          <w:szCs w:val="22"/>
          <w:color w:val="auto"/>
        </w:rPr>
      </w:pPr>
      <w:r>
        <w:rPr>
          <w:rFonts w:ascii="Arial" w:cs="Arial" w:eastAsia="Arial" w:hAnsi="Arial"/>
          <w:sz w:val="22"/>
          <w:szCs w:val="22"/>
          <w:color w:val="auto"/>
        </w:rPr>
        <w:t>amend, modify, terminate or waive any provision of this Section 10.5(b), Section 10.5(c) or any other provision of this Agreement that expressly provides that the consent of all Lenders is required;</w:t>
      </w:r>
    </w:p>
    <w:p>
      <w:pPr>
        <w:spacing w:after="0" w:line="174" w:lineRule="exact"/>
        <w:rPr>
          <w:rFonts w:ascii="Arial" w:cs="Arial" w:eastAsia="Arial" w:hAnsi="Arial"/>
          <w:sz w:val="22"/>
          <w:szCs w:val="22"/>
          <w:color w:val="auto"/>
        </w:rPr>
      </w:pPr>
    </w:p>
    <w:p>
      <w:pPr>
        <w:ind w:left="2260" w:hanging="488"/>
        <w:spacing w:after="0"/>
        <w:tabs>
          <w:tab w:leader="none" w:pos="2260" w:val="left"/>
        </w:tabs>
        <w:numPr>
          <w:ilvl w:val="1"/>
          <w:numId w:val="437"/>
        </w:numPr>
        <w:rPr>
          <w:rFonts w:ascii="Arial" w:cs="Arial" w:eastAsia="Arial" w:hAnsi="Arial"/>
          <w:sz w:val="22"/>
          <w:szCs w:val="22"/>
          <w:color w:val="auto"/>
        </w:rPr>
      </w:pPr>
      <w:r>
        <w:rPr>
          <w:rFonts w:ascii="Arial" w:cs="Arial" w:eastAsia="Arial" w:hAnsi="Arial"/>
          <w:sz w:val="22"/>
          <w:szCs w:val="22"/>
          <w:color w:val="auto"/>
        </w:rPr>
        <w:t>amend the definition of “Requisite Lenders” or “Pro Rata Share”;</w:t>
      </w:r>
    </w:p>
    <w:p>
      <w:pPr>
        <w:spacing w:after="0" w:line="219" w:lineRule="exact"/>
        <w:rPr>
          <w:rFonts w:ascii="Arial" w:cs="Arial" w:eastAsia="Arial" w:hAnsi="Arial"/>
          <w:sz w:val="22"/>
          <w:szCs w:val="22"/>
          <w:color w:val="auto"/>
        </w:rPr>
      </w:pPr>
    </w:p>
    <w:p>
      <w:pPr>
        <w:ind w:left="2140" w:hanging="368"/>
        <w:spacing w:after="0"/>
        <w:tabs>
          <w:tab w:leader="none" w:pos="2140" w:val="left"/>
        </w:tabs>
        <w:numPr>
          <w:ilvl w:val="1"/>
          <w:numId w:val="437"/>
        </w:numPr>
        <w:rPr>
          <w:rFonts w:ascii="Arial" w:cs="Arial" w:eastAsia="Arial" w:hAnsi="Arial"/>
          <w:sz w:val="19"/>
          <w:szCs w:val="19"/>
          <w:color w:val="auto"/>
        </w:rPr>
      </w:pPr>
      <w:r>
        <w:rPr>
          <w:rFonts w:ascii="Arial" w:cs="Arial" w:eastAsia="Arial" w:hAnsi="Arial"/>
          <w:sz w:val="19"/>
          <w:szCs w:val="19"/>
          <w:color w:val="auto"/>
        </w:rPr>
        <w:t>release all or substantially all of the Guarantors from the Guaranty except as expressly provided in the</w:t>
      </w:r>
    </w:p>
    <w:p>
      <w:pPr>
        <w:spacing w:after="0" w:line="55" w:lineRule="exact"/>
        <w:rPr>
          <w:rFonts w:ascii="Arial" w:cs="Arial" w:eastAsia="Arial" w:hAnsi="Arial"/>
          <w:sz w:val="19"/>
          <w:szCs w:val="19"/>
          <w:color w:val="auto"/>
        </w:rPr>
      </w:pPr>
    </w:p>
    <w:p>
      <w:pPr>
        <w:ind w:left="480"/>
        <w:spacing w:after="0"/>
        <w:rPr>
          <w:rFonts w:ascii="Arial" w:cs="Arial" w:eastAsia="Arial" w:hAnsi="Arial"/>
          <w:sz w:val="19"/>
          <w:szCs w:val="19"/>
          <w:color w:val="auto"/>
        </w:rPr>
      </w:pPr>
      <w:r>
        <w:rPr>
          <w:rFonts w:ascii="Arial" w:cs="Arial" w:eastAsia="Arial" w:hAnsi="Arial"/>
          <w:sz w:val="22"/>
          <w:szCs w:val="22"/>
          <w:color w:val="auto"/>
        </w:rPr>
        <w:t>Credit Documents;</w:t>
      </w:r>
    </w:p>
    <w:p>
      <w:pPr>
        <w:spacing w:after="0" w:line="201" w:lineRule="exact"/>
        <w:rPr>
          <w:rFonts w:ascii="Arial" w:cs="Arial" w:eastAsia="Arial" w:hAnsi="Arial"/>
          <w:sz w:val="19"/>
          <w:szCs w:val="19"/>
          <w:color w:val="auto"/>
        </w:rPr>
      </w:pPr>
    </w:p>
    <w:p>
      <w:pPr>
        <w:ind w:left="480" w:firstLine="1292"/>
        <w:spacing w:after="0" w:line="263" w:lineRule="auto"/>
        <w:tabs>
          <w:tab w:leader="none" w:pos="2082" w:val="left"/>
        </w:tabs>
        <w:numPr>
          <w:ilvl w:val="1"/>
          <w:numId w:val="437"/>
        </w:numPr>
        <w:rPr>
          <w:rFonts w:ascii="Arial" w:cs="Arial" w:eastAsia="Arial" w:hAnsi="Arial"/>
          <w:sz w:val="22"/>
          <w:szCs w:val="22"/>
          <w:color w:val="auto"/>
        </w:rPr>
      </w:pPr>
      <w:r>
        <w:rPr>
          <w:rFonts w:ascii="Arial" w:cs="Arial" w:eastAsia="Arial" w:hAnsi="Arial"/>
          <w:sz w:val="22"/>
          <w:szCs w:val="22"/>
          <w:color w:val="auto"/>
        </w:rPr>
        <w:t>consent to the assignment or transfer by any Credit Party of any of its rights and obligations under any Credit Document; or</w:t>
      </w:r>
    </w:p>
    <w:p>
      <w:pPr>
        <w:spacing w:after="0" w:line="174" w:lineRule="exact"/>
        <w:rPr>
          <w:rFonts w:ascii="Arial" w:cs="Arial" w:eastAsia="Arial" w:hAnsi="Arial"/>
          <w:sz w:val="22"/>
          <w:szCs w:val="22"/>
          <w:color w:val="auto"/>
        </w:rPr>
      </w:pPr>
    </w:p>
    <w:p>
      <w:pPr>
        <w:ind w:left="480" w:firstLine="1292"/>
        <w:spacing w:after="0" w:line="263" w:lineRule="auto"/>
        <w:tabs>
          <w:tab w:leader="none" w:pos="2169" w:val="left"/>
        </w:tabs>
        <w:numPr>
          <w:ilvl w:val="1"/>
          <w:numId w:val="437"/>
        </w:numPr>
        <w:rPr>
          <w:rFonts w:ascii="Arial" w:cs="Arial" w:eastAsia="Arial" w:hAnsi="Arial"/>
          <w:sz w:val="22"/>
          <w:szCs w:val="22"/>
          <w:color w:val="auto"/>
        </w:rPr>
      </w:pPr>
      <w:r>
        <w:rPr>
          <w:rFonts w:ascii="Arial" w:cs="Arial" w:eastAsia="Arial" w:hAnsi="Arial"/>
          <w:sz w:val="22"/>
          <w:szCs w:val="22"/>
          <w:color w:val="auto"/>
        </w:rPr>
        <w:t>amend or waive any provision of Section 6.3 (or release, or consent to the release, of any security interest granted thereunder);</w:t>
      </w:r>
    </w:p>
    <w:p>
      <w:pPr>
        <w:spacing w:after="0" w:line="175" w:lineRule="exact"/>
        <w:rPr>
          <w:sz w:val="20"/>
          <w:szCs w:val="20"/>
          <w:color w:val="auto"/>
        </w:rPr>
      </w:pPr>
    </w:p>
    <w:p>
      <w:pPr>
        <w:ind w:left="480"/>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all Lenders shall be deemed directly affected thereby with respect to any amendment described in clauses (vii), (viii), (ix), (x) and (xi).</w:t>
      </w:r>
    </w:p>
    <w:p>
      <w:pPr>
        <w:spacing w:after="0" w:line="175" w:lineRule="exact"/>
        <w:rPr>
          <w:sz w:val="20"/>
          <w:szCs w:val="20"/>
          <w:color w:val="auto"/>
        </w:rPr>
      </w:pPr>
    </w:p>
    <w:p>
      <w:pPr>
        <w:ind w:right="20" w:firstLine="1286"/>
        <w:spacing w:after="0" w:line="263" w:lineRule="auto"/>
        <w:tabs>
          <w:tab w:leader="none" w:pos="1644" w:val="left"/>
        </w:tabs>
        <w:numPr>
          <w:ilvl w:val="0"/>
          <w:numId w:val="438"/>
        </w:numPr>
        <w:rPr>
          <w:rFonts w:ascii="Arial" w:cs="Arial" w:eastAsia="Arial" w:hAnsi="Arial"/>
          <w:sz w:val="22"/>
          <w:szCs w:val="22"/>
          <w:color w:val="auto"/>
        </w:rPr>
      </w:pPr>
      <w:r>
        <w:rPr>
          <w:rFonts w:ascii="Arial" w:cs="Arial" w:eastAsia="Arial" w:hAnsi="Arial"/>
          <w:sz w:val="22"/>
          <w:szCs w:val="22"/>
          <w:u w:val="single" w:color="auto"/>
          <w:color w:val="auto"/>
        </w:rPr>
        <w:t>Other Consents</w:t>
      </w:r>
      <w:r>
        <w:rPr>
          <w:rFonts w:ascii="Arial" w:cs="Arial" w:eastAsia="Arial" w:hAnsi="Arial"/>
          <w:sz w:val="22"/>
          <w:szCs w:val="22"/>
          <w:color w:val="auto"/>
        </w:rPr>
        <w:t>. No amendment, modification, termination or waiver of any provision of the Credit Documents, or consent to any departure by any Credit Party therefrom, shall:</w:t>
      </w:r>
    </w:p>
    <w:p>
      <w:pPr>
        <w:spacing w:after="0" w:line="174" w:lineRule="exact"/>
        <w:rPr>
          <w:rFonts w:ascii="Arial" w:cs="Arial" w:eastAsia="Arial" w:hAnsi="Arial"/>
          <w:sz w:val="22"/>
          <w:szCs w:val="22"/>
          <w:color w:val="auto"/>
        </w:rPr>
      </w:pPr>
    </w:p>
    <w:p>
      <w:pPr>
        <w:ind w:left="2020" w:hanging="248"/>
        <w:spacing w:after="0"/>
        <w:tabs>
          <w:tab w:leader="none" w:pos="2020" w:val="left"/>
        </w:tabs>
        <w:numPr>
          <w:ilvl w:val="1"/>
          <w:numId w:val="438"/>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060"/>
          </w:cols>
          <w:pgMar w:left="500" w:top="1427" w:right="339" w:bottom="1440" w:gutter="0" w:footer="0" w:header="0"/>
        </w:sectPr>
      </w:pPr>
    </w:p>
    <w:bookmarkStart w:id="562" w:name="page563"/>
    <w:bookmarkEnd w:id="562"/>
    <w:p>
      <w:pPr>
        <w:ind w:left="2080" w:hanging="308"/>
        <w:spacing w:after="0"/>
        <w:tabs>
          <w:tab w:leader="none" w:pos="2080" w:val="left"/>
        </w:tabs>
        <w:numPr>
          <w:ilvl w:val="1"/>
          <w:numId w:val="43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2140" w:hanging="368"/>
        <w:spacing w:after="0"/>
        <w:tabs>
          <w:tab w:leader="none" w:pos="2140" w:val="left"/>
        </w:tabs>
        <w:numPr>
          <w:ilvl w:val="1"/>
          <w:numId w:val="43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2140" w:hanging="368"/>
        <w:spacing w:after="0"/>
        <w:tabs>
          <w:tab w:leader="none" w:pos="2140" w:val="left"/>
        </w:tabs>
        <w:numPr>
          <w:ilvl w:val="1"/>
          <w:numId w:val="43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2080" w:hanging="308"/>
        <w:spacing w:after="0"/>
        <w:tabs>
          <w:tab w:leader="none" w:pos="2080" w:val="left"/>
        </w:tabs>
        <w:numPr>
          <w:ilvl w:val="1"/>
          <w:numId w:val="43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480" w:firstLine="1292"/>
        <w:spacing w:after="0" w:line="253" w:lineRule="auto"/>
        <w:tabs>
          <w:tab w:leader="none" w:pos="2142" w:val="left"/>
        </w:tabs>
        <w:numPr>
          <w:ilvl w:val="1"/>
          <w:numId w:val="439"/>
        </w:numPr>
        <w:rPr>
          <w:rFonts w:ascii="Arial" w:cs="Arial" w:eastAsia="Arial" w:hAnsi="Arial"/>
          <w:sz w:val="22"/>
          <w:szCs w:val="22"/>
          <w:color w:val="auto"/>
        </w:rPr>
      </w:pPr>
      <w:r>
        <w:rPr>
          <w:rFonts w:ascii="Arial" w:cs="Arial" w:eastAsia="Arial" w:hAnsi="Arial"/>
          <w:sz w:val="22"/>
          <w:szCs w:val="22"/>
          <w:color w:val="auto"/>
        </w:rPr>
        <w:t>amend, modify, terminate or waive any provision of the Credit Documents as the same applies to any Agent, Arranger, or any other provision hereof as the same applies to the rights or obligations of any Agent or Arranger, in each case without the consent of such Agent or Arranger.</w:t>
      </w:r>
    </w:p>
    <w:p>
      <w:pPr>
        <w:spacing w:after="0" w:line="185" w:lineRule="exact"/>
        <w:rPr>
          <w:rFonts w:ascii="Arial" w:cs="Arial" w:eastAsia="Arial" w:hAnsi="Arial"/>
          <w:sz w:val="22"/>
          <w:szCs w:val="22"/>
          <w:color w:val="auto"/>
        </w:rPr>
      </w:pPr>
    </w:p>
    <w:p>
      <w:pPr>
        <w:jc w:val="both"/>
        <w:ind w:firstLine="1286"/>
        <w:spacing w:after="0" w:line="246" w:lineRule="auto"/>
        <w:tabs>
          <w:tab w:leader="none" w:pos="1656" w:val="left"/>
        </w:tabs>
        <w:numPr>
          <w:ilvl w:val="0"/>
          <w:numId w:val="440"/>
        </w:numPr>
        <w:rPr>
          <w:rFonts w:ascii="Arial" w:cs="Arial" w:eastAsia="Arial" w:hAnsi="Arial"/>
          <w:sz w:val="22"/>
          <w:szCs w:val="22"/>
          <w:color w:val="auto"/>
        </w:rPr>
      </w:pPr>
      <w:r>
        <w:rPr>
          <w:rFonts w:ascii="Arial" w:cs="Arial" w:eastAsia="Arial" w:hAnsi="Arial"/>
          <w:sz w:val="22"/>
          <w:szCs w:val="22"/>
          <w:u w:val="single" w:color="auto"/>
          <w:color w:val="auto"/>
        </w:rPr>
        <w:t>Execution of Amendments, Etc.</w:t>
      </w:r>
      <w:r>
        <w:rPr>
          <w:rFonts w:ascii="Arial" w:cs="Arial" w:eastAsia="Arial" w:hAnsi="Arial"/>
          <w:sz w:val="22"/>
          <w:szCs w:val="22"/>
          <w:color w:val="auto"/>
        </w:rPr>
        <w:t xml:space="preserve"> Administrative Agent may, but shall have no obligation to, with the concurrence of any Lender, execute amendments, modifications, waivers or consents on behalf of such Lender. Any waiver or consent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termination, waiver or consent effected in accordance with this Section 10.5 shall be binding upon each Lender at the time outstanding, each future Lender and, if signed by a Credit Party, on such Credit Party.</w:t>
      </w:r>
    </w:p>
    <w:p>
      <w:pPr>
        <w:spacing w:after="0" w:line="196" w:lineRule="exact"/>
        <w:rPr>
          <w:rFonts w:ascii="Arial" w:cs="Arial" w:eastAsia="Arial" w:hAnsi="Arial"/>
          <w:sz w:val="22"/>
          <w:szCs w:val="22"/>
          <w:color w:val="auto"/>
        </w:rPr>
      </w:pPr>
    </w:p>
    <w:p>
      <w:pPr>
        <w:jc w:val="both"/>
        <w:ind w:firstLine="1286"/>
        <w:spacing w:after="0" w:line="250" w:lineRule="auto"/>
        <w:tabs>
          <w:tab w:leader="none" w:pos="1590" w:val="left"/>
        </w:tabs>
        <w:numPr>
          <w:ilvl w:val="0"/>
          <w:numId w:val="440"/>
        </w:numPr>
        <w:rPr>
          <w:rFonts w:ascii="Arial" w:cs="Arial" w:eastAsia="Arial" w:hAnsi="Arial"/>
          <w:sz w:val="22"/>
          <w:szCs w:val="22"/>
          <w:color w:val="auto"/>
        </w:rPr>
      </w:pPr>
      <w:r>
        <w:rPr>
          <w:rFonts w:ascii="Arial" w:cs="Arial" w:eastAsia="Arial" w:hAnsi="Arial"/>
          <w:sz w:val="22"/>
          <w:szCs w:val="22"/>
          <w:u w:val="single" w:color="auto"/>
          <w:color w:val="auto"/>
        </w:rPr>
        <w:t>Cashless Settlement</w:t>
      </w:r>
      <w:r>
        <w:rPr>
          <w:rFonts w:ascii="Arial" w:cs="Arial" w:eastAsia="Arial" w:hAnsi="Arial"/>
          <w:sz w:val="22"/>
          <w:szCs w:val="22"/>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Borrower, Administrative Agent and such Lender.</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10.6. Successors and Assigns; Participations</w:t>
      </w:r>
      <w:r>
        <w:rPr>
          <w:rFonts w:ascii="Arial" w:cs="Arial" w:eastAsia="Arial" w:hAnsi="Arial"/>
          <w:sz w:val="22"/>
          <w:szCs w:val="22"/>
          <w:color w:val="auto"/>
        </w:rPr>
        <w:t>.</w:t>
      </w:r>
    </w:p>
    <w:p>
      <w:pPr>
        <w:spacing w:after="0" w:line="226" w:lineRule="exact"/>
        <w:rPr>
          <w:sz w:val="20"/>
          <w:szCs w:val="20"/>
          <w:color w:val="auto"/>
        </w:rPr>
      </w:pPr>
    </w:p>
    <w:p>
      <w:pPr>
        <w:jc w:val="both"/>
        <w:ind w:firstLine="1286"/>
        <w:spacing w:after="0" w:line="260" w:lineRule="auto"/>
        <w:tabs>
          <w:tab w:leader="none" w:pos="1617" w:val="left"/>
        </w:tabs>
        <w:numPr>
          <w:ilvl w:val="0"/>
          <w:numId w:val="441"/>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This Agreement shall be binding upon the parties hereto and their respective successors and assigns and shall inure to the benefit of the parties hereto and the successors and assigns of Lenders. No Credit Party’s rights or obligations hereunder nor any interest therein may be assigned or delegated by any Credit Party without the prior written consent of all Lenders. Nothing in this Agreement, expressed or implied, shall be construed to confer upon any Person (other than the parties hereto, their respective successors and assigns permitted hereby and, to the extent expressly contemplated hereby, Affiliates of each of the Agents and Lenders and other Indemnitees) any legal or equitable right, remedy or claim under or by reason of this Agreement.</w:t>
      </w:r>
    </w:p>
    <w:p>
      <w:pPr>
        <w:spacing w:after="0" w:line="180" w:lineRule="exact"/>
        <w:rPr>
          <w:rFonts w:ascii="Arial" w:cs="Arial" w:eastAsia="Arial" w:hAnsi="Arial"/>
          <w:sz w:val="21"/>
          <w:szCs w:val="21"/>
          <w:color w:val="auto"/>
        </w:rPr>
      </w:pPr>
    </w:p>
    <w:p>
      <w:pPr>
        <w:jc w:val="both"/>
        <w:ind w:right="20" w:firstLine="1286"/>
        <w:spacing w:after="0" w:line="250" w:lineRule="auto"/>
        <w:tabs>
          <w:tab w:leader="none" w:pos="1602" w:val="left"/>
        </w:tabs>
        <w:numPr>
          <w:ilvl w:val="0"/>
          <w:numId w:val="441"/>
        </w:numPr>
        <w:rPr>
          <w:rFonts w:ascii="Arial" w:cs="Arial" w:eastAsia="Arial" w:hAnsi="Arial"/>
          <w:sz w:val="22"/>
          <w:szCs w:val="22"/>
          <w:color w:val="auto"/>
        </w:rPr>
      </w:pPr>
      <w:r>
        <w:rPr>
          <w:rFonts w:ascii="Arial" w:cs="Arial" w:eastAsia="Arial" w:hAnsi="Arial"/>
          <w:sz w:val="22"/>
          <w:szCs w:val="22"/>
          <w:u w:val="single" w:color="auto"/>
          <w:color w:val="auto"/>
        </w:rPr>
        <w:t>Register</w:t>
      </w:r>
      <w:r>
        <w:rPr>
          <w:rFonts w:ascii="Arial" w:cs="Arial" w:eastAsia="Arial" w:hAnsi="Arial"/>
          <w:sz w:val="22"/>
          <w:szCs w:val="22"/>
          <w:color w:val="auto"/>
        </w:rPr>
        <w:t>. Borrower, Administrative Agent and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recorded in the Register following receipt of a fully executed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060"/>
          </w:cols>
          <w:pgMar w:left="500" w:top="1427" w:right="339" w:bottom="1440" w:gutter="0" w:footer="0" w:header="0"/>
        </w:sectPr>
      </w:pPr>
    </w:p>
    <w:bookmarkStart w:id="563" w:name="page564"/>
    <w:bookmarkEnd w:id="563"/>
    <w:p>
      <w:pPr>
        <w:jc w:val="both"/>
        <w:spacing w:after="0" w:line="290" w:lineRule="auto"/>
        <w:rPr>
          <w:sz w:val="20"/>
          <w:szCs w:val="20"/>
          <w:color w:val="auto"/>
        </w:rPr>
      </w:pPr>
      <w:r>
        <w:rPr>
          <w:rFonts w:ascii="Arial" w:cs="Arial" w:eastAsia="Arial" w:hAnsi="Arial"/>
          <w:sz w:val="19"/>
          <w:szCs w:val="19"/>
          <w:color w:val="auto"/>
        </w:rPr>
        <w:t xml:space="preserve">effecting the assignment or transfer thereof, together with the required forms and certificates regarding tax matters and any fees payable in connection with such assignment, in each case, as provided in Section 10.6(d). Each assignment shall be recorded in the Register promptly following receipt by Administrative Agent of the fully executed Assignment Agreement and all other necessary documents and approvals, prompt notice thereof shall be provided to Borrower and a copy of such Assignment Agreement shall be maintained, as applicable. The date of such recordation of a transfer shall be referred to herein as the </w:t>
      </w:r>
      <w:r>
        <w:rPr>
          <w:rFonts w:ascii="Arial" w:cs="Arial" w:eastAsia="Arial" w:hAnsi="Arial"/>
          <w:sz w:val="19"/>
          <w:szCs w:val="19"/>
          <w:b w:val="1"/>
          <w:bCs w:val="1"/>
          <w:color w:val="auto"/>
        </w:rPr>
        <w:t xml:space="preserve">“Assignment Effective Date.” </w:t>
      </w:r>
      <w:r>
        <w:rPr>
          <w:rFonts w:ascii="Arial" w:cs="Arial" w:eastAsia="Arial" w:hAnsi="Arial"/>
          <w:sz w:val="19"/>
          <w:szCs w:val="19"/>
          <w:color w:val="auto"/>
        </w:rPr>
        <w:t>Any request, authority or consent of any Person who, at the time of making such request or</w:t>
      </w:r>
      <w:r>
        <w:rPr>
          <w:rFonts w:ascii="Arial" w:cs="Arial" w:eastAsia="Arial" w:hAnsi="Arial"/>
          <w:sz w:val="19"/>
          <w:szCs w:val="19"/>
          <w:b w:val="1"/>
          <w:bCs w:val="1"/>
          <w:color w:val="auto"/>
        </w:rPr>
        <w:t xml:space="preserve"> </w:t>
      </w:r>
      <w:r>
        <w:rPr>
          <w:rFonts w:ascii="Arial" w:cs="Arial" w:eastAsia="Arial" w:hAnsi="Arial"/>
          <w:sz w:val="19"/>
          <w:szCs w:val="19"/>
          <w:color w:val="auto"/>
        </w:rPr>
        <w:t>giving such authority or consent, is listed in the Register as a Lender shall be conclusive and binding on any subsequent holder, assignee or transferee of the corresponding Commitments or Loans.</w:t>
      </w:r>
    </w:p>
    <w:p>
      <w:pPr>
        <w:spacing w:after="0" w:line="156" w:lineRule="exact"/>
        <w:rPr>
          <w:sz w:val="20"/>
          <w:szCs w:val="20"/>
          <w:color w:val="auto"/>
        </w:rPr>
      </w:pPr>
    </w:p>
    <w:p>
      <w:pPr>
        <w:jc w:val="both"/>
        <w:ind w:firstLine="1286"/>
        <w:spacing w:after="0" w:line="248" w:lineRule="auto"/>
        <w:tabs>
          <w:tab w:leader="none" w:pos="1590" w:val="left"/>
        </w:tabs>
        <w:numPr>
          <w:ilvl w:val="0"/>
          <w:numId w:val="442"/>
        </w:numPr>
        <w:rPr>
          <w:rFonts w:ascii="Arial" w:cs="Arial" w:eastAsia="Arial" w:hAnsi="Arial"/>
          <w:sz w:val="22"/>
          <w:szCs w:val="22"/>
          <w:color w:val="auto"/>
        </w:rPr>
      </w:pPr>
      <w:r>
        <w:rPr>
          <w:rFonts w:ascii="Arial" w:cs="Arial" w:eastAsia="Arial" w:hAnsi="Arial"/>
          <w:sz w:val="22"/>
          <w:szCs w:val="22"/>
          <w:u w:val="single" w:color="auto"/>
          <w:color w:val="auto"/>
        </w:rPr>
        <w:t>Right to Assign</w:t>
      </w:r>
      <w:r>
        <w:rPr>
          <w:rFonts w:ascii="Arial" w:cs="Arial" w:eastAsia="Arial" w:hAnsi="Arial"/>
          <w:sz w:val="22"/>
          <w:szCs w:val="22"/>
          <w:color w:val="auto"/>
        </w:rPr>
        <w:t>. Each Lender shall have the right at any time to sell, assign or transfer all or a portion of its rights and obligations under this Agreement, including all or a portion of its Commitment or Loans owing to it or other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pro rata assignments shall not be required and each assignment shall be of a uniform, and not varying, percentage of all rights and obligations under and in respect of any applicable Loan and any related Commitments):</w:t>
      </w:r>
    </w:p>
    <w:p>
      <w:pPr>
        <w:spacing w:after="0" w:line="191" w:lineRule="exact"/>
        <w:rPr>
          <w:rFonts w:ascii="Arial" w:cs="Arial" w:eastAsia="Arial" w:hAnsi="Arial"/>
          <w:sz w:val="22"/>
          <w:szCs w:val="22"/>
          <w:color w:val="auto"/>
        </w:rPr>
      </w:pPr>
    </w:p>
    <w:p>
      <w:pPr>
        <w:ind w:left="480" w:firstLine="1292"/>
        <w:spacing w:after="0" w:line="263" w:lineRule="auto"/>
        <w:tabs>
          <w:tab w:leader="none" w:pos="2034" w:val="left"/>
        </w:tabs>
        <w:numPr>
          <w:ilvl w:val="1"/>
          <w:numId w:val="442"/>
        </w:numPr>
        <w:rPr>
          <w:rFonts w:ascii="Arial" w:cs="Arial" w:eastAsia="Arial" w:hAnsi="Arial"/>
          <w:sz w:val="22"/>
          <w:szCs w:val="22"/>
          <w:color w:val="auto"/>
        </w:rPr>
      </w:pPr>
      <w:r>
        <w:rPr>
          <w:rFonts w:ascii="Arial" w:cs="Arial" w:eastAsia="Arial" w:hAnsi="Arial"/>
          <w:sz w:val="22"/>
          <w:szCs w:val="22"/>
          <w:color w:val="auto"/>
        </w:rPr>
        <w:t>to any Person meeting the criteria of clause (i) of the definition of the term “Eligible Assignee” upon the giving of notice to Borrower and Administrative Agent; and</w:t>
      </w:r>
    </w:p>
    <w:p>
      <w:pPr>
        <w:spacing w:after="0" w:line="174" w:lineRule="exact"/>
        <w:rPr>
          <w:rFonts w:ascii="Arial" w:cs="Arial" w:eastAsia="Arial" w:hAnsi="Arial"/>
          <w:sz w:val="22"/>
          <w:szCs w:val="22"/>
          <w:color w:val="auto"/>
        </w:rPr>
      </w:pPr>
    </w:p>
    <w:p>
      <w:pPr>
        <w:jc w:val="both"/>
        <w:ind w:left="480" w:firstLine="1292"/>
        <w:spacing w:after="0" w:line="294" w:lineRule="auto"/>
        <w:tabs>
          <w:tab w:leader="none" w:pos="2094" w:val="left"/>
        </w:tabs>
        <w:numPr>
          <w:ilvl w:val="1"/>
          <w:numId w:val="442"/>
        </w:numPr>
        <w:rPr>
          <w:rFonts w:ascii="Arial" w:cs="Arial" w:eastAsia="Arial" w:hAnsi="Arial"/>
          <w:sz w:val="19"/>
          <w:szCs w:val="19"/>
          <w:color w:val="auto"/>
        </w:rPr>
      </w:pPr>
      <w:r>
        <w:rPr>
          <w:rFonts w:ascii="Arial" w:cs="Arial" w:eastAsia="Arial" w:hAnsi="Arial"/>
          <w:sz w:val="19"/>
          <w:szCs w:val="19"/>
          <w:color w:val="auto"/>
        </w:rPr>
        <w:t xml:space="preserve">to any Person meeting the criteria of clause (ii) of the definition of the term “Eligible Assignee” upon giving of notice to Borrower and Administrative Agent (except in the case of assignments made by or to the Arrangers), consented to Administrative Agent (such consent not to be unreasonably withheld or delayed);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such assignment pursuant to this Section 10.6(c)(ii) shall be in an aggregate amount of not less than (w) $10,000,000, (x) such lesser amount as agreed to by Borrower and Administrative Agent, (y) the aggregate amount of the Term Loans of the assigning Lender or (z) the amount assigned by an assigning Lender to an Affiliate or Related Fund of such Lender.</w:t>
      </w:r>
    </w:p>
    <w:p>
      <w:pPr>
        <w:spacing w:after="0" w:line="149" w:lineRule="exact"/>
        <w:rPr>
          <w:rFonts w:ascii="Arial" w:cs="Arial" w:eastAsia="Arial" w:hAnsi="Arial"/>
          <w:sz w:val="19"/>
          <w:szCs w:val="19"/>
          <w:color w:val="auto"/>
        </w:rPr>
      </w:pPr>
    </w:p>
    <w:p>
      <w:pPr>
        <w:ind w:left="1600" w:hanging="314"/>
        <w:spacing w:after="0"/>
        <w:tabs>
          <w:tab w:leader="none" w:pos="1600" w:val="left"/>
        </w:tabs>
        <w:numPr>
          <w:ilvl w:val="0"/>
          <w:numId w:val="442"/>
        </w:numPr>
        <w:rPr>
          <w:rFonts w:ascii="Arial" w:cs="Arial" w:eastAsia="Arial" w:hAnsi="Arial"/>
          <w:sz w:val="22"/>
          <w:szCs w:val="22"/>
          <w:color w:val="auto"/>
        </w:rPr>
      </w:pPr>
      <w:r>
        <w:rPr>
          <w:rFonts w:ascii="Arial" w:cs="Arial" w:eastAsia="Arial" w:hAnsi="Arial"/>
          <w:sz w:val="22"/>
          <w:szCs w:val="22"/>
          <w:u w:val="single" w:color="auto"/>
          <w:color w:val="auto"/>
        </w:rPr>
        <w:t>Mechanics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80" w:firstLine="1292"/>
        <w:spacing w:after="0" w:line="259" w:lineRule="auto"/>
        <w:tabs>
          <w:tab w:leader="none" w:pos="2061" w:val="left"/>
        </w:tabs>
        <w:numPr>
          <w:ilvl w:val="1"/>
          <w:numId w:val="442"/>
        </w:numPr>
        <w:rPr>
          <w:rFonts w:ascii="Arial" w:cs="Arial" w:eastAsia="Arial" w:hAnsi="Arial"/>
          <w:sz w:val="21"/>
          <w:szCs w:val="21"/>
          <w:color w:val="auto"/>
        </w:rPr>
      </w:pPr>
      <w:r>
        <w:rPr>
          <w:rFonts w:ascii="Arial" w:cs="Arial" w:eastAsia="Arial" w:hAnsi="Arial"/>
          <w:sz w:val="21"/>
          <w:szCs w:val="21"/>
          <w:color w:val="auto"/>
        </w:rPr>
        <w:t>Assignments and assumptions of Loans and Commitments by Lenders shall be effected by manual execution and delivery to Administrative Agent of an Assignment Agreement. Assignments made pursuant to the foregoing provision shall be effective as of the Assignment Effective Date. In connection with all assignments there shall be delivered to Administrative Agent such forms, certificates or other evidence, if any, with respect to United States federal income tax withholding matters as the assignee under such Assignment Agreement may be required to deliver pursuant to Section 2.20(c) or 2.20(d), together with payment to Administrative Agent of a registration and processing fee of $3,500 (except that no such registration and processing fee shall be payable (y) in connection with an assignment by or to Goldman Sachs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060"/>
          </w:cols>
          <w:pgMar w:left="500" w:top="1427" w:right="339" w:bottom="1440" w:gutter="0" w:footer="0" w:header="0"/>
        </w:sectPr>
      </w:pPr>
    </w:p>
    <w:bookmarkStart w:id="564" w:name="page565"/>
    <w:bookmarkEnd w:id="564"/>
    <w:p>
      <w:pPr>
        <w:ind w:left="480"/>
        <w:spacing w:after="0" w:line="263" w:lineRule="auto"/>
        <w:rPr>
          <w:sz w:val="20"/>
          <w:szCs w:val="20"/>
          <w:color w:val="auto"/>
        </w:rPr>
      </w:pPr>
      <w:r>
        <w:rPr>
          <w:rFonts w:ascii="Arial" w:cs="Arial" w:eastAsia="Arial" w:hAnsi="Arial"/>
          <w:sz w:val="22"/>
          <w:szCs w:val="22"/>
          <w:color w:val="auto"/>
        </w:rPr>
        <w:t>thereof or (z) in the case of an assignee which is already a Lender or is an affiliate or Related Fund of a Lender or a Person under common management with a Lender).</w:t>
      </w:r>
    </w:p>
    <w:p>
      <w:pPr>
        <w:spacing w:after="0" w:line="175" w:lineRule="exact"/>
        <w:rPr>
          <w:sz w:val="20"/>
          <w:szCs w:val="20"/>
          <w:color w:val="auto"/>
        </w:rPr>
      </w:pPr>
    </w:p>
    <w:p>
      <w:pPr>
        <w:jc w:val="both"/>
        <w:ind w:left="480" w:firstLine="1292"/>
        <w:spacing w:after="0" w:line="287" w:lineRule="auto"/>
        <w:tabs>
          <w:tab w:leader="none" w:pos="2107" w:val="left"/>
        </w:tabs>
        <w:numPr>
          <w:ilvl w:val="1"/>
          <w:numId w:val="443"/>
        </w:numPr>
        <w:rPr>
          <w:rFonts w:ascii="Arial" w:cs="Arial" w:eastAsia="Arial" w:hAnsi="Arial"/>
          <w:sz w:val="19"/>
          <w:szCs w:val="19"/>
          <w:color w:val="auto"/>
        </w:rPr>
      </w:pPr>
      <w:r>
        <w:rPr>
          <w:rFonts w:ascii="Arial" w:cs="Arial" w:eastAsia="Arial" w:hAnsi="Arial"/>
          <w:sz w:val="19"/>
          <w:szCs w:val="19"/>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Administrative Agent and each other Lender hereunder (and interest accrued thereon), and (y) acquire (and fund as appropriate) its full Pro Rata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8" w:lineRule="exact"/>
        <w:rPr>
          <w:rFonts w:ascii="Arial" w:cs="Arial" w:eastAsia="Arial" w:hAnsi="Arial"/>
          <w:sz w:val="19"/>
          <w:szCs w:val="19"/>
          <w:color w:val="auto"/>
        </w:rPr>
      </w:pPr>
    </w:p>
    <w:p>
      <w:pPr>
        <w:jc w:val="both"/>
        <w:ind w:firstLine="1286"/>
        <w:spacing w:after="0" w:line="289" w:lineRule="auto"/>
        <w:tabs>
          <w:tab w:leader="none" w:pos="1630" w:val="left"/>
        </w:tabs>
        <w:numPr>
          <w:ilvl w:val="0"/>
          <w:numId w:val="44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Assignee</w:t>
      </w:r>
      <w:r>
        <w:rPr>
          <w:rFonts w:ascii="Arial" w:cs="Arial" w:eastAsia="Arial" w:hAnsi="Arial"/>
          <w:sz w:val="19"/>
          <w:szCs w:val="19"/>
          <w:color w:val="auto"/>
        </w:rPr>
        <w:t>. Each Lender, upon execution and delivery hereof or upon succeeding to an interest in the Commitments and Loans, as the case may be, represents and warrants as of the Closing Date or as of the Assignment Effective Date that (i) it is an Eligible Assignee; (ii) it has experience and expertise in the making of or investing in commitments or loans such as the applicable Commitments or Loans, as the case may be; (iii) it will make or invest in, as the case may be, its Commitments or Loans for its own account in the ordinary course and without a view to distribution of such Commitments or Loans within the meaning of the Securities Act or the Exchange Act or other federal securities laws (it being understood that, subject to the provisions of this Section 10.6, the disposition of such Commitments or Loans or any interests therein shall at all times remain within its exclusive control); and (iv) it will not provide any information obtained by it in its capacity as a Lender to Sponsor or any Affiliate of Sponsor.</w:t>
      </w:r>
    </w:p>
    <w:p>
      <w:pPr>
        <w:spacing w:after="0" w:line="156" w:lineRule="exact"/>
        <w:rPr>
          <w:rFonts w:ascii="Arial" w:cs="Arial" w:eastAsia="Arial" w:hAnsi="Arial"/>
          <w:sz w:val="19"/>
          <w:szCs w:val="19"/>
          <w:color w:val="auto"/>
        </w:rPr>
      </w:pPr>
    </w:p>
    <w:p>
      <w:pPr>
        <w:jc w:val="both"/>
        <w:ind w:firstLine="1286"/>
        <w:spacing w:after="0" w:line="259" w:lineRule="auto"/>
        <w:tabs>
          <w:tab w:leader="none" w:pos="1566" w:val="left"/>
        </w:tabs>
        <w:numPr>
          <w:ilvl w:val="0"/>
          <w:numId w:val="444"/>
        </w:numPr>
        <w:rPr>
          <w:rFonts w:ascii="Arial" w:cs="Arial" w:eastAsia="Arial" w:hAnsi="Arial"/>
          <w:sz w:val="21"/>
          <w:szCs w:val="21"/>
          <w:color w:val="auto"/>
        </w:rPr>
      </w:pPr>
      <w:r>
        <w:rPr>
          <w:rFonts w:ascii="Arial" w:cs="Arial" w:eastAsia="Arial" w:hAnsi="Arial"/>
          <w:sz w:val="21"/>
          <w:szCs w:val="21"/>
          <w:u w:val="single" w:color="auto"/>
          <w:color w:val="auto"/>
        </w:rPr>
        <w:t>Effect of Assignment</w:t>
      </w:r>
      <w:r>
        <w:rPr>
          <w:rFonts w:ascii="Arial" w:cs="Arial" w:eastAsia="Arial" w:hAnsi="Arial"/>
          <w:sz w:val="21"/>
          <w:szCs w:val="21"/>
          <w:color w:val="auto"/>
        </w:rPr>
        <w:t xml:space="preserve">. Subject to the terms and conditions of this Section 10.6, as of the Assignment Effective Date (i) the assignee thereunder shall have the rights and obligations of a “Lender” hereunder to the extent of its interest in the Loans and Commitments as reflected in the Register and shall thereafter be a party hereto and a “Lender” for all purposes hereof; (ii) the assigning Lender thereunder shall, to the extent that rights and obligations hereunder have been assigned to the assignee, relinquish its rights (other than any rights which survive the termination hereof under Section 10.8) and be released from its obligations hereunder (and, in the case of an assignment covering all or the remaining portion of an assigning Lender’s rights and obligations hereunder, such Lender shall cease to be a party hereto on the Assignment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anything contained in any of the Credit Documents to the contrary notwithstanding, such assigning Lender shall continue to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060"/>
          </w:cols>
          <w:pgMar w:left="500" w:top="1427" w:right="339" w:bottom="1440" w:gutter="0" w:footer="0" w:header="0"/>
        </w:sectPr>
      </w:pPr>
    </w:p>
    <w:bookmarkStart w:id="565" w:name="page566"/>
    <w:bookmarkEnd w:id="565"/>
    <w:p>
      <w:pPr>
        <w:jc w:val="both"/>
        <w:spacing w:after="0" w:line="260" w:lineRule="auto"/>
        <w:rPr>
          <w:sz w:val="20"/>
          <w:szCs w:val="20"/>
          <w:color w:val="auto"/>
        </w:rPr>
      </w:pPr>
      <w:r>
        <w:rPr>
          <w:rFonts w:ascii="Arial" w:cs="Arial" w:eastAsia="Arial" w:hAnsi="Arial"/>
          <w:sz w:val="21"/>
          <w:szCs w:val="21"/>
          <w:color w:val="auto"/>
        </w:rPr>
        <w:t>to the benefit of all indemnities hereunder as specified herein with respect to matters arising out of the prior involvement of such assigning Lender as a Lender hereunder); (iii) the Commitments shall be modified to reflect any Commitment of such assignee; and (iv) if any such assignment occurs after the issuance of any Note hereunder, the assigning Lender shall, upon the effectiveness of such assignment or as promptly thereafter as practicable, surrender its applicable Notes to Administrative Agent for cancellation, and thereupon Borrower shall issue and deliver new Notes, if so requested by the assignee and/or assigning Lender, to such assignee and/or to such assigning Lender, with appropriate insertions, to reflect the new outstanding Loans of the assignee and/or the assigning Lender.</w:t>
      </w:r>
    </w:p>
    <w:p>
      <w:pPr>
        <w:spacing w:after="0" w:line="180" w:lineRule="exact"/>
        <w:rPr>
          <w:sz w:val="20"/>
          <w:szCs w:val="20"/>
          <w:color w:val="auto"/>
        </w:rPr>
      </w:pPr>
    </w:p>
    <w:p>
      <w:pPr>
        <w:ind w:left="1600" w:hanging="314"/>
        <w:spacing w:after="0"/>
        <w:tabs>
          <w:tab w:leader="none" w:pos="1600" w:val="left"/>
        </w:tabs>
        <w:numPr>
          <w:ilvl w:val="0"/>
          <w:numId w:val="445"/>
        </w:numPr>
        <w:rPr>
          <w:rFonts w:ascii="Arial" w:cs="Arial" w:eastAsia="Arial" w:hAnsi="Arial"/>
          <w:sz w:val="22"/>
          <w:szCs w:val="22"/>
          <w:color w:val="auto"/>
        </w:rPr>
      </w:pPr>
      <w:r>
        <w:rPr>
          <w:rFonts w:ascii="Arial" w:cs="Arial" w:eastAsia="Arial" w:hAnsi="Arial"/>
          <w:sz w:val="22"/>
          <w:szCs w:val="22"/>
          <w:u w:val="single" w:color="auto"/>
          <w:color w:val="auto"/>
        </w:rPr>
        <w:t>Participations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80" w:firstLine="1292"/>
        <w:spacing w:after="0" w:line="285" w:lineRule="auto"/>
        <w:tabs>
          <w:tab w:leader="none" w:pos="2034" w:val="left"/>
        </w:tabs>
        <w:numPr>
          <w:ilvl w:val="1"/>
          <w:numId w:val="445"/>
        </w:numPr>
        <w:rPr>
          <w:rFonts w:ascii="Arial" w:cs="Arial" w:eastAsia="Arial" w:hAnsi="Arial"/>
          <w:sz w:val="19"/>
          <w:szCs w:val="19"/>
          <w:color w:val="auto"/>
        </w:rPr>
      </w:pPr>
      <w:r>
        <w:rPr>
          <w:rFonts w:ascii="Arial" w:cs="Arial" w:eastAsia="Arial" w:hAnsi="Arial"/>
          <w:sz w:val="19"/>
          <w:szCs w:val="19"/>
          <w:color w:val="auto"/>
        </w:rPr>
        <w:t xml:space="preserve">Each Lender shall have the right at any time, without the consent of, or notice to, the Borrower, to sell one or more participations to any Person (other than the Borrower, any of its Subsidiaries or any of its Affiliates or any Natural Person) in all or any part of its Commitments, Loans or in any other Obligation. Each Lender that sells a participation pursuant to this Section 10.6(g) shall, acting solely for U.S. federal income tax purposes as a non-fiduciary agent of Borrower, maintain a register on which it records the name and address of each participant and the principal amounts (and stated interest) of each participant’s participation interest with respect to the Term Loan (each, a </w:t>
      </w:r>
      <w:r>
        <w:rPr>
          <w:rFonts w:ascii="Arial" w:cs="Arial" w:eastAsia="Arial" w:hAnsi="Arial"/>
          <w:sz w:val="19"/>
          <w:szCs w:val="19"/>
          <w:b w:val="1"/>
          <w:bCs w:val="1"/>
          <w:color w:val="auto"/>
        </w:rPr>
        <w:t>“Participant Register”</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no Lender shall have any obligation to disclose all or any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Unless otherwise required by the Internal Revenue Service, any disclosure required by the foregoing sentence shall be made by the relevant Lender directly and solely to the Internal Revenue Service. The entries in the Participant Register shall be conclusive absent manifest error, and such Lender shall treat each Person whose name is recorded in the Participant Register as the owner of a participation with respect to the Term Loan for all purposes under this Agreement, notwithstanding any notice to the contrary. For the avoidance of doubt, Administrative Agent (in its capacity as Administrative Agent) shall have no responsibility for maintaining a Participant Register.</w:t>
      </w:r>
    </w:p>
    <w:p>
      <w:pPr>
        <w:spacing w:after="0" w:line="165" w:lineRule="exact"/>
        <w:rPr>
          <w:rFonts w:ascii="Arial" w:cs="Arial" w:eastAsia="Arial" w:hAnsi="Arial"/>
          <w:sz w:val="19"/>
          <w:szCs w:val="19"/>
          <w:color w:val="auto"/>
        </w:rPr>
      </w:pPr>
    </w:p>
    <w:p>
      <w:pPr>
        <w:jc w:val="both"/>
        <w:ind w:left="480" w:firstLine="1292"/>
        <w:spacing w:after="0" w:line="292" w:lineRule="auto"/>
        <w:tabs>
          <w:tab w:leader="none" w:pos="2094" w:val="left"/>
        </w:tabs>
        <w:numPr>
          <w:ilvl w:val="1"/>
          <w:numId w:val="445"/>
        </w:numPr>
        <w:rPr>
          <w:rFonts w:ascii="Arial" w:cs="Arial" w:eastAsia="Arial" w:hAnsi="Arial"/>
          <w:sz w:val="19"/>
          <w:szCs w:val="19"/>
          <w:color w:val="auto"/>
        </w:rPr>
      </w:pPr>
      <w:r>
        <w:rPr>
          <w:rFonts w:ascii="Arial" w:cs="Arial" w:eastAsia="Arial" w:hAnsi="Arial"/>
          <w:sz w:val="19"/>
          <w:szCs w:val="19"/>
          <w:color w:val="auto"/>
        </w:rPr>
        <w:t>The holder of any such participation, other than an Affiliate of the Lender granting such participation, shall not be entitled to require such Lender to take or omit to take any action hereunder except with respect to any amendment, modification or waiver that would (A) extend the final scheduled maturity of any Loan or Note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060"/>
          </w:cols>
          <w:pgMar w:left="500" w:top="1427" w:right="339" w:bottom="1440" w:gutter="0" w:footer="0" w:header="0"/>
        </w:sectPr>
      </w:pPr>
    </w:p>
    <w:bookmarkStart w:id="566" w:name="page567"/>
    <w:bookmarkEnd w:id="566"/>
    <w:p>
      <w:pPr>
        <w:jc w:val="both"/>
        <w:ind w:left="480"/>
        <w:spacing w:after="0" w:line="247" w:lineRule="auto"/>
        <w:rPr>
          <w:sz w:val="20"/>
          <w:szCs w:val="20"/>
          <w:color w:val="auto"/>
        </w:rPr>
      </w:pPr>
      <w:r>
        <w:rPr>
          <w:rFonts w:ascii="Arial" w:cs="Arial" w:eastAsia="Arial" w:hAnsi="Arial"/>
          <w:sz w:val="22"/>
          <w:szCs w:val="22"/>
          <w:color w:val="auto"/>
        </w:rPr>
        <w:t>in the Commitment shall not constitute a change in the terms of such participation, and that an increase in any Commitment or Loan shall be permitted without the consent of any participant if the participant’s participation is not increased as a result thereof), (B) consent to the assignment or transfer by any Credit Party of any of its rights and obligations under this Agreement or (C) release all or substantially all of the Guarantors from the Guaranty (in each case, except as expressly provided in the Credit Documents) supporting the Loans hereunder in which such participant is participating.</w:t>
      </w:r>
    </w:p>
    <w:p>
      <w:pPr>
        <w:spacing w:after="0" w:line="193" w:lineRule="exact"/>
        <w:rPr>
          <w:sz w:val="20"/>
          <w:szCs w:val="20"/>
          <w:color w:val="auto"/>
        </w:rPr>
      </w:pPr>
    </w:p>
    <w:p>
      <w:pPr>
        <w:jc w:val="both"/>
        <w:ind w:left="480" w:firstLine="1292"/>
        <w:spacing w:after="0" w:line="286" w:lineRule="auto"/>
        <w:tabs>
          <w:tab w:leader="none" w:pos="2167" w:val="left"/>
        </w:tabs>
        <w:numPr>
          <w:ilvl w:val="1"/>
          <w:numId w:val="446"/>
        </w:numPr>
        <w:rPr>
          <w:rFonts w:ascii="Arial" w:cs="Arial" w:eastAsia="Arial" w:hAnsi="Arial"/>
          <w:sz w:val="19"/>
          <w:szCs w:val="19"/>
          <w:color w:val="auto"/>
        </w:rPr>
      </w:pPr>
      <w:r>
        <w:rPr>
          <w:rFonts w:ascii="Arial" w:cs="Arial" w:eastAsia="Arial" w:hAnsi="Arial"/>
          <w:sz w:val="19"/>
          <w:szCs w:val="19"/>
          <w:color w:val="auto"/>
        </w:rPr>
        <w:t xml:space="preserve">Borrower agrees that each participant shall be entitled to the benefits of Sections 2.18(c), 2.19 and 2.20 to the same extent as if it were a Lender and had acquired its interest by assignment pursuant to paragraph (c)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(x) a participant shall not be entitled to receive any greater payment under Section 2.19 or 2.20 than the applicable Lender would have been entitled to receive with respect to the participation sold to such participant, except to the extent such entitlement to receive a greater payment results from a Change in Law that occurs after such participant acquired the participation or unless the sale of the participation to such participant is made with Borrower’s prior written consent (not to be unreasonably withheld or delayed) and (y) a participant that would be a Non-US Lender if it were a Lender shall not be entitled to the benefits of Section 2.20 unless Borrower is notified of the participation sold to such participant and such participant agrees, for the benefit of Borrower, to comply with Section 2.20 as though it were a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except as specifically set forth in clauses (x) and (y) of this sentence, nothing herein shall require any notice to Borrower or any other Person in connection with the sale of any participation. To the extent permitted by law, each participant also shall be entitled to the benefits of Section 10.4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Section 2.17 as though it were a Lender.</w:t>
      </w:r>
    </w:p>
    <w:p>
      <w:pPr>
        <w:spacing w:after="0" w:line="165" w:lineRule="exact"/>
        <w:rPr>
          <w:rFonts w:ascii="Arial" w:cs="Arial" w:eastAsia="Arial" w:hAnsi="Arial"/>
          <w:sz w:val="19"/>
          <w:szCs w:val="19"/>
          <w:color w:val="auto"/>
        </w:rPr>
      </w:pPr>
    </w:p>
    <w:p>
      <w:pPr>
        <w:jc w:val="both"/>
        <w:ind w:firstLine="1286"/>
        <w:spacing w:after="0" w:line="290" w:lineRule="auto"/>
        <w:tabs>
          <w:tab w:leader="none" w:pos="1602" w:val="left"/>
        </w:tabs>
        <w:numPr>
          <w:ilvl w:val="0"/>
          <w:numId w:val="447"/>
        </w:numPr>
        <w:rPr>
          <w:rFonts w:ascii="Arial" w:cs="Arial" w:eastAsia="Arial" w:hAnsi="Arial"/>
          <w:sz w:val="19"/>
          <w:szCs w:val="19"/>
          <w:color w:val="auto"/>
        </w:rPr>
      </w:pPr>
      <w:r>
        <w:rPr>
          <w:rFonts w:ascii="Arial" w:cs="Arial" w:eastAsia="Arial" w:hAnsi="Arial"/>
          <w:sz w:val="19"/>
          <w:szCs w:val="19"/>
          <w:u w:val="single" w:color="auto"/>
          <w:color w:val="auto"/>
        </w:rPr>
        <w:t>Certain Other Assignments and Participations</w:t>
      </w:r>
      <w:r>
        <w:rPr>
          <w:rFonts w:ascii="Arial" w:cs="Arial" w:eastAsia="Arial" w:hAnsi="Arial"/>
          <w:sz w:val="19"/>
          <w:szCs w:val="19"/>
          <w:color w:val="auto"/>
        </w:rPr>
        <w:t xml:space="preserve">. In addition to any other assignment or participation permitted pursuant to this Section 10.6 any Lender may assign, pledge and/or grant a security interest in all or any portion of its Loans, the other Obligations owed by or to such Lender, and its Notes, if any, to secure obligations of such Lender including any Federal Reserve Bank as collateral security pursuant to Regulation A of the Board of Governors and any operating circular issued by such Federal Reserve Bank, or other central banks; provided, that no Lender, as between Borrower and such Lender, shall be relieved of any of its obligations hereunder as a result of any such assignment and pledge,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in no event shall the applicable Federal Reserve Bank, pledgee or trustee, be considered to be a “Lender” or be entitled to require the assigning Lender to take or omit to take any action hereunder.</w:t>
      </w:r>
    </w:p>
    <w:p>
      <w:pPr>
        <w:spacing w:after="0" w:line="155" w:lineRule="exact"/>
        <w:rPr>
          <w:rFonts w:ascii="Arial" w:cs="Arial" w:eastAsia="Arial" w:hAnsi="Arial"/>
          <w:sz w:val="19"/>
          <w:szCs w:val="19"/>
          <w:color w:val="auto"/>
        </w:rPr>
      </w:pPr>
    </w:p>
    <w:p>
      <w:pPr>
        <w:ind w:left="1540" w:hanging="254"/>
        <w:spacing w:after="0"/>
        <w:tabs>
          <w:tab w:leader="none" w:pos="1540" w:val="left"/>
        </w:tabs>
        <w:numPr>
          <w:ilvl w:val="0"/>
          <w:numId w:val="447"/>
        </w:numPr>
        <w:rPr>
          <w:rFonts w:ascii="Arial" w:cs="Arial" w:eastAsia="Arial" w:hAnsi="Arial"/>
          <w:sz w:val="22"/>
          <w:szCs w:val="22"/>
          <w:color w:val="auto"/>
        </w:rPr>
      </w:pPr>
      <w:r>
        <w:rPr>
          <w:rFonts w:ascii="Arial" w:cs="Arial" w:eastAsia="Arial" w:hAnsi="Arial"/>
          <w:sz w:val="22"/>
          <w:szCs w:val="22"/>
          <w:u w:val="single" w:color="auto"/>
          <w:color w:val="auto"/>
        </w:rPr>
        <w:t>Certain ERISA Matters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80" w:firstLine="1292"/>
        <w:spacing w:after="0" w:line="253" w:lineRule="auto"/>
        <w:tabs>
          <w:tab w:leader="none" w:pos="2209" w:val="left"/>
        </w:tabs>
        <w:numPr>
          <w:ilvl w:val="1"/>
          <w:numId w:val="447"/>
        </w:numPr>
        <w:rPr>
          <w:rFonts w:ascii="Arial" w:cs="Arial" w:eastAsia="Arial" w:hAnsi="Arial"/>
          <w:sz w:val="22"/>
          <w:szCs w:val="22"/>
          <w:color w:val="auto"/>
        </w:rPr>
      </w:pPr>
      <w:r>
        <w:rPr>
          <w:rFonts w:ascii="Arial" w:cs="Arial" w:eastAsia="Arial" w:hAnsi="Arial"/>
          <w:sz w:val="22"/>
          <w:szCs w:val="22"/>
          <w:color w:val="auto"/>
        </w:rPr>
        <w:t>Each Lender (x) represents and warrants, as of the date such Person became a Lender party hereto, to, and (y) covenants, from the date such Person became a Lender party hereto to the date such Person ceases being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060"/>
          </w:cols>
          <w:pgMar w:left="500" w:top="1427" w:right="339" w:bottom="1440" w:gutter="0" w:footer="0" w:header="0"/>
        </w:sectPr>
      </w:pPr>
    </w:p>
    <w:bookmarkStart w:id="567" w:name="page568"/>
    <w:bookmarkEnd w:id="567"/>
    <w:p>
      <w:pPr>
        <w:spacing w:after="0" w:line="263" w:lineRule="auto"/>
        <w:rPr>
          <w:sz w:val="20"/>
          <w:szCs w:val="20"/>
          <w:color w:val="auto"/>
        </w:rPr>
      </w:pPr>
      <w:r>
        <w:rPr>
          <w:rFonts w:ascii="Arial" w:cs="Arial" w:eastAsia="Arial" w:hAnsi="Arial"/>
          <w:sz w:val="22"/>
          <w:szCs w:val="22"/>
          <w:color w:val="auto"/>
        </w:rPr>
        <w:t>for the benefit of, the Administrative Agent and not, for the avoidance of doubt, to or for the benefit of the Borrower, that at least one of the following is and will be true:</w:t>
      </w:r>
    </w:p>
    <w:p>
      <w:pPr>
        <w:spacing w:after="0" w:line="175" w:lineRule="exact"/>
        <w:rPr>
          <w:sz w:val="20"/>
          <w:szCs w:val="20"/>
          <w:color w:val="auto"/>
        </w:rPr>
      </w:pPr>
    </w:p>
    <w:p>
      <w:pPr>
        <w:jc w:val="both"/>
        <w:ind w:left="640" w:firstLine="1300"/>
        <w:spacing w:after="0" w:line="253" w:lineRule="auto"/>
        <w:tabs>
          <w:tab w:leader="none" w:pos="2503" w:val="left"/>
        </w:tabs>
        <w:numPr>
          <w:ilvl w:val="1"/>
          <w:numId w:val="448"/>
        </w:numPr>
        <w:rPr>
          <w:rFonts w:ascii="Arial" w:cs="Arial" w:eastAsia="Arial" w:hAnsi="Arial"/>
          <w:sz w:val="20"/>
          <w:szCs w:val="20"/>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85" w:lineRule="exact"/>
        <w:rPr>
          <w:rFonts w:ascii="Arial" w:cs="Arial" w:eastAsia="Arial" w:hAnsi="Arial"/>
          <w:sz w:val="20"/>
          <w:szCs w:val="20"/>
          <w:color w:val="auto"/>
        </w:rPr>
      </w:pPr>
    </w:p>
    <w:p>
      <w:pPr>
        <w:jc w:val="both"/>
        <w:ind w:left="640" w:firstLine="1300"/>
        <w:spacing w:after="0" w:line="246" w:lineRule="auto"/>
        <w:tabs>
          <w:tab w:leader="none" w:pos="2587" w:val="left"/>
        </w:tabs>
        <w:numPr>
          <w:ilvl w:val="1"/>
          <w:numId w:val="448"/>
        </w:numPr>
        <w:rPr>
          <w:rFonts w:ascii="Arial" w:cs="Arial" w:eastAsia="Arial" w:hAnsi="Arial"/>
          <w:sz w:val="20"/>
          <w:szCs w:val="20"/>
          <w:color w:val="auto"/>
        </w:rPr>
      </w:pPr>
      <w:r>
        <w:rPr>
          <w:rFonts w:ascii="Arial" w:cs="Arial" w:eastAsia="Arial" w:hAnsi="Arial"/>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93" w:lineRule="exact"/>
        <w:rPr>
          <w:rFonts w:ascii="Arial" w:cs="Arial" w:eastAsia="Arial" w:hAnsi="Arial"/>
          <w:sz w:val="20"/>
          <w:szCs w:val="20"/>
          <w:color w:val="auto"/>
        </w:rPr>
      </w:pPr>
    </w:p>
    <w:p>
      <w:pPr>
        <w:jc w:val="both"/>
        <w:ind w:left="640" w:firstLine="1300"/>
        <w:spacing w:after="0" w:line="290" w:lineRule="auto"/>
        <w:tabs>
          <w:tab w:leader="none" w:pos="2411" w:val="left"/>
        </w:tabs>
        <w:numPr>
          <w:ilvl w:val="1"/>
          <w:numId w:val="448"/>
        </w:numPr>
        <w:rPr>
          <w:rFonts w:ascii="Arial" w:cs="Arial" w:eastAsia="Arial" w:hAnsi="Arial"/>
          <w:sz w:val="18"/>
          <w:szCs w:val="18"/>
          <w:color w:val="auto"/>
        </w:rPr>
      </w:pPr>
      <w:r>
        <w:rPr>
          <w:rFonts w:ascii="Arial" w:cs="Arial" w:eastAsia="Arial" w:hAnsi="Arial"/>
          <w:sz w:val="19"/>
          <w:szCs w:val="19"/>
          <w:color w:val="auto"/>
        </w:rPr>
        <w:t>(1) such Lender is an investment fund managed by a “Qualified Professional Asset Manager” (within the meaning of Part VI of PTE 84-14), (2) such Qualified Professional Asset Manager made the investment decision on behalf of such Lender to enter into, participate in, administer and perform the Loans, the Commitments and this Agreement, (3) the entrance into, participation in, administration of and performance of the Loans, the Commitments and this Agreement satisfies the requirements of sub-sections (b) through (g) of Part I of PTE 84- 14 and (4)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55" w:lineRule="exact"/>
        <w:rPr>
          <w:rFonts w:ascii="Arial" w:cs="Arial" w:eastAsia="Arial" w:hAnsi="Arial"/>
          <w:sz w:val="18"/>
          <w:szCs w:val="18"/>
          <w:color w:val="auto"/>
        </w:rPr>
      </w:pPr>
    </w:p>
    <w:p>
      <w:pPr>
        <w:ind w:left="640" w:firstLine="1300"/>
        <w:spacing w:after="0" w:line="263" w:lineRule="auto"/>
        <w:tabs>
          <w:tab w:leader="none" w:pos="2489" w:val="left"/>
        </w:tabs>
        <w:numPr>
          <w:ilvl w:val="1"/>
          <w:numId w:val="448"/>
        </w:numPr>
        <w:rPr>
          <w:rFonts w:ascii="Arial" w:cs="Arial" w:eastAsia="Arial" w:hAnsi="Arial"/>
          <w:sz w:val="20"/>
          <w:szCs w:val="20"/>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4" w:lineRule="exact"/>
        <w:rPr>
          <w:rFonts w:ascii="Arial" w:cs="Arial" w:eastAsia="Arial" w:hAnsi="Arial"/>
          <w:sz w:val="20"/>
          <w:szCs w:val="20"/>
          <w:color w:val="auto"/>
        </w:rPr>
      </w:pPr>
    </w:p>
    <w:p>
      <w:pPr>
        <w:jc w:val="both"/>
        <w:ind w:firstLine="1292"/>
        <w:spacing w:after="0" w:line="290" w:lineRule="auto"/>
        <w:tabs>
          <w:tab w:leader="none" w:pos="1915" w:val="left"/>
        </w:tabs>
        <w:numPr>
          <w:ilvl w:val="0"/>
          <w:numId w:val="449"/>
        </w:numPr>
        <w:rPr>
          <w:rFonts w:ascii="Arial" w:cs="Arial" w:eastAsia="Arial" w:hAnsi="Arial"/>
          <w:sz w:val="19"/>
          <w:szCs w:val="19"/>
          <w:color w:val="auto"/>
        </w:rPr>
      </w:pPr>
      <w:r>
        <w:rPr>
          <w:rFonts w:ascii="Arial" w:cs="Arial" w:eastAsia="Arial" w:hAnsi="Arial"/>
          <w:sz w:val="19"/>
          <w:szCs w:val="19"/>
          <w:color w:val="auto"/>
        </w:rPr>
        <w:t>In addition, unless either (1) subclause (A) in the immediately preceding clause (i) is true with respect to a Lender or (2) a Lender has provided another representation, warranty and covenant in accordance with subclause (D) in the immediately preceding clause (i),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0580"/>
          </w:cols>
          <w:pgMar w:left="980" w:top="1427" w:right="339" w:bottom="1440" w:gutter="0" w:footer="0" w:header="0"/>
        </w:sectPr>
      </w:pPr>
    </w:p>
    <w:bookmarkStart w:id="568" w:name="page569"/>
    <w:bookmarkEnd w:id="568"/>
    <w:p>
      <w:pPr>
        <w:ind w:left="660"/>
        <w:spacing w:after="0"/>
        <w:rPr>
          <w:sz w:val="20"/>
          <w:szCs w:val="20"/>
          <w:color w:val="auto"/>
        </w:rPr>
      </w:pPr>
      <w:r>
        <w:rPr>
          <w:rFonts w:ascii="Arial" w:cs="Arial" w:eastAsia="Arial" w:hAnsi="Arial"/>
          <w:sz w:val="19"/>
          <w:szCs w:val="19"/>
          <w:color w:val="auto"/>
        </w:rPr>
        <w:t>by the Administrative Agent under this Agreement, any Credit Document or any documents related hereto or thereto).</w:t>
      </w:r>
    </w:p>
    <w:p>
      <w:pPr>
        <w:spacing w:after="0" w:line="2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10.7. Independence of Covenants</w:t>
      </w:r>
      <w:r>
        <w:rPr>
          <w:rFonts w:ascii="Arial" w:cs="Arial" w:eastAsia="Arial" w:hAnsi="Arial"/>
          <w:sz w:val="22"/>
          <w:szCs w:val="22"/>
          <w:color w:val="auto"/>
        </w:rPr>
        <w:t>. All covenants hereunder shall be given independent effect so that if a particular action</w:t>
      </w:r>
      <w:r>
        <w:rPr>
          <w:rFonts w:ascii="Arial" w:cs="Arial" w:eastAsia="Arial" w:hAnsi="Arial"/>
          <w:sz w:val="22"/>
          <w:szCs w:val="22"/>
          <w:b w:val="1"/>
          <w:bCs w:val="1"/>
          <w:color w:val="auto"/>
        </w:rPr>
        <w:t xml:space="preserve"> </w:t>
      </w:r>
      <w:r>
        <w:rPr>
          <w:rFonts w:ascii="Arial" w:cs="Arial" w:eastAsia="Arial" w:hAnsi="Arial"/>
          <w:sz w:val="22"/>
          <w:szCs w:val="22"/>
          <w:color w:val="auto"/>
        </w:rPr>
        <w:t>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10.8. Survival of Representations, Warranties and Agreements</w:t>
      </w:r>
      <w:r>
        <w:rPr>
          <w:rFonts w:ascii="Arial" w:cs="Arial" w:eastAsia="Arial" w:hAnsi="Arial"/>
          <w:sz w:val="22"/>
          <w:szCs w:val="22"/>
          <w:color w:val="auto"/>
        </w:rPr>
        <w:t>. All representations, warranties and agreements made</w:t>
      </w:r>
      <w:r>
        <w:rPr>
          <w:rFonts w:ascii="Arial" w:cs="Arial" w:eastAsia="Arial" w:hAnsi="Arial"/>
          <w:sz w:val="22"/>
          <w:szCs w:val="22"/>
          <w:b w:val="1"/>
          <w:bCs w:val="1"/>
          <w:color w:val="auto"/>
        </w:rPr>
        <w:t xml:space="preserve"> </w:t>
      </w:r>
      <w:r>
        <w:rPr>
          <w:rFonts w:ascii="Arial" w:cs="Arial" w:eastAsia="Arial" w:hAnsi="Arial"/>
          <w:sz w:val="22"/>
          <w:szCs w:val="22"/>
          <w:color w:val="auto"/>
        </w:rPr>
        <w:t>herein shall survive the execution and delivery hereof and the making of any Credit Extension. Notwithstanding anything herein or implied by law to the contrary, the agreements of each Credit Party set forth in Sections 2.18(c), 2.19, 2.20, 10.2, 10.3 and 10.4 and the agreements of Lenders set forth in Sections 2.17, 9.3(b) and 9.6 shall survive the payment of the Loans and the termination hereof.</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10.9. No Waiver; Remedies Cumulative</w:t>
      </w:r>
      <w:r>
        <w:rPr>
          <w:rFonts w:ascii="Arial" w:cs="Arial" w:eastAsia="Arial" w:hAnsi="Arial"/>
          <w:sz w:val="21"/>
          <w:szCs w:val="21"/>
          <w:color w:val="auto"/>
        </w:rPr>
        <w:t>. No failure or delay on the part of any Agent, or any Lender in the exercise of</w:t>
      </w:r>
      <w:r>
        <w:rPr>
          <w:rFonts w:ascii="Arial" w:cs="Arial" w:eastAsia="Arial" w:hAnsi="Arial"/>
          <w:sz w:val="21"/>
          <w:szCs w:val="21"/>
          <w:b w:val="1"/>
          <w:bCs w:val="1"/>
          <w:color w:val="auto"/>
        </w:rPr>
        <w:t xml:space="preserve"> </w:t>
      </w:r>
      <w:r>
        <w:rPr>
          <w:rFonts w:ascii="Arial" w:cs="Arial" w:eastAsia="Arial" w:hAnsi="Arial"/>
          <w:sz w:val="21"/>
          <w:szCs w:val="21"/>
          <w:color w:val="auto"/>
        </w:rPr>
        <w:t>any power, right or 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and each Lender hereby are cumulative and shall be in addition to and independent of all rights, powers and remedies existing by virtue of any statute or rule of law or in any of the other Credit Documents or any of the Hedge Agreements.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10.10. Marshalling; Payments Set Aside</w:t>
      </w:r>
      <w:r>
        <w:rPr>
          <w:rFonts w:ascii="Arial" w:cs="Arial" w:eastAsia="Arial" w:hAnsi="Arial"/>
          <w:sz w:val="19"/>
          <w:szCs w:val="19"/>
          <w:color w:val="auto"/>
        </w:rPr>
        <w:t>. None of Agent nor any Lender shall be under any obligation to marshal any</w:t>
      </w:r>
      <w:r>
        <w:rPr>
          <w:rFonts w:ascii="Arial" w:cs="Arial" w:eastAsia="Arial" w:hAnsi="Arial"/>
          <w:sz w:val="19"/>
          <w:szCs w:val="19"/>
          <w:b w:val="1"/>
          <w:bCs w:val="1"/>
          <w:color w:val="auto"/>
        </w:rPr>
        <w:t xml:space="preserve"> </w:t>
      </w:r>
      <w:r>
        <w:rPr>
          <w:rFonts w:ascii="Arial" w:cs="Arial" w:eastAsia="Arial" w:hAnsi="Arial"/>
          <w:sz w:val="19"/>
          <w:szCs w:val="19"/>
          <w:color w:val="auto"/>
        </w:rPr>
        <w:t>assets in favor of any Credit Party or any other Person or against or in payment of any or all of the Obligations. To the extent that any Credit Party makes a payment or payments to Administrative Agent or Lenders (or to Administrative Agent, on behalf of Lenders), or any Agent or Lender enforces any security interests or exercises any right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4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10.11. Severability</w:t>
      </w:r>
      <w:r>
        <w:rPr>
          <w:rFonts w:ascii="Arial" w:cs="Arial" w:eastAsia="Arial" w:hAnsi="Arial"/>
          <w:sz w:val="19"/>
          <w:szCs w:val="19"/>
          <w:color w:val="auto"/>
        </w:rPr>
        <w:t>. In case any provision in or obligation hereunder or under any other Credit Document shall be invalid,</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27" w:right="339" w:bottom="1440" w:gutter="0" w:footer="0" w:header="0"/>
        </w:sectPr>
      </w:pPr>
    </w:p>
    <w:bookmarkStart w:id="569" w:name="page570"/>
    <w:bookmarkEnd w:id="569"/>
    <w:p>
      <w:pPr>
        <w:jc w:val="both"/>
        <w:ind w:firstLine="648"/>
        <w:spacing w:after="0" w:line="247" w:lineRule="auto"/>
        <w:rPr>
          <w:sz w:val="20"/>
          <w:szCs w:val="20"/>
          <w:color w:val="auto"/>
        </w:rPr>
      </w:pPr>
      <w:r>
        <w:rPr>
          <w:rFonts w:ascii="Arial" w:cs="Arial" w:eastAsia="Arial" w:hAnsi="Arial"/>
          <w:sz w:val="22"/>
          <w:szCs w:val="22"/>
          <w:b w:val="1"/>
          <w:bCs w:val="1"/>
          <w:color w:val="auto"/>
        </w:rPr>
        <w:t>10.12. Obligations Several; Independent Nature of Lenders’ Rights</w:t>
      </w:r>
      <w:r>
        <w:rPr>
          <w:rFonts w:ascii="Arial" w:cs="Arial" w:eastAsia="Arial" w:hAnsi="Arial"/>
          <w:sz w:val="22"/>
          <w:szCs w:val="22"/>
          <w:color w:val="auto"/>
        </w:rPr>
        <w:t>. The obligations of Lenders hereunder are several</w:t>
      </w:r>
      <w:r>
        <w:rPr>
          <w:rFonts w:ascii="Arial" w:cs="Arial" w:eastAsia="Arial" w:hAnsi="Arial"/>
          <w:sz w:val="22"/>
          <w:szCs w:val="22"/>
          <w:b w:val="1"/>
          <w:bCs w:val="1"/>
          <w:color w:val="auto"/>
        </w:rPr>
        <w:t xml:space="preserve"> </w:t>
      </w:r>
      <w:r>
        <w:rPr>
          <w:rFonts w:ascii="Arial" w:cs="Arial" w:eastAsia="Arial" w:hAnsi="Arial"/>
          <w:sz w:val="22"/>
          <w:szCs w:val="22"/>
          <w:color w:val="auto"/>
        </w:rPr>
        <w:t>and no Lender shall be responsible for the obligations or Commitment of any other Lender hereunder. Nothing contained herein or in any other Credit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10.13. Headings</w:t>
      </w:r>
      <w:r>
        <w:rPr>
          <w:rFonts w:ascii="Arial" w:cs="Arial" w:eastAsia="Arial" w:hAnsi="Arial"/>
          <w:sz w:val="22"/>
          <w:szCs w:val="22"/>
          <w:color w:val="auto"/>
        </w:rPr>
        <w:t>. Section headings herein are included herein for convenience of reference only and shall not constitute a</w:t>
      </w:r>
      <w:r>
        <w:rPr>
          <w:rFonts w:ascii="Arial" w:cs="Arial" w:eastAsia="Arial" w:hAnsi="Arial"/>
          <w:sz w:val="22"/>
          <w:szCs w:val="22"/>
          <w:b w:val="1"/>
          <w:bCs w:val="1"/>
          <w:color w:val="auto"/>
        </w:rPr>
        <w:t xml:space="preserve"> </w:t>
      </w:r>
      <w:r>
        <w:rPr>
          <w:rFonts w:ascii="Arial" w:cs="Arial" w:eastAsia="Arial" w:hAnsi="Arial"/>
          <w:sz w:val="22"/>
          <w:szCs w:val="22"/>
          <w:color w:val="auto"/>
        </w:rPr>
        <w:t>part hereof for any other purpose or be given any substantive effect.</w:t>
      </w:r>
    </w:p>
    <w:p>
      <w:pPr>
        <w:spacing w:after="0" w:line="16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10.14. APPLICABLE LAW. THIS AGREEMENT AND THE RIGHTS AND OBLIGATIONS OF THE PARTIES HEREUNDER (INCLUDING, WITHOUT LIMITATION, ANY CLAIMS SOUNDING IN CONTRACT LAW OR TORT LAW ARISING OUT OF THE SUBJECT MATTER HEREOF AND ANY DETERMINATIONS WITH RESPECT TO POST-JUDGMENT INTEREST) SHALL BE GOVERNED BY, AND SHALL BE CONSTRUED AND ENFORCED IN ACCORDANCE WITH, THE LAWS OF THE STATE OF NEW YORK WITHOUT REGARD TO CONFLICT OF LAWS PRINCIPLES THEREOF THAT WOULD RESULT IN THE APPLICATION OF ANY LAW OTHER THAN THE LAW OF THE STATE OF NEW YORK.</w:t>
      </w:r>
    </w:p>
    <w:p>
      <w:pPr>
        <w:spacing w:after="0" w:line="18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b w:val="1"/>
          <w:bCs w:val="1"/>
          <w:color w:val="auto"/>
        </w:rPr>
        <w:t>10.15. CONSENT TO JURISDICTION. SUBJECT TO CLAUSE (E) OF THE FOLLOWING SENTENCE, ALL JUDICIAL PROCEEDINGS BROUGHT AGAINST ANY PARTY ARISING OUT OF OR RELATING HERETO OR ANY OTHER CREDIT DOCUMENTS, OR ANY OF THE OBLIGATIONS, SHALL BE BROUGHT IN ANY FEDERAL COURT OF THE UNITED STATES OF AMERICA SITTING IN THE BOROUGH OF MANHATTAN OR, IF THAT COURT DOES NOT HAVE SUBJECT MATTER JURISDICTION, IN ANY STATE COURT LOCATED IN THE CITY AND COUNTY OF NEW YORK. BY EXECUTING AND DELIVERING THIS AGREEMENT, EACH CREDIT PARTY, FOR ITSELF AND IN CONNECTION WITH ITS PROPERTIES, IRREVOCABLY (A) ACCEPTS GENERALLY AND UNCONDITIONALLY THE EXCLUSIVE (SUBJECT TO CLAUSE (E) BELOW) JURISDICTION AND VENUE OF SUCH COURTS; (B) WAIVES ANY DEFENSE OF FORUM NON CONVENIENS; (C) AGREES THAT SERVICE OF ALL PROCESS IN ANY SUCH PROCEEDING IN ANY SUCH COURT MAY BE MADE BY REGISTERED OR CERTIFIED MAIL, RETURN RECEIPT REQUESTED, TO THE APPLICABLE CREDIT PARTY AT ITS ADDRESS PROVIDED IN ACCORDANCE WITH SECTION 10.1; (D) AGREES THAT SERVICE AS PROVIDED IN CLAUSE (C) ABOVE IS SUFFICIENT TO CONFER PERSONAL JURISDICTION OVER THE APPLICABLE CREDIT PARTY IN ANY SUCH PROCEEDING IN ANY SUCH COURT, AND OTHERWISE CONSTITUTES EFFECTIVE AND BINDING SERVICE IN EVERY RESPECT; AND (E) AGREES THAT AGENTS AND LENDERS RETAIN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21" w:right="339" w:bottom="1440" w:gutter="0" w:footer="0" w:header="0"/>
        </w:sectPr>
      </w:pPr>
    </w:p>
    <w:bookmarkStart w:id="570" w:name="page571"/>
    <w:bookmarkEnd w:id="570"/>
    <w:p>
      <w:pPr>
        <w:jc w:val="both"/>
        <w:spacing w:after="0" w:line="249" w:lineRule="auto"/>
        <w:rPr>
          <w:sz w:val="20"/>
          <w:szCs w:val="20"/>
          <w:color w:val="auto"/>
        </w:rPr>
      </w:pPr>
      <w:r>
        <w:rPr>
          <w:rFonts w:ascii="Arial" w:cs="Arial" w:eastAsia="Arial" w:hAnsi="Arial"/>
          <w:sz w:val="22"/>
          <w:szCs w:val="22"/>
          <w:b w:val="1"/>
          <w:bCs w:val="1"/>
          <w:color w:val="auto"/>
        </w:rPr>
        <w:t>TO SERVE PROCESS IN ANY OTHER MANNER PERMITTED BY LAW OR TO BRING PROCEEDINGS AGAINST ANY CREDIT PARTY IN THE COURTS OF ANY OTHER JURISDICTION IN CONNECTION WITH THE EXERCISE OF ANY RIGHTS UNDER ANY CREDIT DOCUMENT OR AGAINST ANY COLLATERAL OR THE ENFORCEMENT OF ANY JUDGMENT, AND HEREBY SUBMITS TO THE JURISDICTION OF, AND CONSENTS TO VENUE IN, ANY SUCH COURT.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b w:val="1"/>
          <w:bCs w:val="1"/>
          <w:color w:val="auto"/>
        </w:rPr>
        <w:t>10.16. WAIVER OF JURY TRIAL. EACH OF THE PARTIES HERETO HEREBY AGREES TO WAIVE ITS RESPECTIVE RIGHTS TO A JURY TRIAL OF ANY CLAIM OR CAUSE OF ACTION BASED UPON OR ARISING HEREUNDER OR UNDER ANY OF THE OTHER CREDIT DOCUMENTS OR ANY DEALINGS BETWEEN THEM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10.16 AND EXECUTED BY EACH OF THE PARTIES HERETO), AND THIS WAIVER SHALL APPLY TO ANY SUBSEQUENT AMENDMENTS, RENEWALS, SUPPLEMENTS OR MODIFICATIONS HERETO OR ANY OF THE OTHER CREDIT DOCUMENTS OR TO ANY OTHER DOCUMENTS OR AGREEMENTS RELATING TO THE LOANS MADE HEREUNDER. IN THE EVENT OF LITIGATION, THIS AGREEMENT MAY BE FILED AS A WRITTEN CONSENT TO A TRIAL BY THE COURT.</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10.17. Confidentiality</w:t>
      </w:r>
      <w:r>
        <w:rPr>
          <w:rFonts w:ascii="Arial" w:cs="Arial" w:eastAsia="Arial" w:hAnsi="Arial"/>
          <w:sz w:val="19"/>
          <w:szCs w:val="19"/>
          <w:color w:val="auto"/>
        </w:rPr>
        <w:t>. Each Agent and each Lender shall hold all non-public information regarding the Borrower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Affiliates and their businesses identified as such by Borrower and obtained by such Agent or such Lender pursuant to the requirements hereof in accordance with such Agent’s and such Lender’s customary procedures for handling confidential information of such nature, it being understood and agreed by Borrower that, in any event, Administrative Agent may disclose such information to the Lenders and each Agent and each Lender and each Agent may make (i) disclosures of such information to Affiliates of such Lender or Agent and to their respective officers, directors, partners, members, employees, legal counsel, independent auditors and other advisors, experts or agents who need to know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21" w:right="339" w:bottom="1440" w:gutter="0" w:footer="0" w:header="0"/>
        </w:sectPr>
      </w:pPr>
    </w:p>
    <w:bookmarkStart w:id="571" w:name="page572"/>
    <w:bookmarkEnd w:id="571"/>
    <w:p>
      <w:pPr>
        <w:jc w:val="both"/>
        <w:spacing w:after="0" w:line="285" w:lineRule="auto"/>
        <w:rPr>
          <w:sz w:val="20"/>
          <w:szCs w:val="20"/>
          <w:color w:val="auto"/>
        </w:rPr>
      </w:pPr>
      <w:r>
        <w:rPr>
          <w:rFonts w:ascii="Arial" w:cs="Arial" w:eastAsia="Arial" w:hAnsi="Arial"/>
          <w:sz w:val="19"/>
          <w:szCs w:val="19"/>
          <w:color w:val="auto"/>
        </w:rPr>
        <w:t>information and on a confidential basis (and to other Persons authorized by a Lender or Agent to organize, present or disseminate such information in connection with disclosures otherwise made in accordance with this Section 10.17), (ii) disclosures of such information reasonably required by any potential or prospective assignee, transferee or participant in connection with the contemplated assignment, transfer or participation of any Loans or any participations therein or by any direct or indirect contractual counterparties (or the professional advisors thereto) to any swap or derivative or insurance transaction relating to Borrower and its obligations, this Agreements or payments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such assignees, transferees, participants, counterparties and advisors are advised of and agree to be bound by either the provisions of this Section 10.17 or other provisions at least as restrictive as this Section 10.17), (iii) disclosure on a confidential basis to any rating agency when required by it, (iv) disclosure on a confidential basis to the CUSIP Service Bureau or any similar agency in connection with the issuance and monitoring of CUSIP numbers with respect to the Loans, (v) disclosures in connection with the exercise of any remedies hereunder or under any other Credit Document or any action or proceeding relating to this Agreement or any other Credit Document or the enforcement of rights hereunder or thereunder, (vi) disclosures made pursuant to the order of any court or administrative agency or in any pending legal or administrative proceeding, or otherwise as required by applicable law or compulsory legal process (in which case such Person agrees to inform Borrower promptly thereof to the extent not prohibited by law), (vii) disclosures made upon the request or demand of any regulatory or quasi-regulatory authority purporting to have jurisdiction over such Person or any of its Affiliates and (viii) disclosures with the consent of Borrower. In addition,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and management of this Agreement and the other Credit Documents.</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10.18. Usury Savings Clause</w:t>
      </w:r>
      <w:r>
        <w:rPr>
          <w:rFonts w:ascii="Arial" w:cs="Arial" w:eastAsia="Arial" w:hAnsi="Arial"/>
          <w:sz w:val="19"/>
          <w:szCs w:val="19"/>
          <w:color w:val="auto"/>
        </w:rPr>
        <w:t>. Notwithstanding any other provision herein, the aggregate interest rate charged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Borrower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27" w:right="339" w:bottom="1440" w:gutter="0" w:footer="0" w:header="0"/>
        </w:sectPr>
      </w:pPr>
    </w:p>
    <w:bookmarkStart w:id="572" w:name="page573"/>
    <w:bookmarkEnd w:id="572"/>
    <w:p>
      <w:pPr>
        <w:spacing w:after="0"/>
        <w:rPr>
          <w:sz w:val="20"/>
          <w:szCs w:val="20"/>
          <w:color w:val="auto"/>
        </w:rPr>
      </w:pPr>
      <w:r>
        <w:rPr>
          <w:rFonts w:ascii="Arial" w:cs="Arial" w:eastAsia="Arial" w:hAnsi="Arial"/>
          <w:sz w:val="22"/>
          <w:szCs w:val="22"/>
          <w:color w:val="auto"/>
        </w:rPr>
        <w:t>Lender’s option be applied to the outstanding amount of the Loans made hereunder or be refunded to Borrower.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10.19. Effectiveness; Counterparts; Electronic Execution of Credit Documents</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261" w:lineRule="auto"/>
        <w:tabs>
          <w:tab w:leader="none" w:pos="1808" w:val="left"/>
        </w:tabs>
        <w:numPr>
          <w:ilvl w:val="0"/>
          <w:numId w:val="450"/>
        </w:numPr>
        <w:rPr>
          <w:rFonts w:ascii="Arial" w:cs="Arial" w:eastAsia="Arial" w:hAnsi="Arial"/>
          <w:sz w:val="19"/>
          <w:szCs w:val="19"/>
          <w:color w:val="auto"/>
        </w:rPr>
      </w:pPr>
      <w:r>
        <w:rPr>
          <w:rFonts w:ascii="Arial" w:cs="Arial" w:eastAsia="Arial" w:hAnsi="Arial"/>
          <w:sz w:val="21"/>
          <w:szCs w:val="21"/>
          <w:color w:val="auto"/>
        </w:rPr>
        <w:t>This Agreement shall become effective upon the execution of a counterpart hereof by each of the parties hereto and receipt by Borrower and Administrative Agent of written notification of such execution and authorization of delivery thereof. This Agreement may be executed in any number of counterparts, each of which when so executed and delivered shall be deemed an original, but all such counterparts together shall constitute but one and the same instrument. Delivery of an executed counterpart of a signature page of this Agreement by facsimile or in electronic format (i.e., “pdf” or “tif” shall be effective as delivery of a manually executed counterpart of this Agreement.</w:t>
      </w:r>
    </w:p>
    <w:p>
      <w:pPr>
        <w:spacing w:after="0" w:line="179" w:lineRule="exact"/>
        <w:rPr>
          <w:rFonts w:ascii="Arial" w:cs="Arial" w:eastAsia="Arial" w:hAnsi="Arial"/>
          <w:sz w:val="19"/>
          <w:szCs w:val="19"/>
          <w:color w:val="auto"/>
        </w:rPr>
      </w:pPr>
    </w:p>
    <w:p>
      <w:pPr>
        <w:jc w:val="both"/>
        <w:ind w:firstLine="1304"/>
        <w:spacing w:after="0" w:line="261" w:lineRule="auto"/>
        <w:tabs>
          <w:tab w:leader="none" w:pos="1819" w:val="left"/>
        </w:tabs>
        <w:numPr>
          <w:ilvl w:val="0"/>
          <w:numId w:val="450"/>
        </w:numPr>
        <w:rPr>
          <w:rFonts w:ascii="Arial" w:cs="Arial" w:eastAsia="Arial" w:hAnsi="Arial"/>
          <w:sz w:val="19"/>
          <w:szCs w:val="19"/>
          <w:color w:val="auto"/>
        </w:rPr>
      </w:pPr>
      <w:r>
        <w:rPr>
          <w:rFonts w:ascii="Arial" w:cs="Arial" w:eastAsia="Arial" w:hAnsi="Arial"/>
          <w:sz w:val="21"/>
          <w:szCs w:val="21"/>
          <w:color w:val="auto"/>
        </w:rPr>
        <w:t>The words “execution,” “signed,” “signature,” and words of like import in this Agreement and any other Credit Documents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10.20. Acknowledgment and Consent to Bail-In of EEA Financial Institutions. </w:t>
      </w:r>
      <w:r>
        <w:rPr>
          <w:rFonts w:ascii="Arial" w:cs="Arial" w:eastAsia="Arial" w:hAnsi="Arial"/>
          <w:sz w:val="22"/>
          <w:szCs w:val="22"/>
          <w:color w:val="auto"/>
        </w:rPr>
        <w:t>Solely to the extent any Lender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an EEA Financial Institution is a party to this Agreement and notwithstanding anything to the contrary in any Credit Document or in any other agreement, arrangement or understanding among any such parties, each party hereto acknowledges that any liability of any Lender that is an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93" w:lineRule="exact"/>
        <w:rPr>
          <w:sz w:val="20"/>
          <w:szCs w:val="20"/>
          <w:color w:val="auto"/>
        </w:rPr>
      </w:pPr>
    </w:p>
    <w:p>
      <w:pPr>
        <w:ind w:right="20" w:firstLine="656"/>
        <w:spacing w:after="0" w:line="263" w:lineRule="auto"/>
        <w:tabs>
          <w:tab w:leader="none" w:pos="1147" w:val="left"/>
        </w:tabs>
        <w:numPr>
          <w:ilvl w:val="0"/>
          <w:numId w:val="451"/>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Lender that is an EEA Financial Institution; and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45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1"/>
          <w:numId w:val="45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1300" w:firstLine="652"/>
        <w:spacing w:after="0" w:line="265" w:lineRule="auto"/>
        <w:tabs>
          <w:tab w:leader="none" w:pos="2529" w:val="left"/>
        </w:tabs>
        <w:numPr>
          <w:ilvl w:val="1"/>
          <w:numId w:val="451"/>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27" w:right="339" w:bottom="1440" w:gutter="0" w:footer="0" w:header="0"/>
        </w:sectPr>
      </w:pPr>
    </w:p>
    <w:bookmarkStart w:id="573" w:name="page574"/>
    <w:bookmarkEnd w:id="573"/>
    <w:p>
      <w:pPr>
        <w:ind w:left="1300" w:firstLine="652"/>
        <w:spacing w:after="0" w:line="263" w:lineRule="auto"/>
        <w:tabs>
          <w:tab w:leader="none" w:pos="2549" w:val="left"/>
        </w:tabs>
        <w:numPr>
          <w:ilvl w:val="0"/>
          <w:numId w:val="45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10.21. PATRIOT Act</w:t>
      </w:r>
      <w:r>
        <w:rPr>
          <w:rFonts w:ascii="Arial" w:cs="Arial" w:eastAsia="Arial" w:hAnsi="Arial"/>
          <w:sz w:val="22"/>
          <w:szCs w:val="22"/>
          <w:color w:val="auto"/>
        </w:rPr>
        <w:t>. Each Lender and Administrative Agent (for itself and not on behalf of any Lender) hereby notifies</w:t>
      </w:r>
      <w:r>
        <w:rPr>
          <w:rFonts w:ascii="Arial" w:cs="Arial" w:eastAsia="Arial" w:hAnsi="Arial"/>
          <w:sz w:val="22"/>
          <w:szCs w:val="22"/>
          <w:b w:val="1"/>
          <w:bCs w:val="1"/>
          <w:color w:val="auto"/>
        </w:rPr>
        <w:t xml:space="preserve"> </w:t>
      </w:r>
      <w:r>
        <w:rPr>
          <w:rFonts w:ascii="Arial" w:cs="Arial" w:eastAsia="Arial" w:hAnsi="Arial"/>
          <w:sz w:val="22"/>
          <w:szCs w:val="22"/>
          <w:color w:val="auto"/>
        </w:rPr>
        <w:t>each Credit Party that pursuant to the requirements of the PATRIOT Act, it is required to obtain, verify and record information that identifies each Credit Party, which information includes the name and address of each Credit Party and other information that will allow such Lender or Administrative Agent, as applicable, to identify such Credit Party in accordance with the PATRIOT Act.</w:t>
      </w:r>
    </w:p>
    <w:p>
      <w:pPr>
        <w:spacing w:after="0" w:line="18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10.22. Electronic Execution of Assignments</w:t>
      </w:r>
      <w:r>
        <w:rPr>
          <w:rFonts w:ascii="Arial" w:cs="Arial" w:eastAsia="Arial" w:hAnsi="Arial"/>
          <w:sz w:val="19"/>
          <w:szCs w:val="19"/>
          <w:color w:val="auto"/>
        </w:rPr>
        <w:t>. The words “execution,” “signed,” “signature,” and words of like import in</w:t>
      </w:r>
      <w:r>
        <w:rPr>
          <w:rFonts w:ascii="Arial" w:cs="Arial" w:eastAsia="Arial" w:hAnsi="Arial"/>
          <w:sz w:val="19"/>
          <w:szCs w:val="19"/>
          <w:b w:val="1"/>
          <w:bCs w:val="1"/>
          <w:color w:val="auto"/>
        </w:rPr>
        <w:t xml:space="preserve"> </w:t>
      </w:r>
      <w:r>
        <w:rPr>
          <w:rFonts w:ascii="Arial" w:cs="Arial" w:eastAsia="Arial" w:hAnsi="Arial"/>
          <w:sz w:val="19"/>
          <w:szCs w:val="19"/>
          <w:color w:val="auto"/>
        </w:rPr>
        <w:t>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10.23. No Fiduciary Duty</w:t>
      </w:r>
      <w:r>
        <w:rPr>
          <w:rFonts w:ascii="Arial" w:cs="Arial" w:eastAsia="Arial" w:hAnsi="Arial"/>
          <w:sz w:val="19"/>
          <w:szCs w:val="19"/>
          <w:color w:val="auto"/>
        </w:rPr>
        <w:t>. Each Agent, Lender and their Affiliates (collectively, solely for purposes of this paragraph,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w:t>
      </w:r>
      <w:r>
        <w:rPr>
          <w:rFonts w:ascii="Arial" w:cs="Arial" w:eastAsia="Arial" w:hAnsi="Arial"/>
          <w:sz w:val="19"/>
          <w:szCs w:val="19"/>
          <w:b w:val="1"/>
          <w:bCs w:val="1"/>
          <w:color w:val="auto"/>
        </w:rPr>
        <w:t>“Lenders”</w:t>
      </w:r>
      <w:r>
        <w:rPr>
          <w:rFonts w:ascii="Arial" w:cs="Arial" w:eastAsia="Arial" w:hAnsi="Arial"/>
          <w:sz w:val="19"/>
          <w:szCs w:val="19"/>
          <w:color w:val="auto"/>
        </w:rPr>
        <w:t>), may have economic interests that conflict with those of the Credit Parties, their stockholders and/or their affiliates. Each Credit Party agrees that nothing in the Credit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Credit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Remainder of page intentionally left blank</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27" w:right="339" w:bottom="1440" w:gutter="0" w:footer="0" w:header="0"/>
        </w:sectPr>
      </w:pPr>
    </w:p>
    <w:bookmarkStart w:id="574" w:name="page575"/>
    <w:bookmarkEnd w:id="574"/>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duly executed and delivered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thereunto duly authorized as of the date first written above.</w:t>
      </w:r>
    </w:p>
    <w:p>
      <w:pPr>
        <w:spacing w:after="0" w:line="216" w:lineRule="exact"/>
        <w:rPr>
          <w:sz w:val="20"/>
          <w:szCs w:val="20"/>
          <w:color w:val="auto"/>
        </w:rPr>
      </w:pPr>
    </w:p>
    <w:p>
      <w:pPr>
        <w:ind w:left="5860"/>
        <w:spacing w:after="0"/>
        <w:rPr>
          <w:sz w:val="20"/>
          <w:szCs w:val="20"/>
          <w:color w:val="auto"/>
        </w:rPr>
      </w:pPr>
      <w:r>
        <w:rPr>
          <w:rFonts w:ascii="Arial" w:cs="Arial" w:eastAsia="Arial" w:hAnsi="Arial"/>
          <w:sz w:val="22"/>
          <w:szCs w:val="22"/>
          <w:b w:val="1"/>
          <w:bCs w:val="1"/>
          <w:color w:val="auto"/>
        </w:rPr>
        <w:t>LEONARDO DRS, INC.</w:t>
      </w:r>
    </w:p>
    <w:p>
      <w:pPr>
        <w:spacing w:after="0" w:line="33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24130</wp:posOffset>
            </wp:positionV>
            <wp:extent cx="30429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74"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auto"/>
        </w:rPr>
        <w:t>[GUARANTOR]</w:t>
      </w:r>
    </w:p>
    <w:p>
      <w:pPr>
        <w:spacing w:after="0" w:line="33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24130</wp:posOffset>
            </wp:positionV>
            <wp:extent cx="30429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74"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auto"/>
        </w:rPr>
        <w:t>[GUARANTOR]</w:t>
      </w:r>
    </w:p>
    <w:p>
      <w:pPr>
        <w:spacing w:after="0" w:line="33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24130</wp:posOffset>
            </wp:positionV>
            <wp:extent cx="30429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74"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auto"/>
        </w:rPr>
        <w:t>[GUARANTOR]</w:t>
      </w:r>
    </w:p>
    <w:p>
      <w:pPr>
        <w:spacing w:after="0" w:line="33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24130</wp:posOffset>
            </wp:positionV>
            <wp:extent cx="30429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1240"/>
          </w:cols>
          <w:pgMar w:left="320" w:top="1421" w:right="339" w:bottom="1440" w:gutter="0" w:footer="0" w:header="0"/>
        </w:sectPr>
      </w:pPr>
    </w:p>
    <w:bookmarkStart w:id="575" w:name="page576"/>
    <w:bookmarkEnd w:id="575"/>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GOLDMAN SACHS BANK USA,</w:t>
      </w:r>
    </w:p>
    <w:p>
      <w:pPr>
        <w:spacing w:after="0" w:line="64" w:lineRule="exact"/>
        <w:rPr>
          <w:sz w:val="20"/>
          <w:szCs w:val="20"/>
          <w:color w:val="auto"/>
        </w:rPr>
      </w:pPr>
    </w:p>
    <w:p>
      <w:pPr>
        <w:ind w:left="4740" w:right="120"/>
        <w:spacing w:after="0" w:line="263" w:lineRule="auto"/>
        <w:rPr>
          <w:sz w:val="20"/>
          <w:szCs w:val="20"/>
          <w:color w:val="auto"/>
        </w:rPr>
      </w:pPr>
      <w:r>
        <w:rPr>
          <w:rFonts w:ascii="Arial" w:cs="Arial" w:eastAsia="Arial" w:hAnsi="Arial"/>
          <w:sz w:val="22"/>
          <w:szCs w:val="22"/>
          <w:color w:val="auto"/>
        </w:rPr>
        <w:t>as Administrative Agent, Syndication Agent, Lead Arranger, Bookrunner and a Lender</w:t>
      </w:r>
    </w:p>
    <w:p>
      <w:pPr>
        <w:spacing w:after="0" w:line="200" w:lineRule="exact"/>
        <w:rPr>
          <w:sz w:val="20"/>
          <w:szCs w:val="20"/>
          <w:color w:val="auto"/>
        </w:rPr>
      </w:pPr>
    </w:p>
    <w:p>
      <w:pPr>
        <w:spacing w:after="0" w:line="353"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51"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76" w:name="page577"/>
    <w:bookmarkEnd w:id="576"/>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 xml:space="preserve">BOFA SECURITIES, INC., </w:t>
      </w:r>
      <w:r>
        <w:rPr>
          <w:rFonts w:ascii="Arial" w:cs="Arial" w:eastAsia="Arial" w:hAnsi="Arial"/>
          <w:sz w:val="22"/>
          <w:szCs w:val="22"/>
          <w:color w:val="auto"/>
        </w:rPr>
        <w:t>as Lead Arranger and</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Bookrunner,</w:t>
      </w:r>
    </w:p>
    <w:p>
      <w:pPr>
        <w:spacing w:after="0" w:line="200" w:lineRule="exact"/>
        <w:rPr>
          <w:sz w:val="20"/>
          <w:szCs w:val="20"/>
          <w:color w:val="auto"/>
        </w:rPr>
      </w:pPr>
    </w:p>
    <w:p>
      <w:pPr>
        <w:spacing w:after="0" w:line="380"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1"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77" w:name="page578"/>
    <w:bookmarkEnd w:id="577"/>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BANK OF AMERICA, N.A.,</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as a Leader</w:t>
      </w:r>
    </w:p>
    <w:p>
      <w:pPr>
        <w:spacing w:after="0" w:line="200" w:lineRule="exact"/>
        <w:rPr>
          <w:sz w:val="20"/>
          <w:szCs w:val="20"/>
          <w:color w:val="auto"/>
        </w:rPr>
      </w:pPr>
    </w:p>
    <w:p>
      <w:pPr>
        <w:spacing w:after="0" w:line="380"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1"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78" w:name="page579"/>
    <w:bookmarkEnd w:id="578"/>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JPMORGAN CHASE BANK, N.A.,</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As Syndication Agent, Lead Arranger, Bookrunner, and a</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1"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79" w:name="page580"/>
    <w:bookmarkEnd w:id="579"/>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BARCLAYS BANK PLC,</w:t>
      </w:r>
    </w:p>
    <w:p>
      <w:pPr>
        <w:spacing w:after="0" w:line="27" w:lineRule="exact"/>
        <w:rPr>
          <w:sz w:val="20"/>
          <w:szCs w:val="20"/>
          <w:color w:val="auto"/>
        </w:rPr>
      </w:pPr>
    </w:p>
    <w:p>
      <w:pPr>
        <w:ind w:left="4720" w:right="240"/>
        <w:spacing w:after="0" w:line="246" w:lineRule="auto"/>
        <w:rPr>
          <w:sz w:val="20"/>
          <w:szCs w:val="20"/>
          <w:color w:val="auto"/>
        </w:rPr>
      </w:pPr>
      <w:r>
        <w:rPr>
          <w:rFonts w:ascii="Arial" w:cs="Arial" w:eastAsia="Arial" w:hAnsi="Arial"/>
          <w:sz w:val="22"/>
          <w:szCs w:val="22"/>
          <w:color w:val="auto"/>
        </w:rPr>
        <w:t>as Lead Arranger, Bookrunner, Documentation Agent and a Lender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0" w:name="page581"/>
    <w:bookmarkEnd w:id="580"/>
    <w:p>
      <w:pPr>
        <w:spacing w:after="0" w:line="3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CITIBANK, N.A., LONDON BRANCH</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21"/>
          <w:szCs w:val="21"/>
          <w:color w:val="auto"/>
        </w:rPr>
        <w:t>as Lead Arranger, Bookrunner, and 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24130</wp:posOffset>
            </wp:positionV>
            <wp:extent cx="30429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00"/>
        <w:spacing w:after="0"/>
        <w:tabs>
          <w:tab w:leader="none" w:pos="100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32"/>
          <w:szCs w:val="32"/>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1" w:name="page582"/>
    <w:bookmarkEnd w:id="581"/>
    <w:p>
      <w:pPr>
        <w:spacing w:after="0" w:line="3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CITIBANK, N.A.</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2" w:name="page583"/>
    <w:bookmarkEnd w:id="582"/>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CREDIT SUISSE LOAN FUNDING LLC,</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as Lead Arranger, Bookrunner and 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3" w:name="page584"/>
    <w:bookmarkEnd w:id="583"/>
    <w:p>
      <w:pPr>
        <w:spacing w:after="0" w:line="36" w:lineRule="exact"/>
        <w:rPr>
          <w:sz w:val="20"/>
          <w:szCs w:val="20"/>
          <w:color w:val="auto"/>
        </w:rPr>
      </w:pPr>
    </w:p>
    <w:p>
      <w:pPr>
        <w:ind w:left="4720" w:right="280"/>
        <w:spacing w:after="0" w:line="269" w:lineRule="auto"/>
        <w:rPr>
          <w:sz w:val="20"/>
          <w:szCs w:val="20"/>
          <w:color w:val="auto"/>
        </w:rPr>
      </w:pPr>
      <w:r>
        <w:rPr>
          <w:rFonts w:ascii="Arial" w:cs="Arial" w:eastAsia="Arial" w:hAnsi="Arial"/>
          <w:sz w:val="22"/>
          <w:szCs w:val="22"/>
          <w:b w:val="1"/>
          <w:bCs w:val="1"/>
          <w:color w:val="auto"/>
        </w:rPr>
        <w:t xml:space="preserve">CREDIT SUISSE AG, CAYMAN ISLANDS BRANCH, </w:t>
      </w: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4" w:name="page585"/>
    <w:bookmarkEnd w:id="584"/>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MORGAN STANLEY SENIOR FUNDING, INC.,</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as Lead Arranger, Bookrunner and 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5" w:name="page586"/>
    <w:bookmarkEnd w:id="585"/>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MORGAN STANLEY BANK, N.A.,</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6" w:name="page587"/>
    <w:bookmarkEnd w:id="586"/>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MUFG UNION BANK, N.A.</w:t>
      </w:r>
      <w:r>
        <w:rPr>
          <w:rFonts w:ascii="Arial" w:cs="Arial" w:eastAsia="Arial" w:hAnsi="Arial"/>
          <w:sz w:val="22"/>
          <w:szCs w:val="22"/>
          <w:color w:val="auto"/>
        </w:rPr>
        <w:t>,</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7" w:name="page588"/>
    <w:bookmarkEnd w:id="587"/>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CREDIT AGRICOLE CORPORATE AND</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INVESTMENT BANK</w:t>
      </w:r>
      <w:r>
        <w:rPr>
          <w:rFonts w:ascii="Arial" w:cs="Arial" w:eastAsia="Arial" w:hAnsi="Arial"/>
          <w:sz w:val="22"/>
          <w:szCs w:val="22"/>
          <w:color w:val="auto"/>
        </w:rPr>
        <w:t>,</w:t>
      </w:r>
    </w:p>
    <w:p>
      <w:pPr>
        <w:spacing w:after="0" w:line="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8" w:name="page589"/>
    <w:bookmarkEnd w:id="588"/>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INTESA SANPAOLO S.P.A., NEW YORK BRANCH</w:t>
      </w:r>
      <w:r>
        <w:rPr>
          <w:rFonts w:ascii="Arial" w:cs="Arial" w:eastAsia="Arial" w:hAnsi="Arial"/>
          <w:sz w:val="22"/>
          <w:szCs w:val="22"/>
          <w:color w:val="auto"/>
        </w:rPr>
        <w:t>,</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89" w:name="page590"/>
    <w:bookmarkEnd w:id="589"/>
    <w:p>
      <w:pPr>
        <w:spacing w:after="0" w:line="3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UNICREDIT S.P.A., NEW YORK BRANCH</w:t>
      </w:r>
      <w:r>
        <w:rPr>
          <w:rFonts w:ascii="Arial" w:cs="Arial" w:eastAsia="Arial" w:hAnsi="Arial"/>
          <w:sz w:val="22"/>
          <w:szCs w:val="22"/>
          <w:color w:val="auto"/>
        </w:rPr>
        <w:t>,</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24130</wp:posOffset>
            </wp:positionV>
            <wp:extent cx="30429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Bridge Credit and Guaranty Agreement</w:t>
      </w:r>
    </w:p>
    <w:p>
      <w:pPr>
        <w:sectPr>
          <w:pgSz w:w="11900" w:h="16838" w:orient="portrait"/>
          <w:cols w:equalWidth="0" w:num="1">
            <w:col w:w="10120"/>
          </w:cols>
          <w:pgMar w:left="1440" w:top="1440" w:right="339" w:bottom="1440" w:gutter="0" w:footer="0" w:header="0"/>
        </w:sectPr>
      </w:pPr>
    </w:p>
    <w:bookmarkStart w:id="590" w:name="page591"/>
    <w:bookmarkEnd w:id="59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Leonardo DRS,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report refers to a change to the method of accounting for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ectPr>
          <w:pgSz w:w="11900" w:h="16838" w:orient="portrait"/>
          <w:cols w:equalWidth="0" w:num="1">
            <w:col w:w="11240"/>
          </w:cols>
          <w:pgMar w:left="320" w:top="121" w:right="339" w:bottom="1440" w:gutter="0" w:footer="0" w:header="0"/>
        </w:sectPr>
      </w:pPr>
    </w:p>
    <w:bookmarkStart w:id="591" w:name="page592"/>
    <w:bookmarkEnd w:id="59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PERSON NAMED AS ABOUT TO BECOME DIRECTOR</w:t>
      </w:r>
    </w:p>
    <w:p>
      <w:pPr>
        <w:spacing w:after="0" w:line="222" w:lineRule="exact"/>
        <w:rPr>
          <w:sz w:val="20"/>
          <w:szCs w:val="20"/>
          <w:color w:val="auto"/>
        </w:rPr>
      </w:pPr>
    </w:p>
    <w:p>
      <w:pPr>
        <w:ind w:right="180" w:firstLine="1296"/>
        <w:spacing w:after="0" w:line="282" w:lineRule="auto"/>
        <w:rPr>
          <w:sz w:val="20"/>
          <w:szCs w:val="20"/>
          <w:color w:val="auto"/>
        </w:rPr>
      </w:pPr>
      <w:r>
        <w:rPr>
          <w:rFonts w:ascii="Arial" w:cs="Arial" w:eastAsia="Arial" w:hAnsi="Arial"/>
          <w:sz w:val="18"/>
          <w:szCs w:val="18"/>
          <w:color w:val="auto"/>
        </w:rPr>
        <w:t>Pursuant to Rule 438 under the Securities Act of 1933, as amended, the undersigned hereby consents to being named in the Registration Statement on Form S-1 of Leonardo DRS, Inc. (the “Registrant”), and all amendments thereto and any related prospectus or prospectus supplement filed pursuant to Rule 424 under the Securities Act of 1933, as amended (the “Registration Statement”), as a prospective director of the Registrant, and to the filing or attachment of this consent with the Registration Statement.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March 15, 2021</w:t>
      </w:r>
    </w:p>
    <w:p>
      <w:pPr>
        <w:spacing w:after="0" w:line="200" w:lineRule="exact"/>
        <w:rPr>
          <w:sz w:val="20"/>
          <w:szCs w:val="20"/>
          <w:color w:val="auto"/>
        </w:rPr>
      </w:pPr>
    </w:p>
    <w:p>
      <w:pPr>
        <w:spacing w:after="0" w:line="28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/s/ Gail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27305</wp:posOffset>
            </wp:positionV>
            <wp:extent cx="8826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47"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Name: Gail Baker</w:t>
      </w:r>
    </w:p>
    <w:p>
      <w:pPr>
        <w:sectPr>
          <w:pgSz w:w="11900" w:h="16838" w:orient="portrait"/>
          <w:cols w:equalWidth="0" w:num="1">
            <w:col w:w="11240"/>
          </w:cols>
          <w:pgMar w:left="320" w:top="121" w:right="339" w:bottom="1440" w:gutter="0" w:footer="0" w:header="0"/>
        </w:sectPr>
      </w:pPr>
    </w:p>
    <w:bookmarkStart w:id="592" w:name="page593"/>
    <w:bookmarkEnd w:id="592"/>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PERSON NAMED AS ABOUT TO BECOME DIRECTOR</w:t>
      </w:r>
    </w:p>
    <w:p>
      <w:pPr>
        <w:spacing w:after="0" w:line="222" w:lineRule="exact"/>
        <w:rPr>
          <w:sz w:val="20"/>
          <w:szCs w:val="20"/>
          <w:color w:val="auto"/>
        </w:rPr>
      </w:pPr>
    </w:p>
    <w:p>
      <w:pPr>
        <w:ind w:right="180" w:firstLine="1296"/>
        <w:spacing w:after="0" w:line="282" w:lineRule="auto"/>
        <w:rPr>
          <w:sz w:val="20"/>
          <w:szCs w:val="20"/>
          <w:color w:val="auto"/>
        </w:rPr>
      </w:pPr>
      <w:r>
        <w:rPr>
          <w:rFonts w:ascii="Arial" w:cs="Arial" w:eastAsia="Arial" w:hAnsi="Arial"/>
          <w:sz w:val="18"/>
          <w:szCs w:val="18"/>
          <w:color w:val="auto"/>
        </w:rPr>
        <w:t>Pursuant to Rule 438 under the Securities Act of 1933, as amended, the undersigned hereby consents to being named in the Registration Statement on Form S-1 of Leonardo DRS, Inc. (the “Registrant”), and all amendments thereto and any related prospectus or prospectus supplement filed pursuant to Rule 424 under the Securities Act of 1933, as amended (the “Registration Statement”), as a prospective director of the Registrant, and to the filing or attachment of this consent with the Registration Statement.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March 15, 2021</w:t>
      </w:r>
    </w:p>
    <w:p>
      <w:pPr>
        <w:spacing w:after="0" w:line="200" w:lineRule="exact"/>
        <w:rPr>
          <w:sz w:val="20"/>
          <w:szCs w:val="20"/>
          <w:color w:val="auto"/>
        </w:rPr>
      </w:pPr>
    </w:p>
    <w:p>
      <w:pPr>
        <w:spacing w:after="0" w:line="28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/s/ Mary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27305</wp:posOffset>
            </wp:positionV>
            <wp:extent cx="9683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47"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 Mary Gallagher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AADFDA"/>
    <w:multiLevelType w:val="hybridMultilevel"/>
    <w:lvl w:ilvl="0">
      <w:lvlJc w:val="left"/>
      <w:lvlText w:val="(%1)"/>
      <w:numFmt w:val="decimal"/>
      <w:start w:val="1"/>
    </w:lvl>
  </w:abstractNum>
  <w:abstractNum w:abstractNumId="1">
    <w:nsid w:val="30EADA61"/>
    <w:multiLevelType w:val="hybridMultilevel"/>
    <w:lvl w:ilvl="0">
      <w:lvlJc w:val="left"/>
      <w:lvlText w:val="•"/>
      <w:numFmt w:val="bullet"/>
      <w:start w:val="1"/>
    </w:lvl>
  </w:abstractNum>
  <w:abstractNum w:abstractNumId="2">
    <w:nsid w:val="27179C0B"/>
    <w:multiLevelType w:val="hybridMultilevel"/>
    <w:lvl w:ilvl="0">
      <w:lvlJc w:val="left"/>
      <w:lvlText w:val="•"/>
      <w:numFmt w:val="bullet"/>
      <w:start w:val="1"/>
    </w:lvl>
  </w:abstractNum>
  <w:abstractNum w:abstractNumId="3">
    <w:nsid w:val="5E636063"/>
    <w:multiLevelType w:val="hybridMultilevel"/>
    <w:lvl w:ilvl="0">
      <w:lvlJc w:val="left"/>
      <w:lvlText w:val="•"/>
      <w:numFmt w:val="bullet"/>
      <w:start w:val="1"/>
    </w:lvl>
  </w:abstractNum>
  <w:abstractNum w:abstractNumId="4">
    <w:nsid w:val="215641AF"/>
    <w:multiLevelType w:val="hybridMultilevel"/>
    <w:lvl w:ilvl="0">
      <w:lvlJc w:val="left"/>
      <w:lvlText w:val="•"/>
      <w:numFmt w:val="bullet"/>
      <w:start w:val="1"/>
    </w:lvl>
  </w:abstractNum>
  <w:abstractNum w:abstractNumId="5">
    <w:nsid w:val="53280662"/>
    <w:multiLevelType w:val="hybridMultilevel"/>
    <w:lvl w:ilvl="0">
      <w:lvlJc w:val="left"/>
      <w:lvlText w:val="•"/>
      <w:numFmt w:val="bullet"/>
      <w:start w:val="1"/>
    </w:lvl>
  </w:abstractNum>
  <w:abstractNum w:abstractNumId="6">
    <w:nsid w:val="46B24DBC"/>
    <w:multiLevelType w:val="hybridMultilevel"/>
    <w:lvl w:ilvl="0">
      <w:lvlJc w:val="left"/>
      <w:lvlText w:val="•"/>
      <w:numFmt w:val="bullet"/>
      <w:start w:val="1"/>
    </w:lvl>
  </w:abstractNum>
  <w:abstractNum w:abstractNumId="7">
    <w:nsid w:val="75B52783"/>
    <w:multiLevelType w:val="hybridMultilevel"/>
    <w:lvl w:ilvl="0">
      <w:lvlJc w:val="left"/>
      <w:lvlText w:val="•"/>
      <w:numFmt w:val="bullet"/>
      <w:start w:val="1"/>
    </w:lvl>
  </w:abstractNum>
  <w:abstractNum w:abstractNumId="8">
    <w:nsid w:val="57CE66B4"/>
    <w:multiLevelType w:val="hybridMultilevel"/>
    <w:lvl w:ilvl="0">
      <w:lvlJc w:val="left"/>
      <w:lvlText w:val="•"/>
      <w:numFmt w:val="bullet"/>
      <w:start w:val="1"/>
    </w:lvl>
  </w:abstractNum>
  <w:abstractNum w:abstractNumId="9">
    <w:nsid w:val="67A70B69"/>
    <w:multiLevelType w:val="hybridMultilevel"/>
    <w:lvl w:ilvl="0">
      <w:lvlJc w:val="left"/>
      <w:lvlText w:val="•"/>
      <w:numFmt w:val="bullet"/>
      <w:start w:val="1"/>
    </w:lvl>
  </w:abstractNum>
  <w:abstractNum w:abstractNumId="10">
    <w:nsid w:val="5953172F"/>
    <w:multiLevelType w:val="hybridMultilevel"/>
    <w:lvl w:ilvl="0">
      <w:lvlJc w:val="left"/>
      <w:lvlText w:val="•"/>
      <w:numFmt w:val="bullet"/>
      <w:start w:val="1"/>
    </w:lvl>
  </w:abstractNum>
  <w:abstractNum w:abstractNumId="11">
    <w:nsid w:val="27EDFE3A"/>
    <w:multiLevelType w:val="hybridMultilevel"/>
    <w:lvl w:ilvl="0">
      <w:lvlJc w:val="left"/>
      <w:lvlText w:val="•"/>
      <w:numFmt w:val="bullet"/>
      <w:start w:val="1"/>
    </w:lvl>
  </w:abstractNum>
  <w:abstractNum w:abstractNumId="12">
    <w:nsid w:val="52AC7DFF"/>
    <w:multiLevelType w:val="hybridMultilevel"/>
    <w:lvl w:ilvl="0">
      <w:lvlJc w:val="left"/>
      <w:lvlText w:val="•"/>
      <w:numFmt w:val="bullet"/>
      <w:start w:val="1"/>
    </w:lvl>
  </w:abstractNum>
  <w:abstractNum w:abstractNumId="13">
    <w:nsid w:val="C4C3AF"/>
    <w:multiLevelType w:val="hybridMultilevel"/>
    <w:lvl w:ilvl="0">
      <w:lvlJc w:val="left"/>
      <w:lvlText w:val="(%1)"/>
      <w:numFmt w:val="decimal"/>
      <w:start w:val="1"/>
    </w:lvl>
  </w:abstractNum>
  <w:abstractNum w:abstractNumId="14">
    <w:nsid w:val="44380727"/>
    <w:multiLevelType w:val="hybridMultilevel"/>
    <w:lvl w:ilvl="0">
      <w:lvlJc w:val="left"/>
      <w:lvlText w:val="•"/>
      <w:numFmt w:val="bullet"/>
      <w:start w:val="1"/>
    </w:lvl>
  </w:abstractNum>
  <w:abstractNum w:abstractNumId="15">
    <w:nsid w:val="6C053B16"/>
    <w:multiLevelType w:val="hybridMultilevel"/>
    <w:lvl w:ilvl="0">
      <w:lvlJc w:val="left"/>
      <w:lvlText w:val="•"/>
      <w:numFmt w:val="bullet"/>
      <w:start w:val="1"/>
    </w:lvl>
  </w:abstractNum>
  <w:abstractNum w:abstractNumId="16">
    <w:nsid w:val="4F294393"/>
    <w:multiLevelType w:val="hybridMultilevel"/>
    <w:lvl w:ilvl="0">
      <w:lvlJc w:val="left"/>
      <w:lvlText w:val="•"/>
      <w:numFmt w:val="bullet"/>
      <w:start w:val="1"/>
    </w:lvl>
  </w:abstractNum>
  <w:abstractNum w:abstractNumId="17">
    <w:nsid w:val="5243BFAC"/>
    <w:multiLevelType w:val="hybridMultilevel"/>
    <w:lvl w:ilvl="0">
      <w:lvlJc w:val="left"/>
      <w:lvlText w:val="•"/>
      <w:numFmt w:val="bullet"/>
      <w:start w:val="1"/>
    </w:lvl>
  </w:abstractNum>
  <w:abstractNum w:abstractNumId="18">
    <w:nsid w:val="425EB207"/>
    <w:multiLevelType w:val="hybridMultilevel"/>
    <w:lvl w:ilvl="0">
      <w:lvlJc w:val="left"/>
      <w:lvlText w:val="•"/>
      <w:numFmt w:val="bullet"/>
      <w:start w:val="1"/>
    </w:lvl>
  </w:abstractNum>
  <w:abstractNum w:abstractNumId="19">
    <w:nsid w:val="334A6F1F"/>
    <w:multiLevelType w:val="hybridMultilevel"/>
    <w:lvl w:ilvl="0">
      <w:lvlJc w:val="left"/>
      <w:lvlText w:val="•"/>
      <w:numFmt w:val="bullet"/>
      <w:start w:val="1"/>
    </w:lvl>
  </w:abstractNum>
  <w:abstractNum w:abstractNumId="20">
    <w:nsid w:val="2E5B12B8"/>
    <w:multiLevelType w:val="hybridMultilevel"/>
    <w:lvl w:ilvl="0">
      <w:lvlJc w:val="left"/>
      <w:lvlText w:val="•"/>
      <w:numFmt w:val="bullet"/>
      <w:start w:val="1"/>
    </w:lvl>
  </w:abstractNum>
  <w:abstractNum w:abstractNumId="21">
    <w:nsid w:val="5C03D76D"/>
    <w:multiLevelType w:val="hybridMultilevel"/>
    <w:lvl w:ilvl="0">
      <w:lvlJc w:val="left"/>
      <w:lvlText w:val="•"/>
      <w:numFmt w:val="bullet"/>
      <w:start w:val="1"/>
    </w:lvl>
  </w:abstractNum>
  <w:abstractNum w:abstractNumId="22">
    <w:nsid w:val="66A48D11"/>
    <w:multiLevelType w:val="hybridMultilevel"/>
    <w:lvl w:ilvl="0">
      <w:lvlJc w:val="left"/>
      <w:lvlText w:val="•"/>
      <w:numFmt w:val="bullet"/>
      <w:start w:val="1"/>
    </w:lvl>
  </w:abstractNum>
  <w:abstractNum w:abstractNumId="23">
    <w:nsid w:val="56C28E34"/>
    <w:multiLevelType w:val="hybridMultilevel"/>
    <w:lvl w:ilvl="0">
      <w:lvlJc w:val="left"/>
      <w:lvlText w:val="•"/>
      <w:numFmt w:val="bullet"/>
      <w:start w:val="1"/>
    </w:lvl>
  </w:abstractNum>
  <w:abstractNum w:abstractNumId="24">
    <w:nsid w:val="13916F2D"/>
    <w:multiLevelType w:val="hybridMultilevel"/>
    <w:lvl w:ilvl="0">
      <w:lvlJc w:val="left"/>
      <w:lvlText w:val="•"/>
      <w:numFmt w:val="bullet"/>
      <w:start w:val="1"/>
    </w:lvl>
  </w:abstractNum>
  <w:abstractNum w:abstractNumId="25">
    <w:nsid w:val="435D38D"/>
    <w:multiLevelType w:val="hybridMultilevel"/>
    <w:lvl w:ilvl="0">
      <w:lvlJc w:val="left"/>
      <w:lvlText w:val="•"/>
      <w:numFmt w:val="bullet"/>
      <w:start w:val="1"/>
    </w:lvl>
  </w:abstractNum>
  <w:abstractNum w:abstractNumId="26">
    <w:nsid w:val="822C0EF"/>
    <w:multiLevelType w:val="hybridMultilevel"/>
    <w:lvl w:ilvl="0">
      <w:lvlJc w:val="left"/>
      <w:lvlText w:val="(%1)"/>
      <w:numFmt w:val="lowerRoman"/>
      <w:start w:val="4"/>
    </w:lvl>
  </w:abstractNum>
  <w:abstractNum w:abstractNumId="27">
    <w:nsid w:val="57C5BB4F"/>
    <w:multiLevelType w:val="hybridMultilevel"/>
    <w:lvl w:ilvl="0">
      <w:lvlJc w:val="left"/>
      <w:lvlText w:val="•"/>
      <w:numFmt w:val="bullet"/>
      <w:start w:val="1"/>
    </w:lvl>
  </w:abstractNum>
  <w:abstractNum w:abstractNumId="28">
    <w:nsid w:val="1803D089"/>
    <w:multiLevelType w:val="hybridMultilevel"/>
    <w:lvl w:ilvl="0">
      <w:lvlJc w:val="left"/>
      <w:lvlText w:val="•"/>
      <w:numFmt w:val="bullet"/>
      <w:start w:val="1"/>
    </w:lvl>
  </w:abstractNum>
  <w:abstractNum w:abstractNumId="29">
    <w:nsid w:val="4F3A06D4"/>
    <w:multiLevelType w:val="hybridMultilevel"/>
    <w:lvl w:ilvl="0">
      <w:lvlJc w:val="left"/>
      <w:lvlText w:val="•"/>
      <w:numFmt w:val="bullet"/>
      <w:start w:val="1"/>
    </w:lvl>
  </w:abstractNum>
  <w:abstractNum w:abstractNumId="30">
    <w:nsid w:val="59A377B6"/>
    <w:multiLevelType w:val="hybridMultilevel"/>
    <w:lvl w:ilvl="0">
      <w:lvlJc w:val="left"/>
      <w:lvlText w:val="•"/>
      <w:numFmt w:val="bullet"/>
      <w:start w:val="1"/>
    </w:lvl>
  </w:abstractNum>
  <w:abstractNum w:abstractNumId="31">
    <w:nsid w:val="48AEB063"/>
    <w:multiLevelType w:val="hybridMultilevel"/>
    <w:lvl w:ilvl="0">
      <w:lvlJc w:val="left"/>
      <w:lvlText w:val="•"/>
      <w:numFmt w:val="bullet"/>
      <w:start w:val="1"/>
    </w:lvl>
  </w:abstractNum>
  <w:abstractNum w:abstractNumId="32">
    <w:nsid w:val="24E135"/>
    <w:multiLevelType w:val="hybridMultilevel"/>
    <w:lvl w:ilvl="0">
      <w:lvlJc w:val="left"/>
      <w:lvlText w:val="•"/>
      <w:numFmt w:val="bullet"/>
      <w:start w:val="1"/>
    </w:lvl>
  </w:abstractNum>
  <w:abstractNum w:abstractNumId="33">
    <w:nsid w:val="BB13C1"/>
    <w:multiLevelType w:val="hybridMultilevel"/>
    <w:lvl w:ilvl="0">
      <w:lvlJc w:val="left"/>
      <w:lvlText w:val="•"/>
      <w:numFmt w:val="bullet"/>
      <w:start w:val="1"/>
    </w:lvl>
  </w:abstractNum>
  <w:abstractNum w:abstractNumId="34">
    <w:nsid w:val="271210C7"/>
    <w:multiLevelType w:val="hybridMultilevel"/>
    <w:lvl w:ilvl="0">
      <w:lvlJc w:val="left"/>
      <w:lvlText w:val="•"/>
      <w:numFmt w:val="bullet"/>
      <w:start w:val="1"/>
    </w:lvl>
  </w:abstractNum>
  <w:abstractNum w:abstractNumId="35">
    <w:nsid w:val="217B22E4"/>
    <w:multiLevelType w:val="hybridMultilevel"/>
    <w:lvl w:ilvl="0">
      <w:lvlJc w:val="left"/>
      <w:lvlText w:val="•"/>
      <w:numFmt w:val="bullet"/>
      <w:start w:val="1"/>
    </w:lvl>
  </w:abstractNum>
  <w:abstractNum w:abstractNumId="36">
    <w:nsid w:val="53E31A24"/>
    <w:multiLevelType w:val="hybridMultilevel"/>
    <w:lvl w:ilvl="0">
      <w:lvlJc w:val="left"/>
      <w:lvlText w:val="•"/>
      <w:numFmt w:val="bullet"/>
      <w:start w:val="1"/>
    </w:lvl>
  </w:abstractNum>
  <w:abstractNum w:abstractNumId="37">
    <w:nsid w:val="6DC45E83"/>
    <w:multiLevelType w:val="hybridMultilevel"/>
    <w:lvl w:ilvl="0">
      <w:lvlJc w:val="left"/>
      <w:lvlText w:val="(%1)"/>
      <w:numFmt w:val="decimal"/>
      <w:start w:val="1"/>
    </w:lvl>
  </w:abstractNum>
  <w:abstractNum w:abstractNumId="38">
    <w:nsid w:val="17304A67"/>
    <w:multiLevelType w:val="hybridMultilevel"/>
    <w:lvl w:ilvl="0">
      <w:lvlJc w:val="left"/>
      <w:lvlText w:val="•"/>
      <w:numFmt w:val="bullet"/>
      <w:start w:val="1"/>
    </w:lvl>
  </w:abstractNum>
  <w:abstractNum w:abstractNumId="39">
    <w:nsid w:val="2BB180D8"/>
    <w:multiLevelType w:val="hybridMultilevel"/>
    <w:lvl w:ilvl="0">
      <w:lvlJc w:val="left"/>
      <w:lvlText w:val="•"/>
      <w:numFmt w:val="bullet"/>
      <w:start w:val="1"/>
    </w:lvl>
  </w:abstractNum>
  <w:abstractNum w:abstractNumId="40">
    <w:nsid w:val="556B69ED"/>
    <w:multiLevelType w:val="hybridMultilevel"/>
    <w:lvl w:ilvl="0">
      <w:lvlJc w:val="left"/>
      <w:lvlText w:val="(%1)"/>
      <w:numFmt w:val="decimal"/>
      <w:start w:val="1"/>
    </w:lvl>
  </w:abstractNum>
  <w:abstractNum w:abstractNumId="41">
    <w:nsid w:val="70836196"/>
    <w:multiLevelType w:val="hybridMultilevel"/>
    <w:lvl w:ilvl="0">
      <w:lvlJc w:val="left"/>
      <w:lvlText w:val="(%1)"/>
      <w:numFmt w:val="decimal"/>
      <w:start w:val="3"/>
    </w:lvl>
  </w:abstractNum>
  <w:abstractNum w:abstractNumId="42">
    <w:nsid w:val="539F7F12"/>
    <w:multiLevelType w:val="hybridMultilevel"/>
    <w:lvl w:ilvl="0">
      <w:lvlJc w:val="left"/>
      <w:lvlText w:val="(%1)"/>
      <w:numFmt w:val="decimal"/>
      <w:start w:val="1"/>
    </w:lvl>
  </w:abstractNum>
  <w:abstractNum w:abstractNumId="43">
    <w:nsid w:val="2817E7EC"/>
    <w:multiLevelType w:val="hybridMultilevel"/>
    <w:lvl w:ilvl="0">
      <w:lvlJc w:val="left"/>
      <w:lvlText w:val="•"/>
      <w:numFmt w:val="bullet"/>
      <w:start w:val="1"/>
    </w:lvl>
  </w:abstractNum>
  <w:abstractNum w:abstractNumId="44">
    <w:nsid w:val="71482545"/>
    <w:multiLevelType w:val="hybridMultilevel"/>
    <w:lvl w:ilvl="0">
      <w:lvlJc w:val="left"/>
      <w:lvlText w:val="(%1)"/>
      <w:numFmt w:val="decimal"/>
      <w:start w:val="1"/>
    </w:lvl>
  </w:abstractNum>
  <w:abstractNum w:abstractNumId="45">
    <w:nsid w:val="17D78639"/>
    <w:multiLevelType w:val="hybridMultilevel"/>
    <w:lvl w:ilvl="0">
      <w:lvlJc w:val="left"/>
      <w:lvlText w:val="(%1)"/>
      <w:numFmt w:val="decimal"/>
      <w:start w:val="1"/>
    </w:lvl>
  </w:abstractNum>
  <w:abstractNum w:abstractNumId="46">
    <w:nsid w:val="141D2302"/>
    <w:multiLevelType w:val="hybridMultilevel"/>
    <w:lvl w:ilvl="0">
      <w:lvlJc w:val="left"/>
      <w:lvlText w:val="(%1)"/>
      <w:numFmt w:val="decimal"/>
      <w:start w:val="1"/>
    </w:lvl>
  </w:abstractNum>
  <w:abstractNum w:abstractNumId="47">
    <w:nsid w:val="407168D8"/>
    <w:multiLevelType w:val="hybridMultilevel"/>
    <w:lvl w:ilvl="0">
      <w:lvlJc w:val="left"/>
      <w:lvlText w:val="(%1)"/>
      <w:numFmt w:val="decimal"/>
      <w:start w:val="1"/>
    </w:lvl>
  </w:abstractNum>
  <w:abstractNum w:abstractNumId="48">
    <w:nsid w:val="6A1B45E5"/>
    <w:multiLevelType w:val="hybridMultilevel"/>
    <w:lvl w:ilvl="0">
      <w:lvlJc w:val="left"/>
      <w:lvlText w:val="(%1)"/>
      <w:numFmt w:val="decimal"/>
      <w:start w:val="1"/>
    </w:lvl>
  </w:abstractNum>
  <w:abstractNum w:abstractNumId="49">
    <w:nsid w:val="567BD50A"/>
    <w:multiLevelType w:val="hybridMultilevel"/>
    <w:lvl w:ilvl="0">
      <w:lvlJc w:val="left"/>
      <w:lvlText w:val="•"/>
      <w:numFmt w:val="bullet"/>
      <w:start w:val="1"/>
    </w:lvl>
  </w:abstractNum>
  <w:abstractNum w:abstractNumId="50">
    <w:nsid w:val="73BBD7F8"/>
    <w:multiLevelType w:val="hybridMultilevel"/>
    <w:lvl w:ilvl="0">
      <w:lvlJc w:val="left"/>
      <w:lvlText w:val="(%1)"/>
      <w:numFmt w:val="decimal"/>
      <w:start w:val="1"/>
    </w:lvl>
  </w:abstractNum>
  <w:abstractNum w:abstractNumId="51">
    <w:nsid w:val="1876589D"/>
    <w:multiLevelType w:val="hybridMultilevel"/>
    <w:lvl w:ilvl="0">
      <w:lvlJc w:val="left"/>
      <w:lvlText w:val="(%1)"/>
      <w:numFmt w:val="decimal"/>
      <w:start w:val="3"/>
    </w:lvl>
  </w:abstractNum>
  <w:abstractNum w:abstractNumId="52">
    <w:nsid w:val="327FAC77"/>
    <w:multiLevelType w:val="hybridMultilevel"/>
    <w:lvl w:ilvl="0">
      <w:lvlJc w:val="left"/>
      <w:lvlText w:val="•"/>
      <w:numFmt w:val="bullet"/>
      <w:start w:val="1"/>
    </w:lvl>
  </w:abstractNum>
  <w:abstractNum w:abstractNumId="53">
    <w:nsid w:val="5A606509"/>
    <w:multiLevelType w:val="hybridMultilevel"/>
    <w:lvl w:ilvl="0">
      <w:lvlJc w:val="left"/>
      <w:lvlText w:val="•"/>
      <w:numFmt w:val="bullet"/>
      <w:start w:val="1"/>
    </w:lvl>
  </w:abstractNum>
  <w:abstractNum w:abstractNumId="54">
    <w:nsid w:val="6F38E6D1"/>
    <w:multiLevelType w:val="hybridMultilevel"/>
    <w:lvl w:ilvl="0">
      <w:lvlJc w:val="left"/>
      <w:lvlText w:val="•"/>
      <w:numFmt w:val="bullet"/>
      <w:start w:val="1"/>
    </w:lvl>
  </w:abstractNum>
  <w:abstractNum w:abstractNumId="55">
    <w:nsid w:val="46111BA5"/>
    <w:multiLevelType w:val="hybridMultilevel"/>
    <w:lvl w:ilvl="0">
      <w:lvlJc w:val="left"/>
      <w:lvlText w:val="(%1)"/>
      <w:numFmt w:val="decimal"/>
      <w:start w:val="1"/>
    </w:lvl>
  </w:abstractNum>
  <w:abstractNum w:abstractNumId="56">
    <w:nsid w:val="5E963896"/>
    <w:multiLevelType w:val="hybridMultilevel"/>
    <w:lvl w:ilvl="0">
      <w:lvlJc w:val="left"/>
      <w:lvlText w:val="(%1)"/>
      <w:numFmt w:val="decimal"/>
      <w:start w:val="1"/>
    </w:lvl>
  </w:abstractNum>
  <w:abstractNum w:abstractNumId="57">
    <w:nsid w:val="775BA7C1"/>
    <w:multiLevelType w:val="hybridMultilevel"/>
    <w:lvl w:ilvl="0">
      <w:lvlJc w:val="left"/>
      <w:lvlText w:val="(%1)"/>
      <w:numFmt w:val="decimal"/>
      <w:start w:val="1"/>
    </w:lvl>
  </w:abstractNum>
  <w:abstractNum w:abstractNumId="58">
    <w:nsid w:val="1DD6D6F4"/>
    <w:multiLevelType w:val="hybridMultilevel"/>
    <w:lvl w:ilvl="0">
      <w:lvlJc w:val="left"/>
      <w:lvlText w:val="•"/>
      <w:numFmt w:val="bullet"/>
      <w:start w:val="1"/>
    </w:lvl>
  </w:abstractNum>
  <w:abstractNum w:abstractNumId="59">
    <w:nsid w:val="769A091F"/>
    <w:multiLevelType w:val="hybridMultilevel"/>
    <w:lvl w:ilvl="0">
      <w:lvlJc w:val="left"/>
      <w:lvlText w:val="•"/>
      <w:numFmt w:val="bullet"/>
      <w:start w:val="1"/>
    </w:lvl>
  </w:abstractNum>
  <w:abstractNum w:abstractNumId="60">
    <w:nsid w:val="4695AE95"/>
    <w:multiLevelType w:val="hybridMultilevel"/>
    <w:lvl w:ilvl="0">
      <w:lvlJc w:val="left"/>
      <w:lvlText w:val="•"/>
      <w:numFmt w:val="bullet"/>
      <w:start w:val="1"/>
    </w:lvl>
  </w:abstractNum>
  <w:abstractNum w:abstractNumId="61">
    <w:nsid w:val="777A4EAA"/>
    <w:multiLevelType w:val="hybridMultilevel"/>
    <w:lvl w:ilvl="0">
      <w:lvlJc w:val="left"/>
      <w:lvlText w:val="•"/>
      <w:numFmt w:val="bullet"/>
      <w:start w:val="1"/>
    </w:lvl>
  </w:abstractNum>
  <w:abstractNum w:abstractNumId="62">
    <w:nsid w:val="3F48B982"/>
    <w:multiLevelType w:val="hybridMultilevel"/>
    <w:lvl w:ilvl="0">
      <w:lvlJc w:val="left"/>
      <w:lvlText w:val="•"/>
      <w:numFmt w:val="bullet"/>
      <w:start w:val="1"/>
    </w:lvl>
  </w:abstractNum>
  <w:abstractNum w:abstractNumId="63">
    <w:nsid w:val="46BA8FCA"/>
    <w:multiLevelType w:val="hybridMultilevel"/>
    <w:lvl w:ilvl="0">
      <w:lvlJc w:val="left"/>
      <w:lvlText w:val="•"/>
      <w:numFmt w:val="bullet"/>
      <w:start w:val="1"/>
    </w:lvl>
  </w:abstractNum>
  <w:abstractNum w:abstractNumId="64">
    <w:nsid w:val="7835626C"/>
    <w:multiLevelType w:val="hybridMultilevel"/>
    <w:lvl w:ilvl="0">
      <w:lvlJc w:val="left"/>
      <w:lvlText w:val="•"/>
      <w:numFmt w:val="bullet"/>
      <w:start w:val="1"/>
    </w:lvl>
  </w:abstractNum>
  <w:abstractNum w:abstractNumId="65">
    <w:nsid w:val="665ACA49"/>
    <w:multiLevelType w:val="hybridMultilevel"/>
    <w:lvl w:ilvl="0">
      <w:lvlJc w:val="left"/>
      <w:lvlText w:val="(%1)"/>
      <w:numFmt w:val="decimal"/>
      <w:start w:val="1"/>
    </w:lvl>
  </w:abstractNum>
  <w:abstractNum w:abstractNumId="66">
    <w:nsid w:val="6835B2AE"/>
    <w:multiLevelType w:val="hybridMultilevel"/>
    <w:lvl w:ilvl="0">
      <w:lvlJc w:val="left"/>
      <w:lvlText w:val="*"/>
      <w:numFmt w:val="bullet"/>
      <w:start w:val="1"/>
    </w:lvl>
  </w:abstractNum>
  <w:abstractNum w:abstractNumId="67">
    <w:nsid w:val="4C187C90"/>
    <w:multiLevelType w:val="hybridMultilevel"/>
    <w:lvl w:ilvl="0">
      <w:lvlJc w:val="left"/>
      <w:lvlText w:val="•"/>
      <w:numFmt w:val="bullet"/>
      <w:start w:val="1"/>
    </w:lvl>
  </w:abstractNum>
  <w:abstractNum w:abstractNumId="68">
    <w:nsid w:val="541F28CD"/>
    <w:multiLevelType w:val="hybridMultilevel"/>
    <w:lvl w:ilvl="0">
      <w:lvlJc w:val="left"/>
      <w:lvlText w:val="(%1)"/>
      <w:numFmt w:val="lowerRoman"/>
      <w:start w:val="10"/>
    </w:lvl>
  </w:abstractNum>
  <w:abstractNum w:abstractNumId="69">
    <w:nsid w:val="7F65FD16"/>
    <w:multiLevelType w:val="hybridMultilevel"/>
    <w:lvl w:ilvl="0">
      <w:lvlJc w:val="left"/>
      <w:lvlText w:val="•"/>
      <w:numFmt w:val="bullet"/>
      <w:start w:val="1"/>
    </w:lvl>
  </w:abstractNum>
  <w:abstractNum w:abstractNumId="70">
    <w:nsid w:val="77C9FD68"/>
    <w:multiLevelType w:val="hybridMultilevel"/>
    <w:lvl w:ilvl="0">
      <w:lvlJc w:val="left"/>
      <w:lvlText w:val="*"/>
      <w:numFmt w:val="bullet"/>
      <w:start w:val="1"/>
    </w:lvl>
  </w:abstractNum>
  <w:abstractNum w:abstractNumId="71">
    <w:nsid w:val="298A92BA"/>
    <w:multiLevelType w:val="hybridMultilevel"/>
    <w:lvl w:ilvl="0">
      <w:lvlJc w:val="left"/>
      <w:lvlText w:val="ü"/>
      <w:numFmt w:val="bullet"/>
      <w:start w:val="1"/>
    </w:lvl>
  </w:abstractNum>
  <w:abstractNum w:abstractNumId="72">
    <w:nsid w:val="6FE95EAC"/>
    <w:multiLevelType w:val="hybridMultilevel"/>
    <w:lvl w:ilvl="0">
      <w:lvlJc w:val="left"/>
      <w:lvlText w:val="•"/>
      <w:numFmt w:val="bullet"/>
      <w:start w:val="1"/>
    </w:lvl>
  </w:abstractNum>
  <w:abstractNum w:abstractNumId="73">
    <w:nsid w:val="4B697C7A"/>
    <w:multiLevelType w:val="hybridMultilevel"/>
    <w:lvl w:ilvl="0">
      <w:lvlJc w:val="left"/>
      <w:lvlText w:val="•"/>
      <w:numFmt w:val="bullet"/>
      <w:start w:val="1"/>
    </w:lvl>
  </w:abstractNum>
  <w:abstractNum w:abstractNumId="74">
    <w:nsid w:val="51A27AA6"/>
    <w:multiLevelType w:val="hybridMultilevel"/>
    <w:lvl w:ilvl="0">
      <w:lvlJc w:val="left"/>
      <w:lvlText w:val="•"/>
      <w:numFmt w:val="bullet"/>
      <w:start w:val="1"/>
    </w:lvl>
  </w:abstractNum>
  <w:abstractNum w:abstractNumId="75">
    <w:nsid w:val="613183F2"/>
    <w:multiLevelType w:val="hybridMultilevel"/>
    <w:lvl w:ilvl="0">
      <w:lvlJc w:val="left"/>
      <w:lvlText w:val="(%1)"/>
      <w:numFmt w:val="decimal"/>
      <w:start w:val="1"/>
    </w:lvl>
  </w:abstractNum>
  <w:abstractNum w:abstractNumId="76">
    <w:nsid w:val="634102B4"/>
    <w:multiLevelType w:val="hybridMultilevel"/>
    <w:lvl w:ilvl="0">
      <w:lvlJc w:val="left"/>
      <w:lvlText w:val="(%1)"/>
      <w:numFmt w:val="decimal"/>
      <w:start w:val="1"/>
    </w:lvl>
  </w:abstractNum>
  <w:abstractNum w:abstractNumId="77">
    <w:nsid w:val="65BF9DA8"/>
    <w:multiLevelType w:val="hybridMultilevel"/>
    <w:lvl w:ilvl="0">
      <w:lvlJc w:val="left"/>
      <w:lvlText w:val="•"/>
      <w:numFmt w:val="bullet"/>
      <w:start w:val="1"/>
    </w:lvl>
  </w:abstractNum>
  <w:abstractNum w:abstractNumId="78">
    <w:nsid w:val="21A2ECCA"/>
    <w:multiLevelType w:val="hybridMultilevel"/>
    <w:lvl w:ilvl="0">
      <w:lvlJc w:val="left"/>
      <w:lvlText w:val="(%1)"/>
      <w:numFmt w:val="decimal"/>
      <w:start w:val="1"/>
    </w:lvl>
  </w:abstractNum>
  <w:abstractNum w:abstractNumId="79">
    <w:nsid w:val="4D5C4899"/>
    <w:multiLevelType w:val="hybridMultilevel"/>
    <w:lvl w:ilvl="0">
      <w:lvlJc w:val="left"/>
      <w:lvlText w:val="(%1)"/>
      <w:numFmt w:val="decimal"/>
      <w:start w:val="1"/>
    </w:lvl>
  </w:abstractNum>
  <w:abstractNum w:abstractNumId="80">
    <w:nsid w:val="3C3B72B2"/>
    <w:multiLevelType w:val="hybridMultilevel"/>
    <w:lvl w:ilvl="0">
      <w:lvlJc w:val="left"/>
      <w:lvlText w:val="(%1)"/>
      <w:numFmt w:val="decimal"/>
      <w:start w:val="1"/>
    </w:lvl>
  </w:abstractNum>
  <w:abstractNum w:abstractNumId="81">
    <w:nsid w:val="155EC4C2"/>
    <w:multiLevelType w:val="hybridMultilevel"/>
    <w:lvl w:ilvl="0">
      <w:lvlJc w:val="left"/>
      <w:lvlText w:val="(%1)"/>
      <w:numFmt w:val="decimal"/>
      <w:start w:val="1"/>
    </w:lvl>
  </w:abstractNum>
  <w:abstractNum w:abstractNumId="82">
    <w:nsid w:val="65D2A137"/>
    <w:multiLevelType w:val="hybridMultilevel"/>
    <w:lvl w:ilvl="0">
      <w:lvlJc w:val="left"/>
      <w:lvlText w:val="(%1)"/>
      <w:numFmt w:val="decimal"/>
      <w:start w:val="1"/>
    </w:lvl>
  </w:abstractNum>
  <w:abstractNum w:abstractNumId="83">
    <w:nsid w:val="6EBB1F2A"/>
    <w:multiLevelType w:val="hybridMultilevel"/>
    <w:lvl w:ilvl="0">
      <w:lvlJc w:val="left"/>
      <w:lvlText w:val="(%1)"/>
      <w:numFmt w:val="decimal"/>
      <w:start w:val="1"/>
    </w:lvl>
  </w:abstractNum>
  <w:abstractNum w:abstractNumId="84">
    <w:nsid w:val="6FBF29CB"/>
    <w:multiLevelType w:val="hybridMultilevel"/>
    <w:lvl w:ilvl="0">
      <w:lvlJc w:val="left"/>
      <w:lvlText w:val="(%1)"/>
      <w:numFmt w:val="lowerLetter"/>
      <w:start w:val="1"/>
    </w:lvl>
  </w:abstractNum>
  <w:abstractNum w:abstractNumId="85">
    <w:nsid w:val="550B8808"/>
    <w:multiLevelType w:val="hybridMultilevel"/>
    <w:lvl w:ilvl="0">
      <w:lvlJc w:val="left"/>
      <w:lvlText w:val="(%1)"/>
      <w:numFmt w:val="decimal"/>
      <w:start w:val="1"/>
    </w:lvl>
  </w:abstractNum>
  <w:abstractNum w:abstractNumId="86">
    <w:nsid w:val="34CC3ACF"/>
    <w:multiLevelType w:val="hybridMultilevel"/>
    <w:lvl w:ilvl="0">
      <w:lvlJc w:val="left"/>
      <w:lvlText w:val="(%1)"/>
      <w:numFmt w:val="decimal"/>
      <w:start w:val="1"/>
    </w:lvl>
  </w:abstractNum>
  <w:abstractNum w:abstractNumId="87">
    <w:nsid w:val="4E556261"/>
    <w:multiLevelType w:val="hybridMultilevel"/>
    <w:lvl w:ilvl="0">
      <w:lvlJc w:val="left"/>
      <w:lvlText w:val="•"/>
      <w:numFmt w:val="bullet"/>
      <w:start w:val="1"/>
    </w:lvl>
  </w:abstractNum>
  <w:abstractNum w:abstractNumId="88">
    <w:nsid w:val="4C672FC9"/>
    <w:multiLevelType w:val="hybridMultilevel"/>
    <w:lvl w:ilvl="0">
      <w:lvlJc w:val="left"/>
      <w:lvlText w:val="•"/>
      <w:numFmt w:val="bullet"/>
      <w:start w:val="1"/>
    </w:lvl>
  </w:abstractNum>
  <w:abstractNum w:abstractNumId="89">
    <w:nsid w:val="52A311C3"/>
    <w:multiLevelType w:val="hybridMultilevel"/>
    <w:lvl w:ilvl="0">
      <w:lvlJc w:val="left"/>
      <w:lvlText w:val="•"/>
      <w:numFmt w:val="bullet"/>
      <w:start w:val="1"/>
    </w:lvl>
  </w:abstractNum>
  <w:abstractNum w:abstractNumId="90">
    <w:nsid w:val="44EF6B80"/>
    <w:multiLevelType w:val="hybridMultilevel"/>
    <w:lvl w:ilvl="0">
      <w:lvlJc w:val="left"/>
      <w:lvlText w:val="(%1)"/>
      <w:numFmt w:val="decimal"/>
      <w:start w:val="1"/>
    </w:lvl>
  </w:abstractNum>
  <w:abstractNum w:abstractNumId="91">
    <w:nsid w:val="12FCDE5E"/>
    <w:multiLevelType w:val="hybridMultilevel"/>
    <w:lvl w:ilvl="0">
      <w:lvlJc w:val="left"/>
      <w:lvlText w:val="•"/>
      <w:numFmt w:val="bullet"/>
      <w:start w:val="1"/>
    </w:lvl>
  </w:abstractNum>
  <w:abstractNum w:abstractNumId="92">
    <w:nsid w:val="4A1D606E"/>
    <w:multiLevelType w:val="hybridMultilevel"/>
    <w:lvl w:ilvl="0">
      <w:lvlJc w:val="left"/>
      <w:lvlText w:val="•"/>
      <w:numFmt w:val="bullet"/>
      <w:start w:val="1"/>
    </w:lvl>
  </w:abstractNum>
  <w:abstractNum w:abstractNumId="93">
    <w:nsid w:val="4382503"/>
    <w:multiLevelType w:val="hybridMultilevel"/>
    <w:lvl w:ilvl="0">
      <w:lvlJc w:val="left"/>
      <w:lvlText w:val="•"/>
      <w:numFmt w:val="bullet"/>
      <w:start w:val="1"/>
    </w:lvl>
  </w:abstractNum>
  <w:abstractNum w:abstractNumId="94">
    <w:nsid w:val="59B76E28"/>
    <w:multiLevelType w:val="hybridMultilevel"/>
    <w:lvl w:ilvl="0">
      <w:lvlJc w:val="left"/>
      <w:lvlText w:val="•"/>
      <w:numFmt w:val="bullet"/>
      <w:start w:val="1"/>
    </w:lvl>
  </w:abstractNum>
  <w:abstractNum w:abstractNumId="95">
    <w:nsid w:val="4252C2DA"/>
    <w:multiLevelType w:val="hybridMultilevel"/>
    <w:lvl w:ilvl="0">
      <w:lvlJc w:val="left"/>
      <w:lvlText w:val="•"/>
      <w:numFmt w:val="bullet"/>
      <w:start w:val="1"/>
    </w:lvl>
  </w:abstractNum>
  <w:abstractNum w:abstractNumId="96">
    <w:nsid w:val="6A92EF4C"/>
    <w:multiLevelType w:val="hybridMultilevel"/>
    <w:lvl w:ilvl="0">
      <w:lvlJc w:val="left"/>
      <w:lvlText w:val="•"/>
      <w:numFmt w:val="bullet"/>
      <w:start w:val="1"/>
    </w:lvl>
  </w:abstractNum>
  <w:abstractNum w:abstractNumId="97">
    <w:nsid w:val="41ED20D7"/>
    <w:multiLevelType w:val="hybridMultilevel"/>
    <w:lvl w:ilvl="0">
      <w:lvlJc w:val="left"/>
      <w:lvlText w:val="•"/>
      <w:numFmt w:val="bullet"/>
      <w:start w:val="1"/>
    </w:lvl>
  </w:abstractNum>
  <w:abstractNum w:abstractNumId="98">
    <w:nsid w:val="E6B3F6A"/>
    <w:multiLevelType w:val="hybridMultilevel"/>
    <w:lvl w:ilvl="0">
      <w:lvlJc w:val="left"/>
      <w:lvlText w:val="•"/>
      <w:numFmt w:val="bullet"/>
      <w:start w:val="1"/>
    </w:lvl>
  </w:abstractNum>
  <w:abstractNum w:abstractNumId="99">
    <w:nsid w:val="3EB21819"/>
    <w:multiLevelType w:val="hybridMultilevel"/>
    <w:lvl w:ilvl="0">
      <w:lvlJc w:val="left"/>
      <w:lvlText w:val="•"/>
      <w:numFmt w:val="bullet"/>
      <w:start w:val="1"/>
    </w:lvl>
  </w:abstractNum>
  <w:abstractNum w:abstractNumId="100">
    <w:nsid w:val="41531DED"/>
    <w:multiLevelType w:val="hybridMultilevel"/>
    <w:lvl w:ilvl="0">
      <w:lvlJc w:val="left"/>
      <w:lvlText w:val="•"/>
      <w:numFmt w:val="bullet"/>
      <w:start w:val="1"/>
    </w:lvl>
  </w:abstractNum>
  <w:abstractNum w:abstractNumId="101">
    <w:nsid w:val="6353CD2"/>
    <w:multiLevelType w:val="hybridMultilevel"/>
    <w:lvl w:ilvl="0">
      <w:lvlJc w:val="left"/>
      <w:lvlText w:val="•"/>
      <w:numFmt w:val="bullet"/>
      <w:start w:val="1"/>
    </w:lvl>
  </w:abstractNum>
  <w:abstractNum w:abstractNumId="102">
    <w:nsid w:val="683CAAD3"/>
    <w:multiLevelType w:val="hybridMultilevel"/>
    <w:lvl w:ilvl="0">
      <w:lvlJc w:val="left"/>
      <w:lvlText w:val="(%1)"/>
      <w:numFmt w:val="lowerRoman"/>
      <w:start w:val="1"/>
    </w:lvl>
  </w:abstractNum>
  <w:abstractNum w:abstractNumId="103">
    <w:nsid w:val="313C7C99"/>
    <w:multiLevelType w:val="hybridMultilevel"/>
    <w:lvl w:ilvl="0">
      <w:lvlJc w:val="left"/>
      <w:lvlText w:val="(%1)"/>
      <w:numFmt w:val="lowerLetter"/>
      <w:start w:val="1"/>
    </w:lvl>
  </w:abstractNum>
  <w:abstractNum w:abstractNumId="104">
    <w:nsid w:val="519EB94C"/>
    <w:multiLevelType w:val="hybridMultilevel"/>
    <w:lvl w:ilvl="0">
      <w:lvlJc w:val="left"/>
      <w:lvlText w:val="(%1)"/>
      <w:numFmt w:val="lowerRoman"/>
      <w:start w:val="1"/>
    </w:lvl>
  </w:abstractNum>
  <w:abstractNum w:abstractNumId="105">
    <w:nsid w:val="39DF2579"/>
    <w:multiLevelType w:val="hybridMultilevel"/>
    <w:lvl w:ilvl="0">
      <w:lvlJc w:val="left"/>
      <w:lvlText w:val="(%1)"/>
      <w:numFmt w:val="lowerLetter"/>
      <w:start w:val="1"/>
    </w:lvl>
  </w:abstractNum>
  <w:abstractNum w:abstractNumId="106">
    <w:nsid w:val="126E008B"/>
    <w:multiLevelType w:val="hybridMultilevel"/>
    <w:lvl w:ilvl="0">
      <w:lvlJc w:val="left"/>
      <w:lvlText w:val="(%1)"/>
      <w:numFmt w:val="lowerLetter"/>
      <w:start w:val="2"/>
    </w:lvl>
  </w:abstractNum>
  <w:abstractNum w:abstractNumId="107">
    <w:nsid w:val="34DFBC00"/>
    <w:multiLevelType w:val="hybridMultilevel"/>
    <w:lvl w:ilvl="0">
      <w:lvlJc w:val="left"/>
      <w:lvlText w:val="(%1)"/>
      <w:numFmt w:val="lowerLetter"/>
      <w:start w:val="1"/>
    </w:lvl>
  </w:abstractNum>
  <w:abstractNum w:abstractNumId="108">
    <w:nsid w:val="1F9EC322"/>
    <w:multiLevelType w:val="hybridMultilevel"/>
    <w:lvl w:ilvl="0">
      <w:lvlJc w:val="left"/>
      <w:lvlText w:val="(%1)"/>
      <w:numFmt w:val="lowerLetter"/>
      <w:start w:val="1"/>
    </w:lvl>
  </w:abstractNum>
  <w:abstractNum w:abstractNumId="109">
    <w:nsid w:val="3410ED56"/>
    <w:multiLevelType w:val="hybridMultilevel"/>
    <w:lvl w:ilvl="0">
      <w:lvlJc w:val="left"/>
      <w:lvlText w:val="•"/>
      <w:numFmt w:val="bullet"/>
      <w:start w:val="1"/>
    </w:lvl>
  </w:abstractNum>
  <w:abstractNum w:abstractNumId="110">
    <w:nsid w:val="23C049A"/>
    <w:multiLevelType w:val="hybridMultilevel"/>
    <w:lvl w:ilvl="0">
      <w:lvlJc w:val="left"/>
      <w:lvlText w:val="%1."/>
      <w:numFmt w:val="upperLetter"/>
      <w:start w:val="1"/>
    </w:lvl>
  </w:abstractNum>
  <w:abstractNum w:abstractNumId="111">
    <w:nsid w:val="5BDA35D4"/>
    <w:multiLevelType w:val="hybridMultilevel"/>
    <w:lvl w:ilvl="0">
      <w:lvlJc w:val="left"/>
      <w:lvlText w:val="%1."/>
      <w:numFmt w:val="upperLetter"/>
      <w:start w:val="2"/>
    </w:lvl>
  </w:abstractNum>
  <w:abstractNum w:abstractNumId="112">
    <w:nsid w:val="496FB218"/>
    <w:multiLevelType w:val="hybridMultilevel"/>
    <w:lvl w:ilvl="0">
      <w:lvlJc w:val="left"/>
      <w:lvlText w:val="%1."/>
      <w:numFmt w:val="upperLetter"/>
      <w:start w:val="3"/>
    </w:lvl>
  </w:abstractNum>
  <w:abstractNum w:abstractNumId="113">
    <w:nsid w:val="680EA5D1"/>
    <w:multiLevelType w:val="hybridMultilevel"/>
    <w:lvl w:ilvl="0">
      <w:lvlJc w:val="left"/>
      <w:lvlText w:val="%1."/>
      <w:numFmt w:val="upperLetter"/>
      <w:start w:val="4"/>
    </w:lvl>
  </w:abstractNum>
  <w:abstractNum w:abstractNumId="114">
    <w:nsid w:val="4A9554FE"/>
    <w:multiLevelType w:val="hybridMultilevel"/>
    <w:lvl w:ilvl="0">
      <w:lvlJc w:val="left"/>
      <w:lvlText w:val="%1."/>
      <w:numFmt w:val="upperLetter"/>
      <w:start w:val="5"/>
    </w:lvl>
  </w:abstractNum>
  <w:abstractNum w:abstractNumId="115">
    <w:nsid w:val="392EDBE4"/>
    <w:multiLevelType w:val="hybridMultilevel"/>
    <w:lvl w:ilvl="0">
      <w:lvlJc w:val="left"/>
      <w:lvlText w:val="%1."/>
      <w:numFmt w:val="upperLetter"/>
      <w:start w:val="6"/>
    </w:lvl>
  </w:abstractNum>
  <w:abstractNum w:abstractNumId="116">
    <w:nsid w:val="3D1A2DD9"/>
    <w:multiLevelType w:val="hybridMultilevel"/>
    <w:lvl w:ilvl="0">
      <w:lvlJc w:val="left"/>
      <w:lvlText w:val="%1."/>
      <w:numFmt w:val="upperLetter"/>
      <w:start w:val="7"/>
    </w:lvl>
  </w:abstractNum>
  <w:abstractNum w:abstractNumId="117">
    <w:nsid w:val="7F618FCD"/>
    <w:multiLevelType w:val="hybridMultilevel"/>
    <w:lvl w:ilvl="0">
      <w:lvlJc w:val="left"/>
      <w:lvlText w:val="%1."/>
      <w:numFmt w:val="upperLetter"/>
      <w:start w:val="8"/>
    </w:lvl>
  </w:abstractNum>
  <w:abstractNum w:abstractNumId="118">
    <w:nsid w:val="7843E45"/>
    <w:multiLevelType w:val="hybridMultilevel"/>
    <w:lvl w:ilvl="0">
      <w:lvlJc w:val="left"/>
      <w:lvlText w:val="%1."/>
      <w:numFmt w:val="upperLetter"/>
      <w:start w:val="9"/>
    </w:lvl>
  </w:abstractNum>
  <w:abstractNum w:abstractNumId="119">
    <w:nsid w:val="9815DA3"/>
    <w:multiLevelType w:val="hybridMultilevel"/>
    <w:lvl w:ilvl="0">
      <w:lvlJc w:val="left"/>
      <w:lvlText w:val="%1."/>
      <w:numFmt w:val="upperLetter"/>
      <w:start w:val="10"/>
    </w:lvl>
  </w:abstractNum>
  <w:abstractNum w:abstractNumId="120">
    <w:nsid w:val="5204A191"/>
    <w:multiLevelType w:val="hybridMultilevel"/>
    <w:lvl w:ilvl="0">
      <w:lvlJc w:val="left"/>
      <w:lvlText w:val="%1."/>
      <w:numFmt w:val="upperLetter"/>
      <w:start w:val="11"/>
    </w:lvl>
  </w:abstractNum>
  <w:abstractNum w:abstractNumId="121">
    <w:nsid w:val="4C73A9C6"/>
    <w:multiLevelType w:val="hybridMultilevel"/>
    <w:lvl w:ilvl="0">
      <w:lvlJc w:val="left"/>
      <w:lvlText w:val="%1."/>
      <w:numFmt w:val="upperLetter"/>
      <w:start w:val="12"/>
    </w:lvl>
  </w:abstractNum>
  <w:abstractNum w:abstractNumId="122">
    <w:nsid w:val="1C7E3C01"/>
    <w:multiLevelType w:val="hybridMultilevel"/>
    <w:lvl w:ilvl="0">
      <w:lvlJc w:val="left"/>
      <w:lvlText w:val="%1."/>
      <w:numFmt w:val="upperLetter"/>
      <w:start w:val="13"/>
    </w:lvl>
  </w:abstractNum>
  <w:abstractNum w:abstractNumId="123">
    <w:nsid w:val="1C2201FF"/>
    <w:multiLevelType w:val="hybridMultilevel"/>
    <w:lvl w:ilvl="0">
      <w:lvlJc w:val="left"/>
      <w:lvlText w:val="%1."/>
      <w:numFmt w:val="upperLetter"/>
      <w:start w:val="14"/>
    </w:lvl>
  </w:abstractNum>
  <w:abstractNum w:abstractNumId="124">
    <w:nsid w:val="50ABCEC9"/>
    <w:multiLevelType w:val="hybridMultilevel"/>
    <w:lvl w:ilvl="0">
      <w:lvlJc w:val="left"/>
      <w:lvlText w:val="%1."/>
      <w:numFmt w:val="upperLetter"/>
      <w:start w:val="15"/>
    </w:lvl>
  </w:abstractNum>
  <w:abstractNum w:abstractNumId="125">
    <w:nsid w:val="7635AA2A"/>
    <w:multiLevelType w:val="hybridMultilevel"/>
    <w:lvl w:ilvl="0">
      <w:lvlJc w:val="left"/>
      <w:lvlText w:val="%1."/>
      <w:numFmt w:val="upperLetter"/>
      <w:start w:val="16"/>
    </w:lvl>
  </w:abstractNum>
  <w:abstractNum w:abstractNumId="126">
    <w:nsid w:val="5E74C4D9"/>
    <w:multiLevelType w:val="hybridMultilevel"/>
    <w:lvl w:ilvl="0">
      <w:lvlJc w:val="left"/>
      <w:lvlText w:val="%1."/>
      <w:numFmt w:val="upperLetter"/>
      <w:start w:val="17"/>
    </w:lvl>
  </w:abstractNum>
  <w:abstractNum w:abstractNumId="127">
    <w:nsid w:val="3B3EBE15"/>
    <w:multiLevelType w:val="hybridMultilevel"/>
    <w:lvl w:ilvl="0">
      <w:lvlJc w:val="left"/>
      <w:lvlText w:val="%1."/>
      <w:numFmt w:val="upperLetter"/>
      <w:start w:val="18"/>
    </w:lvl>
  </w:abstractNum>
  <w:abstractNum w:abstractNumId="128">
    <w:nsid w:val="3822CB01"/>
    <w:multiLevelType w:val="hybridMultilevel"/>
    <w:lvl w:ilvl="0">
      <w:lvlJc w:val="left"/>
      <w:lvlText w:val="%1."/>
      <w:numFmt w:val="upperLetter"/>
      <w:start w:val="19"/>
    </w:lvl>
  </w:abstractNum>
  <w:abstractNum w:abstractNumId="129">
    <w:nsid w:val="6CE00443"/>
    <w:multiLevelType w:val="hybridMultilevel"/>
    <w:lvl w:ilvl="0">
      <w:lvlJc w:val="left"/>
      <w:lvlText w:val="%1."/>
      <w:numFmt w:val="upperLetter"/>
      <w:start w:val="20"/>
    </w:lvl>
  </w:abstractNum>
  <w:abstractNum w:abstractNumId="130">
    <w:nsid w:val="79F0D62F"/>
    <w:multiLevelType w:val="hybridMultilevel"/>
    <w:lvl w:ilvl="0">
      <w:lvlJc w:val="left"/>
      <w:lvlText w:val="%1."/>
      <w:numFmt w:val="upperLetter"/>
      <w:start w:val="21"/>
    </w:lvl>
  </w:abstractNum>
  <w:abstractNum w:abstractNumId="131">
    <w:nsid w:val="7975E8EE"/>
    <w:multiLevelType w:val="hybridMultilevel"/>
    <w:lvl w:ilvl="0">
      <w:lvlJc w:val="left"/>
      <w:lvlText w:val="•"/>
      <w:numFmt w:val="bullet"/>
      <w:start w:val="1"/>
    </w:lvl>
  </w:abstractNum>
  <w:abstractNum w:abstractNumId="132">
    <w:nsid w:val="73154115"/>
    <w:multiLevelType w:val="hybridMultilevel"/>
    <w:lvl w:ilvl="0">
      <w:lvlJc w:val="left"/>
      <w:lvlText w:val="(%1)"/>
      <w:numFmt w:val="decimal"/>
      <w:start w:val="1"/>
    </w:lvl>
  </w:abstractNum>
  <w:abstractNum w:abstractNumId="133">
    <w:nsid w:val="622D8102"/>
    <w:multiLevelType w:val="hybridMultilevel"/>
    <w:lvl w:ilvl="0">
      <w:lvlJc w:val="left"/>
      <w:lvlText w:val="(%1)"/>
      <w:numFmt w:val="decimal"/>
      <w:start w:val="1"/>
    </w:lvl>
  </w:abstractNum>
  <w:abstractNum w:abstractNumId="134">
    <w:nsid w:val="2AB26587"/>
    <w:multiLevelType w:val="hybridMultilevel"/>
    <w:lvl w:ilvl="0">
      <w:lvlJc w:val="left"/>
      <w:lvlText w:val="(%1)"/>
      <w:numFmt w:val="decimal"/>
      <w:start w:val="1"/>
    </w:lvl>
  </w:abstractNum>
  <w:abstractNum w:abstractNumId="135">
    <w:nsid w:val="44B3FA61"/>
    <w:multiLevelType w:val="hybridMultilevel"/>
    <w:lvl w:ilvl="0">
      <w:lvlJc w:val="left"/>
      <w:lvlText w:val="(%1)"/>
      <w:numFmt w:val="decimal"/>
      <w:start w:val="1"/>
    </w:lvl>
  </w:abstractNum>
  <w:abstractNum w:abstractNumId="136">
    <w:nsid w:val="1C0CA67C"/>
    <w:multiLevelType w:val="hybridMultilevel"/>
    <w:lvl w:ilvl="0">
      <w:lvlJc w:val="left"/>
      <w:lvlText w:val="(%1)"/>
      <w:numFmt w:val="decimal"/>
      <w:start w:val="1"/>
    </w:lvl>
  </w:abstractNum>
  <w:abstractNum w:abstractNumId="137">
    <w:nsid w:val="3D206613"/>
    <w:multiLevelType w:val="hybridMultilevel"/>
    <w:lvl w:ilvl="0">
      <w:lvlJc w:val="left"/>
      <w:lvlText w:val="•"/>
      <w:numFmt w:val="bullet"/>
      <w:start w:val="1"/>
    </w:lvl>
  </w:abstractNum>
  <w:abstractNum w:abstractNumId="138">
    <w:nsid w:val="7993B662"/>
    <w:multiLevelType w:val="hybridMultilevel"/>
    <w:lvl w:ilvl="0">
      <w:lvlJc w:val="left"/>
      <w:lvlText w:val="*"/>
      <w:numFmt w:val="bullet"/>
      <w:start w:val="1"/>
    </w:lvl>
  </w:abstractNum>
  <w:abstractNum w:abstractNumId="139">
    <w:nsid w:val="3BAB699E"/>
    <w:multiLevelType w:val="hybridMultilevel"/>
    <w:lvl w:ilvl="0">
      <w:lvlJc w:val="left"/>
      <w:lvlText w:val="†"/>
      <w:numFmt w:val="bullet"/>
      <w:start w:val="1"/>
    </w:lvl>
  </w:abstractNum>
  <w:abstractNum w:abstractNumId="140">
    <w:nsid w:val="71315369"/>
    <w:multiLevelType w:val="hybridMultilevel"/>
    <w:lvl w:ilvl="0">
      <w:lvlJc w:val="left"/>
      <w:lvlText w:val="(%1)"/>
      <w:numFmt w:val="decimal"/>
      <w:start w:val="1"/>
    </w:lvl>
  </w:abstractNum>
  <w:abstractNum w:abstractNumId="141">
    <w:nsid w:val="7BCFBAFC"/>
    <w:multiLevelType w:val="hybridMultilevel"/>
    <w:lvl w:ilvl="0">
      <w:lvlJc w:val="left"/>
      <w:lvlText w:val="%1."/>
      <w:numFmt w:val="decimal"/>
      <w:start w:val="1"/>
    </w:lvl>
  </w:abstractNum>
  <w:abstractNum w:abstractNumId="142">
    <w:nsid w:val="17859F72"/>
    <w:multiLevelType w:val="hybridMultilevel"/>
    <w:lvl w:ilvl="0">
      <w:lvlJc w:val="left"/>
      <w:lvlText w:val="%1."/>
      <w:numFmt w:val="decimal"/>
      <w:start w:val="2"/>
    </w:lvl>
  </w:abstractNum>
  <w:abstractNum w:abstractNumId="143">
    <w:nsid w:val="3AA10581"/>
    <w:multiLevelType w:val="hybridMultilevel"/>
    <w:lvl w:ilvl="0">
      <w:lvlJc w:val="left"/>
      <w:lvlText w:val="%1"/>
      <w:numFmt w:val="decimal"/>
      <w:start w:val="1"/>
    </w:lvl>
    <w:lvl w:ilvl="1">
      <w:lvlJc w:val="left"/>
      <w:lvlText w:val="(%2)"/>
      <w:numFmt w:val="lowerLetter"/>
      <w:start w:val="1"/>
    </w:lvl>
  </w:abstractNum>
  <w:abstractNum w:abstractNumId="144">
    <w:nsid w:val="63DE60CD"/>
    <w:multiLevelType w:val="hybridMultilevel"/>
    <w:lvl w:ilvl="0">
      <w:lvlJc w:val="left"/>
      <w:lvlText w:val="%1."/>
      <w:numFmt w:val="decimal"/>
      <w:start w:val="3"/>
    </w:lvl>
    <w:lvl w:ilvl="1">
      <w:lvlJc w:val="left"/>
      <w:lvlText w:val="%2"/>
      <w:numFmt w:val="lowerLetter"/>
      <w:start w:val="1"/>
    </w:lvl>
  </w:abstractNum>
  <w:abstractNum w:abstractNumId="145">
    <w:nsid w:val="621AF471"/>
    <w:multiLevelType w:val="hybridMultilevel"/>
    <w:lvl w:ilvl="0">
      <w:lvlJc w:val="left"/>
      <w:lvlText w:val="%1."/>
      <w:numFmt w:val="decimal"/>
      <w:start w:val="4"/>
    </w:lvl>
    <w:lvl w:ilvl="1">
      <w:lvlJc w:val="left"/>
      <w:lvlText w:val="(%2)"/>
      <w:numFmt w:val="lowerLetter"/>
      <w:start w:val="1"/>
    </w:lvl>
  </w:abstractNum>
  <w:abstractNum w:abstractNumId="146">
    <w:nsid w:val="73CFE165"/>
    <w:multiLevelType w:val="hybridMultilevel"/>
    <w:lvl w:ilvl="0">
      <w:lvlJc w:val="left"/>
      <w:lvlText w:val="(%1)"/>
      <w:numFmt w:val="lowerLetter"/>
      <w:start w:val="1"/>
    </w:lvl>
  </w:abstractNum>
  <w:abstractNum w:abstractNumId="147">
    <w:nsid w:val="20F88EA6"/>
    <w:multiLevelType w:val="hybridMultilevel"/>
    <w:lvl w:ilvl="0">
      <w:lvlJc w:val="left"/>
      <w:lvlText w:val="(%1)"/>
      <w:numFmt w:val="lowerLetter"/>
      <w:start w:val="1"/>
    </w:lvl>
  </w:abstractNum>
  <w:abstractNum w:abstractNumId="148">
    <w:nsid w:val="617C843E"/>
    <w:multiLevelType w:val="hybridMultilevel"/>
    <w:lvl w:ilvl="0">
      <w:lvlJc w:val="left"/>
      <w:lvlText w:val="(%1)"/>
      <w:numFmt w:val="lowerLetter"/>
      <w:start w:val="2"/>
    </w:lvl>
  </w:abstractNum>
  <w:abstractNum w:abstractNumId="149">
    <w:nsid w:val="7B541FAB"/>
    <w:multiLevelType w:val="hybridMultilevel"/>
    <w:lvl w:ilvl="0">
      <w:lvlJc w:val="left"/>
      <w:lvlText w:val="(%1)"/>
      <w:numFmt w:val="lowerLetter"/>
      <w:start w:val="2"/>
    </w:lvl>
  </w:abstractNum>
  <w:abstractNum w:abstractNumId="150">
    <w:nsid w:val="2A79EC49"/>
    <w:multiLevelType w:val="hybridMultilevel"/>
    <w:lvl w:ilvl="0">
      <w:lvlJc w:val="left"/>
      <w:lvlText w:val="(%1)"/>
      <w:numFmt w:val="lowerLetter"/>
      <w:start w:val="1"/>
    </w:lvl>
  </w:abstractNum>
  <w:abstractNum w:abstractNumId="151">
    <w:nsid w:val="338125CF"/>
    <w:multiLevelType w:val="hybridMultilevel"/>
    <w:lvl w:ilvl="0">
      <w:lvlJc w:val="left"/>
      <w:lvlText w:val="(%1)"/>
      <w:numFmt w:val="lowerLetter"/>
      <w:start w:val="1"/>
    </w:lvl>
  </w:abstractNum>
  <w:abstractNum w:abstractNumId="152">
    <w:nsid w:val="47C7C971"/>
    <w:multiLevelType w:val="hybridMultilevel"/>
    <w:lvl w:ilvl="0">
      <w:lvlJc w:val="left"/>
      <w:lvlText w:val="(%1)"/>
      <w:numFmt w:val="lowerLetter"/>
      <w:start w:val="1"/>
    </w:lvl>
  </w:abstractNum>
  <w:abstractNum w:abstractNumId="153">
    <w:nsid w:val="46F8284B"/>
    <w:multiLevelType w:val="hybridMultilevel"/>
    <w:lvl w:ilvl="0">
      <w:lvlJc w:val="left"/>
      <w:lvlText w:val="%1"/>
      <w:numFmt w:val="decimal"/>
      <w:start w:val="1"/>
    </w:lvl>
    <w:lvl w:ilvl="1">
      <w:lvlJc w:val="left"/>
      <w:lvlText w:val="(%2)"/>
      <w:numFmt w:val="lowerRoman"/>
      <w:start w:val="1"/>
    </w:lvl>
  </w:abstractNum>
  <w:abstractNum w:abstractNumId="154">
    <w:nsid w:val="4FA327CE"/>
    <w:multiLevelType w:val="hybridMultilevel"/>
    <w:lvl w:ilvl="0">
      <w:lvlJc w:val="left"/>
      <w:lvlText w:val="%1."/>
      <w:numFmt w:val="decimal"/>
      <w:start w:val="5"/>
    </w:lvl>
    <w:lvl w:ilvl="1">
      <w:lvlJc w:val="left"/>
      <w:lvlText w:val="%2"/>
      <w:numFmt w:val="lowerRoman"/>
      <w:start w:val="1"/>
    </w:lvl>
  </w:abstractNum>
  <w:abstractNum w:abstractNumId="155">
    <w:nsid w:val="1873983A"/>
    <w:multiLevelType w:val="hybridMultilevel"/>
    <w:lvl w:ilvl="0">
      <w:lvlJc w:val="left"/>
      <w:lvlText w:val="(%1)"/>
      <w:numFmt w:val="lowerLetter"/>
      <w:start w:val="1"/>
    </w:lvl>
  </w:abstractNum>
  <w:abstractNum w:abstractNumId="156">
    <w:nsid w:val="3D2DD275"/>
    <w:multiLevelType w:val="hybridMultilevel"/>
    <w:lvl w:ilvl="0">
      <w:lvlJc w:val="left"/>
      <w:lvlText w:val="(%1)"/>
      <w:numFmt w:val="lowerLetter"/>
      <w:start w:val="2"/>
    </w:lvl>
  </w:abstractNum>
  <w:abstractNum w:abstractNumId="157">
    <w:nsid w:val="2E17ECA7"/>
    <w:multiLevelType w:val="hybridMultilevel"/>
    <w:lvl w:ilvl="0">
      <w:lvlJc w:val="left"/>
      <w:lvlText w:val="%1."/>
      <w:numFmt w:val="decimal"/>
      <w:start w:val="6"/>
    </w:lvl>
  </w:abstractNum>
  <w:abstractNum w:abstractNumId="158">
    <w:nsid w:val="53B2564F"/>
    <w:multiLevelType w:val="hybridMultilevel"/>
    <w:lvl w:ilvl="0">
      <w:lvlJc w:val="left"/>
      <w:lvlText w:val="(%1)"/>
      <w:numFmt w:val="decimal"/>
      <w:start w:val="30"/>
    </w:lvl>
  </w:abstractNum>
  <w:abstractNum w:abstractNumId="159">
    <w:nsid w:val="75509D76"/>
    <w:multiLevelType w:val="hybridMultilevel"/>
    <w:lvl w:ilvl="0">
      <w:lvlJc w:val="left"/>
      <w:lvlText w:val="(%1)"/>
      <w:numFmt w:val="lowerLetter"/>
      <w:start w:val="1"/>
    </w:lvl>
  </w:abstractNum>
  <w:abstractNum w:abstractNumId="160">
    <w:nsid w:val="1AF7F0EA"/>
    <w:multiLevelType w:val="hybridMultilevel"/>
    <w:lvl w:ilvl="0">
      <w:lvlJc w:val="left"/>
      <w:lvlText w:val="(%1)"/>
      <w:numFmt w:val="lowerRoman"/>
      <w:start w:val="1"/>
    </w:lvl>
  </w:abstractNum>
  <w:abstractNum w:abstractNumId="161">
    <w:nsid w:val="4DA32C7E"/>
    <w:multiLevelType w:val="hybridMultilevel"/>
    <w:lvl w:ilvl="0">
      <w:lvlJc w:val="left"/>
      <w:lvlText w:val="$"/>
      <w:numFmt w:val="bullet"/>
      <w:start w:val="1"/>
    </w:lvl>
  </w:abstractNum>
  <w:abstractNum w:abstractNumId="162">
    <w:nsid w:val="6EC68664"/>
    <w:multiLevelType w:val="hybridMultilevel"/>
    <w:lvl w:ilvl="0">
      <w:lvlJc w:val="left"/>
      <w:lvlText w:val="A"/>
      <w:numFmt w:val="bullet"/>
      <w:start w:val="1"/>
    </w:lvl>
  </w:abstractNum>
  <w:abstractNum w:abstractNumId="163">
    <w:nsid w:val="E0D31FF"/>
    <w:multiLevelType w:val="hybridMultilevel"/>
    <w:lvl w:ilvl="0">
      <w:lvlJc w:val="left"/>
      <w:lvlText w:val="D"/>
      <w:numFmt w:val="bullet"/>
      <w:start w:val="1"/>
    </w:lvl>
  </w:abstractNum>
  <w:abstractNum w:abstractNumId="164">
    <w:nsid w:val="2FD0AD81"/>
    <w:multiLevelType w:val="hybridMultilevel"/>
    <w:lvl w:ilvl="0">
      <w:lvlJc w:val="left"/>
      <w:lvlText w:val="G"/>
      <w:numFmt w:val="bullet"/>
      <w:start w:val="1"/>
    </w:lvl>
  </w:abstractNum>
  <w:abstractNum w:abstractNumId="165">
    <w:nsid w:val="1978EBEB"/>
    <w:multiLevelType w:val="hybridMultilevel"/>
    <w:lvl w:ilvl="0">
      <w:lvlJc w:val="left"/>
      <w:lvlText w:val="H"/>
      <w:numFmt w:val="bullet"/>
      <w:start w:val="1"/>
    </w:lvl>
  </w:abstractNum>
  <w:abstractNum w:abstractNumId="166">
    <w:nsid w:val="52C12C61"/>
    <w:multiLevelType w:val="hybridMultilevel"/>
    <w:lvl w:ilvl="0">
      <w:lvlJc w:val="left"/>
      <w:lvlText w:val="K"/>
      <w:numFmt w:val="bullet"/>
      <w:start w:val="1"/>
    </w:lvl>
  </w:abstractNum>
  <w:abstractNum w:abstractNumId="167">
    <w:nsid w:val="4BDD53FD"/>
    <w:multiLevelType w:val="hybridMultilevel"/>
    <w:lvl w:ilvl="0">
      <w:lvlJc w:val="left"/>
      <w:lvlText w:val="N"/>
      <w:numFmt w:val="bullet"/>
      <w:start w:val="1"/>
    </w:lvl>
  </w:abstractNum>
  <w:abstractNum w:abstractNumId="168">
    <w:nsid w:val="569951FE"/>
    <w:multiLevelType w:val="hybridMultilevel"/>
    <w:lvl w:ilvl="0">
      <w:lvlJc w:val="left"/>
      <w:lvlText w:val="O"/>
      <w:numFmt w:val="bullet"/>
      <w:start w:val="1"/>
    </w:lvl>
  </w:abstractNum>
  <w:abstractNum w:abstractNumId="169">
    <w:nsid w:val="4C54E2C3"/>
    <w:multiLevelType w:val="hybridMultilevel"/>
    <w:lvl w:ilvl="0">
      <w:lvlJc w:val="left"/>
      <w:lvlText w:val="Q"/>
      <w:numFmt w:val="bullet"/>
      <w:start w:val="1"/>
    </w:lvl>
  </w:abstractNum>
  <w:abstractNum w:abstractNumId="170">
    <w:nsid w:val="788BD9B"/>
    <w:multiLevelType w:val="hybridMultilevel"/>
    <w:lvl w:ilvl="0">
      <w:lvlJc w:val="left"/>
      <w:lvlText w:val="(%1)"/>
      <w:numFmt w:val="lowerLetter"/>
      <w:start w:val="9"/>
    </w:lvl>
    <w:lvl w:ilvl="1">
      <w:lvlJc w:val="left"/>
      <w:lvlText w:val="(%2)"/>
      <w:numFmt w:val="lowerLetter"/>
      <w:start w:val="1"/>
    </w:lvl>
  </w:abstractNum>
  <w:abstractNum w:abstractNumId="171">
    <w:nsid w:val="47CAA567"/>
    <w:multiLevelType w:val="hybridMultilevel"/>
    <w:lvl w:ilvl="0">
      <w:lvlJc w:val="left"/>
      <w:lvlText w:val="(%1)"/>
      <w:numFmt w:val="lowerLetter"/>
      <w:start w:val="8"/>
    </w:lvl>
  </w:abstractNum>
  <w:abstractNum w:abstractNumId="172">
    <w:nsid w:val="48249DBF"/>
    <w:multiLevelType w:val="hybridMultilevel"/>
    <w:lvl w:ilvl="0">
      <w:lvlJc w:val="left"/>
      <w:lvlText w:val="(%1)"/>
      <w:numFmt w:val="lowerRoman"/>
      <w:start w:val="1"/>
    </w:lvl>
  </w:abstractNum>
  <w:abstractNum w:abstractNumId="173">
    <w:nsid w:val="1F0E5D0D"/>
    <w:multiLevelType w:val="hybridMultilevel"/>
    <w:lvl w:ilvl="0">
      <w:lvlJc w:val="left"/>
      <w:lvlText w:val="(%1)"/>
      <w:numFmt w:val="lowerRoman"/>
      <w:start w:val="1"/>
    </w:lvl>
  </w:abstractNum>
  <w:abstractNum w:abstractNumId="174">
    <w:nsid w:val="26BAAE9"/>
    <w:multiLevelType w:val="hybridMultilevel"/>
    <w:lvl w:ilvl="0">
      <w:lvlJc w:val="left"/>
      <w:lvlText w:val="(%1)"/>
      <w:numFmt w:val="lowerLetter"/>
      <w:start w:val="1"/>
    </w:lvl>
  </w:abstractNum>
  <w:abstractNum w:abstractNumId="175">
    <w:nsid w:val="2C02FE8C"/>
    <w:multiLevelType w:val="hybridMultilevel"/>
    <w:lvl w:ilvl="0">
      <w:lvlJc w:val="left"/>
      <w:lvlText w:val="(%1)"/>
      <w:numFmt w:val="lowerRoman"/>
      <w:start w:val="5"/>
    </w:lvl>
  </w:abstractNum>
  <w:abstractNum w:abstractNumId="176">
    <w:nsid w:val="129517E"/>
    <w:multiLevelType w:val="hybridMultilevel"/>
    <w:lvl w:ilvl="0">
      <w:lvlJc w:val="left"/>
      <w:lvlText w:val="(%1)"/>
      <w:numFmt w:val="lowerRoman"/>
      <w:start w:val="1"/>
    </w:lvl>
  </w:abstractNum>
  <w:abstractNum w:abstractNumId="177">
    <w:nsid w:val="763B8C4E"/>
    <w:multiLevelType w:val="hybridMultilevel"/>
    <w:lvl w:ilvl="0">
      <w:lvlJc w:val="left"/>
      <w:lvlText w:val="(%1)"/>
      <w:numFmt w:val="lowerRoman"/>
      <w:start w:val="2"/>
    </w:lvl>
  </w:abstractNum>
  <w:abstractNum w:abstractNumId="178">
    <w:nsid w:val="4CFB8D32"/>
    <w:multiLevelType w:val="hybridMultilevel"/>
    <w:lvl w:ilvl="0">
      <w:lvlJc w:val="left"/>
      <w:lvlText w:val="(%1)"/>
      <w:numFmt w:val="lowerRoman"/>
      <w:start w:val="3"/>
    </w:lvl>
  </w:abstractNum>
  <w:abstractNum w:abstractNumId="179">
    <w:nsid w:val="62A5D5BD"/>
    <w:multiLevelType w:val="hybridMultilevel"/>
    <w:lvl w:ilvl="0">
      <w:lvlJc w:val="left"/>
      <w:lvlText w:val="(%1)"/>
      <w:numFmt w:val="lowerRoman"/>
      <w:start w:val="1"/>
    </w:lvl>
  </w:abstractNum>
  <w:abstractNum w:abstractNumId="180">
    <w:nsid w:val="718FABF9"/>
    <w:multiLevelType w:val="hybridMultilevel"/>
    <w:lvl w:ilvl="0">
      <w:lvlJc w:val="left"/>
      <w:lvlText w:val="(%1)"/>
      <w:numFmt w:val="lowerRoman"/>
      <w:start w:val="4"/>
    </w:lvl>
  </w:abstractNum>
  <w:abstractNum w:abstractNumId="181">
    <w:nsid w:val="7775797C"/>
    <w:multiLevelType w:val="hybridMultilevel"/>
    <w:lvl w:ilvl="0">
      <w:lvlJc w:val="left"/>
      <w:lvlText w:val="(%1)"/>
      <w:numFmt w:val="upperLetter"/>
      <w:start w:val="1"/>
    </w:lvl>
  </w:abstractNum>
  <w:abstractNum w:abstractNumId="182">
    <w:nsid w:val="1626FB8C"/>
    <w:multiLevelType w:val="hybridMultilevel"/>
    <w:lvl w:ilvl="0">
      <w:lvlJc w:val="left"/>
      <w:lvlText w:val="(%1)"/>
      <w:numFmt w:val="upperLetter"/>
      <w:start w:val="2"/>
    </w:lvl>
  </w:abstractNum>
  <w:abstractNum w:abstractNumId="183">
    <w:nsid w:val="3957756A"/>
    <w:multiLevelType w:val="hybridMultilevel"/>
    <w:lvl w:ilvl="0">
      <w:lvlJc w:val="left"/>
      <w:lvlText w:val="(%1)"/>
      <w:numFmt w:val="lowerRoman"/>
      <w:start w:val="1"/>
    </w:lvl>
  </w:abstractNum>
  <w:abstractNum w:abstractNumId="184">
    <w:nsid w:val="3E6DA1C7"/>
    <w:multiLevelType w:val="hybridMultilevel"/>
    <w:lvl w:ilvl="0">
      <w:lvlJc w:val="left"/>
      <w:lvlText w:val="%1"/>
      <w:numFmt w:val="lowerLetter"/>
      <w:start w:val="1"/>
    </w:lvl>
    <w:lvl w:ilvl="1">
      <w:lvlJc w:val="left"/>
      <w:lvlText w:val="(%2)"/>
      <w:numFmt w:val="lowerLetter"/>
      <w:start w:val="1"/>
    </w:lvl>
  </w:abstractNum>
  <w:abstractNum w:abstractNumId="185">
    <w:nsid w:val="65CA235B"/>
    <w:multiLevelType w:val="hybridMultilevel"/>
    <w:lvl w:ilvl="0">
      <w:lvlJc w:val="left"/>
      <w:lvlText w:val="(%1)"/>
      <w:numFmt w:val="lowerLetter"/>
      <w:start w:val="35"/>
    </w:lvl>
    <w:lvl w:ilvl="1">
      <w:lvlJc w:val="left"/>
      <w:lvlText w:val="(%2)"/>
      <w:numFmt w:val="lowerLetter"/>
      <w:start w:val="2"/>
    </w:lvl>
  </w:abstractNum>
  <w:abstractNum w:abstractNumId="186">
    <w:nsid w:val="51CB0DA4"/>
    <w:multiLevelType w:val="hybridMultilevel"/>
    <w:lvl w:ilvl="0">
      <w:lvlJc w:val="left"/>
      <w:lvlText w:val="(%1)"/>
      <w:numFmt w:val="lowerLetter"/>
      <w:start w:val="3"/>
    </w:lvl>
  </w:abstractNum>
  <w:abstractNum w:abstractNumId="187">
    <w:nsid w:val="7B9B743C"/>
    <w:multiLevelType w:val="hybridMultilevel"/>
    <w:lvl w:ilvl="0">
      <w:lvlJc w:val="left"/>
      <w:lvlText w:val="(%1)"/>
      <w:numFmt w:val="lowerLetter"/>
      <w:start w:val="2"/>
    </w:lvl>
  </w:abstractNum>
  <w:abstractNum w:abstractNumId="188">
    <w:nsid w:val="13E21002"/>
    <w:multiLevelType w:val="hybridMultilevel"/>
    <w:lvl w:ilvl="0">
      <w:lvlJc w:val="left"/>
      <w:lvlText w:val="(%1)"/>
      <w:numFmt w:val="lowerLetter"/>
      <w:start w:val="4"/>
    </w:lvl>
  </w:abstractNum>
  <w:abstractNum w:abstractNumId="189">
    <w:nsid w:val="257D63F4"/>
    <w:multiLevelType w:val="hybridMultilevel"/>
    <w:lvl w:ilvl="0">
      <w:lvlJc w:val="left"/>
      <w:lvlText w:val="(%1)"/>
      <w:numFmt w:val="lowerLetter"/>
      <w:start w:val="2"/>
    </w:lvl>
  </w:abstractNum>
  <w:abstractNum w:abstractNumId="190">
    <w:nsid w:val="70EC11B2"/>
    <w:multiLevelType w:val="hybridMultilevel"/>
    <w:lvl w:ilvl="0">
      <w:lvlJc w:val="left"/>
      <w:lvlText w:val="(%1)"/>
      <w:numFmt w:val="lowerRoman"/>
      <w:start w:val="2"/>
    </w:lvl>
  </w:abstractNum>
  <w:abstractNum w:abstractNumId="191">
    <w:nsid w:val="2EDA00ED"/>
    <w:multiLevelType w:val="hybridMultilevel"/>
    <w:lvl w:ilvl="0">
      <w:lvlJc w:val="left"/>
      <w:lvlText w:val="(%1)"/>
      <w:numFmt w:val="lowerLetter"/>
      <w:start w:val="2"/>
    </w:lvl>
  </w:abstractNum>
  <w:abstractNum w:abstractNumId="192">
    <w:nsid w:val="73209072"/>
    <w:multiLevelType w:val="hybridMultilevel"/>
    <w:lvl w:ilvl="0">
      <w:lvlJc w:val="left"/>
      <w:lvlText w:val="(%1)"/>
      <w:numFmt w:val="lowerLetter"/>
      <w:start w:val="6"/>
    </w:lvl>
  </w:abstractNum>
  <w:abstractNum w:abstractNumId="193">
    <w:nsid w:val="5FB29816"/>
    <w:multiLevelType w:val="hybridMultilevel"/>
    <w:lvl w:ilvl="0">
      <w:lvlJc w:val="left"/>
      <w:lvlText w:val="(%1)"/>
      <w:numFmt w:val="lowerLetter"/>
      <w:start w:val="2"/>
    </w:lvl>
  </w:abstractNum>
  <w:abstractNum w:abstractNumId="194">
    <w:nsid w:val="3CE732EC"/>
    <w:multiLevelType w:val="hybridMultilevel"/>
    <w:lvl w:ilvl="0">
      <w:lvlJc w:val="left"/>
      <w:lvlText w:val="(%1)"/>
      <w:numFmt w:val="lowerLetter"/>
      <w:start w:val="3"/>
    </w:lvl>
  </w:abstractNum>
  <w:abstractNum w:abstractNumId="195">
    <w:nsid w:val="22F13DF3"/>
    <w:multiLevelType w:val="hybridMultilevel"/>
    <w:lvl w:ilvl="0">
      <w:lvlJc w:val="left"/>
      <w:lvlText w:val="(%1)"/>
      <w:numFmt w:val="lowerRoman"/>
      <w:start w:val="1"/>
    </w:lvl>
    <w:lvl w:ilvl="1">
      <w:lvlJc w:val="left"/>
      <w:lvlText w:val="(%2)"/>
      <w:numFmt w:val="upperLetter"/>
      <w:start w:val="1"/>
    </w:lvl>
  </w:abstractNum>
  <w:abstractNum w:abstractNumId="196">
    <w:nsid w:val="792B8401"/>
    <w:multiLevelType w:val="hybridMultilevel"/>
    <w:lvl w:ilvl="0">
      <w:lvlJc w:val="left"/>
      <w:lvlText w:val="%1"/>
      <w:numFmt w:val="lowerRoman"/>
      <w:start w:val="1"/>
    </w:lvl>
    <w:lvl w:ilvl="1">
      <w:lvlJc w:val="left"/>
      <w:lvlText w:val="(%2)"/>
      <w:numFmt w:val="upperLetter"/>
      <w:start w:val="2"/>
    </w:lvl>
  </w:abstractNum>
  <w:abstractNum w:abstractNumId="197">
    <w:nsid w:val="FA85F4D"/>
    <w:multiLevelType w:val="hybridMultilevel"/>
    <w:lvl w:ilvl="0">
      <w:lvlJc w:val="left"/>
      <w:lvlText w:val="(%1)"/>
      <w:numFmt w:val="lowerRoman"/>
      <w:start w:val="2"/>
    </w:lvl>
    <w:lvl w:ilvl="1">
      <w:lvlJc w:val="left"/>
      <w:lvlText w:val="%2"/>
      <w:numFmt w:val="upperLetter"/>
      <w:start w:val="1"/>
    </w:lvl>
  </w:abstractNum>
  <w:abstractNum w:abstractNumId="198">
    <w:nsid w:val="6ECE91F0"/>
    <w:multiLevelType w:val="hybridMultilevel"/>
    <w:lvl w:ilvl="0">
      <w:lvlJc w:val="left"/>
      <w:lvlText w:val="%1"/>
      <w:numFmt w:val="lowerLetter"/>
      <w:start w:val="1"/>
    </w:lvl>
    <w:lvl w:ilvl="1">
      <w:lvlJc w:val="left"/>
      <w:lvlText w:val="(%2)"/>
      <w:numFmt w:val="lowerLetter"/>
      <w:start w:val="4"/>
    </w:lvl>
  </w:abstractNum>
  <w:abstractNum w:abstractNumId="199">
    <w:nsid w:val="4FC4D600"/>
    <w:multiLevelType w:val="hybridMultilevel"/>
    <w:lvl w:ilvl="0">
      <w:lvlJc w:val="left"/>
      <w:lvlText w:val="(%1)"/>
      <w:numFmt w:val="lowerLetter"/>
      <w:start w:val="35"/>
    </w:lvl>
    <w:lvl w:ilvl="1">
      <w:lvlJc w:val="left"/>
      <w:lvlText w:val="(%2)"/>
      <w:numFmt w:val="lowerLetter"/>
      <w:start w:val="5"/>
    </w:lvl>
  </w:abstractNum>
  <w:abstractNum w:abstractNumId="200">
    <w:nsid w:val="5BFD4210"/>
    <w:multiLevelType w:val="hybridMultilevel"/>
    <w:lvl w:ilvl="0">
      <w:lvlJc w:val="left"/>
      <w:lvlText w:val="(%1)"/>
      <w:numFmt w:val="lowerLetter"/>
      <w:start w:val="6"/>
    </w:lvl>
    <w:lvl w:ilvl="1">
      <w:lvlJc w:val="left"/>
      <w:lvlText w:val="(%2)"/>
      <w:numFmt w:val="lowerRoman"/>
      <w:start w:val="1"/>
    </w:lvl>
  </w:abstractNum>
  <w:abstractNum w:abstractNumId="201">
    <w:nsid w:val="76574F8B"/>
    <w:multiLevelType w:val="hybridMultilevel"/>
    <w:lvl w:ilvl="0">
      <w:lvlJc w:val="left"/>
      <w:lvlText w:val="(%1)"/>
      <w:numFmt w:val="lowerRoman"/>
      <w:start w:val="3"/>
    </w:lvl>
  </w:abstractNum>
  <w:abstractNum w:abstractNumId="202">
    <w:nsid w:val="178F7B67"/>
    <w:multiLevelType w:val="hybridMultilevel"/>
    <w:lvl w:ilvl="0">
      <w:lvlJc w:val="left"/>
      <w:lvlText w:val="(%1)"/>
      <w:numFmt w:val="lowerRoman"/>
      <w:start w:val="1"/>
    </w:lvl>
  </w:abstractNum>
  <w:abstractNum w:abstractNumId="203">
    <w:nsid w:val="2421DFCF"/>
    <w:multiLevelType w:val="hybridMultilevel"/>
    <w:lvl w:ilvl="0">
      <w:lvlJc w:val="left"/>
      <w:lvlText w:val="(%1)"/>
      <w:numFmt w:val="lowerRoman"/>
      <w:start w:val="3"/>
    </w:lvl>
  </w:abstractNum>
  <w:abstractNum w:abstractNumId="204">
    <w:nsid w:val="1565AC99"/>
    <w:multiLevelType w:val="hybridMultilevel"/>
    <w:lvl w:ilvl="0">
      <w:lvlJc w:val="left"/>
      <w:lvlText w:val="(%1)"/>
      <w:numFmt w:val="lowerLetter"/>
      <w:start w:val="8"/>
    </w:lvl>
  </w:abstractNum>
  <w:abstractNum w:abstractNumId="205">
    <w:nsid w:val="19FB2650"/>
    <w:multiLevelType w:val="hybridMultilevel"/>
    <w:lvl w:ilvl="0">
      <w:lvlJc w:val="left"/>
      <w:lvlText w:val="(%1)"/>
      <w:numFmt w:val="lowerLetter"/>
      <w:start w:val="10"/>
    </w:lvl>
  </w:abstractNum>
  <w:abstractNum w:abstractNumId="206">
    <w:nsid w:val="5024DE5B"/>
    <w:multiLevelType w:val="hybridMultilevel"/>
    <w:lvl w:ilvl="0">
      <w:lvlJc w:val="left"/>
      <w:lvlText w:val="(%1)"/>
      <w:numFmt w:val="lowerLetter"/>
      <w:start w:val="13"/>
    </w:lvl>
  </w:abstractNum>
  <w:abstractNum w:abstractNumId="207">
    <w:nsid w:val="168EFE17"/>
    <w:multiLevelType w:val="hybridMultilevel"/>
    <w:lvl w:ilvl="0">
      <w:lvlJc w:val="left"/>
      <w:lvlText w:val="(%1)"/>
      <w:numFmt w:val="lowerLetter"/>
      <w:start w:val="16"/>
    </w:lvl>
  </w:abstractNum>
  <w:abstractNum w:abstractNumId="208">
    <w:nsid w:val="1036B29F"/>
    <w:multiLevelType w:val="hybridMultilevel"/>
    <w:lvl w:ilvl="0">
      <w:lvlJc w:val="left"/>
      <w:lvlText w:val="(%1)"/>
      <w:numFmt w:val="lowerLetter"/>
      <w:start w:val="2"/>
    </w:lvl>
    <w:lvl w:ilvl="1">
      <w:lvlJc w:val="left"/>
      <w:lvlText w:val="(%2)"/>
      <w:numFmt w:val="lowerLetter"/>
      <w:start w:val="9"/>
    </w:lvl>
  </w:abstractNum>
  <w:abstractNum w:abstractNumId="209">
    <w:nsid w:val="1D206B8E"/>
    <w:multiLevelType w:val="hybridMultilevel"/>
    <w:lvl w:ilvl="0">
      <w:lvlJc w:val="left"/>
      <w:lvlText w:val="(%1)"/>
      <w:numFmt w:val="lowerRoman"/>
      <w:start w:val="2"/>
    </w:lvl>
  </w:abstractNum>
  <w:abstractNum w:abstractNumId="210">
    <w:nsid w:val="7934D3D4"/>
    <w:multiLevelType w:val="hybridMultilevel"/>
    <w:lvl w:ilvl="0">
      <w:lvlJc w:val="left"/>
      <w:lvlText w:val="(%1)"/>
      <w:numFmt w:val="lowerLetter"/>
      <w:start w:val="4"/>
    </w:lvl>
    <w:lvl w:ilvl="1">
      <w:lvlJc w:val="left"/>
      <w:lvlText w:val="(%2)"/>
      <w:numFmt w:val="lowerRoman"/>
      <w:start w:val="1"/>
    </w:lvl>
  </w:abstractNum>
  <w:abstractNum w:abstractNumId="211">
    <w:nsid w:val="1C65E98"/>
    <w:multiLevelType w:val="hybridMultilevel"/>
    <w:lvl w:ilvl="0">
      <w:lvlJc w:val="left"/>
      <w:lvlText w:val="(%1)"/>
      <w:numFmt w:val="lowerLetter"/>
      <w:start w:val="1"/>
    </w:lvl>
    <w:lvl w:ilvl="1">
      <w:lvlJc w:val="left"/>
      <w:lvlText w:val="(%2)"/>
      <w:numFmt w:val="lowerLetter"/>
      <w:start w:val="9"/>
    </w:lvl>
  </w:abstractNum>
  <w:abstractNum w:abstractNumId="212">
    <w:nsid w:val="1495E50A"/>
    <w:multiLevelType w:val="hybridMultilevel"/>
    <w:lvl w:ilvl="0">
      <w:lvlJc w:val="left"/>
      <w:lvlText w:val="%1"/>
      <w:numFmt w:val="lowerLetter"/>
      <w:start w:val="1"/>
    </w:lvl>
    <w:lvl w:ilvl="1">
      <w:lvlJc w:val="left"/>
      <w:lvlText w:val="(%2)"/>
      <w:numFmt w:val="lowerLetter"/>
      <w:start w:val="35"/>
    </w:lvl>
  </w:abstractNum>
  <w:abstractNum w:abstractNumId="213">
    <w:nsid w:val="F5BCF61"/>
    <w:multiLevelType w:val="hybridMultilevel"/>
    <w:lvl w:ilvl="0">
      <w:lvlJc w:val="left"/>
      <w:lvlText w:val="(%1)"/>
      <w:numFmt w:val="lowerLetter"/>
      <w:start w:val="2"/>
    </w:lvl>
    <w:lvl w:ilvl="1">
      <w:lvlJc w:val="left"/>
      <w:lvlText w:val="(%2)"/>
      <w:numFmt w:val="lowerLetter"/>
      <w:start w:val="9"/>
    </w:lvl>
  </w:abstractNum>
  <w:abstractNum w:abstractNumId="214">
    <w:nsid w:val="3B1DD403"/>
    <w:multiLevelType w:val="hybridMultilevel"/>
    <w:lvl w:ilvl="0">
      <w:lvlJc w:val="left"/>
      <w:lvlText w:val="(%1)"/>
      <w:numFmt w:val="lowerRoman"/>
      <w:start w:val="2"/>
    </w:lvl>
  </w:abstractNum>
  <w:abstractNum w:abstractNumId="215">
    <w:nsid w:val="530386D1"/>
    <w:multiLevelType w:val="hybridMultilevel"/>
    <w:lvl w:ilvl="0">
      <w:lvlJc w:val="left"/>
      <w:lvlText w:val="(%1)"/>
      <w:numFmt w:val="lowerLetter"/>
      <w:start w:val="2"/>
    </w:lvl>
    <w:lvl w:ilvl="1">
      <w:lvlJc w:val="left"/>
      <w:lvlText w:val="(%2)"/>
      <w:numFmt w:val="lowerRoman"/>
      <w:start w:val="2"/>
    </w:lvl>
  </w:abstractNum>
  <w:abstractNum w:abstractNumId="216">
    <w:nsid w:val="7525F2BC"/>
    <w:multiLevelType w:val="hybridMultilevel"/>
    <w:lvl w:ilvl="0">
      <w:lvlJc w:val="left"/>
      <w:lvlText w:val="(%1)"/>
      <w:numFmt w:val="lowerLetter"/>
      <w:start w:val="1"/>
    </w:lvl>
  </w:abstractNum>
  <w:abstractNum w:abstractNumId="217">
    <w:nsid w:val="CE8E1A7"/>
    <w:multiLevelType w:val="hybridMultilevel"/>
    <w:lvl w:ilvl="0">
      <w:lvlJc w:val="left"/>
      <w:lvlText w:val="(%1)"/>
      <w:numFmt w:val="lowerLetter"/>
      <w:start w:val="2"/>
    </w:lvl>
  </w:abstractNum>
  <w:abstractNum w:abstractNumId="218">
    <w:nsid w:val="4E9EFB0D"/>
    <w:multiLevelType w:val="hybridMultilevel"/>
    <w:lvl w:ilvl="0">
      <w:lvlJc w:val="left"/>
      <w:lvlText w:val="(%1)"/>
      <w:numFmt w:val="lowerLetter"/>
      <w:start w:val="4"/>
    </w:lvl>
  </w:abstractNum>
  <w:abstractNum w:abstractNumId="219">
    <w:nsid w:val="90802BE"/>
    <w:multiLevelType w:val="hybridMultilevel"/>
    <w:lvl w:ilvl="0">
      <w:lvlJc w:val="left"/>
      <w:lvlText w:val="(%1)"/>
      <w:numFmt w:val="lowerLetter"/>
      <w:start w:val="2"/>
    </w:lvl>
  </w:abstractNum>
  <w:abstractNum w:abstractNumId="220">
    <w:nsid w:val="3266459B"/>
    <w:multiLevelType w:val="hybridMultilevel"/>
    <w:lvl w:ilvl="0">
      <w:lvlJc w:val="left"/>
      <w:lvlText w:val="(%1)"/>
      <w:numFmt w:val="lowerLetter"/>
      <w:start w:val="1"/>
    </w:lvl>
  </w:abstractNum>
  <w:abstractNum w:abstractNumId="221">
    <w:nsid w:val="3F8B0CBF"/>
    <w:multiLevelType w:val="hybridMultilevel"/>
    <w:lvl w:ilvl="0">
      <w:lvlJc w:val="left"/>
      <w:lvlText w:val="(%1)"/>
      <w:numFmt w:val="lowerLetter"/>
      <w:start w:val="2"/>
    </w:lvl>
  </w:abstractNum>
  <w:abstractNum w:abstractNumId="222">
    <w:nsid w:val="37E203AB"/>
    <w:multiLevelType w:val="hybridMultilevel"/>
    <w:lvl w:ilvl="0">
      <w:lvlJc w:val="left"/>
      <w:lvlText w:val="(%1)"/>
      <w:numFmt w:val="lowerLetter"/>
      <w:start w:val="2"/>
    </w:lvl>
  </w:abstractNum>
  <w:abstractNum w:abstractNumId="223">
    <w:nsid w:val="2586D60E"/>
    <w:multiLevelType w:val="hybridMultilevel"/>
    <w:lvl w:ilvl="0">
      <w:lvlJc w:val="left"/>
      <w:lvlText w:val="(%1)"/>
      <w:numFmt w:val="lowerLetter"/>
      <w:start w:val="2"/>
    </w:lvl>
  </w:abstractNum>
  <w:abstractNum w:abstractNumId="224">
    <w:nsid w:val="1F3DA4D5"/>
    <w:multiLevelType w:val="hybridMultilevel"/>
    <w:lvl w:ilvl="0">
      <w:lvlJc w:val="left"/>
      <w:lvlText w:val="(%1)"/>
      <w:numFmt w:val="lowerRoman"/>
      <w:start w:val="2"/>
    </w:lvl>
  </w:abstractNum>
  <w:abstractNum w:abstractNumId="225">
    <w:nsid w:val="74C93698"/>
    <w:multiLevelType w:val="hybridMultilevel"/>
    <w:lvl w:ilvl="0">
      <w:lvlJc w:val="left"/>
      <w:lvlText w:val="(%1)"/>
      <w:numFmt w:val="lowerLetter"/>
      <w:start w:val="2"/>
    </w:lvl>
    <w:lvl w:ilvl="1">
      <w:lvlJc w:val="left"/>
      <w:lvlText w:val="(%2)"/>
      <w:numFmt w:val="lowerLetter"/>
      <w:start w:val="3"/>
    </w:lvl>
  </w:abstractNum>
  <w:abstractNum w:abstractNumId="226">
    <w:nsid w:val="48781401"/>
    <w:multiLevelType w:val="hybridMultilevel"/>
    <w:lvl w:ilvl="0">
      <w:lvlJc w:val="left"/>
      <w:lvlText w:val="(%1)"/>
      <w:numFmt w:val="lowerLetter"/>
      <w:start w:val="5"/>
    </w:lvl>
  </w:abstractNum>
  <w:abstractNum w:abstractNumId="227">
    <w:nsid w:val="186928D6"/>
    <w:multiLevelType w:val="hybridMultilevel"/>
    <w:lvl w:ilvl="0">
      <w:lvlJc w:val="left"/>
      <w:lvlText w:val="(%1)"/>
      <w:numFmt w:val="lowerRoman"/>
      <w:start w:val="1"/>
    </w:lvl>
  </w:abstractNum>
  <w:abstractNum w:abstractNumId="228">
    <w:nsid w:val="47195E5"/>
    <w:multiLevelType w:val="hybridMultilevel"/>
    <w:lvl w:ilvl="0">
      <w:lvlJc w:val="left"/>
      <w:lvlText w:val="(%1)"/>
      <w:numFmt w:val="lowerLetter"/>
      <w:start w:val="1"/>
    </w:lvl>
    <w:lvl w:ilvl="1">
      <w:lvlJc w:val="left"/>
      <w:lvlText w:val="(%2)"/>
      <w:numFmt w:val="lowerRoman"/>
      <w:start w:val="1"/>
    </w:lvl>
  </w:abstractNum>
  <w:abstractNum w:abstractNumId="229">
    <w:nsid w:val="3746A5F2"/>
    <w:multiLevelType w:val="hybridMultilevel"/>
    <w:lvl w:ilvl="0">
      <w:lvlJc w:val="left"/>
      <w:lvlText w:val="(%1)"/>
      <w:numFmt w:val="lowerRoman"/>
      <w:start w:val="3"/>
    </w:lvl>
    <w:lvl w:ilvl="1">
      <w:lvlJc w:val="left"/>
      <w:lvlText w:val="(%2)"/>
      <w:numFmt w:val="upperLetter"/>
      <w:start w:val="1"/>
    </w:lvl>
  </w:abstractNum>
  <w:abstractNum w:abstractNumId="230">
    <w:nsid w:val="682DFED6"/>
    <w:multiLevelType w:val="hybridMultilevel"/>
    <w:lvl w:ilvl="0">
      <w:lvlJc w:val="left"/>
      <w:lvlText w:val="%1"/>
      <w:numFmt w:val="lowerLetter"/>
      <w:start w:val="1"/>
    </w:lvl>
    <w:lvl w:ilvl="1">
      <w:lvlJc w:val="left"/>
      <w:lvlText w:val="(%2)"/>
      <w:numFmt w:val="lowerRoman"/>
      <w:start w:val="4"/>
    </w:lvl>
  </w:abstractNum>
  <w:abstractNum w:abstractNumId="231">
    <w:nsid w:val="606ED7F6"/>
    <w:multiLevelType w:val="hybridMultilevel"/>
    <w:lvl w:ilvl="0">
      <w:lvlJc w:val="left"/>
      <w:lvlText w:val="(%1)"/>
      <w:numFmt w:val="lowerLetter"/>
      <w:start w:val="2"/>
    </w:lvl>
    <w:lvl w:ilvl="1">
      <w:lvlJc w:val="left"/>
      <w:lvlText w:val="%2"/>
      <w:numFmt w:val="lowerRoman"/>
      <w:start w:val="1"/>
    </w:lvl>
  </w:abstractNum>
  <w:abstractNum w:abstractNumId="232">
    <w:nsid w:val="2D9DF57D"/>
    <w:multiLevelType w:val="hybridMultilevel"/>
    <w:lvl w:ilvl="0">
      <w:lvlJc w:val="left"/>
      <w:lvlText w:val="(%1)"/>
      <w:numFmt w:val="lowerLetter"/>
      <w:start w:val="4"/>
    </w:lvl>
    <w:lvl w:ilvl="1">
      <w:lvlJc w:val="left"/>
      <w:lvlText w:val="(%2)"/>
      <w:numFmt w:val="lowerRoman"/>
      <w:start w:val="1"/>
    </w:lvl>
  </w:abstractNum>
  <w:abstractNum w:abstractNumId="233">
    <w:nsid w:val="7FBD7A3E"/>
    <w:multiLevelType w:val="hybridMultilevel"/>
    <w:lvl w:ilvl="0">
      <w:lvlJc w:val="left"/>
      <w:lvlText w:val="(%1)"/>
      <w:numFmt w:val="lowerLetter"/>
      <w:start w:val="2"/>
    </w:lvl>
  </w:abstractNum>
  <w:abstractNum w:abstractNumId="234">
    <w:nsid w:val="490B7C5"/>
    <w:multiLevelType w:val="hybridMultilevel"/>
    <w:lvl w:ilvl="0">
      <w:lvlJc w:val="left"/>
      <w:lvlText w:val="(%1)"/>
      <w:numFmt w:val="lowerLetter"/>
      <w:start w:val="5"/>
    </w:lvl>
    <w:lvl w:ilvl="1">
      <w:lvlJc w:val="left"/>
      <w:lvlText w:val="(%2)"/>
      <w:numFmt w:val="lowerLetter"/>
      <w:start w:val="9"/>
    </w:lvl>
  </w:abstractNum>
  <w:abstractNum w:abstractNumId="235">
    <w:nsid w:val="4303A216"/>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36">
    <w:nsid w:val="19B8A08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37">
    <w:nsid w:val="54B5962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38">
    <w:nsid w:val="5992A02E"/>
    <w:multiLevelType w:val="hybridMultilevel"/>
    <w:lvl w:ilvl="0">
      <w:lvlJc w:val="left"/>
      <w:lvlText w:val="(%1)"/>
      <w:numFmt w:val="lowerLetter"/>
      <w:start w:val="8"/>
    </w:lvl>
    <w:lvl w:ilvl="1">
      <w:lvlJc w:val="left"/>
      <w:lvlText w:val="%2"/>
      <w:numFmt w:val="lowerLetter"/>
      <w:start w:val="1"/>
    </w:lvl>
    <w:lvl w:ilvl="2">
      <w:lvlJc w:val="left"/>
      <w:lvlText w:val="%3"/>
      <w:numFmt w:val="upperLetter"/>
      <w:start w:val="1"/>
    </w:lvl>
  </w:abstractNum>
  <w:abstractNum w:abstractNumId="239">
    <w:nsid w:val="29EF532D"/>
    <w:multiLevelType w:val="hybridMultilevel"/>
    <w:lvl w:ilvl="0">
      <w:lvlJc w:val="left"/>
      <w:lvlText w:val="(%1)"/>
      <w:numFmt w:val="lowerRoman"/>
      <w:start w:val="1"/>
    </w:lvl>
  </w:abstractNum>
  <w:abstractNum w:abstractNumId="240">
    <w:nsid w:val="71D601AF"/>
    <w:multiLevelType w:val="hybridMultilevel"/>
    <w:lvl w:ilvl="0">
      <w:lvlJc w:val="left"/>
      <w:lvlText w:val="(%1)"/>
      <w:numFmt w:val="lowerLetter"/>
      <w:start w:val="1"/>
    </w:lvl>
  </w:abstractNum>
  <w:abstractNum w:abstractNumId="241">
    <w:nsid w:val="52C77402"/>
    <w:multiLevelType w:val="hybridMultilevel"/>
    <w:lvl w:ilvl="0">
      <w:lvlJc w:val="left"/>
      <w:lvlText w:val="(%1)"/>
      <w:numFmt w:val="lowerLetter"/>
      <w:start w:val="3"/>
    </w:lvl>
    <w:lvl w:ilvl="1">
      <w:lvlJc w:val="left"/>
      <w:lvlText w:val="(%2)"/>
      <w:numFmt w:val="lowerRoman"/>
      <w:start w:val="1"/>
    </w:lvl>
  </w:abstractNum>
  <w:abstractNum w:abstractNumId="242">
    <w:nsid w:val="2BB5B1C6"/>
    <w:multiLevelType w:val="hybridMultilevel"/>
    <w:lvl w:ilvl="0">
      <w:lvlJc w:val="left"/>
      <w:lvlText w:val="(%1)"/>
      <w:numFmt w:val="lowerRoman"/>
      <w:start w:val="10"/>
    </w:lvl>
  </w:abstractNum>
  <w:abstractNum w:abstractNumId="243">
    <w:nsid w:val="66BE6B9"/>
    <w:multiLevelType w:val="hybridMultilevel"/>
    <w:lvl w:ilvl="0">
      <w:lvlJc w:val="left"/>
      <w:lvlText w:val="(%1)"/>
      <w:numFmt w:val="lowerLetter"/>
      <w:start w:val="25"/>
    </w:lvl>
  </w:abstractNum>
  <w:abstractNum w:abstractNumId="244">
    <w:nsid w:val="62234363"/>
    <w:multiLevelType w:val="hybridMultilevel"/>
    <w:lvl w:ilvl="0">
      <w:lvlJc w:val="left"/>
      <w:lvlText w:val="(%1)"/>
      <w:numFmt w:val="lowerRoman"/>
      <w:start w:val="4"/>
    </w:lvl>
  </w:abstractNum>
  <w:abstractNum w:abstractNumId="245">
    <w:nsid w:val="66D385C9"/>
    <w:multiLevelType w:val="hybridMultilevel"/>
    <w:lvl w:ilvl="0">
      <w:lvlJc w:val="left"/>
      <w:lvlText w:val="(%1)"/>
      <w:numFmt w:val="lowerLetter"/>
      <w:start w:val="4"/>
    </w:lvl>
  </w:abstractNum>
  <w:abstractNum w:abstractNumId="246">
    <w:nsid w:val="596F6D8A"/>
    <w:multiLevelType w:val="hybridMultilevel"/>
    <w:lvl w:ilvl="0">
      <w:lvlJc w:val="left"/>
      <w:lvlText w:val="(%1)"/>
      <w:numFmt w:val="lowerLetter"/>
      <w:start w:val="1"/>
    </w:lvl>
    <w:lvl w:ilvl="1">
      <w:lvlJc w:val="left"/>
      <w:lvlText w:val="(%2)"/>
      <w:numFmt w:val="lowerRoman"/>
      <w:start w:val="1"/>
    </w:lvl>
  </w:abstractNum>
  <w:abstractNum w:abstractNumId="247">
    <w:nsid w:val="5749361F"/>
    <w:multiLevelType w:val="hybridMultilevel"/>
    <w:lvl w:ilvl="0">
      <w:lvlJc w:val="left"/>
      <w:lvlText w:val="(%1)"/>
      <w:numFmt w:val="lowerLetter"/>
      <w:start w:val="2"/>
    </w:lvl>
  </w:abstractNum>
  <w:abstractNum w:abstractNumId="248">
    <w:nsid w:val="73BC6770"/>
    <w:multiLevelType w:val="hybridMultilevel"/>
    <w:lvl w:ilvl="0">
      <w:lvlJc w:val="left"/>
      <w:lvlText w:val="%1"/>
      <w:numFmt w:val="lowerLetter"/>
      <w:start w:val="1"/>
    </w:lvl>
    <w:lvl w:ilvl="1">
      <w:lvlJc w:val="left"/>
      <w:lvlText w:val="(%2)"/>
      <w:numFmt w:val="lowerLetter"/>
      <w:start w:val="3"/>
    </w:lvl>
  </w:abstractNum>
  <w:abstractNum w:abstractNumId="249">
    <w:nsid w:val="280E6897"/>
    <w:multiLevelType w:val="hybridMultilevel"/>
    <w:lvl w:ilvl="0">
      <w:lvlJc w:val="left"/>
      <w:lvlText w:val="(%1)"/>
      <w:numFmt w:val="lowerLetter"/>
      <w:start w:val="2"/>
    </w:lvl>
    <w:lvl w:ilvl="1">
      <w:lvlJc w:val="left"/>
      <w:lvlText w:val="(%2)"/>
      <w:numFmt w:val="lowerLetter"/>
      <w:start w:val="4"/>
    </w:lvl>
  </w:abstractNum>
  <w:abstractNum w:abstractNumId="250">
    <w:nsid w:val="605138DE"/>
    <w:multiLevelType w:val="hybridMultilevel"/>
    <w:lvl w:ilvl="0">
      <w:lvlJc w:val="left"/>
      <w:lvlText w:val="(%1)"/>
      <w:numFmt w:val="lowerLetter"/>
      <w:start w:val="1"/>
    </w:lvl>
  </w:abstractNum>
  <w:abstractNum w:abstractNumId="251">
    <w:nsid w:val="2622AD0C"/>
    <w:multiLevelType w:val="hybridMultilevel"/>
    <w:lvl w:ilvl="0">
      <w:lvlJc w:val="left"/>
      <w:lvlText w:val="(%1)"/>
      <w:numFmt w:val="lowerLetter"/>
      <w:start w:val="2"/>
    </w:lvl>
  </w:abstractNum>
  <w:abstractNum w:abstractNumId="252">
    <w:nsid w:val="67997556"/>
    <w:multiLevelType w:val="hybridMultilevel"/>
    <w:lvl w:ilvl="0">
      <w:lvlJc w:val="left"/>
      <w:lvlText w:val="(%1)"/>
      <w:numFmt w:val="lowerLetter"/>
      <w:start w:val="2"/>
    </w:lvl>
  </w:abstractNum>
  <w:abstractNum w:abstractNumId="253">
    <w:nsid w:val="18333C89"/>
    <w:multiLevelType w:val="hybridMultilevel"/>
    <w:lvl w:ilvl="0">
      <w:lvlJc w:val="left"/>
      <w:lvlText w:val="(%1)"/>
      <w:numFmt w:val="lowerLetter"/>
      <w:start w:val="1"/>
    </w:lvl>
    <w:lvl w:ilvl="1">
      <w:lvlJc w:val="left"/>
      <w:lvlText w:val="(%2)"/>
      <w:numFmt w:val="lowerLetter"/>
      <w:start w:val="9"/>
    </w:lvl>
  </w:abstractNum>
  <w:abstractNum w:abstractNumId="254">
    <w:nsid w:val="4BA9831A"/>
    <w:multiLevelType w:val="hybridMultilevel"/>
    <w:lvl w:ilvl="0">
      <w:lvlJc w:val="left"/>
      <w:lvlText w:val="%1"/>
      <w:numFmt w:val="lowerLetter"/>
      <w:start w:val="1"/>
    </w:lvl>
    <w:lvl w:ilvl="1">
      <w:lvlJc w:val="left"/>
      <w:lvlText w:val="(%2)"/>
      <w:numFmt w:val="lowerLetter"/>
      <w:start w:val="35"/>
    </w:lvl>
  </w:abstractNum>
  <w:abstractNum w:abstractNumId="255">
    <w:nsid w:val="6D71A2B"/>
    <w:multiLevelType w:val="hybridMultilevel"/>
    <w:lvl w:ilvl="0">
      <w:lvlJc w:val="left"/>
      <w:lvlText w:val="(%1)"/>
      <w:numFmt w:val="lowerLetter"/>
      <w:start w:val="6"/>
    </w:lvl>
    <w:lvl w:ilvl="1">
      <w:lvlJc w:val="left"/>
      <w:lvlText w:val="%2"/>
      <w:numFmt w:val="lowerLetter"/>
      <w:start w:val="1"/>
    </w:lvl>
  </w:abstractNum>
  <w:abstractNum w:abstractNumId="256">
    <w:nsid w:val="CFC7321"/>
    <w:multiLevelType w:val="hybridMultilevel"/>
    <w:lvl w:ilvl="0">
      <w:lvlJc w:val="left"/>
      <w:lvlText w:val="(%1)"/>
      <w:numFmt w:val="lowerLetter"/>
      <w:start w:val="13"/>
    </w:lvl>
  </w:abstractNum>
  <w:abstractNum w:abstractNumId="257">
    <w:nsid w:val="1421971B"/>
    <w:multiLevelType w:val="hybridMultilevel"/>
    <w:lvl w:ilvl="0">
      <w:lvlJc w:val="left"/>
      <w:lvlText w:val="(%1)"/>
      <w:numFmt w:val="lowerLetter"/>
      <w:start w:val="16"/>
    </w:lvl>
  </w:abstractNum>
  <w:abstractNum w:abstractNumId="258">
    <w:nsid w:val="1F404301"/>
    <w:multiLevelType w:val="hybridMultilevel"/>
    <w:lvl w:ilvl="0">
      <w:lvlJc w:val="left"/>
      <w:lvlText w:val="(%1)"/>
      <w:numFmt w:val="lowerLetter"/>
      <w:start w:val="1"/>
    </w:lvl>
    <w:lvl w:ilvl="1">
      <w:lvlJc w:val="left"/>
      <w:lvlText w:val="(%2)"/>
      <w:numFmt w:val="lowerLetter"/>
      <w:start w:val="9"/>
    </w:lvl>
  </w:abstractNum>
  <w:abstractNum w:abstractNumId="259">
    <w:nsid w:val="116E0907"/>
    <w:multiLevelType w:val="hybridMultilevel"/>
    <w:lvl w:ilvl="0">
      <w:lvlJc w:val="left"/>
      <w:lvlText w:val="%1"/>
      <w:numFmt w:val="lowerLetter"/>
      <w:start w:val="1"/>
    </w:lvl>
    <w:lvl w:ilvl="1">
      <w:lvlJc w:val="left"/>
      <w:lvlText w:val="(%2)"/>
      <w:numFmt w:val="lowerRoman"/>
      <w:start w:val="2"/>
    </w:lvl>
  </w:abstractNum>
  <w:abstractNum w:abstractNumId="260">
    <w:nsid w:val="4B683D0D"/>
    <w:multiLevelType w:val="hybridMultilevel"/>
    <w:lvl w:ilvl="0">
      <w:lvlJc w:val="left"/>
      <w:lvlText w:val="(%1)"/>
      <w:numFmt w:val="lowerLetter"/>
      <w:start w:val="2"/>
    </w:lvl>
    <w:lvl w:ilvl="1">
      <w:lvlJc w:val="left"/>
      <w:lvlText w:val="%2"/>
      <w:numFmt w:val="lowerRoman"/>
      <w:start w:val="1"/>
    </w:lvl>
  </w:abstractNum>
  <w:abstractNum w:abstractNumId="261">
    <w:nsid w:val="76E41D8"/>
    <w:multiLevelType w:val="hybridMultilevel"/>
    <w:lvl w:ilvl="0">
      <w:lvlJc w:val="left"/>
      <w:lvlText w:val="(%1)"/>
      <w:numFmt w:val="lowerLetter"/>
      <w:start w:val="2"/>
    </w:lvl>
  </w:abstractNum>
  <w:abstractNum w:abstractNumId="262">
    <w:nsid w:val="71DCE0FD"/>
    <w:multiLevelType w:val="hybridMultilevel"/>
    <w:lvl w:ilvl="0">
      <w:lvlJc w:val="left"/>
      <w:lvlText w:val="(%1)"/>
      <w:numFmt w:val="lowerLetter"/>
      <w:start w:val="1"/>
    </w:lvl>
  </w:abstractNum>
  <w:abstractNum w:abstractNumId="263">
    <w:nsid w:val="7906328B"/>
    <w:multiLevelType w:val="hybridMultilevel"/>
    <w:lvl w:ilvl="0">
      <w:lvlJc w:val="left"/>
      <w:lvlText w:val="(%1)"/>
      <w:numFmt w:val="lowerLetter"/>
      <w:start w:val="1"/>
    </w:lvl>
  </w:abstractNum>
  <w:abstractNum w:abstractNumId="264">
    <w:nsid w:val="72BBC16"/>
    <w:multiLevelType w:val="hybridMultilevel"/>
    <w:lvl w:ilvl="0">
      <w:lvlJc w:val="left"/>
      <w:lvlText w:val="(%1)"/>
      <w:numFmt w:val="lowerLetter"/>
      <w:start w:val="1"/>
    </w:lvl>
  </w:abstractNum>
  <w:abstractNum w:abstractNumId="265">
    <w:nsid w:val="766D98C2"/>
    <w:multiLevelType w:val="hybridMultilevel"/>
    <w:lvl w:ilvl="0">
      <w:lvlJc w:val="left"/>
      <w:lvlText w:val="(%1)"/>
      <w:numFmt w:val="lowerLetter"/>
      <w:start w:val="3"/>
    </w:lvl>
  </w:abstractNum>
  <w:abstractNum w:abstractNumId="266">
    <w:nsid w:val="3C09D4A1"/>
    <w:multiLevelType w:val="hybridMultilevel"/>
    <w:lvl w:ilvl="0">
      <w:lvlJc w:val="left"/>
      <w:lvlText w:val="(%1)"/>
      <w:numFmt w:val="lowerLetter"/>
      <w:start w:val="7"/>
    </w:lvl>
  </w:abstractNum>
  <w:abstractNum w:abstractNumId="267">
    <w:nsid w:val="20E45CA4"/>
    <w:multiLevelType w:val="hybridMultilevel"/>
    <w:lvl w:ilvl="0">
      <w:lvlJc w:val="left"/>
      <w:lvlText w:val="%1"/>
      <w:numFmt w:val="lowerLetter"/>
      <w:start w:val="1"/>
    </w:lvl>
    <w:lvl w:ilvl="1">
      <w:lvlJc w:val="left"/>
      <w:lvlText w:val="(%2)"/>
      <w:numFmt w:val="lowerLetter"/>
      <w:start w:val="1"/>
    </w:lvl>
  </w:abstractNum>
  <w:abstractNum w:abstractNumId="268">
    <w:nsid w:val="4B232EE3"/>
    <w:multiLevelType w:val="hybridMultilevel"/>
    <w:lvl w:ilvl="0">
      <w:lvlJc w:val="left"/>
      <w:lvlText w:val="(%1)"/>
      <w:numFmt w:val="lowerLetter"/>
      <w:start w:val="9"/>
    </w:lvl>
    <w:lvl w:ilvl="1">
      <w:lvlJc w:val="left"/>
      <w:lvlText w:val="%2"/>
      <w:numFmt w:val="lowerLetter"/>
      <w:start w:val="1"/>
    </w:lvl>
  </w:abstractNum>
  <w:abstractNum w:abstractNumId="269">
    <w:nsid w:val="159C74CF"/>
    <w:multiLevelType w:val="hybridMultilevel"/>
    <w:lvl w:ilvl="0">
      <w:lvlJc w:val="left"/>
      <w:lvlText w:val="(%1)"/>
      <w:numFmt w:val="lowerLetter"/>
      <w:start w:val="4"/>
    </w:lvl>
  </w:abstractNum>
  <w:abstractNum w:abstractNumId="270">
    <w:nsid w:val="4AD3AFD2"/>
    <w:multiLevelType w:val="hybridMultilevel"/>
    <w:lvl w:ilvl="0">
      <w:lvlJc w:val="left"/>
      <w:lvlText w:val="(%1)"/>
      <w:numFmt w:val="lowerLetter"/>
      <w:start w:val="9"/>
    </w:lvl>
    <w:lvl w:ilvl="1">
      <w:lvlJc w:val="left"/>
      <w:lvlText w:val="(%2)"/>
      <w:numFmt w:val="lowerLetter"/>
      <w:start w:val="11"/>
    </w:lvl>
  </w:abstractNum>
  <w:abstractNum w:abstractNumId="271">
    <w:nsid w:val="3CF93092"/>
    <w:multiLevelType w:val="hybridMultilevel"/>
    <w:lvl w:ilvl="0">
      <w:lvlJc w:val="left"/>
      <w:lvlText w:val="(%1)"/>
      <w:numFmt w:val="lowerLetter"/>
      <w:start w:val="17"/>
    </w:lvl>
  </w:abstractNum>
  <w:abstractNum w:abstractNumId="272">
    <w:nsid w:val="6863E8D2"/>
    <w:multiLevelType w:val="hybridMultilevel"/>
    <w:lvl w:ilvl="0">
      <w:lvlJc w:val="left"/>
      <w:lvlText w:val="(%1)"/>
      <w:numFmt w:val="lowerLetter"/>
      <w:start w:val="1"/>
    </w:lvl>
  </w:abstractNum>
  <w:abstractNum w:abstractNumId="273">
    <w:nsid w:val="76896198"/>
    <w:multiLevelType w:val="hybridMultilevel"/>
    <w:lvl w:ilvl="0">
      <w:lvlJc w:val="left"/>
      <w:lvlText w:val="(%1)"/>
      <w:numFmt w:val="lowerLetter"/>
      <w:start w:val="5"/>
    </w:lvl>
  </w:abstractNum>
  <w:abstractNum w:abstractNumId="274">
    <w:nsid w:val="4365174B"/>
    <w:multiLevelType w:val="hybridMultilevel"/>
    <w:lvl w:ilvl="0">
      <w:lvlJc w:val="left"/>
      <w:lvlText w:val="(%1)"/>
      <w:numFmt w:val="lowerLetter"/>
      <w:start w:val="16"/>
    </w:lvl>
  </w:abstractNum>
  <w:abstractNum w:abstractNumId="275">
    <w:nsid w:val="4A872C35"/>
    <w:multiLevelType w:val="hybridMultilevel"/>
    <w:lvl w:ilvl="0">
      <w:lvlJc w:val="left"/>
      <w:lvlText w:val="(%1)"/>
      <w:numFmt w:val="lowerLetter"/>
      <w:start w:val="1"/>
    </w:lvl>
  </w:abstractNum>
  <w:abstractNum w:abstractNumId="276">
    <w:nsid w:val="5D5CE761"/>
    <w:multiLevelType w:val="hybridMultilevel"/>
    <w:lvl w:ilvl="0">
      <w:lvlJc w:val="left"/>
      <w:lvlText w:val="(%1)"/>
      <w:numFmt w:val="lowerLetter"/>
      <w:start w:val="8"/>
    </w:lvl>
  </w:abstractNum>
  <w:abstractNum w:abstractNumId="277">
    <w:nsid w:val="1CD484D5"/>
    <w:multiLevelType w:val="hybridMultilevel"/>
    <w:lvl w:ilvl="0">
      <w:lvlJc w:val="left"/>
      <w:lvlText w:val="(%1)"/>
      <w:numFmt w:val="lowerLetter"/>
      <w:start w:val="1"/>
    </w:lvl>
  </w:abstractNum>
  <w:abstractNum w:abstractNumId="278">
    <w:nsid w:val="21D06255"/>
    <w:multiLevelType w:val="hybridMultilevel"/>
    <w:lvl w:ilvl="0">
      <w:lvlJc w:val="left"/>
      <w:lvlText w:val="(%1)"/>
      <w:numFmt w:val="lowerLetter"/>
      <w:start w:val="4"/>
    </w:lvl>
  </w:abstractNum>
  <w:abstractNum w:abstractNumId="279">
    <w:nsid w:val="51194ED1"/>
    <w:multiLevelType w:val="hybridMultilevel"/>
    <w:lvl w:ilvl="0">
      <w:lvlJc w:val="left"/>
      <w:lvlText w:val="(%1)"/>
      <w:numFmt w:val="lowerLetter"/>
      <w:start w:val="1"/>
    </w:lvl>
  </w:abstractNum>
  <w:abstractNum w:abstractNumId="280">
    <w:nsid w:val="44E2ED6C"/>
    <w:multiLevelType w:val="hybridMultilevel"/>
    <w:lvl w:ilvl="0">
      <w:lvlJc w:val="left"/>
      <w:lvlText w:val="(%1)"/>
      <w:numFmt w:val="lowerLetter"/>
      <w:start w:val="1"/>
    </w:lvl>
  </w:abstractNum>
  <w:abstractNum w:abstractNumId="281">
    <w:nsid w:val="2219B33"/>
    <w:multiLevelType w:val="hybridMultilevel"/>
    <w:lvl w:ilvl="0">
      <w:lvlJc w:val="left"/>
      <w:lvlText w:val="(%1)"/>
      <w:numFmt w:val="lowerLetter"/>
      <w:start w:val="2"/>
    </w:lvl>
  </w:abstractNum>
  <w:abstractNum w:abstractNumId="282">
    <w:nsid w:val="773BFBDD"/>
    <w:multiLevelType w:val="hybridMultilevel"/>
    <w:lvl w:ilvl="0">
      <w:lvlJc w:val="left"/>
      <w:lvlText w:val="(%1)"/>
      <w:numFmt w:val="lowerLetter"/>
      <w:start w:val="1"/>
    </w:lvl>
  </w:abstractNum>
  <w:abstractNum w:abstractNumId="283">
    <w:nsid w:val="2C7C62C2"/>
    <w:multiLevelType w:val="hybridMultilevel"/>
    <w:lvl w:ilvl="0">
      <w:lvlJc w:val="left"/>
      <w:lvlText w:val="(%1)"/>
      <w:numFmt w:val="lowerLetter"/>
      <w:start w:val="2"/>
    </w:lvl>
  </w:abstractNum>
  <w:abstractNum w:abstractNumId="284">
    <w:nsid w:val="1A54D7BC"/>
    <w:multiLevelType w:val="hybridMultilevel"/>
    <w:lvl w:ilvl="0">
      <w:lvlJc w:val="left"/>
      <w:lvlText w:val="(%1)"/>
      <w:numFmt w:val="lowerLetter"/>
      <w:start w:val="7"/>
    </w:lvl>
  </w:abstractNum>
  <w:abstractNum w:abstractNumId="285">
    <w:nsid w:val="42E57EF7"/>
    <w:multiLevelType w:val="hybridMultilevel"/>
    <w:lvl w:ilvl="0">
      <w:lvlJc w:val="left"/>
      <w:lvlText w:val="(%1)"/>
      <w:numFmt w:val="lowerLetter"/>
      <w:start w:val="1"/>
    </w:lvl>
  </w:abstractNum>
  <w:abstractNum w:abstractNumId="286">
    <w:nsid w:val="33537CED"/>
    <w:multiLevelType w:val="hybridMultilevel"/>
    <w:lvl w:ilvl="0">
      <w:lvlJc w:val="left"/>
      <w:lvlText w:val="(%1)"/>
      <w:numFmt w:val="lowerLetter"/>
      <w:start w:val="4"/>
    </w:lvl>
  </w:abstractNum>
  <w:abstractNum w:abstractNumId="287">
    <w:nsid w:val="27514ADE"/>
    <w:multiLevelType w:val="hybridMultilevel"/>
    <w:lvl w:ilvl="0">
      <w:lvlJc w:val="left"/>
      <w:lvlText w:val="(%1)"/>
      <w:numFmt w:val="lowerLetter"/>
      <w:start w:val="1"/>
    </w:lvl>
  </w:abstractNum>
  <w:abstractNum w:abstractNumId="288">
    <w:nsid w:val="57071613"/>
    <w:multiLevelType w:val="hybridMultilevel"/>
    <w:lvl w:ilvl="0">
      <w:lvlJc w:val="left"/>
      <w:lvlText w:val="(%1)"/>
      <w:numFmt w:val="lowerLetter"/>
      <w:start w:val="5"/>
    </w:lvl>
  </w:abstractNum>
  <w:abstractNum w:abstractNumId="289">
    <w:nsid w:val="5293BFEF"/>
    <w:multiLevelType w:val="hybridMultilevel"/>
    <w:lvl w:ilvl="0">
      <w:lvlJc w:val="left"/>
      <w:lvlText w:val="(%1)"/>
      <w:numFmt w:val="lowerLetter"/>
      <w:start w:val="2"/>
    </w:lvl>
  </w:abstractNum>
  <w:abstractNum w:abstractNumId="290">
    <w:nsid w:val="38BF53E5"/>
    <w:multiLevelType w:val="hybridMultilevel"/>
    <w:lvl w:ilvl="0">
      <w:lvlJc w:val="left"/>
      <w:lvlText w:val="(%1)"/>
      <w:numFmt w:val="lowerLetter"/>
      <w:start w:val="4"/>
    </w:lvl>
  </w:abstractNum>
  <w:abstractNum w:abstractNumId="291">
    <w:nsid w:val="226F5320"/>
    <w:multiLevelType w:val="hybridMultilevel"/>
    <w:lvl w:ilvl="0">
      <w:lvlJc w:val="left"/>
      <w:lvlText w:val="(%1)"/>
      <w:numFmt w:val="lowerLetter"/>
      <w:start w:val="1"/>
    </w:lvl>
  </w:abstractNum>
  <w:abstractNum w:abstractNumId="292">
    <w:nsid w:val="5A0201C7"/>
    <w:multiLevelType w:val="hybridMultilevel"/>
    <w:lvl w:ilvl="0">
      <w:lvlJc w:val="left"/>
      <w:lvlText w:val="(%1)"/>
      <w:numFmt w:val="lowerLetter"/>
      <w:start w:val="1"/>
    </w:lvl>
  </w:abstractNum>
  <w:abstractNum w:abstractNumId="293">
    <w:nsid w:val="2A9C34E2"/>
    <w:multiLevelType w:val="hybridMultilevel"/>
    <w:lvl w:ilvl="0">
      <w:lvlJc w:val="left"/>
      <w:lvlText w:val="(%1)"/>
      <w:numFmt w:val="lowerLetter"/>
      <w:start w:val="1"/>
    </w:lvl>
    <w:lvl w:ilvl="1">
      <w:lvlJc w:val="left"/>
      <w:lvlText w:val="(%2)"/>
      <w:numFmt w:val="lowerRoman"/>
      <w:start w:val="1"/>
    </w:lvl>
  </w:abstractNum>
  <w:abstractNum w:abstractNumId="294">
    <w:nsid w:val="1B7585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5">
    <w:nsid w:val="612DBDD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6">
    <w:nsid w:val="2109CDA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7">
    <w:nsid w:val="577F5A4D"/>
    <w:multiLevelType w:val="hybridMultilevel"/>
    <w:lvl w:ilvl="0">
      <w:lvlJc w:val="left"/>
      <w:lvlText w:val="(%1)"/>
      <w:numFmt w:val="decimal"/>
      <w:start w:val="1"/>
    </w:lvl>
  </w:abstractNum>
  <w:abstractNum w:abstractNumId="298">
    <w:nsid w:val="2121A81"/>
    <w:multiLevelType w:val="hybridMultilevel"/>
    <w:lvl w:ilvl="0">
      <w:lvlJc w:val="left"/>
      <w:lvlText w:val="(%1)"/>
      <w:numFmt w:val="lowerLetter"/>
      <w:start w:val="1"/>
    </w:lvl>
  </w:abstractNum>
  <w:abstractNum w:abstractNumId="299">
    <w:nsid w:val="6C2CFC88"/>
    <w:multiLevelType w:val="hybridMultilevel"/>
    <w:lvl w:ilvl="0">
      <w:lvlJc w:val="left"/>
      <w:lvlText w:val="(%1)"/>
      <w:numFmt w:val="lowerLetter"/>
      <w:start w:val="5"/>
    </w:lvl>
  </w:abstractNum>
  <w:abstractNum w:abstractNumId="300">
    <w:nsid w:val="6D1BCF1C"/>
    <w:multiLevelType w:val="hybridMultilevel"/>
    <w:lvl w:ilvl="0">
      <w:lvlJc w:val="left"/>
      <w:lvlText w:val="(%1)"/>
      <w:numFmt w:val="lowerRoman"/>
      <w:start w:val="4"/>
    </w:lvl>
  </w:abstractNum>
  <w:abstractNum w:abstractNumId="301">
    <w:nsid w:val="4CE5CA53"/>
    <w:multiLevelType w:val="hybridMultilevel"/>
    <w:lvl w:ilvl="0">
      <w:lvlJc w:val="left"/>
      <w:lvlText w:val="(%1)"/>
      <w:numFmt w:val="lowerLetter"/>
      <w:start w:val="2"/>
    </w:lvl>
  </w:abstractNum>
  <w:abstractNum w:abstractNumId="302">
    <w:nsid w:val="29262D1A"/>
    <w:multiLevelType w:val="hybridMultilevel"/>
    <w:lvl w:ilvl="0">
      <w:lvlJc w:val="left"/>
      <w:lvlText w:val="(%1)"/>
      <w:numFmt w:val="lowerLetter"/>
      <w:start w:val="3"/>
    </w:lvl>
  </w:abstractNum>
  <w:abstractNum w:abstractNumId="303">
    <w:nsid w:val="557FB7EE"/>
    <w:multiLevelType w:val="hybridMultilevel"/>
    <w:lvl w:ilvl="0">
      <w:lvlJc w:val="left"/>
      <w:lvlText w:val="(%1)"/>
      <w:numFmt w:val="lowerLetter"/>
      <w:start w:val="1"/>
    </w:lvl>
  </w:abstractNum>
  <w:abstractNum w:abstractNumId="304">
    <w:nsid w:val="436F2BEB"/>
    <w:multiLevelType w:val="hybridMultilevel"/>
    <w:lvl w:ilvl="0">
      <w:lvlJc w:val="left"/>
      <w:lvlText w:val="%1"/>
      <w:numFmt w:val="lowerRoman"/>
      <w:start w:val="1"/>
    </w:lvl>
    <w:lvl w:ilvl="1">
      <w:lvlJc w:val="left"/>
      <w:lvlText w:val="(%2)"/>
      <w:numFmt w:val="lowerLetter"/>
      <w:start w:val="3"/>
    </w:lvl>
  </w:abstractNum>
  <w:abstractNum w:abstractNumId="305">
    <w:nsid w:val="6C8B4466"/>
    <w:multiLevelType w:val="hybridMultilevel"/>
    <w:lvl w:ilvl="0">
      <w:lvlJc w:val="left"/>
      <w:lvlText w:val="(%1)"/>
      <w:numFmt w:val="lowerRoman"/>
      <w:start w:val="4"/>
    </w:lvl>
    <w:lvl w:ilvl="1">
      <w:lvlJc w:val="left"/>
      <w:lvlText w:val="(%2)"/>
      <w:numFmt w:val="lowerLetter"/>
      <w:start w:val="6"/>
    </w:lvl>
  </w:abstractNum>
  <w:abstractNum w:abstractNumId="306">
    <w:nsid w:val="2006E424"/>
    <w:multiLevelType w:val="hybridMultilevel"/>
    <w:lvl w:ilvl="0">
      <w:lvlJc w:val="left"/>
      <w:lvlText w:val="(%1)"/>
      <w:numFmt w:val="lowerLetter"/>
      <w:start w:val="11"/>
    </w:lvl>
  </w:abstractNum>
  <w:abstractNum w:abstractNumId="307">
    <w:nsid w:val="20CC134C"/>
    <w:multiLevelType w:val="hybridMultilevel"/>
    <w:lvl w:ilvl="0">
      <w:lvlJc w:val="left"/>
      <w:lvlText w:val="(%1)"/>
      <w:numFmt w:val="lowerRoman"/>
      <w:start w:val="1"/>
    </w:lvl>
  </w:abstractNum>
  <w:abstractNum w:abstractNumId="308">
    <w:nsid w:val="95FC93B"/>
    <w:multiLevelType w:val="hybridMultilevel"/>
    <w:lvl w:ilvl="0">
      <w:lvlJc w:val="left"/>
      <w:lvlText w:val="(%1)"/>
      <w:numFmt w:val="lowerLetter"/>
      <w:start w:val="2"/>
    </w:lvl>
  </w:abstractNum>
  <w:abstractNum w:abstractNumId="309">
    <w:nsid w:val="41D74679"/>
    <w:multiLevelType w:val="hybridMultilevel"/>
    <w:lvl w:ilvl="0">
      <w:lvlJc w:val="left"/>
      <w:lvlText w:val="(%1)"/>
      <w:numFmt w:val="lowerLetter"/>
      <w:start w:val="3"/>
    </w:lvl>
  </w:abstractNum>
  <w:abstractNum w:abstractNumId="310">
    <w:nsid w:val="71E5621E"/>
    <w:multiLevelType w:val="hybridMultilevel"/>
    <w:lvl w:ilvl="0">
      <w:lvlJc w:val="left"/>
      <w:lvlText w:val="(%1)"/>
      <w:numFmt w:val="lowerLetter"/>
      <w:start w:val="2"/>
    </w:lvl>
  </w:abstractNum>
  <w:abstractNum w:abstractNumId="311">
    <w:nsid w:val="4E42B6A8"/>
    <w:multiLevelType w:val="hybridMultilevel"/>
    <w:lvl w:ilvl="0">
      <w:lvlJc w:val="left"/>
      <w:lvlText w:val="(%1)"/>
      <w:numFmt w:val="lowerLetter"/>
      <w:start w:val="2"/>
    </w:lvl>
  </w:abstractNum>
  <w:abstractNum w:abstractNumId="312">
    <w:nsid w:val="43F8E1AC"/>
    <w:multiLevelType w:val="hybridMultilevel"/>
    <w:lvl w:ilvl="0">
      <w:lvlJc w:val="left"/>
      <w:lvlText w:val="(%1)"/>
      <w:numFmt w:val="lowerLetter"/>
      <w:start w:val="4"/>
    </w:lvl>
  </w:abstractNum>
  <w:abstractNum w:abstractNumId="313">
    <w:nsid w:val="69215DF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4">
    <w:nsid w:val="7ABF196A"/>
    <w:multiLevelType w:val="hybridMultilevel"/>
    <w:lvl w:ilvl="0">
      <w:lvlJc w:val="left"/>
      <w:lvlText w:val="(%1)"/>
      <w:numFmt w:val="lowerRoman"/>
      <w:start w:val="2"/>
    </w:lvl>
    <w:lvl w:ilvl="1">
      <w:lvlJc w:val="left"/>
      <w:lvlText w:val="(%2)"/>
      <w:numFmt w:val="upperLetter"/>
      <w:start w:val="1"/>
    </w:lvl>
  </w:abstractNum>
  <w:abstractNum w:abstractNumId="315">
    <w:nsid w:val="5E4DB968"/>
    <w:multiLevelType w:val="hybridMultilevel"/>
    <w:lvl w:ilvl="0">
      <w:lvlJc w:val="left"/>
      <w:lvlText w:val="(%1)"/>
      <w:numFmt w:val="lowerRoman"/>
      <w:start w:val="5"/>
    </w:lvl>
  </w:abstractNum>
  <w:abstractNum w:abstractNumId="316">
    <w:nsid w:val="2C06DCF3"/>
    <w:multiLevelType w:val="hybridMultilevel"/>
    <w:lvl w:ilvl="0">
      <w:lvlJc w:val="left"/>
      <w:lvlText w:val="(%1)"/>
      <w:numFmt w:val="lowerLetter"/>
      <w:start w:val="3"/>
    </w:lvl>
  </w:abstractNum>
  <w:abstractNum w:abstractNumId="317">
    <w:nsid w:val="2E129658"/>
    <w:multiLevelType w:val="hybridMultilevel"/>
    <w:lvl w:ilvl="0">
      <w:lvlJc w:val="left"/>
      <w:lvlText w:val="(%1)"/>
      <w:numFmt w:val="lowerLetter"/>
      <w:start w:val="5"/>
    </w:lvl>
  </w:abstractNum>
  <w:abstractNum w:abstractNumId="318">
    <w:nsid w:val="59F0446"/>
    <w:multiLevelType w:val="hybridMultilevel"/>
    <w:lvl w:ilvl="0">
      <w:lvlJc w:val="left"/>
      <w:lvlText w:val="(%1)"/>
      <w:numFmt w:val="lowerLetter"/>
      <w:start w:val="8"/>
    </w:lvl>
  </w:abstractNum>
  <w:abstractNum w:abstractNumId="319">
    <w:nsid w:val="30DF306"/>
    <w:multiLevelType w:val="hybridMultilevel"/>
    <w:lvl w:ilvl="0">
      <w:lvlJc w:val="left"/>
      <w:lvlText w:val="%1"/>
      <w:numFmt w:val="lowerRoman"/>
      <w:start w:val="1"/>
    </w:lvl>
    <w:lvl w:ilvl="1">
      <w:lvlJc w:val="left"/>
      <w:lvlText w:val="(%2)"/>
      <w:numFmt w:val="lowerRoman"/>
      <w:start w:val="2"/>
    </w:lvl>
  </w:abstractNum>
  <w:abstractNum w:abstractNumId="320">
    <w:nsid w:val="A65647"/>
    <w:multiLevelType w:val="hybridMultilevel"/>
    <w:lvl w:ilvl="0">
      <w:lvlJc w:val="left"/>
      <w:lvlText w:val="(%1)"/>
      <w:numFmt w:val="lowerRoman"/>
      <w:start w:val="1"/>
    </w:lvl>
    <w:lvl w:ilvl="1">
      <w:lvlJc w:val="left"/>
      <w:lvlText w:val="%2"/>
      <w:numFmt w:val="lowerRoman"/>
      <w:start w:val="1"/>
    </w:lvl>
  </w:abstractNum>
  <w:abstractNum w:abstractNumId="321">
    <w:nsid w:val="3E5E582B"/>
    <w:multiLevelType w:val="hybridMultilevel"/>
    <w:lvl w:ilvl="0">
      <w:lvlJc w:val="left"/>
      <w:lvlText w:val="%1"/>
      <w:numFmt w:val="upperLetter"/>
      <w:start w:val="1"/>
    </w:lvl>
    <w:lvl w:ilvl="1">
      <w:lvlJc w:val="left"/>
      <w:lvlText w:val="(%2)"/>
      <w:numFmt w:val="lowerRoman"/>
      <w:start w:val="3"/>
    </w:lvl>
  </w:abstractNum>
  <w:abstractNum w:abstractNumId="322">
    <w:nsid w:val="257D4626"/>
    <w:multiLevelType w:val="hybridMultilevel"/>
    <w:lvl w:ilvl="0">
      <w:lvlJc w:val="left"/>
      <w:lvlText w:val="(%1)"/>
      <w:numFmt w:val="upperLetter"/>
      <w:start w:val="2"/>
    </w:lvl>
    <w:lvl w:ilvl="1">
      <w:lvlJc w:val="left"/>
      <w:lvlText w:val="%2"/>
      <w:numFmt w:val="lowerRoman"/>
      <w:start w:val="1"/>
    </w:lvl>
  </w:abstractNum>
  <w:abstractNum w:abstractNumId="323">
    <w:nsid w:val="5AA8580E"/>
    <w:multiLevelType w:val="hybridMultilevel"/>
    <w:lvl w:ilvl="0">
      <w:lvlJc w:val="left"/>
      <w:lvlText w:val="(%1)"/>
      <w:numFmt w:val="lowerRoman"/>
      <w:start w:val="1"/>
    </w:lvl>
  </w:abstractNum>
  <w:abstractNum w:abstractNumId="324">
    <w:nsid w:val="68FA8D0D"/>
    <w:multiLevelType w:val="hybridMultilevel"/>
    <w:lvl w:ilvl="0">
      <w:lvlJc w:val="left"/>
      <w:lvlText w:val="(%1)"/>
      <w:numFmt w:val="lowerLetter"/>
      <w:start w:val="1"/>
    </w:lvl>
  </w:abstractNum>
  <w:abstractNum w:abstractNumId="325">
    <w:nsid w:val="40F2CBD2"/>
    <w:multiLevelType w:val="hybridMultilevel"/>
    <w:lvl w:ilvl="0">
      <w:lvlJc w:val="left"/>
      <w:lvlText w:val="(%1)"/>
      <w:numFmt w:val="lowerLetter"/>
      <w:start w:val="4"/>
    </w:lvl>
  </w:abstractNum>
  <w:abstractNum w:abstractNumId="326">
    <w:nsid w:val="3BD615EB"/>
    <w:multiLevelType w:val="hybridMultilevel"/>
    <w:lvl w:ilvl="0">
      <w:lvlJc w:val="left"/>
      <w:lvlText w:val="(%1)"/>
      <w:numFmt w:val="lowerRoman"/>
      <w:start w:val="2"/>
    </w:lvl>
  </w:abstractNum>
  <w:abstractNum w:abstractNumId="327">
    <w:nsid w:val="A045AB2"/>
    <w:multiLevelType w:val="hybridMultilevel"/>
    <w:lvl w:ilvl="0">
      <w:lvlJc w:val="left"/>
      <w:lvlText w:val="(%1)"/>
      <w:numFmt w:val="lowerLetter"/>
      <w:start w:val="1"/>
    </w:lvl>
  </w:abstractNum>
  <w:abstractNum w:abstractNumId="328">
    <w:nsid w:val="1872261F"/>
    <w:multiLevelType w:val="hybridMultilevel"/>
    <w:lvl w:ilvl="0">
      <w:lvlJc w:val="left"/>
      <w:lvlText w:val="(%1)"/>
      <w:numFmt w:val="lowerLetter"/>
      <w:start w:val="2"/>
    </w:lvl>
  </w:abstractNum>
  <w:abstractNum w:abstractNumId="329">
    <w:nsid w:val="3DE8306C"/>
    <w:multiLevelType w:val="hybridMultilevel"/>
    <w:lvl w:ilvl="0">
      <w:lvlJc w:val="left"/>
      <w:lvlText w:val="(%1)"/>
      <w:numFmt w:val="lowerLetter"/>
      <w:start w:val="1"/>
    </w:lvl>
    <w:lvl w:ilvl="1">
      <w:lvlJc w:val="left"/>
      <w:lvlText w:val="(%2)"/>
      <w:numFmt w:val="upperLetter"/>
      <w:start w:val="1"/>
    </w:lvl>
  </w:abstractNum>
  <w:abstractNum w:abstractNumId="330">
    <w:nsid w:val="7631573A"/>
    <w:multiLevelType w:val="hybridMultilevel"/>
    <w:lvl w:ilvl="0">
      <w:lvlJc w:val="left"/>
      <w:lvlText w:val="(%1)"/>
      <w:numFmt w:val="upperLetter"/>
      <w:start w:val="3"/>
    </w:lvl>
  </w:abstractNum>
  <w:abstractNum w:abstractNumId="331">
    <w:nsid w:val="58DF53B"/>
    <w:multiLevelType w:val="hybridMultilevel"/>
    <w:lvl w:ilvl="0">
      <w:lvlJc w:val="left"/>
      <w:lvlText w:val="%1"/>
      <w:numFmt w:val="lowerLetter"/>
      <w:start w:val="1"/>
    </w:lvl>
    <w:lvl w:ilvl="1">
      <w:lvlJc w:val="left"/>
      <w:lvlText w:val="(%2)"/>
      <w:numFmt w:val="lowerLetter"/>
      <w:start w:val="1"/>
    </w:lvl>
  </w:abstractNum>
  <w:abstractNum w:abstractNumId="332">
    <w:nsid w:val="ACDFAC0"/>
    <w:multiLevelType w:val="hybridMultilevel"/>
    <w:lvl w:ilvl="0">
      <w:lvlJc w:val="left"/>
      <w:lvlText w:val="(%1)"/>
      <w:numFmt w:val="lowerLetter"/>
      <w:start w:val="2"/>
    </w:lvl>
    <w:lvl w:ilvl="1">
      <w:lvlJc w:val="left"/>
      <w:lvlText w:val="%2"/>
      <w:numFmt w:val="lowerLetter"/>
      <w:start w:val="1"/>
    </w:lvl>
  </w:abstractNum>
  <w:abstractNum w:abstractNumId="333">
    <w:nsid w:val="1F578454"/>
    <w:multiLevelType w:val="hybridMultilevel"/>
    <w:lvl w:ilvl="0">
      <w:lvlJc w:val="left"/>
      <w:lvlText w:val="(%1)"/>
      <w:numFmt w:val="lowerRoman"/>
      <w:start w:val="2"/>
    </w:lvl>
  </w:abstractNum>
  <w:abstractNum w:abstractNumId="334">
    <w:nsid w:val="5B0DAD2A"/>
    <w:multiLevelType w:val="hybridMultilevel"/>
    <w:lvl w:ilvl="0">
      <w:lvlJc w:val="left"/>
      <w:lvlText w:val="(%1)"/>
      <w:numFmt w:val="lowerLetter"/>
      <w:start w:val="9"/>
    </w:lvl>
    <w:lvl w:ilvl="1">
      <w:lvlJc w:val="left"/>
      <w:lvlText w:val="(%2)"/>
      <w:numFmt w:val="lowerLetter"/>
      <w:start w:val="1"/>
    </w:lvl>
  </w:abstractNum>
  <w:abstractNum w:abstractNumId="335">
    <w:nsid w:val="4E3D26AB"/>
    <w:multiLevelType w:val="hybridMultilevel"/>
    <w:lvl w:ilvl="0">
      <w:lvlJc w:val="left"/>
      <w:lvlText w:val="(%1)"/>
      <w:numFmt w:val="lowerLetter"/>
      <w:start w:val="10"/>
    </w:lvl>
  </w:abstractNum>
  <w:abstractNum w:abstractNumId="336">
    <w:nsid w:val="BE2C8BA"/>
    <w:multiLevelType w:val="hybridMultilevel"/>
    <w:lvl w:ilvl="0">
      <w:lvlJc w:val="left"/>
      <w:lvlText w:val="(%1)"/>
      <w:numFmt w:val="lowerLetter"/>
      <w:start w:val="4"/>
    </w:lvl>
  </w:abstractNum>
  <w:abstractNum w:abstractNumId="337">
    <w:nsid w:val="7B14914E"/>
    <w:multiLevelType w:val="hybridMultilevel"/>
    <w:lvl w:ilvl="0">
      <w:lvlJc w:val="left"/>
      <w:lvlText w:val="(%1)"/>
      <w:numFmt w:val="lowerRoman"/>
      <w:start w:val="1"/>
    </w:lvl>
  </w:abstractNum>
  <w:abstractNum w:abstractNumId="338">
    <w:nsid w:val="6F0939F8"/>
    <w:multiLevelType w:val="hybridMultilevel"/>
    <w:lvl w:ilvl="0">
      <w:lvlJc w:val="left"/>
      <w:lvlText w:val="(%1)"/>
      <w:numFmt w:val="lowerRoman"/>
      <w:start w:val="3"/>
    </w:lvl>
  </w:abstractNum>
  <w:abstractNum w:abstractNumId="339">
    <w:nsid w:val="154291F6"/>
    <w:multiLevelType w:val="hybridMultilevel"/>
    <w:lvl w:ilvl="0">
      <w:lvlJc w:val="left"/>
      <w:lvlText w:val="(%1)"/>
      <w:numFmt w:val="lowerLetter"/>
      <w:start w:val="2"/>
    </w:lvl>
  </w:abstractNum>
  <w:abstractNum w:abstractNumId="340">
    <w:nsid w:val="3CEBD7C7"/>
    <w:multiLevelType w:val="hybridMultilevel"/>
    <w:lvl w:ilvl="0">
      <w:lvlJc w:val="left"/>
      <w:lvlText w:val="(%1)"/>
      <w:numFmt w:val="lowerRoman"/>
      <w:start w:val="2"/>
    </w:lvl>
  </w:abstractNum>
  <w:abstractNum w:abstractNumId="341">
    <w:nsid w:val="60EE9C16"/>
    <w:multiLevelType w:val="hybridMultilevel"/>
    <w:lvl w:ilvl="0">
      <w:lvlJc w:val="left"/>
      <w:lvlText w:val="(%1)"/>
      <w:numFmt w:val="lowerRoman"/>
      <w:start w:val="7"/>
    </w:lvl>
  </w:abstractNum>
  <w:abstractNum w:abstractNumId="342">
    <w:nsid w:val="6385489E"/>
    <w:multiLevelType w:val="hybridMultilevel"/>
    <w:lvl w:ilvl="0">
      <w:lvlJc w:val="left"/>
      <w:lvlText w:val="(%1)"/>
      <w:numFmt w:val="lowerLetter"/>
      <w:start w:val="35"/>
    </w:lvl>
  </w:abstractNum>
  <w:abstractNum w:abstractNumId="343">
    <w:nsid w:val="E4B973"/>
    <w:multiLevelType w:val="hybridMultilevel"/>
    <w:lvl w:ilvl="0">
      <w:lvlJc w:val="left"/>
      <w:lvlText w:val="(%1)"/>
      <w:numFmt w:val="lowerLetter"/>
      <w:start w:val="1"/>
    </w:lvl>
  </w:abstractNum>
  <w:abstractNum w:abstractNumId="344">
    <w:nsid w:val="4A0FFA11"/>
    <w:multiLevelType w:val="hybridMultilevel"/>
    <w:lvl w:ilvl="0">
      <w:lvlJc w:val="left"/>
      <w:lvlText w:val="(%1)"/>
      <w:numFmt w:val="lowerLetter"/>
      <w:start w:val="1"/>
    </w:lvl>
  </w:abstractNum>
  <w:abstractNum w:abstractNumId="345">
    <w:nsid w:val="5E446208"/>
    <w:multiLevelType w:val="hybridMultilevel"/>
    <w:lvl w:ilvl="0">
      <w:lvlJc w:val="left"/>
      <w:lvlText w:val="(%1)"/>
      <w:numFmt w:val="lowerLetter"/>
      <w:start w:val="2"/>
    </w:lvl>
  </w:abstractNum>
  <w:abstractNum w:abstractNumId="346">
    <w:nsid w:val="5F3272DB"/>
    <w:multiLevelType w:val="hybridMultilevel"/>
    <w:lvl w:ilvl="0">
      <w:lvlJc w:val="left"/>
      <w:lvlText w:val="(%1)"/>
      <w:numFmt w:val="lowerRoman"/>
      <w:start w:val="1"/>
    </w:lvl>
  </w:abstractNum>
  <w:abstractNum w:abstractNumId="347">
    <w:nsid w:val="7616D704"/>
    <w:multiLevelType w:val="hybridMultilevel"/>
    <w:lvl w:ilvl="0">
      <w:lvlJc w:val="left"/>
      <w:lvlText w:val="(%1)"/>
      <w:numFmt w:val="lowerLetter"/>
      <w:start w:val="1"/>
    </w:lvl>
  </w:abstractNum>
  <w:abstractNum w:abstractNumId="348">
    <w:nsid w:val="C56F860"/>
    <w:multiLevelType w:val="hybridMultilevel"/>
    <w:lvl w:ilvl="0">
      <w:lvlJc w:val="left"/>
      <w:lvlText w:val="(%1)"/>
      <w:numFmt w:val="lowerLetter"/>
      <w:start w:val="1"/>
    </w:lvl>
  </w:abstractNum>
  <w:abstractNum w:abstractNumId="349">
    <w:nsid w:val="64D17722"/>
    <w:multiLevelType w:val="hybridMultilevel"/>
    <w:lvl w:ilvl="0">
      <w:lvlJc w:val="left"/>
      <w:lvlText w:val="(%1)"/>
      <w:numFmt w:val="lowerLetter"/>
      <w:start w:val="2"/>
    </w:lvl>
    <w:lvl w:ilvl="1">
      <w:lvlJc w:val="left"/>
      <w:lvlText w:val="(%2)"/>
      <w:numFmt w:val="lowerRoman"/>
      <w:start w:val="1"/>
    </w:lvl>
  </w:abstractNum>
  <w:abstractNum w:abstractNumId="350">
    <w:nsid w:val="7924CA0A"/>
    <w:multiLevelType w:val="hybridMultilevel"/>
    <w:lvl w:ilvl="0">
      <w:lvlJc w:val="left"/>
      <w:lvlText w:val="%1"/>
      <w:numFmt w:val="lowerLetter"/>
      <w:start w:val="1"/>
    </w:lvl>
    <w:lvl w:ilvl="1">
      <w:lvlJc w:val="left"/>
      <w:lvlText w:val="(%2)"/>
      <w:numFmt w:val="lowerLetter"/>
      <w:start w:val="1"/>
    </w:lvl>
  </w:abstractNum>
  <w:abstractNum w:abstractNumId="351">
    <w:nsid w:val="CFD4EA7"/>
    <w:multiLevelType w:val="hybridMultilevel"/>
    <w:lvl w:ilvl="0">
      <w:lvlJc w:val="left"/>
      <w:lvlText w:val="(%1)"/>
      <w:numFmt w:val="lowerLetter"/>
      <w:start w:val="35"/>
    </w:lvl>
    <w:lvl w:ilvl="1">
      <w:lvlJc w:val="left"/>
      <w:lvlText w:val="%2"/>
      <w:numFmt w:val="lowerLetter"/>
      <w:start w:val="1"/>
    </w:lvl>
  </w:abstractNum>
  <w:abstractNum w:abstractNumId="352">
    <w:nsid w:val="232FCF4D"/>
    <w:multiLevelType w:val="hybridMultilevel"/>
    <w:lvl w:ilvl="0">
      <w:lvlJc w:val="left"/>
      <w:lvlText w:val="(%1)"/>
      <w:numFmt w:val="lowerLetter"/>
      <w:start w:val="1"/>
    </w:lvl>
  </w:abstractNum>
  <w:abstractNum w:abstractNumId="353">
    <w:nsid w:val="1EA210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4">
    <w:nsid w:val="67A5A6B5"/>
    <w:multiLevelType w:val="hybridMultilevel"/>
    <w:lvl w:ilvl="0">
      <w:lvlJc w:val="left"/>
      <w:lvlText w:val="(%1)"/>
      <w:numFmt w:val="lowerRoman"/>
      <w:start w:val="1"/>
    </w:lvl>
    <w:lvl w:ilvl="1">
      <w:lvlJc w:val="left"/>
      <w:lvlText w:val="(%2)"/>
      <w:numFmt w:val="decimal"/>
      <w:start w:val="1"/>
    </w:lvl>
  </w:abstractNum>
  <w:abstractNum w:abstractNumId="355">
    <w:nsid w:val="C2A5C5B"/>
    <w:multiLevelType w:val="hybridMultilevel"/>
    <w:lvl w:ilvl="0">
      <w:lvlJc w:val="left"/>
      <w:lvlText w:val="(%1)"/>
      <w:numFmt w:val="lowerLetter"/>
      <w:start w:val="1"/>
    </w:lvl>
  </w:abstractNum>
  <w:abstractNum w:abstractNumId="356">
    <w:nsid w:val="5F94DC03"/>
    <w:multiLevelType w:val="hybridMultilevel"/>
    <w:lvl w:ilvl="0">
      <w:lvlJc w:val="left"/>
      <w:lvlText w:val="(%1)"/>
      <w:numFmt w:val="lowerLetter"/>
      <w:start w:val="3"/>
    </w:lvl>
  </w:abstractNum>
  <w:abstractNum w:abstractNumId="357">
    <w:nsid w:val="237BBCA0"/>
    <w:multiLevelType w:val="hybridMultilevel"/>
    <w:lvl w:ilvl="0">
      <w:lvlJc w:val="left"/>
      <w:lvlText w:val="%1"/>
      <w:numFmt w:val="lowerLetter"/>
      <w:start w:val="1"/>
    </w:lvl>
    <w:lvl w:ilvl="1">
      <w:lvlJc w:val="left"/>
      <w:lvlText w:val="(%2)"/>
      <w:numFmt w:val="lowerLetter"/>
      <w:start w:val="1"/>
    </w:lvl>
  </w:abstractNum>
  <w:abstractNum w:abstractNumId="358">
    <w:nsid w:val="162EB70D"/>
    <w:multiLevelType w:val="hybridMultilevel"/>
    <w:lvl w:ilvl="0">
      <w:lvlJc w:val="left"/>
      <w:lvlText w:val="(%1)"/>
      <w:numFmt w:val="lowerLetter"/>
      <w:start w:val="61"/>
    </w:lvl>
    <w:lvl w:ilvl="1">
      <w:lvlJc w:val="left"/>
      <w:lvlText w:val="(%2)"/>
      <w:numFmt w:val="lowerLetter"/>
      <w:start w:val="3"/>
    </w:lvl>
  </w:abstractNum>
  <w:abstractNum w:abstractNumId="359">
    <w:nsid w:val="78070222"/>
    <w:multiLevelType w:val="hybridMultilevel"/>
    <w:lvl w:ilvl="0">
      <w:lvlJc w:val="left"/>
      <w:lvlText w:val="(%1)"/>
      <w:numFmt w:val="lowerLetter"/>
      <w:start w:val="1"/>
    </w:lvl>
  </w:abstractNum>
  <w:abstractNum w:abstractNumId="360">
    <w:nsid w:val="6163ED0D"/>
    <w:multiLevelType w:val="hybridMultilevel"/>
    <w:lvl w:ilvl="0">
      <w:lvlJc w:val="left"/>
      <w:lvlText w:val="%1"/>
      <w:numFmt w:val="lowerLetter"/>
      <w:start w:val="1"/>
    </w:lvl>
    <w:lvl w:ilvl="1">
      <w:lvlJc w:val="left"/>
      <w:lvlText w:val="(%2)"/>
      <w:numFmt w:val="lowerLetter"/>
      <w:start w:val="4"/>
    </w:lvl>
  </w:abstractNum>
  <w:abstractNum w:abstractNumId="361">
    <w:nsid w:val="C600E47"/>
    <w:multiLevelType w:val="hybridMultilevel"/>
    <w:lvl w:ilvl="0">
      <w:lvlJc w:val="left"/>
      <w:lvlText w:val="(%1)"/>
      <w:numFmt w:val="lowerLetter"/>
      <w:start w:val="35"/>
    </w:lvl>
    <w:lvl w:ilvl="1">
      <w:lvlJc w:val="left"/>
      <w:lvlText w:val="(%2)"/>
      <w:numFmt w:val="lowerLetter"/>
      <w:start w:val="8"/>
    </w:lvl>
  </w:abstractNum>
  <w:abstractNum w:abstractNumId="362">
    <w:nsid w:val="7D94F75D"/>
    <w:multiLevelType w:val="hybridMultilevel"/>
    <w:lvl w:ilvl="0">
      <w:lvlJc w:val="left"/>
      <w:lvlText w:val="(%1)"/>
      <w:numFmt w:val="lowerLetter"/>
      <w:start w:val="1"/>
    </w:lvl>
  </w:abstractNum>
  <w:abstractNum w:abstractNumId="363">
    <w:nsid w:val="6C31E7CD"/>
    <w:multiLevelType w:val="hybridMultilevel"/>
    <w:lvl w:ilvl="0">
      <w:lvlJc w:val="left"/>
      <w:lvlText w:val="(%1)"/>
      <w:numFmt w:val="lowerLetter"/>
      <w:start w:val="3"/>
    </w:lvl>
  </w:abstractNum>
  <w:abstractNum w:abstractNumId="364">
    <w:nsid w:val="2BB7929B"/>
    <w:multiLevelType w:val="hybridMultilevel"/>
    <w:lvl w:ilvl="0">
      <w:lvlJc w:val="left"/>
      <w:lvlText w:val="(%1)"/>
      <w:numFmt w:val="lowerLetter"/>
      <w:start w:val="4"/>
    </w:lvl>
    <w:lvl w:ilvl="1">
      <w:lvlJc w:val="left"/>
      <w:lvlText w:val="(%2)"/>
      <w:numFmt w:val="lowerRoman"/>
      <w:start w:val="1"/>
    </w:lvl>
  </w:abstractNum>
  <w:abstractNum w:abstractNumId="365">
    <w:nsid w:val="58A2A487"/>
    <w:multiLevelType w:val="hybridMultilevel"/>
    <w:lvl w:ilvl="0">
      <w:lvlJc w:val="left"/>
      <w:lvlText w:val="(%1)"/>
      <w:numFmt w:val="lowerRoman"/>
      <w:start w:val="3"/>
    </w:lvl>
  </w:abstractNum>
  <w:abstractNum w:abstractNumId="366">
    <w:nsid w:val="3A6F0E78"/>
    <w:multiLevelType w:val="hybridMultilevel"/>
    <w:lvl w:ilvl="0">
      <w:lvlJc w:val="left"/>
      <w:lvlText w:val="(%1)"/>
      <w:numFmt w:val="decimal"/>
      <w:start w:val="1"/>
    </w:lvl>
  </w:abstractNum>
  <w:abstractNum w:abstractNumId="367">
    <w:nsid w:val="379A5B56"/>
    <w:multiLevelType w:val="hybridMultilevel"/>
    <w:lvl w:ilvl="0">
      <w:lvlJc w:val="left"/>
      <w:lvlText w:val="(%1)"/>
      <w:numFmt w:val="decimal"/>
      <w:start w:val="1"/>
    </w:lvl>
    <w:lvl w:ilvl="1">
      <w:lvlJc w:val="left"/>
      <w:lvlText w:val="(%2)"/>
      <w:numFmt w:val="lowerLetter"/>
      <w:start w:val="1"/>
    </w:lvl>
  </w:abstractNum>
  <w:abstractNum w:abstractNumId="368">
    <w:nsid w:val="53B735D5"/>
    <w:multiLevelType w:val="hybridMultilevel"/>
    <w:lvl w:ilvl="0">
      <w:lvlJc w:val="left"/>
      <w:lvlText w:val="(%1)"/>
      <w:numFmt w:val="lowerLetter"/>
      <w:start w:val="1"/>
    </w:lvl>
  </w:abstractNum>
  <w:abstractNum w:abstractNumId="369">
    <w:nsid w:val="29784870"/>
    <w:multiLevelType w:val="hybridMultilevel"/>
    <w:lvl w:ilvl="0">
      <w:lvlJc w:val="left"/>
      <w:lvlText w:val="(%1)"/>
      <w:numFmt w:val="decimal"/>
      <w:start w:val="1"/>
    </w:lvl>
  </w:abstractNum>
  <w:abstractNum w:abstractNumId="370">
    <w:nsid w:val="4CDCED4C"/>
    <w:multiLevelType w:val="hybridMultilevel"/>
    <w:lvl w:ilvl="0">
      <w:lvlJc w:val="left"/>
      <w:lvlText w:val="%1"/>
      <w:numFmt w:val="upperLetter"/>
      <w:start w:val="1"/>
    </w:lvl>
    <w:lvl w:ilvl="1">
      <w:lvlJc w:val="left"/>
      <w:lvlText w:val="(%2)"/>
      <w:numFmt w:val="lowerLetter"/>
      <w:start w:val="1"/>
    </w:lvl>
  </w:abstractNum>
  <w:abstractNum w:abstractNumId="371">
    <w:nsid w:val="10A30D9C"/>
    <w:multiLevelType w:val="hybridMultilevel"/>
    <w:lvl w:ilvl="0">
      <w:lvlJc w:val="left"/>
      <w:lvlText w:val="(%1)"/>
      <w:numFmt w:val="upperLetter"/>
      <w:start w:val="2"/>
    </w:lvl>
    <w:lvl w:ilvl="1">
      <w:lvlJc w:val="left"/>
      <w:lvlText w:val="(%2)"/>
      <w:numFmt w:val="lowerLetter"/>
      <w:start w:val="2"/>
    </w:lvl>
  </w:abstractNum>
  <w:abstractNum w:abstractNumId="372">
    <w:nsid w:val="A66E486"/>
    <w:multiLevelType w:val="hybridMultilevel"/>
    <w:lvl w:ilvl="0">
      <w:lvlJc w:val="left"/>
      <w:lvlText w:val="(%1)"/>
      <w:numFmt w:val="lowerLetter"/>
      <w:start w:val="3"/>
    </w:lvl>
  </w:abstractNum>
  <w:abstractNum w:abstractNumId="373">
    <w:nsid w:val="306235EA"/>
    <w:multiLevelType w:val="hybridMultilevel"/>
    <w:lvl w:ilvl="0">
      <w:lvlJc w:val="left"/>
      <w:lvlText w:val="(%1)"/>
      <w:numFmt w:val="lowerLetter"/>
      <w:start w:val="1"/>
    </w:lvl>
  </w:abstractNum>
  <w:abstractNum w:abstractNumId="374">
    <w:nsid w:val="1187C70F"/>
    <w:multiLevelType w:val="hybridMultilevel"/>
    <w:lvl w:ilvl="0">
      <w:lvlJc w:val="left"/>
      <w:lvlText w:val="(%1)"/>
      <w:numFmt w:val="lowerLetter"/>
      <w:start w:val="3"/>
    </w:lvl>
  </w:abstractNum>
  <w:abstractNum w:abstractNumId="375">
    <w:nsid w:val="5476DE98"/>
    <w:multiLevelType w:val="hybridMultilevel"/>
    <w:lvl w:ilvl="0">
      <w:lvlJc w:val="left"/>
      <w:lvlText w:val="(%1)"/>
      <w:numFmt w:val="lowerLetter"/>
      <w:start w:val="5"/>
    </w:lvl>
  </w:abstractNum>
  <w:abstractNum w:abstractNumId="376">
    <w:nsid w:val="EA697F2"/>
    <w:multiLevelType w:val="hybridMultilevel"/>
    <w:lvl w:ilvl="0">
      <w:lvlJc w:val="left"/>
      <w:lvlText w:val="%1"/>
      <w:numFmt w:val="lowerLetter"/>
      <w:start w:val="1"/>
    </w:lvl>
    <w:lvl w:ilvl="1">
      <w:lvlJc w:val="left"/>
      <w:lvlText w:val="(%2)"/>
      <w:numFmt w:val="lowerLetter"/>
      <w:start w:val="6"/>
    </w:lvl>
  </w:abstractNum>
  <w:abstractNum w:abstractNumId="377">
    <w:nsid w:val="70BA39EB"/>
    <w:multiLevelType w:val="hybridMultilevel"/>
    <w:lvl w:ilvl="0">
      <w:lvlJc w:val="left"/>
      <w:lvlText w:val="(%1)"/>
      <w:numFmt w:val="lowerLetter"/>
      <w:start w:val="61"/>
    </w:lvl>
    <w:lvl w:ilvl="1">
      <w:lvlJc w:val="left"/>
      <w:lvlText w:val="(%2)"/>
      <w:numFmt w:val="lowerLetter"/>
      <w:start w:val="9"/>
    </w:lvl>
  </w:abstractNum>
  <w:abstractNum w:abstractNumId="378">
    <w:nsid w:val="4A8DB59C"/>
    <w:multiLevelType w:val="hybridMultilevel"/>
    <w:lvl w:ilvl="0">
      <w:lvlJc w:val="left"/>
      <w:lvlText w:val="(%1)"/>
      <w:numFmt w:val="lowerLetter"/>
      <w:start w:val="1"/>
    </w:lvl>
    <w:lvl w:ilvl="1">
      <w:lvlJc w:val="left"/>
      <w:lvlText w:val="(%2)"/>
      <w:numFmt w:val="lowerLetter"/>
      <w:start w:val="9"/>
    </w:lvl>
  </w:abstractNum>
  <w:abstractNum w:abstractNumId="379">
    <w:nsid w:val="1AFD9053"/>
    <w:multiLevelType w:val="hybridMultilevel"/>
    <w:lvl w:ilvl="0">
      <w:lvlJc w:val="left"/>
      <w:lvlText w:val="%1"/>
      <w:numFmt w:val="lowerLetter"/>
      <w:start w:val="1"/>
    </w:lvl>
    <w:lvl w:ilvl="1">
      <w:lvlJc w:val="left"/>
      <w:lvlText w:val="(%2)"/>
      <w:numFmt w:val="lowerRoman"/>
      <w:start w:val="2"/>
    </w:lvl>
  </w:abstractNum>
  <w:abstractNum w:abstractNumId="380">
    <w:nsid w:val="558BB10D"/>
    <w:multiLevelType w:val="hybridMultilevel"/>
    <w:lvl w:ilvl="0">
      <w:lvlJc w:val="left"/>
      <w:lvlText w:val="(%1)"/>
      <w:numFmt w:val="lowerLetter"/>
      <w:start w:val="2"/>
    </w:lvl>
    <w:lvl w:ilvl="1">
      <w:lvlJc w:val="left"/>
      <w:lvlText w:val="%2"/>
      <w:numFmt w:val="lowerRoman"/>
      <w:start w:val="1"/>
    </w:lvl>
  </w:abstractNum>
  <w:abstractNum w:abstractNumId="381">
    <w:nsid w:val="43B27FA7"/>
    <w:multiLevelType w:val="hybridMultilevel"/>
    <w:lvl w:ilvl="0">
      <w:lvlJc w:val="left"/>
      <w:lvlText w:val="(%1)"/>
      <w:numFmt w:val="lowerLetter"/>
      <w:start w:val="5"/>
    </w:lvl>
  </w:abstractNum>
  <w:abstractNum w:abstractNumId="382">
    <w:nsid w:val="27FADEFA"/>
    <w:multiLevelType w:val="hybridMultilevel"/>
    <w:lvl w:ilvl="0">
      <w:lvlJc w:val="left"/>
      <w:lvlText w:val="(%1)"/>
      <w:numFmt w:val="lowerLetter"/>
      <w:start w:val="1"/>
    </w:lvl>
    <w:lvl w:ilvl="1">
      <w:lvlJc w:val="left"/>
      <w:lvlText w:val="(%2)"/>
      <w:numFmt w:val="lowerLetter"/>
      <w:start w:val="9"/>
    </w:lvl>
  </w:abstractNum>
  <w:abstractNum w:abstractNumId="383">
    <w:nsid w:val="78BB805A"/>
    <w:multiLevelType w:val="hybridMultilevel"/>
    <w:lvl w:ilvl="0">
      <w:lvlJc w:val="left"/>
      <w:lvlText w:val="%1"/>
      <w:numFmt w:val="lowerLetter"/>
      <w:start w:val="1"/>
    </w:lvl>
    <w:lvl w:ilvl="1">
      <w:lvlJc w:val="left"/>
      <w:lvlText w:val="(%2)"/>
      <w:numFmt w:val="lowerLetter"/>
      <w:start w:val="35"/>
    </w:lvl>
  </w:abstractNum>
  <w:abstractNum w:abstractNumId="384">
    <w:nsid w:val="62548FD8"/>
    <w:multiLevelType w:val="hybridMultilevel"/>
    <w:lvl w:ilvl="0">
      <w:lvlJc w:val="left"/>
      <w:lvlText w:val="(%1)"/>
      <w:numFmt w:val="lowerLetter"/>
      <w:start w:val="6"/>
    </w:lvl>
    <w:lvl w:ilvl="1">
      <w:lvlJc w:val="left"/>
      <w:lvlText w:val="%2"/>
      <w:numFmt w:val="lowerLetter"/>
      <w:start w:val="1"/>
    </w:lvl>
  </w:abstractNum>
  <w:abstractNum w:abstractNumId="385">
    <w:nsid w:val="FA085B0"/>
    <w:multiLevelType w:val="hybridMultilevel"/>
    <w:lvl w:ilvl="0">
      <w:lvlJc w:val="left"/>
      <w:lvlText w:val="(%1)"/>
      <w:numFmt w:val="lowerLetter"/>
      <w:start w:val="12"/>
    </w:lvl>
  </w:abstractNum>
  <w:abstractNum w:abstractNumId="386">
    <w:nsid w:val="4E5DCB5"/>
    <w:multiLevelType w:val="hybridMultilevel"/>
    <w:lvl w:ilvl="0">
      <w:lvlJc w:val="left"/>
      <w:lvlText w:val="(%1)"/>
      <w:numFmt w:val="lowerLetter"/>
      <w:start w:val="16"/>
    </w:lvl>
  </w:abstractNum>
  <w:abstractNum w:abstractNumId="387">
    <w:nsid w:val="41E96BDB"/>
    <w:multiLevelType w:val="hybridMultilevel"/>
    <w:lvl w:ilvl="0">
      <w:lvlJc w:val="left"/>
      <w:lvlText w:val="(%1)"/>
      <w:numFmt w:val="lowerLetter"/>
      <w:start w:val="1"/>
    </w:lvl>
    <w:lvl w:ilvl="1">
      <w:lvlJc w:val="left"/>
      <w:lvlText w:val="(%2)"/>
      <w:numFmt w:val="lowerRoman"/>
      <w:start w:val="1"/>
    </w:lvl>
  </w:abstractNum>
  <w:abstractNum w:abstractNumId="388">
    <w:nsid w:val="331C4250"/>
    <w:multiLevelType w:val="hybridMultilevel"/>
    <w:lvl w:ilvl="0">
      <w:lvlJc w:val="left"/>
      <w:lvlText w:val="%1"/>
      <w:numFmt w:val="lowerLetter"/>
      <w:start w:val="1"/>
    </w:lvl>
    <w:lvl w:ilvl="1">
      <w:lvlJc w:val="left"/>
      <w:lvlText w:val="(%2)"/>
      <w:numFmt w:val="lowerRoman"/>
      <w:start w:val="4"/>
    </w:lvl>
  </w:abstractNum>
  <w:abstractNum w:abstractNumId="389">
    <w:nsid w:val="1B1493C2"/>
    <w:multiLevelType w:val="hybridMultilevel"/>
    <w:lvl w:ilvl="0">
      <w:lvlJc w:val="left"/>
      <w:lvlText w:val="(%1)"/>
      <w:numFmt w:val="lowerLetter"/>
      <w:start w:val="1"/>
    </w:lvl>
    <w:lvl w:ilvl="1">
      <w:lvlJc w:val="left"/>
      <w:lvlText w:val="%2"/>
      <w:numFmt w:val="lowerRoman"/>
      <w:start w:val="1"/>
    </w:lvl>
  </w:abstractNum>
  <w:abstractNum w:abstractNumId="390">
    <w:nsid w:val="39F06DFD"/>
    <w:multiLevelType w:val="hybridMultilevel"/>
    <w:lvl w:ilvl="0">
      <w:lvlJc w:val="left"/>
      <w:lvlText w:val="(%1)"/>
      <w:numFmt w:val="lowerLetter"/>
      <w:start w:val="1"/>
    </w:lvl>
  </w:abstractNum>
  <w:abstractNum w:abstractNumId="391">
    <w:nsid w:val="14802F5D"/>
    <w:multiLevelType w:val="hybridMultilevel"/>
    <w:lvl w:ilvl="0">
      <w:lvlJc w:val="left"/>
      <w:lvlText w:val="(%1)"/>
      <w:numFmt w:val="lowerLetter"/>
      <w:start w:val="1"/>
    </w:lvl>
  </w:abstractNum>
  <w:abstractNum w:abstractNumId="392">
    <w:nsid w:val="2774A209"/>
    <w:multiLevelType w:val="hybridMultilevel"/>
    <w:lvl w:ilvl="0">
      <w:lvlJc w:val="left"/>
      <w:lvlText w:val="(%1)"/>
      <w:numFmt w:val="upperLetter"/>
      <w:start w:val="1"/>
    </w:lvl>
  </w:abstractNum>
  <w:abstractNum w:abstractNumId="393">
    <w:nsid w:val="3785655A"/>
    <w:multiLevelType w:val="hybridMultilevel"/>
    <w:lvl w:ilvl="0">
      <w:lvlJc w:val="left"/>
      <w:lvlText w:val="(%1)"/>
      <w:numFmt w:val="lowerLetter"/>
      <w:start w:val="1"/>
    </w:lvl>
  </w:abstractNum>
  <w:abstractNum w:abstractNumId="394">
    <w:nsid w:val="B2172A"/>
    <w:multiLevelType w:val="hybridMultilevel"/>
    <w:lvl w:ilvl="0">
      <w:lvlJc w:val="left"/>
      <w:lvlText w:val="(%1)"/>
      <w:numFmt w:val="lowerLetter"/>
      <w:start w:val="4"/>
    </w:lvl>
  </w:abstractNum>
  <w:abstractNum w:abstractNumId="395">
    <w:nsid w:val="532C34A5"/>
    <w:multiLevelType w:val="hybridMultilevel"/>
    <w:lvl w:ilvl="0">
      <w:lvlJc w:val="left"/>
      <w:lvlText w:val="(%1)"/>
      <w:numFmt w:val="lowerLetter"/>
      <w:start w:val="8"/>
    </w:lvl>
  </w:abstractNum>
  <w:abstractNum w:abstractNumId="396">
    <w:nsid w:val="102809E2"/>
    <w:multiLevelType w:val="hybridMultilevel"/>
    <w:lvl w:ilvl="0">
      <w:lvlJc w:val="left"/>
      <w:lvlText w:val="(%1)"/>
      <w:numFmt w:val="lowerLetter"/>
      <w:start w:val="1"/>
    </w:lvl>
  </w:abstractNum>
  <w:abstractNum w:abstractNumId="397">
    <w:nsid w:val="3B2125A3"/>
    <w:multiLevelType w:val="hybridMultilevel"/>
    <w:lvl w:ilvl="0">
      <w:lvlJc w:val="left"/>
      <w:lvlText w:val="%1"/>
      <w:numFmt w:val="lowerLetter"/>
      <w:start w:val="1"/>
    </w:lvl>
    <w:lvl w:ilvl="1">
      <w:lvlJc w:val="left"/>
      <w:lvlText w:val="(%2)"/>
      <w:numFmt w:val="lowerLetter"/>
      <w:start w:val="5"/>
    </w:lvl>
  </w:abstractNum>
  <w:abstractNum w:abstractNumId="398">
    <w:nsid w:val="AC68FFB"/>
    <w:multiLevelType w:val="hybridMultilevel"/>
    <w:lvl w:ilvl="0">
      <w:lvlJc w:val="left"/>
      <w:lvlText w:val="(%1)"/>
      <w:numFmt w:val="lowerLetter"/>
      <w:start w:val="25"/>
    </w:lvl>
    <w:lvl w:ilvl="1">
      <w:lvlJc w:val="left"/>
      <w:lvlText w:val="%2"/>
      <w:numFmt w:val="lowerLetter"/>
      <w:start w:val="1"/>
    </w:lvl>
  </w:abstractNum>
  <w:abstractNum w:abstractNumId="399">
    <w:nsid w:val="63DF3FB7"/>
    <w:multiLevelType w:val="hybridMultilevel"/>
    <w:lvl w:ilvl="0">
      <w:lvlJc w:val="left"/>
      <w:lvlText w:val="(%1)"/>
      <w:numFmt w:val="lowerLetter"/>
      <w:start w:val="11"/>
    </w:lvl>
  </w:abstractNum>
  <w:abstractNum w:abstractNumId="400">
    <w:nsid w:val="64996E13"/>
    <w:multiLevelType w:val="hybridMultilevel"/>
    <w:lvl w:ilvl="0">
      <w:lvlJc w:val="left"/>
      <w:lvlText w:val="(%1)"/>
      <w:numFmt w:val="lowerLetter"/>
      <w:start w:val="18"/>
    </w:lvl>
  </w:abstractNum>
  <w:abstractNum w:abstractNumId="401">
    <w:nsid w:val="57A37D47"/>
    <w:multiLevelType w:val="hybridMultilevel"/>
    <w:lvl w:ilvl="0">
      <w:lvlJc w:val="left"/>
      <w:lvlText w:val="(%1)"/>
      <w:numFmt w:val="lowerLetter"/>
      <w:start w:val="1"/>
    </w:lvl>
  </w:abstractNum>
  <w:abstractNum w:abstractNumId="402">
    <w:nsid w:val="74824D54"/>
    <w:multiLevelType w:val="hybridMultilevel"/>
    <w:lvl w:ilvl="0">
      <w:lvlJc w:val="left"/>
      <w:lvlText w:val="(%1)"/>
      <w:numFmt w:val="lowerLetter"/>
      <w:start w:val="5"/>
    </w:lvl>
  </w:abstractNum>
  <w:abstractNum w:abstractNumId="403">
    <w:nsid w:val="6F00529A"/>
    <w:multiLevelType w:val="hybridMultilevel"/>
    <w:lvl w:ilvl="0">
      <w:lvlJc w:val="left"/>
      <w:lvlText w:val="(%1)"/>
      <w:numFmt w:val="lowerLetter"/>
      <w:start w:val="17"/>
    </w:lvl>
  </w:abstractNum>
  <w:abstractNum w:abstractNumId="404">
    <w:nsid w:val="805B331"/>
    <w:multiLevelType w:val="hybridMultilevel"/>
    <w:lvl w:ilvl="0">
      <w:lvlJc w:val="left"/>
      <w:lvlText w:val="(%1)"/>
      <w:numFmt w:val="lowerLetter"/>
      <w:start w:val="2"/>
    </w:lvl>
  </w:abstractNum>
  <w:abstractNum w:abstractNumId="405">
    <w:nsid w:val="60A1463"/>
    <w:multiLevelType w:val="hybridMultilevel"/>
    <w:lvl w:ilvl="0">
      <w:lvlJc w:val="left"/>
      <w:lvlText w:val="(%1)"/>
      <w:numFmt w:val="lowerLetter"/>
      <w:start w:val="8"/>
    </w:lvl>
  </w:abstractNum>
  <w:abstractNum w:abstractNumId="406">
    <w:nsid w:val="43773132"/>
    <w:multiLevelType w:val="hybridMultilevel"/>
    <w:lvl w:ilvl="0">
      <w:lvlJc w:val="left"/>
      <w:lvlText w:val="(%1)"/>
      <w:numFmt w:val="lowerLetter"/>
      <w:start w:val="1"/>
    </w:lvl>
  </w:abstractNum>
  <w:abstractNum w:abstractNumId="407">
    <w:nsid w:val="16AC4B23"/>
    <w:multiLevelType w:val="hybridMultilevel"/>
    <w:lvl w:ilvl="0">
      <w:lvlJc w:val="left"/>
      <w:lvlText w:val="(%1)"/>
      <w:numFmt w:val="lowerLetter"/>
      <w:start w:val="5"/>
    </w:lvl>
  </w:abstractNum>
  <w:abstractNum w:abstractNumId="408">
    <w:nsid w:val="76C44E4E"/>
    <w:multiLevelType w:val="hybridMultilevel"/>
    <w:lvl w:ilvl="0">
      <w:lvlJc w:val="left"/>
      <w:lvlText w:val="(%1)"/>
      <w:numFmt w:val="lowerLetter"/>
      <w:start w:val="1"/>
    </w:lvl>
  </w:abstractNum>
  <w:abstractNum w:abstractNumId="409">
    <w:nsid w:val="E04E6CE"/>
    <w:multiLevelType w:val="hybridMultilevel"/>
    <w:lvl w:ilvl="0">
      <w:lvlJc w:val="left"/>
      <w:lvlText w:val="(%1)"/>
      <w:numFmt w:val="lowerLetter"/>
      <w:start w:val="1"/>
    </w:lvl>
  </w:abstractNum>
  <w:abstractNum w:abstractNumId="410">
    <w:nsid w:val="31A9DB76"/>
    <w:multiLevelType w:val="hybridMultilevel"/>
    <w:lvl w:ilvl="0">
      <w:lvlJc w:val="left"/>
      <w:lvlText w:val="(%1)"/>
      <w:numFmt w:val="lowerLetter"/>
      <w:start w:val="2"/>
    </w:lvl>
  </w:abstractNum>
  <w:abstractNum w:abstractNumId="411">
    <w:nsid w:val="4C4FFF5B"/>
    <w:multiLevelType w:val="hybridMultilevel"/>
    <w:lvl w:ilvl="0">
      <w:lvlJc w:val="left"/>
      <w:lvlText w:val="(%1)"/>
      <w:numFmt w:val="lowerLetter"/>
      <w:start w:val="2"/>
    </w:lvl>
  </w:abstractNum>
  <w:abstractNum w:abstractNumId="412">
    <w:nsid w:val="51B76675"/>
    <w:multiLevelType w:val="hybridMultilevel"/>
    <w:lvl w:ilvl="0">
      <w:lvlJc w:val="left"/>
      <w:lvlText w:val="%1"/>
      <w:numFmt w:val="lowerLetter"/>
      <w:start w:val="1"/>
    </w:lvl>
    <w:lvl w:ilvl="1">
      <w:lvlJc w:val="left"/>
      <w:lvlText w:val="(%2)"/>
      <w:numFmt w:val="lowerLetter"/>
      <w:start w:val="1"/>
    </w:lvl>
  </w:abstractNum>
  <w:abstractNum w:abstractNumId="413">
    <w:nsid w:val="59A4BA71"/>
    <w:multiLevelType w:val="hybridMultilevel"/>
    <w:lvl w:ilvl="0">
      <w:lvlJc w:val="left"/>
      <w:lvlText w:val="(%1)"/>
      <w:numFmt w:val="lowerLetter"/>
      <w:start w:val="22"/>
    </w:lvl>
    <w:lvl w:ilvl="1">
      <w:lvlJc w:val="left"/>
      <w:lvlText w:val="%2"/>
      <w:numFmt w:val="lowerLetter"/>
      <w:start w:val="1"/>
    </w:lvl>
  </w:abstractNum>
  <w:abstractNum w:abstractNumId="414">
    <w:nsid w:val="450B7FB6"/>
    <w:multiLevelType w:val="hybridMultilevel"/>
    <w:lvl w:ilvl="0">
      <w:lvlJc w:val="left"/>
      <w:lvlText w:val="%1"/>
      <w:numFmt w:val="lowerRoman"/>
      <w:start w:val="1"/>
    </w:lvl>
    <w:lvl w:ilvl="1">
      <w:lvlJc w:val="left"/>
      <w:lvlText w:val="(%2)"/>
      <w:numFmt w:val="lowerLetter"/>
      <w:start w:val="6"/>
    </w:lvl>
  </w:abstractNum>
  <w:abstractNum w:abstractNumId="415">
    <w:nsid w:val="340BF64D"/>
    <w:multiLevelType w:val="hybridMultilevel"/>
    <w:lvl w:ilvl="0">
      <w:lvlJc w:val="left"/>
      <w:lvlText w:val="(%1)"/>
      <w:numFmt w:val="lowerRoman"/>
      <w:start w:val="8"/>
    </w:lvl>
    <w:lvl w:ilvl="1">
      <w:lvlJc w:val="left"/>
      <w:lvlText w:val="%2"/>
      <w:numFmt w:val="lowerLetter"/>
      <w:start w:val="1"/>
    </w:lvl>
  </w:abstractNum>
  <w:abstractNum w:abstractNumId="416">
    <w:nsid w:val="69454021"/>
    <w:multiLevelType w:val="hybridMultilevel"/>
    <w:lvl w:ilvl="0">
      <w:lvlJc w:val="left"/>
      <w:lvlText w:val="(%1)"/>
      <w:numFmt w:val="lowerLetter"/>
      <w:start w:val="2"/>
    </w:lvl>
  </w:abstractNum>
  <w:abstractNum w:abstractNumId="417">
    <w:nsid w:val="49F15C6B"/>
    <w:multiLevelType w:val="hybridMultilevel"/>
    <w:lvl w:ilvl="0">
      <w:lvlJc w:val="left"/>
      <w:lvlText w:val="(%1)"/>
      <w:numFmt w:val="lowerLetter"/>
      <w:start w:val="2"/>
    </w:lvl>
  </w:abstractNum>
  <w:abstractNum w:abstractNumId="418">
    <w:nsid w:val="75F56228"/>
    <w:multiLevelType w:val="hybridMultilevel"/>
    <w:lvl w:ilvl="0">
      <w:lvlJc w:val="left"/>
      <w:lvlText w:val="(%1)"/>
      <w:numFmt w:val="lowerLetter"/>
      <w:start w:val="1"/>
    </w:lvl>
  </w:abstractNum>
  <w:abstractNum w:abstractNumId="419">
    <w:nsid w:val="1C618271"/>
    <w:multiLevelType w:val="hybridMultilevel"/>
    <w:lvl w:ilvl="0">
      <w:lvlJc w:val="left"/>
      <w:lvlText w:val="(%1)"/>
      <w:numFmt w:val="lowerLetter"/>
      <w:start w:val="2"/>
    </w:lvl>
  </w:abstractNum>
  <w:abstractNum w:abstractNumId="420">
    <w:nsid w:val="6505F02E"/>
    <w:multiLevelType w:val="hybridMultilevel"/>
    <w:lvl w:ilvl="0">
      <w:lvlJc w:val="left"/>
      <w:lvlText w:val="%1"/>
      <w:numFmt w:val="lowerLetter"/>
      <w:start w:val="1"/>
    </w:lvl>
    <w:lvl w:ilvl="1">
      <w:lvlJc w:val="left"/>
      <w:lvlText w:val="(%2)"/>
      <w:numFmt w:val="lowerLetter"/>
      <w:start w:val="7"/>
    </w:lvl>
  </w:abstractNum>
  <w:abstractNum w:abstractNumId="421">
    <w:nsid w:val="2FE5D025"/>
    <w:multiLevelType w:val="hybridMultilevel"/>
    <w:lvl w:ilvl="0">
      <w:lvlJc w:val="left"/>
      <w:lvlText w:val="(%1)"/>
      <w:numFmt w:val="lowerLetter"/>
      <w:start w:val="35"/>
    </w:lvl>
    <w:lvl w:ilvl="1">
      <w:lvlJc w:val="left"/>
      <w:lvlText w:val="%2"/>
      <w:numFmt w:val="lowerLetter"/>
      <w:start w:val="1"/>
    </w:lvl>
  </w:abstractNum>
  <w:abstractNum w:abstractNumId="422">
    <w:nsid w:val="30E1B1CF"/>
    <w:multiLevelType w:val="hybridMultilevel"/>
    <w:lvl w:ilvl="0">
      <w:lvlJc w:val="left"/>
      <w:lvlText w:val="(%1)"/>
      <w:numFmt w:val="lowerLetter"/>
      <w:start w:val="1"/>
    </w:lvl>
  </w:abstractNum>
  <w:abstractNum w:abstractNumId="423">
    <w:nsid w:val="C7A9237"/>
    <w:multiLevelType w:val="hybridMultilevel"/>
    <w:lvl w:ilvl="0">
      <w:lvlJc w:val="left"/>
      <w:lvlText w:val="(%1)"/>
      <w:numFmt w:val="lowerLetter"/>
      <w:start w:val="3"/>
    </w:lvl>
  </w:abstractNum>
  <w:abstractNum w:abstractNumId="424">
    <w:nsid w:val="676B3580"/>
    <w:multiLevelType w:val="hybridMultilevel"/>
    <w:lvl w:ilvl="0">
      <w:lvlJc w:val="left"/>
      <w:lvlText w:val="(%1)"/>
      <w:numFmt w:val="lowerLetter"/>
      <w:start w:val="1"/>
    </w:lvl>
  </w:abstractNum>
  <w:abstractNum w:abstractNumId="425">
    <w:nsid w:val="3193C8F9"/>
    <w:multiLevelType w:val="hybridMultilevel"/>
    <w:lvl w:ilvl="0">
      <w:lvlJc w:val="left"/>
      <w:lvlText w:val="(%1)"/>
      <w:numFmt w:val="lowerLetter"/>
      <w:start w:val="1"/>
    </w:lvl>
  </w:abstractNum>
  <w:abstractNum w:abstractNumId="426">
    <w:nsid w:val="5FA6C6DC"/>
    <w:multiLevelType w:val="hybridMultilevel"/>
    <w:lvl w:ilvl="0">
      <w:lvlJc w:val="left"/>
      <w:lvlText w:val="(%1)"/>
      <w:numFmt w:val="lowerLetter"/>
      <w:start w:val="1"/>
    </w:lvl>
  </w:abstractNum>
  <w:abstractNum w:abstractNumId="427">
    <w:nsid w:val="77933F62"/>
    <w:multiLevelType w:val="hybridMultilevel"/>
    <w:lvl w:ilvl="0">
      <w:lvlJc w:val="left"/>
      <w:lvlText w:val="(%1)"/>
      <w:numFmt w:val="lowerLetter"/>
      <w:start w:val="4"/>
    </w:lvl>
  </w:abstractNum>
  <w:abstractNum w:abstractNumId="428">
    <w:nsid w:val="6CB4EE9C"/>
    <w:multiLevelType w:val="hybridMultilevel"/>
    <w:lvl w:ilvl="0">
      <w:lvlJc w:val="left"/>
      <w:lvlText w:val="(%1)"/>
      <w:numFmt w:val="lowerLetter"/>
      <w:start w:val="1"/>
    </w:lvl>
  </w:abstractNum>
  <w:abstractNum w:abstractNumId="429">
    <w:nsid w:val="6A6D56D7"/>
    <w:multiLevelType w:val="hybridMultilevel"/>
    <w:lvl w:ilvl="0">
      <w:lvlJc w:val="left"/>
      <w:lvlText w:val="(%1)"/>
      <w:numFmt w:val="lowerLetter"/>
      <w:start w:val="3"/>
    </w:lvl>
  </w:abstractNum>
  <w:abstractNum w:abstractNumId="430">
    <w:nsid w:val="5B727F19"/>
    <w:multiLevelType w:val="hybridMultilevel"/>
    <w:lvl w:ilvl="0">
      <w:lvlJc w:val="left"/>
      <w:lvlText w:val="(%1)"/>
      <w:numFmt w:val="lowerLetter"/>
      <w:start w:val="1"/>
    </w:lvl>
  </w:abstractNum>
  <w:abstractNum w:abstractNumId="431">
    <w:nsid w:val="514E5CB0"/>
    <w:multiLevelType w:val="hybridMultilevel"/>
    <w:lvl w:ilvl="0">
      <w:lvlJc w:val="left"/>
      <w:lvlText w:val="(%1)"/>
      <w:numFmt w:val="lowerLetter"/>
      <w:start w:val="2"/>
    </w:lvl>
    <w:lvl w:ilvl="1">
      <w:lvlJc w:val="left"/>
      <w:lvlText w:val="(%2)"/>
      <w:numFmt w:val="lowerRoman"/>
      <w:start w:val="1"/>
    </w:lvl>
  </w:abstractNum>
  <w:abstractNum w:abstractNumId="432">
    <w:nsid w:val="4210D41E"/>
    <w:multiLevelType w:val="hybridMultilevel"/>
    <w:lvl w:ilvl="0">
      <w:lvlJc w:val="left"/>
      <w:lvlText w:val="%1"/>
      <w:numFmt w:val="lowerLetter"/>
      <w:start w:val="1"/>
    </w:lvl>
    <w:lvl w:ilvl="1">
      <w:lvlJc w:val="left"/>
      <w:lvlText w:val="(%2)"/>
      <w:numFmt w:val="lowerRoman"/>
      <w:start w:val="4"/>
    </w:lvl>
  </w:abstractNum>
  <w:abstractNum w:abstractNumId="433">
    <w:nsid w:val="4FF4CC6D"/>
    <w:multiLevelType w:val="hybridMultilevel"/>
    <w:lvl w:ilvl="0">
      <w:lvlJc w:val="left"/>
      <w:lvlText w:val="(%1)"/>
      <w:numFmt w:val="lowerLetter"/>
      <w:start w:val="3"/>
    </w:lvl>
    <w:lvl w:ilvl="1">
      <w:lvlJc w:val="left"/>
      <w:lvlText w:val="%2"/>
      <w:numFmt w:val="lowerRoman"/>
      <w:start w:val="1"/>
    </w:lvl>
  </w:abstractNum>
  <w:abstractNum w:abstractNumId="434">
    <w:nsid w:val="404EAF4A"/>
    <w:multiLevelType w:val="hybridMultilevel"/>
    <w:lvl w:ilvl="0">
      <w:lvlJc w:val="left"/>
      <w:lvlText w:val="(%1)"/>
      <w:numFmt w:val="lowerLetter"/>
      <w:start w:val="1"/>
    </w:lvl>
  </w:abstractNum>
  <w:abstractNum w:abstractNumId="435">
    <w:nsid w:val="4A16874F"/>
    <w:multiLevelType w:val="hybridMultilevel"/>
    <w:lvl w:ilvl="0">
      <w:lvlJc w:val="left"/>
      <w:lvlText w:val="(%1)"/>
      <w:numFmt w:val="lowerLetter"/>
      <w:start w:val="1"/>
    </w:lvl>
  </w:abstractNum>
  <w:abstractNum w:abstractNumId="436">
    <w:nsid w:val="55FEE0D1"/>
    <w:multiLevelType w:val="hybridMultilevel"/>
    <w:lvl w:ilvl="0">
      <w:lvlJc w:val="left"/>
      <w:lvlText w:val="(%1)"/>
      <w:numFmt w:val="lowerLetter"/>
      <w:start w:val="2"/>
    </w:lvl>
    <w:lvl w:ilvl="1">
      <w:lvlJc w:val="left"/>
      <w:lvlText w:val="(%2)"/>
      <w:numFmt w:val="lowerRoman"/>
      <w:start w:val="1"/>
    </w:lvl>
  </w:abstractNum>
  <w:abstractNum w:abstractNumId="437">
    <w:nsid w:val="3C5E07C"/>
    <w:multiLevelType w:val="hybridMultilevel"/>
    <w:lvl w:ilvl="0">
      <w:lvlJc w:val="left"/>
      <w:lvlText w:val="(%1)"/>
      <w:numFmt w:val="lowerLetter"/>
      <w:start w:val="3"/>
    </w:lvl>
    <w:lvl w:ilvl="1">
      <w:lvlJc w:val="left"/>
      <w:lvlText w:val="(%2)"/>
      <w:numFmt w:val="lowerLetter"/>
      <w:start w:val="9"/>
    </w:lvl>
  </w:abstractNum>
  <w:abstractNum w:abstractNumId="438">
    <w:nsid w:val="60C2D273"/>
    <w:multiLevelType w:val="hybridMultilevel"/>
    <w:lvl w:ilvl="0">
      <w:lvlJc w:val="left"/>
      <w:lvlText w:val="%1"/>
      <w:numFmt w:val="lowerLetter"/>
      <w:start w:val="1"/>
    </w:lvl>
    <w:lvl w:ilvl="1">
      <w:lvlJc w:val="left"/>
      <w:lvlText w:val="(%2)"/>
      <w:numFmt w:val="lowerRoman"/>
      <w:start w:val="2"/>
    </w:lvl>
  </w:abstractNum>
  <w:abstractNum w:abstractNumId="439">
    <w:nsid w:val="4CC32F1F"/>
    <w:multiLevelType w:val="hybridMultilevel"/>
    <w:lvl w:ilvl="0">
      <w:lvlJc w:val="left"/>
      <w:lvlText w:val="(%1)"/>
      <w:numFmt w:val="lowerLetter"/>
      <w:start w:val="4"/>
    </w:lvl>
    <w:lvl w:ilvl="1">
      <w:lvlJc w:val="left"/>
      <w:lvlText w:val="%2"/>
      <w:numFmt w:val="lowerRoman"/>
      <w:start w:val="1"/>
    </w:lvl>
  </w:abstractNum>
  <w:abstractNum w:abstractNumId="440">
    <w:nsid w:val="11CAC74A"/>
    <w:multiLevelType w:val="hybridMultilevel"/>
    <w:lvl w:ilvl="0">
      <w:lvlJc w:val="left"/>
      <w:lvlText w:val="(%1)"/>
      <w:numFmt w:val="lowerLetter"/>
      <w:start w:val="1"/>
    </w:lvl>
  </w:abstractNum>
  <w:abstractNum w:abstractNumId="441">
    <w:nsid w:val="126CADE9"/>
    <w:multiLevelType w:val="hybridMultilevel"/>
    <w:lvl w:ilvl="0">
      <w:lvlJc w:val="left"/>
      <w:lvlText w:val="(%1)"/>
      <w:numFmt w:val="lowerLetter"/>
      <w:start w:val="3"/>
    </w:lvl>
    <w:lvl w:ilvl="1">
      <w:lvlJc w:val="left"/>
      <w:lvlText w:val="(%2)"/>
      <w:numFmt w:val="lowerRoman"/>
      <w:start w:val="1"/>
    </w:lvl>
  </w:abstractNum>
  <w:abstractNum w:abstractNumId="442">
    <w:nsid w:val="19132E7B"/>
    <w:multiLevelType w:val="hybridMultilevel"/>
    <w:lvl w:ilvl="0">
      <w:lvlJc w:val="left"/>
      <w:lvlText w:val="%1"/>
      <w:numFmt w:val="lowerLetter"/>
      <w:start w:val="1"/>
    </w:lvl>
    <w:lvl w:ilvl="1">
      <w:lvlJc w:val="left"/>
      <w:lvlText w:val="(%2)"/>
      <w:numFmt w:val="lowerLetter"/>
      <w:start w:val="35"/>
    </w:lvl>
  </w:abstractNum>
  <w:abstractNum w:abstractNumId="443">
    <w:nsid w:val="63822DC0"/>
    <w:multiLevelType w:val="hybridMultilevel"/>
    <w:lvl w:ilvl="0">
      <w:lvlJc w:val="left"/>
      <w:lvlText w:val="(%1)"/>
      <w:numFmt w:val="lowerLetter"/>
      <w:start w:val="5"/>
    </w:lvl>
    <w:lvl w:ilvl="1">
      <w:lvlJc w:val="left"/>
      <w:lvlText w:val="%2"/>
      <w:numFmt w:val="lowerLetter"/>
      <w:start w:val="1"/>
    </w:lvl>
  </w:abstractNum>
  <w:abstractNum w:abstractNumId="444">
    <w:nsid w:val="6C11685A"/>
    <w:multiLevelType w:val="hybridMultilevel"/>
    <w:lvl w:ilvl="0">
      <w:lvlJc w:val="left"/>
      <w:lvlText w:val="(%1)"/>
      <w:numFmt w:val="lowerLetter"/>
      <w:start w:val="7"/>
    </w:lvl>
    <w:lvl w:ilvl="1">
      <w:lvlJc w:val="left"/>
      <w:lvlText w:val="(%2)"/>
      <w:numFmt w:val="lowerRoman"/>
      <w:start w:val="1"/>
    </w:lvl>
  </w:abstractNum>
  <w:abstractNum w:abstractNumId="445">
    <w:nsid w:val="5E1EAE31"/>
    <w:multiLevelType w:val="hybridMultilevel"/>
    <w:lvl w:ilvl="0">
      <w:lvlJc w:val="left"/>
      <w:lvlText w:val="%1"/>
      <w:numFmt w:val="lowerLetter"/>
      <w:start w:val="1"/>
    </w:lvl>
    <w:lvl w:ilvl="1">
      <w:lvlJc w:val="left"/>
      <w:lvlText w:val="(%2)"/>
      <w:numFmt w:val="lowerLetter"/>
      <w:start w:val="61"/>
    </w:lvl>
  </w:abstractNum>
  <w:abstractNum w:abstractNumId="446">
    <w:nsid w:val="178E240D"/>
    <w:multiLevelType w:val="hybridMultilevel"/>
    <w:lvl w:ilvl="0">
      <w:lvlJc w:val="left"/>
      <w:lvlText w:val="(%1)"/>
      <w:numFmt w:val="lowerLetter"/>
      <w:start w:val="8"/>
    </w:lvl>
    <w:lvl w:ilvl="1">
      <w:lvlJc w:val="left"/>
      <w:lvlText w:val="(%2)"/>
      <w:numFmt w:val="lowerLetter"/>
      <w:start w:val="9"/>
    </w:lvl>
  </w:abstractNum>
  <w:abstractNum w:abstractNumId="447">
    <w:nsid w:val="5556A87B"/>
    <w:multiLevelType w:val="hybridMultilevel"/>
    <w:lvl w:ilvl="0">
      <w:lvlJc w:val="left"/>
      <w:lvlText w:val="%1"/>
      <w:numFmt w:val="lowerRoman"/>
      <w:start w:val="1"/>
    </w:lvl>
    <w:lvl w:ilvl="1">
      <w:lvlJc w:val="left"/>
      <w:lvlText w:val="(%2)"/>
      <w:numFmt w:val="upperLetter"/>
      <w:start w:val="1"/>
    </w:lvl>
  </w:abstractNum>
  <w:abstractNum w:abstractNumId="448">
    <w:nsid w:val="28100A9C"/>
    <w:multiLevelType w:val="hybridMultilevel"/>
    <w:lvl w:ilvl="0">
      <w:lvlJc w:val="left"/>
      <w:lvlText w:val="(%1)"/>
      <w:numFmt w:val="lowerRoman"/>
      <w:start w:val="2"/>
    </w:lvl>
    <w:lvl w:ilvl="1">
      <w:lvlJc w:val="left"/>
      <w:lvlText w:val="%2"/>
      <w:numFmt w:val="upperLetter"/>
      <w:start w:val="1"/>
    </w:lvl>
  </w:abstractNum>
  <w:abstractNum w:abstractNumId="449">
    <w:nsid w:val="D838636"/>
    <w:multiLevelType w:val="hybridMultilevel"/>
    <w:lvl w:ilvl="0">
      <w:lvlJc w:val="left"/>
      <w:lvlText w:val="(%1)"/>
      <w:numFmt w:val="lowerLetter"/>
      <w:start w:val="1"/>
    </w:lvl>
  </w:abstractNum>
  <w:abstractNum w:abstractNumId="450">
    <w:nsid w:val="71B82AED"/>
    <w:multiLevelType w:val="hybridMultilevel"/>
    <w:lvl w:ilvl="0">
      <w:lvlJc w:val="left"/>
      <w:lvlText w:val="(%1)"/>
      <w:numFmt w:val="lowerLetter"/>
      <w:start w:val="1"/>
    </w:lvl>
    <w:lvl w:ilvl="1">
      <w:lvlJc w:val="left"/>
      <w:lvlText w:val="(%2)"/>
      <w:numFmt w:val="upperLetter"/>
      <w:start w:val="1"/>
    </w:lvl>
  </w:abstractNum>
  <w:abstractNum w:abstractNumId="451">
    <w:nsid w:val="D15FACA"/>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jpe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82" Type="http://schemas.openxmlformats.org/officeDocument/2006/relationships/hyperlink" Target="http://www.sec.gov/Archives/edgar/data/1833756/000162828021004281/exhibit11-sx1aexhibitsonly.htm" TargetMode="External"/><Relationship Id="rId83" Type="http://schemas.openxmlformats.org/officeDocument/2006/relationships/hyperlink" Target="http://www.sec.gov/Archives/edgar/data/1833756/000162828021003412/exhibit31-sx1.htm" TargetMode="External"/><Relationship Id="rId84" Type="http://schemas.openxmlformats.org/officeDocument/2006/relationships/hyperlink" Target="http://www.sec.gov/Archives/edgar/data/1833756/000162828021003412/exhibit32-sx1.htm" TargetMode="External"/><Relationship Id="rId85" Type="http://schemas.openxmlformats.org/officeDocument/2006/relationships/hyperlink" Target="http://www.sec.gov/Archives/edgar/data/1833756/000162828021004281/exhibit33-sx1aexhibitsonly.htm" TargetMode="External"/><Relationship Id="rId86" Type="http://schemas.openxmlformats.org/officeDocument/2006/relationships/hyperlink" Target="http://www.sec.gov/Archives/edgar/data/1833756/000162828021004281/exhibit34-sx1aexhibitsonly.htm" TargetMode="External"/><Relationship Id="rId87" Type="http://schemas.openxmlformats.org/officeDocument/2006/relationships/hyperlink" Target="http://www.sec.gov/Archives/edgar/data/1833756/000162828021003412/exhibit41-sx1.htm" TargetMode="External"/><Relationship Id="rId88" Type="http://schemas.openxmlformats.org/officeDocument/2006/relationships/hyperlink" Target="http://www.sec.gov/Archives/edgar/data/1833756/000162828021004281/exhibit101-sx1aexhibitsonly.htm" TargetMode="External"/><Relationship Id="rId89" Type="http://schemas.openxmlformats.org/officeDocument/2006/relationships/hyperlink" Target="http://www.sec.gov/Archives/edgar/data/1833756/000162828021004281/exhibit102-sx1aexhibitsonly.htm" TargetMode="External"/><Relationship Id="rId90" Type="http://schemas.openxmlformats.org/officeDocument/2006/relationships/hyperlink" Target="http://www.sec.gov/Archives/edgar/data/1833756/000162828021004281/exhibit103-sx1aexhibitsonly.htm" TargetMode="External"/><Relationship Id="rId91" Type="http://schemas.openxmlformats.org/officeDocument/2006/relationships/hyperlink" Target="http://www.sec.gov/Archives/edgar/data/1833756/000162828021003412/exhibit104-sx1.htm" TargetMode="External"/><Relationship Id="rId92" Type="http://schemas.openxmlformats.org/officeDocument/2006/relationships/hyperlink" Target="http://www.sec.gov/Archives/edgar/data/1833756/000162828021003412/exhibit105-sx1.htm" TargetMode="External"/><Relationship Id="rId93" Type="http://schemas.openxmlformats.org/officeDocument/2006/relationships/hyperlink" Target="http://www.sec.gov/Archives/edgar/data/1833756/000162828021004281/exhibit106-sx1aexhibitsonly.htm" TargetMode="External"/><Relationship Id="rId94" Type="http://schemas.openxmlformats.org/officeDocument/2006/relationships/hyperlink" Target="http://www.sec.gov/Archives/edgar/data/1833756/000162828021003412/exhibit108-sx1.htm" TargetMode="External"/><Relationship Id="rId95" Type="http://schemas.openxmlformats.org/officeDocument/2006/relationships/hyperlink" Target="http://www.sec.gov/Archives/edgar/data/1833756/000162828021003412/exhibit109-sx1.htm" TargetMode="External"/><Relationship Id="rId96" Type="http://schemas.openxmlformats.org/officeDocument/2006/relationships/hyperlink" Target="https://www.sec.gov/Archives/edgar/data/1833756/000162828021003412/exhibit1010-sx1.htm" TargetMode="External"/><Relationship Id="rId97" Type="http://schemas.openxmlformats.org/officeDocument/2006/relationships/hyperlink" Target="http://www.sec.gov/Archives/edgar/data/1833756/000162828021003412/exhibit1011-sx1.htm" TargetMode="External"/><Relationship Id="rId98" Type="http://schemas.openxmlformats.org/officeDocument/2006/relationships/hyperlink" Target="http://www.sec.gov/Archives/edgar/data/1833756/000162828021003412/exhibit1012-sx1.htm" TargetMode="External"/><Relationship Id="rId99" Type="http://schemas.openxmlformats.org/officeDocument/2006/relationships/hyperlink" Target="http://www.sec.gov/Archives/edgar/data/1833756/000162828021003412/exhibit1013-sx1.htm" TargetMode="External"/><Relationship Id="rId100" Type="http://schemas.openxmlformats.org/officeDocument/2006/relationships/hyperlink" Target="http://www.sec.gov/Archives/edgar/data/1833756/000162828021003412/exhibit1014-sx1.htm" TargetMode="External"/><Relationship Id="rId101" Type="http://schemas.openxmlformats.org/officeDocument/2006/relationships/hyperlink" Target="https://www.sec.gov/Archives/edgar/data/1833756/000162828021003412/exhibit1015-sx1.htm" TargetMode="External"/><Relationship Id="rId102" Type="http://schemas.openxmlformats.org/officeDocument/2006/relationships/hyperlink" Target="http://www.sec.gov/Archives/edgar/data/1833756/000162828021003412/exhibit211-sx1.htm" TargetMode="External"/><Relationship Id="rId103" Type="http://schemas.openxmlformats.org/officeDocument/2006/relationships/hyperlink" Target="https://www.sec.gov/Archives/edgar/data/0001833756/000162828021003412/leonardodrsinc-sx1.htm#i53d857362c044bb5b5c02e2a62c0dd92_1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2021-03-15T06:00:22Z</dcterms:created>
  <dcterms:modified xsi:type="dcterms:W3CDTF">2021-03-15T06:00:22Z</dcterms:modified>
</cp:coreProperties>
</file>