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February 26, 2021</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31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S-1</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UNDER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50165</wp:posOffset>
            </wp:positionV>
            <wp:extent cx="1311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Leonardo DRS,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50165</wp:posOffset>
            </wp:positionV>
            <wp:extent cx="13119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59" w:lineRule="exact"/>
        <w:rPr>
          <w:sz w:val="24"/>
          <w:szCs w:val="24"/>
          <w:color w:val="auto"/>
        </w:rPr>
      </w:pPr>
    </w:p>
    <w:tbl>
      <w:tblPr>
        <w:tblLayout w:type="fixed"/>
        <w:tblInd w:w="820" w:type="dxa"/>
        <w:tblCellMar>
          <w:top w:w="0" w:type="dxa"/>
          <w:left w:w="0" w:type="dxa"/>
          <w:bottom w:w="0" w:type="dxa"/>
          <w:right w:w="0" w:type="dxa"/>
        </w:tblCellMar>
      </w:tblPr>
      <w:tr>
        <w:trPr>
          <w:trHeight w:val="149"/>
        </w:trPr>
        <w:tc>
          <w:tcPr>
            <w:tcW w:w="2980" w:type="dxa"/>
            <w:vAlign w:val="bottom"/>
          </w:tcPr>
          <w:p>
            <w:pPr>
              <w:jc w:val="center"/>
              <w:ind w:right="814"/>
              <w:spacing w:after="0"/>
              <w:rPr>
                <w:sz w:val="20"/>
                <w:szCs w:val="20"/>
                <w:color w:val="auto"/>
              </w:rPr>
            </w:pPr>
            <w:r>
              <w:rPr>
                <w:rFonts w:ascii="Arial" w:cs="Arial" w:eastAsia="Arial" w:hAnsi="Arial"/>
                <w:sz w:val="13"/>
                <w:szCs w:val="13"/>
                <w:b w:val="1"/>
                <w:bCs w:val="1"/>
                <w:color w:val="auto"/>
              </w:rPr>
              <w:t>Delaware</w:t>
            </w:r>
          </w:p>
        </w:tc>
        <w:tc>
          <w:tcPr>
            <w:tcW w:w="3800" w:type="dxa"/>
            <w:vAlign w:val="bottom"/>
          </w:tcPr>
          <w:p>
            <w:pPr>
              <w:jc w:val="center"/>
              <w:ind w:right="114"/>
              <w:spacing w:after="0"/>
              <w:rPr>
                <w:sz w:val="20"/>
                <w:szCs w:val="20"/>
                <w:color w:val="auto"/>
              </w:rPr>
            </w:pPr>
            <w:r>
              <w:rPr>
                <w:rFonts w:ascii="Arial" w:cs="Arial" w:eastAsia="Arial" w:hAnsi="Arial"/>
                <w:sz w:val="13"/>
                <w:szCs w:val="13"/>
                <w:b w:val="1"/>
                <w:bCs w:val="1"/>
                <w:color w:val="auto"/>
              </w:rPr>
              <w:t>3812</w:t>
            </w:r>
          </w:p>
        </w:tc>
        <w:tc>
          <w:tcPr>
            <w:tcW w:w="2480" w:type="dxa"/>
            <w:vAlign w:val="bottom"/>
          </w:tcPr>
          <w:p>
            <w:pPr>
              <w:jc w:val="center"/>
              <w:ind w:left="994"/>
              <w:spacing w:after="0"/>
              <w:rPr>
                <w:sz w:val="20"/>
                <w:szCs w:val="20"/>
                <w:color w:val="auto"/>
              </w:rPr>
            </w:pPr>
            <w:r>
              <w:rPr>
                <w:rFonts w:ascii="Arial" w:cs="Arial" w:eastAsia="Arial" w:hAnsi="Arial"/>
                <w:sz w:val="13"/>
                <w:szCs w:val="13"/>
                <w:b w:val="1"/>
                <w:bCs w:val="1"/>
                <w:color w:val="auto"/>
              </w:rPr>
              <w:t>13-2632319</w:t>
            </w:r>
          </w:p>
        </w:tc>
      </w:tr>
      <w:tr>
        <w:trPr>
          <w:trHeight w:val="149"/>
        </w:trPr>
        <w:tc>
          <w:tcPr>
            <w:tcW w:w="2980" w:type="dxa"/>
            <w:vAlign w:val="bottom"/>
          </w:tcPr>
          <w:p>
            <w:pPr>
              <w:jc w:val="center"/>
              <w:ind w:right="834"/>
              <w:spacing w:after="0"/>
              <w:rPr>
                <w:sz w:val="20"/>
                <w:szCs w:val="20"/>
                <w:color w:val="auto"/>
              </w:rPr>
            </w:pPr>
            <w:r>
              <w:rPr>
                <w:rFonts w:ascii="Arial" w:cs="Arial" w:eastAsia="Arial" w:hAnsi="Arial"/>
                <w:sz w:val="13"/>
                <w:szCs w:val="13"/>
                <w:b w:val="1"/>
                <w:bCs w:val="1"/>
                <w:color w:val="auto"/>
              </w:rPr>
              <w:t>(State or Other Jurisdiction</w:t>
            </w:r>
          </w:p>
        </w:tc>
        <w:tc>
          <w:tcPr>
            <w:tcW w:w="3800" w:type="dxa"/>
            <w:vAlign w:val="bottom"/>
          </w:tcPr>
          <w:p>
            <w:pPr>
              <w:jc w:val="center"/>
              <w:ind w:right="114"/>
              <w:spacing w:after="0"/>
              <w:rPr>
                <w:sz w:val="20"/>
                <w:szCs w:val="20"/>
                <w:color w:val="auto"/>
              </w:rPr>
            </w:pPr>
            <w:r>
              <w:rPr>
                <w:rFonts w:ascii="Arial" w:cs="Arial" w:eastAsia="Arial" w:hAnsi="Arial"/>
                <w:sz w:val="13"/>
                <w:szCs w:val="13"/>
                <w:b w:val="1"/>
                <w:bCs w:val="1"/>
                <w:color w:val="auto"/>
              </w:rPr>
              <w:t>(Primary Standard Industrial</w:t>
            </w:r>
          </w:p>
        </w:tc>
        <w:tc>
          <w:tcPr>
            <w:tcW w:w="2480" w:type="dxa"/>
            <w:vAlign w:val="bottom"/>
          </w:tcPr>
          <w:p>
            <w:pPr>
              <w:jc w:val="center"/>
              <w:ind w:left="994"/>
              <w:spacing w:after="0"/>
              <w:rPr>
                <w:sz w:val="20"/>
                <w:szCs w:val="20"/>
                <w:color w:val="auto"/>
              </w:rPr>
            </w:pPr>
            <w:r>
              <w:rPr>
                <w:rFonts w:ascii="Arial" w:cs="Arial" w:eastAsia="Arial" w:hAnsi="Arial"/>
                <w:sz w:val="13"/>
                <w:szCs w:val="13"/>
                <w:b w:val="1"/>
                <w:bCs w:val="1"/>
                <w:color w:val="auto"/>
              </w:rPr>
              <w:t>(I.R.S. Employer</w:t>
            </w:r>
          </w:p>
        </w:tc>
      </w:tr>
      <w:tr>
        <w:trPr>
          <w:trHeight w:val="176"/>
        </w:trPr>
        <w:tc>
          <w:tcPr>
            <w:tcW w:w="2980" w:type="dxa"/>
            <w:vAlign w:val="bottom"/>
          </w:tcPr>
          <w:p>
            <w:pPr>
              <w:jc w:val="center"/>
              <w:ind w:right="834"/>
              <w:spacing w:after="0"/>
              <w:rPr>
                <w:sz w:val="20"/>
                <w:szCs w:val="20"/>
                <w:color w:val="auto"/>
              </w:rPr>
            </w:pPr>
            <w:r>
              <w:rPr>
                <w:rFonts w:ascii="Arial" w:cs="Arial" w:eastAsia="Arial" w:hAnsi="Arial"/>
                <w:sz w:val="13"/>
                <w:szCs w:val="13"/>
                <w:b w:val="1"/>
                <w:bCs w:val="1"/>
                <w:color w:val="auto"/>
              </w:rPr>
              <w:t>of Incorporation or Organization)</w:t>
            </w:r>
          </w:p>
        </w:tc>
        <w:tc>
          <w:tcPr>
            <w:tcW w:w="3800" w:type="dxa"/>
            <w:vAlign w:val="bottom"/>
          </w:tcPr>
          <w:p>
            <w:pPr>
              <w:jc w:val="center"/>
              <w:ind w:right="114"/>
              <w:spacing w:after="0"/>
              <w:rPr>
                <w:sz w:val="20"/>
                <w:szCs w:val="20"/>
                <w:color w:val="auto"/>
              </w:rPr>
            </w:pPr>
            <w:r>
              <w:rPr>
                <w:rFonts w:ascii="Arial" w:cs="Arial" w:eastAsia="Arial" w:hAnsi="Arial"/>
                <w:sz w:val="13"/>
                <w:szCs w:val="13"/>
                <w:b w:val="1"/>
                <w:bCs w:val="1"/>
                <w:color w:val="auto"/>
              </w:rPr>
              <w:t>Classification Code Number)</w:t>
            </w:r>
          </w:p>
        </w:tc>
        <w:tc>
          <w:tcPr>
            <w:tcW w:w="2480" w:type="dxa"/>
            <w:vAlign w:val="bottom"/>
          </w:tcPr>
          <w:p>
            <w:pPr>
              <w:jc w:val="center"/>
              <w:ind w:left="994"/>
              <w:spacing w:after="0"/>
              <w:rPr>
                <w:sz w:val="20"/>
                <w:szCs w:val="20"/>
                <w:color w:val="auto"/>
              </w:rPr>
            </w:pPr>
            <w:r>
              <w:rPr>
                <w:rFonts w:ascii="Arial" w:cs="Arial" w:eastAsia="Arial" w:hAnsi="Arial"/>
                <w:sz w:val="13"/>
                <w:szCs w:val="13"/>
                <w:b w:val="1"/>
                <w:bCs w:val="1"/>
                <w:color w:val="auto"/>
              </w:rPr>
              <w:t>Identification Number)</w:t>
            </w: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2345 Crystal Drive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Suite 1000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Arlington, Virginia 22202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(703) 416-8000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47625</wp:posOffset>
            </wp:positionV>
            <wp:extent cx="13119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William J. Lynn III</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Chief Executive Officer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2345 Crystal Drive</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Suite 1000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Arlington, Virginia 22202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(703) 416-8000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47625</wp:posOffset>
            </wp:positionV>
            <wp:extent cx="13119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2" w:lineRule="exact"/>
        <w:rPr>
          <w:sz w:val="24"/>
          <w:szCs w:val="24"/>
          <w:color w:val="auto"/>
        </w:rPr>
      </w:pPr>
    </w:p>
    <w:tbl>
      <w:tblPr>
        <w:tblLayout w:type="fixed"/>
        <w:tblInd w:w="92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4280" w:type="dxa"/>
            <w:vAlign w:val="bottom"/>
          </w:tcPr>
          <w:p>
            <w:pPr>
              <w:jc w:val="center"/>
              <w:ind w:left="125"/>
              <w:spacing w:after="0"/>
              <w:rPr>
                <w:sz w:val="20"/>
                <w:szCs w:val="20"/>
                <w:color w:val="auto"/>
              </w:rPr>
            </w:pPr>
            <w:r>
              <w:rPr>
                <w:rFonts w:ascii="Arial" w:cs="Arial" w:eastAsia="Arial" w:hAnsi="Arial"/>
                <w:sz w:val="15"/>
                <w:szCs w:val="15"/>
                <w:i w:val="1"/>
                <w:iCs w:val="1"/>
                <w:color w:val="auto"/>
              </w:rPr>
              <w:t>Copies to:</w:t>
            </w:r>
          </w:p>
        </w:tc>
        <w:tc>
          <w:tcPr>
            <w:tcW w:w="3040" w:type="dxa"/>
            <w:vAlign w:val="bottom"/>
          </w:tcPr>
          <w:p>
            <w:pPr>
              <w:spacing w:after="0"/>
              <w:rPr>
                <w:sz w:val="16"/>
                <w:szCs w:val="16"/>
                <w:color w:val="auto"/>
              </w:rPr>
            </w:pPr>
          </w:p>
        </w:tc>
      </w:tr>
      <w:tr>
        <w:trPr>
          <w:trHeight w:val="201"/>
        </w:trPr>
        <w:tc>
          <w:tcPr>
            <w:tcW w:w="2460" w:type="dxa"/>
            <w:vAlign w:val="bottom"/>
          </w:tcPr>
          <w:p>
            <w:pPr>
              <w:jc w:val="center"/>
              <w:ind w:right="505"/>
              <w:spacing w:after="0"/>
              <w:rPr>
                <w:sz w:val="20"/>
                <w:szCs w:val="20"/>
                <w:color w:val="auto"/>
              </w:rPr>
            </w:pPr>
            <w:r>
              <w:rPr>
                <w:rFonts w:ascii="Arial" w:cs="Arial" w:eastAsia="Arial" w:hAnsi="Arial"/>
                <w:sz w:val="15"/>
                <w:szCs w:val="15"/>
                <w:b w:val="1"/>
                <w:bCs w:val="1"/>
                <w:color w:val="auto"/>
                <w:w w:val="99"/>
              </w:rPr>
              <w:t>Scott D. Miller</w:t>
            </w:r>
          </w:p>
        </w:tc>
        <w:tc>
          <w:tcPr>
            <w:tcW w:w="4280" w:type="dxa"/>
            <w:vAlign w:val="bottom"/>
          </w:tcPr>
          <w:p>
            <w:pPr>
              <w:jc w:val="center"/>
              <w:ind w:left="105"/>
              <w:spacing w:after="0"/>
              <w:rPr>
                <w:sz w:val="20"/>
                <w:szCs w:val="20"/>
                <w:color w:val="auto"/>
              </w:rPr>
            </w:pPr>
            <w:r>
              <w:rPr>
                <w:rFonts w:ascii="Arial" w:cs="Arial" w:eastAsia="Arial" w:hAnsi="Arial"/>
                <w:sz w:val="15"/>
                <w:szCs w:val="15"/>
                <w:b w:val="1"/>
                <w:bCs w:val="1"/>
                <w:color w:val="auto"/>
                <w:w w:val="98"/>
              </w:rPr>
              <w:t>Mark A. Dorfman</w:t>
            </w:r>
          </w:p>
        </w:tc>
        <w:tc>
          <w:tcPr>
            <w:tcW w:w="3040" w:type="dxa"/>
            <w:vAlign w:val="bottom"/>
          </w:tcPr>
          <w:p>
            <w:pPr>
              <w:jc w:val="center"/>
              <w:ind w:left="305"/>
              <w:spacing w:after="0"/>
              <w:rPr>
                <w:sz w:val="20"/>
                <w:szCs w:val="20"/>
                <w:color w:val="auto"/>
              </w:rPr>
            </w:pPr>
            <w:r>
              <w:rPr>
                <w:rFonts w:ascii="Arial" w:cs="Arial" w:eastAsia="Arial" w:hAnsi="Arial"/>
                <w:sz w:val="15"/>
                <w:szCs w:val="15"/>
                <w:b w:val="1"/>
                <w:bCs w:val="1"/>
                <w:color w:val="auto"/>
              </w:rPr>
              <w:t>Craig B. Brod</w:t>
            </w:r>
          </w:p>
        </w:tc>
      </w:tr>
      <w:tr>
        <w:trPr>
          <w:trHeight w:val="174"/>
        </w:trPr>
        <w:tc>
          <w:tcPr>
            <w:tcW w:w="2460" w:type="dxa"/>
            <w:vAlign w:val="bottom"/>
          </w:tcPr>
          <w:p>
            <w:pPr>
              <w:jc w:val="center"/>
              <w:ind w:right="505"/>
              <w:spacing w:after="0"/>
              <w:rPr>
                <w:sz w:val="20"/>
                <w:szCs w:val="20"/>
                <w:color w:val="auto"/>
              </w:rPr>
            </w:pPr>
            <w:r>
              <w:rPr>
                <w:rFonts w:ascii="Arial" w:cs="Arial" w:eastAsia="Arial" w:hAnsi="Arial"/>
                <w:sz w:val="15"/>
                <w:szCs w:val="15"/>
                <w:b w:val="1"/>
                <w:bCs w:val="1"/>
                <w:color w:val="auto"/>
                <w:w w:val="99"/>
              </w:rPr>
              <w:t>Sullivan &amp; Cromwell LLP</w:t>
            </w:r>
          </w:p>
        </w:tc>
        <w:tc>
          <w:tcPr>
            <w:tcW w:w="4280" w:type="dxa"/>
            <w:vAlign w:val="bottom"/>
          </w:tcPr>
          <w:p>
            <w:pPr>
              <w:jc w:val="center"/>
              <w:ind w:left="105"/>
              <w:spacing w:after="0"/>
              <w:rPr>
                <w:sz w:val="20"/>
                <w:szCs w:val="20"/>
                <w:color w:val="auto"/>
              </w:rPr>
            </w:pPr>
            <w:r>
              <w:rPr>
                <w:rFonts w:ascii="Arial" w:cs="Arial" w:eastAsia="Arial" w:hAnsi="Arial"/>
                <w:sz w:val="15"/>
                <w:szCs w:val="15"/>
                <w:b w:val="1"/>
                <w:bCs w:val="1"/>
                <w:color w:val="auto"/>
                <w:w w:val="99"/>
              </w:rPr>
              <w:t>Executive Vice President, General Counsel and</w:t>
            </w:r>
          </w:p>
        </w:tc>
        <w:tc>
          <w:tcPr>
            <w:tcW w:w="3040" w:type="dxa"/>
            <w:vAlign w:val="bottom"/>
          </w:tcPr>
          <w:p>
            <w:pPr>
              <w:jc w:val="center"/>
              <w:ind w:left="305"/>
              <w:spacing w:after="0"/>
              <w:rPr>
                <w:sz w:val="20"/>
                <w:szCs w:val="20"/>
                <w:color w:val="auto"/>
              </w:rPr>
            </w:pPr>
            <w:r>
              <w:rPr>
                <w:rFonts w:ascii="Arial" w:cs="Arial" w:eastAsia="Arial" w:hAnsi="Arial"/>
                <w:sz w:val="15"/>
                <w:szCs w:val="15"/>
                <w:b w:val="1"/>
                <w:bCs w:val="1"/>
                <w:color w:val="auto"/>
                <w:w w:val="98"/>
              </w:rPr>
              <w:t>Jeffrey D. Karpf</w:t>
            </w:r>
          </w:p>
        </w:tc>
      </w:tr>
      <w:tr>
        <w:trPr>
          <w:trHeight w:val="174"/>
        </w:trPr>
        <w:tc>
          <w:tcPr>
            <w:tcW w:w="2460" w:type="dxa"/>
            <w:vAlign w:val="bottom"/>
          </w:tcPr>
          <w:p>
            <w:pPr>
              <w:jc w:val="center"/>
              <w:ind w:right="485"/>
              <w:spacing w:after="0"/>
              <w:rPr>
                <w:sz w:val="20"/>
                <w:szCs w:val="20"/>
                <w:color w:val="auto"/>
              </w:rPr>
            </w:pPr>
            <w:r>
              <w:rPr>
                <w:rFonts w:ascii="Arial" w:cs="Arial" w:eastAsia="Arial" w:hAnsi="Arial"/>
                <w:sz w:val="15"/>
                <w:szCs w:val="15"/>
                <w:b w:val="1"/>
                <w:bCs w:val="1"/>
                <w:color w:val="auto"/>
                <w:w w:val="98"/>
              </w:rPr>
              <w:t>125 Broad Street</w:t>
            </w:r>
          </w:p>
        </w:tc>
        <w:tc>
          <w:tcPr>
            <w:tcW w:w="4280" w:type="dxa"/>
            <w:vAlign w:val="bottom"/>
          </w:tcPr>
          <w:p>
            <w:pPr>
              <w:jc w:val="center"/>
              <w:ind w:left="125"/>
              <w:spacing w:after="0"/>
              <w:rPr>
                <w:sz w:val="20"/>
                <w:szCs w:val="20"/>
                <w:color w:val="auto"/>
              </w:rPr>
            </w:pPr>
            <w:r>
              <w:rPr>
                <w:rFonts w:ascii="Arial" w:cs="Arial" w:eastAsia="Arial" w:hAnsi="Arial"/>
                <w:sz w:val="15"/>
                <w:szCs w:val="15"/>
                <w:b w:val="1"/>
                <w:bCs w:val="1"/>
                <w:color w:val="auto"/>
                <w:w w:val="99"/>
              </w:rPr>
              <w:t>Secretary</w:t>
            </w:r>
          </w:p>
        </w:tc>
        <w:tc>
          <w:tcPr>
            <w:tcW w:w="3040" w:type="dxa"/>
            <w:vAlign w:val="bottom"/>
          </w:tcPr>
          <w:p>
            <w:pPr>
              <w:jc w:val="center"/>
              <w:ind w:left="305"/>
              <w:spacing w:after="0"/>
              <w:rPr>
                <w:sz w:val="20"/>
                <w:szCs w:val="20"/>
                <w:color w:val="auto"/>
              </w:rPr>
            </w:pPr>
            <w:r>
              <w:rPr>
                <w:rFonts w:ascii="Arial" w:cs="Arial" w:eastAsia="Arial" w:hAnsi="Arial"/>
                <w:sz w:val="15"/>
                <w:szCs w:val="15"/>
                <w:b w:val="1"/>
                <w:bCs w:val="1"/>
                <w:color w:val="auto"/>
                <w:w w:val="99"/>
              </w:rPr>
              <w:t>Cleary Gottlieb Steen &amp; Hamilton LLP</w:t>
            </w:r>
          </w:p>
        </w:tc>
      </w:tr>
      <w:tr>
        <w:trPr>
          <w:trHeight w:val="174"/>
        </w:trPr>
        <w:tc>
          <w:tcPr>
            <w:tcW w:w="2460" w:type="dxa"/>
            <w:vAlign w:val="bottom"/>
          </w:tcPr>
          <w:p>
            <w:pPr>
              <w:jc w:val="center"/>
              <w:ind w:right="505"/>
              <w:spacing w:after="0"/>
              <w:rPr>
                <w:sz w:val="20"/>
                <w:szCs w:val="20"/>
                <w:color w:val="auto"/>
              </w:rPr>
            </w:pPr>
            <w:r>
              <w:rPr>
                <w:rFonts w:ascii="Arial" w:cs="Arial" w:eastAsia="Arial" w:hAnsi="Arial"/>
                <w:sz w:val="15"/>
                <w:szCs w:val="15"/>
                <w:b w:val="1"/>
                <w:bCs w:val="1"/>
                <w:color w:val="auto"/>
                <w:w w:val="98"/>
              </w:rPr>
              <w:t>New York, New York 10004</w:t>
            </w:r>
          </w:p>
        </w:tc>
        <w:tc>
          <w:tcPr>
            <w:tcW w:w="4280" w:type="dxa"/>
            <w:vAlign w:val="bottom"/>
          </w:tcPr>
          <w:p>
            <w:pPr>
              <w:jc w:val="center"/>
              <w:ind w:left="105"/>
              <w:spacing w:after="0"/>
              <w:rPr>
                <w:sz w:val="20"/>
                <w:szCs w:val="20"/>
                <w:color w:val="auto"/>
              </w:rPr>
            </w:pPr>
            <w:r>
              <w:rPr>
                <w:rFonts w:ascii="Arial" w:cs="Arial" w:eastAsia="Arial" w:hAnsi="Arial"/>
                <w:sz w:val="15"/>
                <w:szCs w:val="15"/>
                <w:b w:val="1"/>
                <w:bCs w:val="1"/>
                <w:color w:val="auto"/>
                <w:w w:val="99"/>
              </w:rPr>
              <w:t>2345 Crystal Drive</w:t>
            </w:r>
          </w:p>
        </w:tc>
        <w:tc>
          <w:tcPr>
            <w:tcW w:w="3040" w:type="dxa"/>
            <w:vAlign w:val="bottom"/>
          </w:tcPr>
          <w:p>
            <w:pPr>
              <w:jc w:val="center"/>
              <w:ind w:left="305"/>
              <w:spacing w:after="0"/>
              <w:rPr>
                <w:sz w:val="20"/>
                <w:szCs w:val="20"/>
                <w:color w:val="auto"/>
              </w:rPr>
            </w:pPr>
            <w:r>
              <w:rPr>
                <w:rFonts w:ascii="Arial" w:cs="Arial" w:eastAsia="Arial" w:hAnsi="Arial"/>
                <w:sz w:val="15"/>
                <w:szCs w:val="15"/>
                <w:b w:val="1"/>
                <w:bCs w:val="1"/>
                <w:color w:val="auto"/>
              </w:rPr>
              <w:t>One Liberty Plaza</w:t>
            </w:r>
          </w:p>
        </w:tc>
      </w:tr>
      <w:tr>
        <w:trPr>
          <w:trHeight w:val="174"/>
        </w:trPr>
        <w:tc>
          <w:tcPr>
            <w:tcW w:w="2460" w:type="dxa"/>
            <w:vAlign w:val="bottom"/>
          </w:tcPr>
          <w:p>
            <w:pPr>
              <w:jc w:val="center"/>
              <w:ind w:right="485"/>
              <w:spacing w:after="0"/>
              <w:rPr>
                <w:sz w:val="20"/>
                <w:szCs w:val="20"/>
                <w:color w:val="auto"/>
              </w:rPr>
            </w:pPr>
            <w:r>
              <w:rPr>
                <w:rFonts w:ascii="Arial" w:cs="Arial" w:eastAsia="Arial" w:hAnsi="Arial"/>
                <w:sz w:val="15"/>
                <w:szCs w:val="15"/>
                <w:b w:val="1"/>
                <w:bCs w:val="1"/>
                <w:color w:val="auto"/>
                <w:w w:val="99"/>
              </w:rPr>
              <w:t>(212) 558-4000</w:t>
            </w:r>
          </w:p>
        </w:tc>
        <w:tc>
          <w:tcPr>
            <w:tcW w:w="4280" w:type="dxa"/>
            <w:vAlign w:val="bottom"/>
          </w:tcPr>
          <w:p>
            <w:pPr>
              <w:jc w:val="center"/>
              <w:ind w:left="105"/>
              <w:spacing w:after="0"/>
              <w:rPr>
                <w:sz w:val="20"/>
                <w:szCs w:val="20"/>
                <w:color w:val="auto"/>
              </w:rPr>
            </w:pPr>
            <w:r>
              <w:rPr>
                <w:rFonts w:ascii="Arial" w:cs="Arial" w:eastAsia="Arial" w:hAnsi="Arial"/>
                <w:sz w:val="15"/>
                <w:szCs w:val="15"/>
                <w:b w:val="1"/>
                <w:bCs w:val="1"/>
                <w:color w:val="auto"/>
                <w:w w:val="99"/>
              </w:rPr>
              <w:t>Suite 1000</w:t>
            </w:r>
          </w:p>
        </w:tc>
        <w:tc>
          <w:tcPr>
            <w:tcW w:w="3040" w:type="dxa"/>
            <w:vAlign w:val="bottom"/>
          </w:tcPr>
          <w:p>
            <w:pPr>
              <w:jc w:val="center"/>
              <w:ind w:left="305"/>
              <w:spacing w:after="0"/>
              <w:rPr>
                <w:sz w:val="20"/>
                <w:szCs w:val="20"/>
                <w:color w:val="auto"/>
              </w:rPr>
            </w:pPr>
            <w:r>
              <w:rPr>
                <w:rFonts w:ascii="Arial" w:cs="Arial" w:eastAsia="Arial" w:hAnsi="Arial"/>
                <w:sz w:val="15"/>
                <w:szCs w:val="15"/>
                <w:b w:val="1"/>
                <w:bCs w:val="1"/>
                <w:color w:val="auto"/>
                <w:w w:val="97"/>
              </w:rPr>
              <w:t>New York, New York 10006</w:t>
            </w:r>
          </w:p>
        </w:tc>
      </w:tr>
      <w:tr>
        <w:trPr>
          <w:trHeight w:val="174"/>
        </w:trPr>
        <w:tc>
          <w:tcPr>
            <w:tcW w:w="2460" w:type="dxa"/>
            <w:vAlign w:val="bottom"/>
          </w:tcPr>
          <w:p>
            <w:pPr>
              <w:spacing w:after="0"/>
              <w:rPr>
                <w:sz w:val="15"/>
                <w:szCs w:val="15"/>
                <w:color w:val="auto"/>
              </w:rPr>
            </w:pPr>
          </w:p>
        </w:tc>
        <w:tc>
          <w:tcPr>
            <w:tcW w:w="4280" w:type="dxa"/>
            <w:vAlign w:val="bottom"/>
          </w:tcPr>
          <w:p>
            <w:pPr>
              <w:jc w:val="center"/>
              <w:ind w:left="105"/>
              <w:spacing w:after="0"/>
              <w:rPr>
                <w:sz w:val="20"/>
                <w:szCs w:val="20"/>
                <w:color w:val="auto"/>
              </w:rPr>
            </w:pPr>
            <w:r>
              <w:rPr>
                <w:rFonts w:ascii="Arial" w:cs="Arial" w:eastAsia="Arial" w:hAnsi="Arial"/>
                <w:sz w:val="15"/>
                <w:szCs w:val="15"/>
                <w:b w:val="1"/>
                <w:bCs w:val="1"/>
                <w:color w:val="auto"/>
                <w:w w:val="98"/>
              </w:rPr>
              <w:t>Arlington, Virginia 22202</w:t>
            </w:r>
          </w:p>
        </w:tc>
        <w:tc>
          <w:tcPr>
            <w:tcW w:w="3040" w:type="dxa"/>
            <w:vAlign w:val="bottom"/>
          </w:tcPr>
          <w:p>
            <w:pPr>
              <w:jc w:val="center"/>
              <w:ind w:left="305"/>
              <w:spacing w:after="0"/>
              <w:rPr>
                <w:sz w:val="20"/>
                <w:szCs w:val="20"/>
                <w:color w:val="auto"/>
              </w:rPr>
            </w:pPr>
            <w:r>
              <w:rPr>
                <w:rFonts w:ascii="Arial" w:cs="Arial" w:eastAsia="Arial" w:hAnsi="Arial"/>
                <w:sz w:val="15"/>
                <w:szCs w:val="15"/>
                <w:b w:val="1"/>
                <w:bCs w:val="1"/>
                <w:color w:val="auto"/>
                <w:w w:val="99"/>
              </w:rPr>
              <w:t>(212) 225-2000</w:t>
            </w:r>
          </w:p>
        </w:tc>
      </w:tr>
      <w:tr>
        <w:trPr>
          <w:trHeight w:val="197"/>
        </w:trPr>
        <w:tc>
          <w:tcPr>
            <w:tcW w:w="2460" w:type="dxa"/>
            <w:vAlign w:val="bottom"/>
          </w:tcPr>
          <w:p>
            <w:pPr>
              <w:spacing w:after="0"/>
              <w:rPr>
                <w:sz w:val="17"/>
                <w:szCs w:val="17"/>
                <w:color w:val="auto"/>
              </w:rPr>
            </w:pPr>
          </w:p>
        </w:tc>
        <w:tc>
          <w:tcPr>
            <w:tcW w:w="4280" w:type="dxa"/>
            <w:vAlign w:val="bottom"/>
          </w:tcPr>
          <w:p>
            <w:pPr>
              <w:jc w:val="center"/>
              <w:ind w:left="105"/>
              <w:spacing w:after="0"/>
              <w:rPr>
                <w:sz w:val="20"/>
                <w:szCs w:val="20"/>
                <w:color w:val="auto"/>
              </w:rPr>
            </w:pPr>
            <w:r>
              <w:rPr>
                <w:rFonts w:ascii="Arial" w:cs="Arial" w:eastAsia="Arial" w:hAnsi="Arial"/>
                <w:sz w:val="15"/>
                <w:szCs w:val="15"/>
                <w:b w:val="1"/>
                <w:bCs w:val="1"/>
                <w:color w:val="auto"/>
                <w:w w:val="99"/>
              </w:rPr>
              <w:t>(703) 416-8000</w:t>
            </w:r>
          </w:p>
        </w:tc>
        <w:tc>
          <w:tcPr>
            <w:tcW w:w="30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114300</wp:posOffset>
            </wp:positionV>
            <wp:extent cx="13119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of the securities to the public: </w:t>
      </w:r>
      <w:r>
        <w:rPr>
          <w:rFonts w:ascii="Arial" w:cs="Arial" w:eastAsia="Arial" w:hAnsi="Arial"/>
          <w:sz w:val="15"/>
          <w:szCs w:val="15"/>
          <w:color w:val="auto"/>
        </w:rPr>
        <w:t>As soon as practicable after this registration statement becomes effective.</w:t>
      </w:r>
    </w:p>
    <w:p>
      <w:pPr>
        <w:spacing w:after="0" w:line="69" w:lineRule="exact"/>
        <w:rPr>
          <w:sz w:val="24"/>
          <w:szCs w:val="24"/>
          <w:color w:val="auto"/>
        </w:rPr>
      </w:pPr>
    </w:p>
    <w:p>
      <w:pPr>
        <w:ind w:right="120"/>
        <w:spacing w:after="0" w:line="184"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30" w:lineRule="exact"/>
        <w:rPr>
          <w:sz w:val="24"/>
          <w:szCs w:val="24"/>
          <w:color w:val="auto"/>
        </w:rPr>
      </w:pPr>
    </w:p>
    <w:p>
      <w:pPr>
        <w:ind w:right="200"/>
        <w:spacing w:after="0" w:line="184"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0" w:lineRule="exact"/>
        <w:rPr>
          <w:sz w:val="24"/>
          <w:szCs w:val="24"/>
          <w:color w:val="auto"/>
        </w:rPr>
      </w:pPr>
    </w:p>
    <w:p>
      <w:pPr>
        <w:ind w:right="100"/>
        <w:spacing w:after="0" w:line="184"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0" w:lineRule="exact"/>
        <w:rPr>
          <w:sz w:val="24"/>
          <w:szCs w:val="24"/>
          <w:color w:val="auto"/>
        </w:rPr>
      </w:pPr>
    </w:p>
    <w:p>
      <w:pPr>
        <w:ind w:right="80"/>
        <w:spacing w:after="0" w:line="184"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0" w:lineRule="exact"/>
        <w:rPr>
          <w:sz w:val="24"/>
          <w:szCs w:val="24"/>
          <w:color w:val="auto"/>
        </w:rPr>
      </w:pPr>
    </w:p>
    <w:p>
      <w:pPr>
        <w:ind w:right="60"/>
        <w:spacing w:after="0" w:line="24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an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640" w:type="dxa"/>
            <w:vAlign w:val="bottom"/>
          </w:tcPr>
          <w:p>
            <w:pPr>
              <w:ind w:left="2220"/>
              <w:spacing w:after="0"/>
              <w:rPr>
                <w:sz w:val="20"/>
                <w:szCs w:val="20"/>
                <w:color w:val="auto"/>
              </w:rPr>
            </w:pPr>
            <w:r>
              <w:rPr>
                <w:rFonts w:ascii="Arial" w:cs="Arial" w:eastAsia="Arial" w:hAnsi="Arial"/>
                <w:sz w:val="15"/>
                <w:szCs w:val="15"/>
                <w:color w:val="auto"/>
              </w:rPr>
              <w:t>Accelerated filer</w:t>
            </w:r>
          </w:p>
        </w:tc>
        <w:tc>
          <w:tcPr>
            <w:tcW w:w="780" w:type="dxa"/>
            <w:vAlign w:val="bottom"/>
          </w:tcPr>
          <w:p>
            <w:pPr>
              <w:ind w:left="6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24"/>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640" w:type="dxa"/>
            <w:vAlign w:val="bottom"/>
          </w:tcPr>
          <w:p>
            <w:pPr>
              <w:ind w:left="2220"/>
              <w:spacing w:after="0"/>
              <w:rPr>
                <w:sz w:val="20"/>
                <w:szCs w:val="20"/>
                <w:color w:val="auto"/>
              </w:rPr>
            </w:pPr>
            <w:r>
              <w:rPr>
                <w:rFonts w:ascii="Arial" w:cs="Arial" w:eastAsia="Arial" w:hAnsi="Arial"/>
                <w:sz w:val="15"/>
                <w:szCs w:val="15"/>
                <w:color w:val="auto"/>
              </w:rPr>
              <w:t>Smaller reporting company</w:t>
            </w:r>
          </w:p>
        </w:tc>
        <w:tc>
          <w:tcPr>
            <w:tcW w:w="780" w:type="dxa"/>
            <w:vAlign w:val="bottom"/>
          </w:tcPr>
          <w:p>
            <w:pPr>
              <w:ind w:left="6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3"/>
        </w:trPr>
        <w:tc>
          <w:tcPr>
            <w:tcW w:w="1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40" w:type="dxa"/>
            <w:vAlign w:val="bottom"/>
          </w:tcPr>
          <w:p>
            <w:pPr>
              <w:ind w:left="2220"/>
              <w:spacing w:after="0"/>
              <w:rPr>
                <w:sz w:val="20"/>
                <w:szCs w:val="20"/>
                <w:color w:val="auto"/>
              </w:rPr>
            </w:pPr>
            <w:r>
              <w:rPr>
                <w:rFonts w:ascii="Arial" w:cs="Arial" w:eastAsia="Arial" w:hAnsi="Arial"/>
                <w:sz w:val="15"/>
                <w:szCs w:val="15"/>
                <w:color w:val="auto"/>
              </w:rPr>
              <w:t>Emerging growth company</w:t>
            </w:r>
          </w:p>
        </w:tc>
        <w:tc>
          <w:tcPr>
            <w:tcW w:w="780" w:type="dxa"/>
            <w:vAlign w:val="bottom"/>
          </w:tcPr>
          <w:p>
            <w:pPr>
              <w:ind w:left="6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91" w:lineRule="exact"/>
        <w:rPr>
          <w:sz w:val="24"/>
          <w:szCs w:val="24"/>
          <w:color w:val="auto"/>
        </w:rPr>
      </w:pPr>
    </w:p>
    <w:p>
      <w:pPr>
        <w:ind w:right="480"/>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ectPr>
          <w:pgSz w:w="11900" w:h="16838" w:orient="portrait"/>
          <w:cols w:equalWidth="0" w:num="1">
            <w:col w:w="11240"/>
          </w:cols>
          <w:pgMar w:left="320" w:top="59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31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0" w:type="dxa"/>
            <w:vAlign w:val="bottom"/>
            <w:tcBorders>
              <w:top w:val="single" w:sz="8" w:color="auto"/>
            </w:tcBorders>
          </w:tcPr>
          <w:p>
            <w:pPr>
              <w:spacing w:after="0"/>
              <w:rPr>
                <w:sz w:val="13"/>
                <w:szCs w:val="13"/>
                <w:color w:val="auto"/>
              </w:rPr>
            </w:pPr>
          </w:p>
        </w:tc>
        <w:tc>
          <w:tcPr>
            <w:tcW w:w="2020" w:type="dxa"/>
            <w:vAlign w:val="bottom"/>
            <w:tcBorders>
              <w:top w:val="single" w:sz="8" w:color="auto"/>
              <w:right w:val="single" w:sz="8" w:color="auto"/>
            </w:tcBorders>
            <w:gridSpan w:val="2"/>
          </w:tcPr>
          <w:p>
            <w:pPr>
              <w:jc w:val="center"/>
              <w:ind w:right="185"/>
              <w:spacing w:after="0"/>
              <w:rPr>
                <w:sz w:val="20"/>
                <w:szCs w:val="20"/>
                <w:color w:val="auto"/>
              </w:rPr>
            </w:pPr>
            <w:r>
              <w:rPr>
                <w:rFonts w:ascii="Arial" w:cs="Arial" w:eastAsia="Arial" w:hAnsi="Arial"/>
                <w:sz w:val="12"/>
                <w:szCs w:val="12"/>
                <w:b w:val="1"/>
                <w:bCs w:val="1"/>
                <w:color w:val="auto"/>
                <w:w w:val="95"/>
              </w:rPr>
              <w:t>Title of Each Class of</w:t>
            </w:r>
          </w:p>
        </w:tc>
        <w:tc>
          <w:tcPr>
            <w:tcW w:w="2260" w:type="dxa"/>
            <w:vAlign w:val="bottom"/>
            <w:tcBorders>
              <w:top w:val="single" w:sz="8" w:color="auto"/>
              <w:right w:val="single" w:sz="8" w:color="auto"/>
            </w:tcBorders>
          </w:tcPr>
          <w:p>
            <w:pPr>
              <w:spacing w:after="0"/>
              <w:rPr>
                <w:sz w:val="13"/>
                <w:szCs w:val="13"/>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Proposed Maximum Offering Price Per</w:t>
            </w:r>
          </w:p>
        </w:tc>
        <w:tc>
          <w:tcPr>
            <w:tcW w:w="240" w:type="dxa"/>
            <w:vAlign w:val="bottom"/>
            <w:tcBorders>
              <w:top w:val="single" w:sz="8" w:color="auto"/>
            </w:tcBorders>
          </w:tcPr>
          <w:p>
            <w:pPr>
              <w:spacing w:after="0"/>
              <w:rPr>
                <w:sz w:val="13"/>
                <w:szCs w:val="13"/>
                <w:color w:val="auto"/>
              </w:rPr>
            </w:pPr>
          </w:p>
        </w:tc>
        <w:tc>
          <w:tcPr>
            <w:tcW w:w="2020" w:type="dxa"/>
            <w:vAlign w:val="bottom"/>
            <w:tcBorders>
              <w:top w:val="single" w:sz="8" w:color="auto"/>
              <w:right w:val="single" w:sz="8" w:color="auto"/>
            </w:tcBorders>
          </w:tcPr>
          <w:p>
            <w:pPr>
              <w:jc w:val="center"/>
              <w:ind w:right="219"/>
              <w:spacing w:after="0"/>
              <w:rPr>
                <w:sz w:val="20"/>
                <w:szCs w:val="20"/>
                <w:color w:val="auto"/>
              </w:rPr>
            </w:pPr>
            <w:r>
              <w:rPr>
                <w:rFonts w:ascii="Arial" w:cs="Arial" w:eastAsia="Arial" w:hAnsi="Arial"/>
                <w:sz w:val="12"/>
                <w:szCs w:val="12"/>
                <w:b w:val="1"/>
                <w:bCs w:val="1"/>
                <w:color w:val="auto"/>
                <w:w w:val="96"/>
              </w:rPr>
              <w:t>Proposed Maximum</w:t>
            </w:r>
          </w:p>
        </w:tc>
        <w:tc>
          <w:tcPr>
            <w:tcW w:w="6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539"/>
              <w:spacing w:after="0"/>
              <w:rPr>
                <w:sz w:val="20"/>
                <w:szCs w:val="20"/>
                <w:color w:val="auto"/>
              </w:rPr>
            </w:pPr>
            <w:r>
              <w:rPr>
                <w:rFonts w:ascii="Arial" w:cs="Arial" w:eastAsia="Arial" w:hAnsi="Arial"/>
                <w:sz w:val="12"/>
                <w:szCs w:val="12"/>
                <w:b w:val="1"/>
                <w:bCs w:val="1"/>
                <w:color w:val="auto"/>
                <w:w w:val="96"/>
              </w:rPr>
              <w:t>Amount of</w:t>
            </w:r>
          </w:p>
        </w:tc>
      </w:tr>
      <w:tr>
        <w:trPr>
          <w:trHeight w:val="181"/>
        </w:trPr>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right w:val="single" w:sz="8" w:color="auto"/>
            </w:tcBorders>
            <w:gridSpan w:val="2"/>
          </w:tcPr>
          <w:p>
            <w:pPr>
              <w:jc w:val="center"/>
              <w:ind w:right="185"/>
              <w:spacing w:after="0"/>
              <w:rPr>
                <w:sz w:val="20"/>
                <w:szCs w:val="20"/>
                <w:color w:val="auto"/>
              </w:rPr>
            </w:pPr>
            <w:r>
              <w:rPr>
                <w:rFonts w:ascii="Arial" w:cs="Arial" w:eastAsia="Arial" w:hAnsi="Arial"/>
                <w:sz w:val="12"/>
                <w:szCs w:val="12"/>
                <w:b w:val="1"/>
                <w:bCs w:val="1"/>
                <w:color w:val="auto"/>
                <w:w w:val="95"/>
              </w:rPr>
              <w:t>Securities to be Registered</w:t>
            </w:r>
          </w:p>
        </w:tc>
        <w:tc>
          <w:tcPr>
            <w:tcW w:w="22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2"/>
                <w:szCs w:val="12"/>
                <w:b w:val="1"/>
                <w:bCs w:val="1"/>
                <w:color w:val="auto"/>
              </w:rPr>
              <w:t>Amount to be Registered</w:t>
            </w:r>
            <w:r>
              <w:rPr>
                <w:rFonts w:ascii="Arial" w:cs="Arial" w:eastAsia="Arial" w:hAnsi="Arial"/>
                <w:sz w:val="15"/>
                <w:szCs w:val="15"/>
                <w:b w:val="1"/>
                <w:bCs w:val="1"/>
                <w:color w:val="auto"/>
                <w:vertAlign w:val="superscript"/>
              </w:rPr>
              <w:t>(1)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Share</w:t>
            </w:r>
            <w:r>
              <w:rPr>
                <w:rFonts w:ascii="Arial" w:cs="Arial" w:eastAsia="Arial" w:hAnsi="Arial"/>
                <w:sz w:val="15"/>
                <w:szCs w:val="15"/>
                <w:b w:val="1"/>
                <w:bCs w:val="1"/>
                <w:color w:val="auto"/>
                <w:w w:val="92"/>
                <w:vertAlign w:val="superscript"/>
              </w:rPr>
              <w:t>(2)</w:t>
            </w: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2"/>
                <w:szCs w:val="12"/>
                <w:b w:val="1"/>
                <w:bCs w:val="1"/>
                <w:color w:val="auto"/>
                <w:w w:val="94"/>
              </w:rPr>
              <w:t>Aggregate Offering Price</w:t>
            </w:r>
            <w:r>
              <w:rPr>
                <w:rFonts w:ascii="Arial" w:cs="Arial" w:eastAsia="Arial" w:hAnsi="Arial"/>
                <w:sz w:val="15"/>
                <w:szCs w:val="15"/>
                <w:b w:val="1"/>
                <w:bCs w:val="1"/>
                <w:color w:val="auto"/>
                <w:w w:val="94"/>
                <w:vertAlign w:val="superscript"/>
              </w:rPr>
              <w:t>(2)</w:t>
            </w:r>
          </w:p>
        </w:tc>
        <w:tc>
          <w:tcPr>
            <w:tcW w:w="6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539"/>
              <w:spacing w:after="0"/>
              <w:rPr>
                <w:sz w:val="20"/>
                <w:szCs w:val="20"/>
                <w:color w:val="auto"/>
              </w:rPr>
            </w:pPr>
            <w:r>
              <w:rPr>
                <w:rFonts w:ascii="Arial" w:cs="Arial" w:eastAsia="Arial" w:hAnsi="Arial"/>
                <w:sz w:val="12"/>
                <w:szCs w:val="12"/>
                <w:b w:val="1"/>
                <w:bCs w:val="1"/>
                <w:color w:val="auto"/>
                <w:w w:val="95"/>
              </w:rPr>
              <w:t>Registration Fee</w:t>
            </w:r>
          </w:p>
        </w:tc>
      </w:tr>
      <w:tr>
        <w:trPr>
          <w:trHeight w:val="171"/>
        </w:trPr>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Common Stock, par value $0.01 per</w:t>
            </w:r>
          </w:p>
        </w:tc>
        <w:tc>
          <w:tcPr>
            <w:tcW w:w="226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5"/>
        </w:trPr>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share</w:t>
            </w:r>
          </w:p>
        </w:tc>
        <w:tc>
          <w:tcPr>
            <w:tcW w:w="110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jc w:val="right"/>
              <w:ind w:right="2099"/>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2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3"/>
                <w:szCs w:val="13"/>
                <w:color w:val="auto"/>
              </w:rPr>
              <w:t>100,000,000</w:t>
            </w:r>
          </w:p>
        </w:tc>
        <w:tc>
          <w:tcPr>
            <w:tcW w:w="60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10,910.00</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55"/>
        </w:trPr>
        <w:tc>
          <w:tcPr>
            <w:tcW w:w="240" w:type="dxa"/>
            <w:vAlign w:val="bottom"/>
          </w:tcPr>
          <w:p>
            <w:pPr>
              <w:spacing w:after="0"/>
              <w:rPr>
                <w:sz w:val="20"/>
                <w:szCs w:val="20"/>
                <w:color w:val="auto"/>
              </w:rPr>
            </w:pPr>
            <w:r>
              <w:rPr>
                <w:rFonts w:ascii="Arial" w:cs="Arial" w:eastAsia="Arial" w:hAnsi="Arial"/>
                <w:sz w:val="15"/>
                <w:szCs w:val="15"/>
                <w:color w:val="auto"/>
              </w:rPr>
              <w:t>(1)</w:t>
            </w:r>
          </w:p>
        </w:tc>
        <w:tc>
          <w:tcPr>
            <w:tcW w:w="920" w:type="dxa"/>
            <w:vAlign w:val="bottom"/>
          </w:tcPr>
          <w:p>
            <w:pPr>
              <w:ind w:left="60"/>
              <w:spacing w:after="0"/>
              <w:rPr>
                <w:sz w:val="20"/>
                <w:szCs w:val="20"/>
                <w:color w:val="auto"/>
              </w:rPr>
            </w:pPr>
            <w:r>
              <w:rPr>
                <w:rFonts w:ascii="Arial" w:cs="Arial" w:eastAsia="Arial" w:hAnsi="Arial"/>
                <w:sz w:val="15"/>
                <w:szCs w:val="15"/>
                <w:color w:val="auto"/>
              </w:rPr>
              <w:t>Includes</w:t>
            </w:r>
          </w:p>
        </w:tc>
        <w:tc>
          <w:tcPr>
            <w:tcW w:w="7860" w:type="dxa"/>
            <w:vAlign w:val="bottom"/>
            <w:gridSpan w:val="5"/>
          </w:tcPr>
          <w:p>
            <w:pPr>
              <w:jc w:val="right"/>
              <w:ind w:right="1559"/>
              <w:spacing w:after="0"/>
              <w:rPr>
                <w:sz w:val="20"/>
                <w:szCs w:val="20"/>
                <w:color w:val="auto"/>
              </w:rPr>
            </w:pPr>
            <w:r>
              <w:rPr>
                <w:rFonts w:ascii="Arial" w:cs="Arial" w:eastAsia="Arial" w:hAnsi="Arial"/>
                <w:sz w:val="15"/>
                <w:szCs w:val="15"/>
                <w:color w:val="auto"/>
              </w:rPr>
              <w:t>shares of common stock subject to the underwriters’ option to purchase additional shares.</w:t>
            </w:r>
          </w:p>
        </w:tc>
        <w:tc>
          <w:tcPr>
            <w:tcW w:w="6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79"/>
        </w:trPr>
        <w:tc>
          <w:tcPr>
            <w:tcW w:w="240" w:type="dxa"/>
            <w:vAlign w:val="bottom"/>
          </w:tcPr>
          <w:p>
            <w:pPr>
              <w:spacing w:after="0"/>
              <w:rPr>
                <w:sz w:val="20"/>
                <w:szCs w:val="20"/>
                <w:color w:val="auto"/>
              </w:rPr>
            </w:pPr>
            <w:r>
              <w:rPr>
                <w:rFonts w:ascii="Arial" w:cs="Arial" w:eastAsia="Arial" w:hAnsi="Arial"/>
                <w:sz w:val="15"/>
                <w:szCs w:val="15"/>
                <w:color w:val="auto"/>
              </w:rPr>
              <w:t>(2)</w:t>
            </w:r>
          </w:p>
        </w:tc>
        <w:tc>
          <w:tcPr>
            <w:tcW w:w="9380" w:type="dxa"/>
            <w:vAlign w:val="bottom"/>
            <w:gridSpan w:val="7"/>
          </w:tcPr>
          <w:p>
            <w:pPr>
              <w:ind w:left="60"/>
              <w:spacing w:after="0"/>
              <w:rPr>
                <w:sz w:val="20"/>
                <w:szCs w:val="20"/>
                <w:color w:val="auto"/>
              </w:rPr>
            </w:pPr>
            <w:r>
              <w:rPr>
                <w:rFonts w:ascii="Arial" w:cs="Arial" w:eastAsia="Arial" w:hAnsi="Arial"/>
                <w:sz w:val="15"/>
                <w:szCs w:val="15"/>
                <w:color w:val="auto"/>
                <w:w w:val="99"/>
              </w:rPr>
              <w:t>Estimated solely for the purpose of calculating the registration fee in accordance with Rule 457(o) of the Securities Act of 1933, as amended.</w:t>
            </w:r>
          </w:p>
        </w:tc>
        <w:tc>
          <w:tcPr>
            <w:tcW w:w="1620" w:type="dxa"/>
            <w:vAlign w:val="bottom"/>
          </w:tcPr>
          <w:p>
            <w:pPr>
              <w:spacing w:after="0"/>
              <w:rPr>
                <w:sz w:val="15"/>
                <w:szCs w:val="15"/>
                <w:color w:val="auto"/>
              </w:rPr>
            </w:pPr>
          </w:p>
        </w:tc>
      </w:tr>
    </w:tbl>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431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1431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2" w:name="page3"/>
    <w:bookmarkEnd w:id="2"/>
    <w:p>
      <w:pPr>
        <w:ind w:right="100"/>
        <w:spacing w:after="0" w:line="261" w:lineRule="auto"/>
        <w:rPr>
          <w:sz w:val="20"/>
          <w:szCs w:val="20"/>
          <w:color w:val="auto"/>
        </w:rPr>
      </w:pPr>
      <w:r>
        <w:rPr>
          <w:rFonts w:ascii="Arial" w:cs="Arial" w:eastAsia="Arial" w:hAnsi="Arial"/>
          <w:sz w:val="13"/>
          <w:szCs w:val="13"/>
          <w:b w:val="1"/>
          <w:bCs w:val="1"/>
          <w:color w:val="DE1A1E"/>
        </w:rPr>
        <w:t>The information in this preliminary prospectus is not complete and may be changed. We and the selling stockholder may not sell these securities until the U.S. Securities and Exchange Commission declares our registration statement effective. This preliminary prospectus is not an offer to sell these securities and it is not soliciting offers to buy these securities in any state or jurisdiction where the offer or sale is not permitted.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SUBJECT TO COMPLETION, DATED FEBRUARY 26, 2021</w:t>
      </w:r>
    </w:p>
    <w:p>
      <w:pPr>
        <w:spacing w:after="0" w:line="155" w:lineRule="exact"/>
        <w:rPr>
          <w:sz w:val="20"/>
          <w:szCs w:val="20"/>
          <w:color w:val="auto"/>
        </w:rPr>
      </w:pPr>
    </w:p>
    <w:p>
      <w:pPr>
        <w:ind w:left="5640"/>
        <w:spacing w:after="0"/>
        <w:rPr>
          <w:sz w:val="20"/>
          <w:szCs w:val="20"/>
          <w:color w:val="auto"/>
        </w:rPr>
      </w:pPr>
      <w:r>
        <w:rPr>
          <w:rFonts w:ascii="Arial" w:cs="Arial" w:eastAsia="Arial" w:hAnsi="Arial"/>
          <w:sz w:val="23"/>
          <w:szCs w:val="23"/>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67945</wp:posOffset>
            </wp:positionV>
            <wp:extent cx="2765425" cy="363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5425" cy="36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Leonardo DRS,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Common Stock</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This is an initial public offering of shares of common stock of Leonardo DRS, Inc. The selling stockholder, Leonardo US Holding, Inc., a wholly owned</w:t>
      </w:r>
    </w:p>
    <w:p>
      <w:pPr>
        <w:spacing w:after="0" w:line="15"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color w:val="auto"/>
        </w:rPr>
        <w:t xml:space="preserve">subsidiary of Leonardo – </w:t>
      </w:r>
      <w:r>
        <w:rPr>
          <w:rFonts w:ascii="Arial" w:cs="Arial" w:eastAsia="Arial" w:hAnsi="Arial"/>
          <w:sz w:val="17"/>
          <w:szCs w:val="17"/>
          <w:i w:val="1"/>
          <w:iCs w:val="1"/>
          <w:color w:val="auto"/>
        </w:rPr>
        <w:t>Societá per azioni</w:t>
      </w:r>
      <w:r>
        <w:rPr>
          <w:rFonts w:ascii="Arial" w:cs="Arial" w:eastAsia="Arial" w:hAnsi="Arial"/>
          <w:sz w:val="17"/>
          <w:szCs w:val="17"/>
          <w:color w:val="auto"/>
        </w:rPr>
        <w:t>, is offering shares of common stock. We will not receive any of the proceeds from the sale of the shares being sold by the selling stockholder in this offering.</w:t>
      </w:r>
    </w:p>
    <w:p>
      <w:pPr>
        <w:spacing w:after="0" w:line="140" w:lineRule="exact"/>
        <w:rPr>
          <w:sz w:val="20"/>
          <w:szCs w:val="20"/>
          <w:color w:val="auto"/>
        </w:rPr>
      </w:pPr>
    </w:p>
    <w:p>
      <w:pPr>
        <w:ind w:right="380" w:firstLine="299"/>
        <w:spacing w:after="0" w:line="250" w:lineRule="auto"/>
        <w:rPr>
          <w:sz w:val="20"/>
          <w:szCs w:val="20"/>
          <w:color w:val="auto"/>
        </w:rPr>
      </w:pPr>
      <w:r>
        <w:rPr>
          <w:rFonts w:ascii="Arial" w:cs="Arial" w:eastAsia="Arial" w:hAnsi="Arial"/>
          <w:sz w:val="17"/>
          <w:szCs w:val="17"/>
          <w:color w:val="auto"/>
        </w:rPr>
        <w:t>Prior to this offering, there has been no public market for our common stock. We intend to apply to list our common stock on the New York Stock Exchange (“NYSE”), under the symbol “DRS.”</w:t>
      </w:r>
    </w:p>
    <w:p>
      <w:pPr>
        <w:sectPr>
          <w:pgSz w:w="11900" w:h="16838" w:orient="portrait"/>
          <w:cols w:equalWidth="0" w:num="1">
            <w:col w:w="11240"/>
          </w:cols>
          <w:pgMar w:left="320" w:top="1173" w:right="339" w:bottom="1440" w:gutter="0" w:footer="0" w:header="0"/>
        </w:sectPr>
      </w:pP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anticipate that the initial public offering price will be between $</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per share.</w:t>
      </w:r>
    </w:p>
    <w:p>
      <w:pPr>
        <w:spacing w:after="0" w:line="164" w:lineRule="exact"/>
        <w:rPr>
          <w:sz w:val="20"/>
          <w:szCs w:val="20"/>
          <w:color w:val="auto"/>
        </w:rPr>
      </w:pPr>
    </w:p>
    <w:p>
      <w:pPr>
        <w:sectPr>
          <w:pgSz w:w="11900" w:h="16838" w:orient="portrait"/>
          <w:cols w:equalWidth="0" w:num="3">
            <w:col w:w="5120" w:space="700"/>
            <w:col w:w="400" w:space="700"/>
            <w:col w:w="4320"/>
          </w:cols>
          <w:pgMar w:left="320" w:top="1173" w:right="3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After the completion of this offering, the selling stockholder will continue to hold up to</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6"/>
          <w:szCs w:val="16"/>
          <w:color w:val="auto"/>
        </w:rPr>
        <w:t>% of our common stock and we expect to be a</w:t>
      </w:r>
    </w:p>
    <w:p>
      <w:pPr>
        <w:spacing w:after="0" w:line="16" w:lineRule="exact"/>
        <w:rPr>
          <w:sz w:val="20"/>
          <w:szCs w:val="20"/>
          <w:color w:val="auto"/>
        </w:rPr>
      </w:pPr>
    </w:p>
    <w:p>
      <w:pPr>
        <w:sectPr>
          <w:pgSz w:w="11900" w:h="16838" w:orient="portrait"/>
          <w:cols w:equalWidth="0" w:num="2">
            <w:col w:w="6500" w:space="700"/>
            <w:col w:w="4040"/>
          </w:cols>
          <w:pgMar w:left="320" w:top="1173" w:right="339" w:bottom="1440" w:gutter="0" w:footer="0" w:header="0"/>
          <w:type w:val="continuous"/>
        </w:sectPr>
      </w:pPr>
    </w:p>
    <w:p>
      <w:pPr>
        <w:spacing w:after="0"/>
        <w:rPr>
          <w:sz w:val="20"/>
          <w:szCs w:val="20"/>
          <w:color w:val="auto"/>
        </w:rPr>
      </w:pPr>
      <w:r>
        <w:rPr>
          <w:rFonts w:ascii="Arial" w:cs="Arial" w:eastAsia="Arial" w:hAnsi="Arial"/>
          <w:sz w:val="17"/>
          <w:szCs w:val="17"/>
          <w:color w:val="auto"/>
        </w:rPr>
        <w:t>“controlled company” within the meaning of the corporate governance standards of the NYSE.</w:t>
      </w:r>
    </w:p>
    <w:p>
      <w:pPr>
        <w:spacing w:after="0" w:line="132" w:lineRule="exact"/>
        <w:rPr>
          <w:sz w:val="20"/>
          <w:szCs w:val="20"/>
          <w:color w:val="auto"/>
        </w:rPr>
      </w:pPr>
    </w:p>
    <w:p>
      <w:pPr>
        <w:ind w:right="480" w:firstLine="299"/>
        <w:spacing w:after="0" w:line="274" w:lineRule="auto"/>
        <w:rPr>
          <w:sz w:val="20"/>
          <w:szCs w:val="20"/>
          <w:color w:val="auto"/>
        </w:rPr>
      </w:pPr>
      <w:r>
        <w:rPr>
          <w:rFonts w:ascii="Arial" w:cs="Arial" w:eastAsia="Arial" w:hAnsi="Arial"/>
          <w:sz w:val="17"/>
          <w:szCs w:val="17"/>
          <w:b w:val="1"/>
          <w:bCs w:val="1"/>
          <w:color w:val="auto"/>
        </w:rPr>
        <w:t>Investing in our common stock involves risks. See “Risk Factors” beginning on page 16 of this prospectus to read about factors you should consider before buying shares of our common stock.</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980" w:type="dxa"/>
            <w:vAlign w:val="bottom"/>
          </w:tcPr>
          <w:p>
            <w:pPr>
              <w:spacing w:after="0"/>
              <w:rPr>
                <w:sz w:val="15"/>
                <w:szCs w:val="15"/>
                <w:color w:val="auto"/>
              </w:rPr>
            </w:pPr>
          </w:p>
        </w:tc>
        <w:tc>
          <w:tcPr>
            <w:tcW w:w="1660" w:type="dxa"/>
            <w:vAlign w:val="bottom"/>
            <w:gridSpan w:val="2"/>
          </w:tcPr>
          <w:p>
            <w:pPr>
              <w:ind w:left="480"/>
              <w:spacing w:after="0"/>
              <w:rPr>
                <w:sz w:val="20"/>
                <w:szCs w:val="20"/>
                <w:color w:val="auto"/>
              </w:rPr>
            </w:pPr>
            <w:r>
              <w:rPr>
                <w:rFonts w:ascii="Arial" w:cs="Arial" w:eastAsia="Arial" w:hAnsi="Arial"/>
                <w:sz w:val="13"/>
                <w:szCs w:val="13"/>
                <w:b w:val="1"/>
                <w:bCs w:val="1"/>
                <w:color w:val="auto"/>
              </w:rPr>
              <w:t>Per Share</w:t>
            </w:r>
          </w:p>
        </w:tc>
        <w:tc>
          <w:tcPr>
            <w:tcW w:w="1580" w:type="dxa"/>
            <w:vAlign w:val="bottom"/>
          </w:tcPr>
          <w:p>
            <w:pPr>
              <w:jc w:val="right"/>
              <w:ind w:right="541"/>
              <w:spacing w:after="0"/>
              <w:rPr>
                <w:sz w:val="20"/>
                <w:szCs w:val="20"/>
                <w:color w:val="auto"/>
              </w:rPr>
            </w:pPr>
            <w:r>
              <w:rPr>
                <w:rFonts w:ascii="Arial" w:cs="Arial" w:eastAsia="Arial" w:hAnsi="Arial"/>
                <w:sz w:val="13"/>
                <w:szCs w:val="13"/>
                <w:b w:val="1"/>
                <w:bCs w:val="1"/>
                <w:color w:val="auto"/>
              </w:rPr>
              <w:t>Total</w:t>
            </w:r>
          </w:p>
        </w:tc>
      </w:tr>
      <w:tr>
        <w:trPr>
          <w:trHeight w:val="222"/>
        </w:trPr>
        <w:tc>
          <w:tcPr>
            <w:tcW w:w="7980" w:type="dxa"/>
            <w:vAlign w:val="bottom"/>
          </w:tcPr>
          <w:p>
            <w:pPr>
              <w:spacing w:after="0"/>
              <w:rPr>
                <w:sz w:val="20"/>
                <w:szCs w:val="20"/>
                <w:color w:val="auto"/>
              </w:rPr>
            </w:pPr>
            <w:r>
              <w:rPr>
                <w:rFonts w:ascii="Arial" w:cs="Arial" w:eastAsia="Arial" w:hAnsi="Arial"/>
                <w:sz w:val="17"/>
                <w:szCs w:val="17"/>
                <w:color w:val="auto"/>
              </w:rPr>
              <w:t>Initial public offering price</w:t>
            </w:r>
          </w:p>
        </w:tc>
        <w:tc>
          <w:tcPr>
            <w:tcW w:w="1580" w:type="dxa"/>
            <w:vAlign w:val="bottom"/>
            <w:tcBorders>
              <w:top w:val="single" w:sz="8" w:color="auto"/>
            </w:tcBorders>
          </w:tcPr>
          <w:p>
            <w:pPr>
              <w:jc w:val="right"/>
              <w:ind w:right="1401"/>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right"/>
              <w:ind w:right="1381"/>
              <w:spacing w:after="0"/>
              <w:rPr>
                <w:sz w:val="20"/>
                <w:szCs w:val="20"/>
                <w:color w:val="auto"/>
              </w:rPr>
            </w:pPr>
            <w:r>
              <w:rPr>
                <w:rFonts w:ascii="Arial" w:cs="Arial" w:eastAsia="Arial" w:hAnsi="Arial"/>
                <w:sz w:val="17"/>
                <w:szCs w:val="17"/>
                <w:color w:val="auto"/>
              </w:rPr>
              <w:t>$</w:t>
            </w:r>
          </w:p>
        </w:tc>
      </w:tr>
      <w:tr>
        <w:trPr>
          <w:trHeight w:val="298"/>
        </w:trPr>
        <w:tc>
          <w:tcPr>
            <w:tcW w:w="7980" w:type="dxa"/>
            <w:vAlign w:val="bottom"/>
          </w:tcPr>
          <w:p>
            <w:pPr>
              <w:spacing w:after="0"/>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1"/>
                <w:szCs w:val="21"/>
                <w:color w:val="auto"/>
                <w:vertAlign w:val="superscript"/>
              </w:rPr>
              <w:t>(1)</w:t>
            </w:r>
          </w:p>
        </w:tc>
        <w:tc>
          <w:tcPr>
            <w:tcW w:w="1580" w:type="dxa"/>
            <w:vAlign w:val="bottom"/>
          </w:tcPr>
          <w:p>
            <w:pPr>
              <w:jc w:val="right"/>
              <w:ind w:right="1401"/>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24"/>
                <w:szCs w:val="24"/>
                <w:color w:val="auto"/>
              </w:rPr>
            </w:pPr>
          </w:p>
        </w:tc>
        <w:tc>
          <w:tcPr>
            <w:tcW w:w="1580" w:type="dxa"/>
            <w:vAlign w:val="bottom"/>
          </w:tcPr>
          <w:p>
            <w:pPr>
              <w:jc w:val="right"/>
              <w:ind w:right="1381"/>
              <w:spacing w:after="0"/>
              <w:rPr>
                <w:sz w:val="20"/>
                <w:szCs w:val="20"/>
                <w:color w:val="auto"/>
              </w:rPr>
            </w:pPr>
            <w:r>
              <w:rPr>
                <w:rFonts w:ascii="Arial" w:cs="Arial" w:eastAsia="Arial" w:hAnsi="Arial"/>
                <w:sz w:val="17"/>
                <w:szCs w:val="17"/>
                <w:color w:val="auto"/>
              </w:rPr>
              <w:t>$</w:t>
            </w:r>
          </w:p>
        </w:tc>
      </w:tr>
      <w:tr>
        <w:trPr>
          <w:trHeight w:val="200"/>
        </w:trPr>
        <w:tc>
          <w:tcPr>
            <w:tcW w:w="7980" w:type="dxa"/>
            <w:vAlign w:val="bottom"/>
          </w:tcPr>
          <w:p>
            <w:pPr>
              <w:spacing w:after="0"/>
              <w:rPr>
                <w:sz w:val="20"/>
                <w:szCs w:val="20"/>
                <w:color w:val="auto"/>
              </w:rPr>
            </w:pPr>
            <w:r>
              <w:rPr>
                <w:rFonts w:ascii="Arial" w:cs="Arial" w:eastAsia="Arial" w:hAnsi="Arial"/>
                <w:sz w:val="17"/>
                <w:szCs w:val="17"/>
                <w:color w:val="auto"/>
              </w:rPr>
              <w:t>Proceeds, before expenses, to the selling stockholder</w:t>
            </w:r>
          </w:p>
        </w:tc>
        <w:tc>
          <w:tcPr>
            <w:tcW w:w="1580" w:type="dxa"/>
            <w:vAlign w:val="bottom"/>
          </w:tcPr>
          <w:p>
            <w:pPr>
              <w:jc w:val="right"/>
              <w:ind w:right="1401"/>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7"/>
                <w:szCs w:val="17"/>
                <w:color w:val="auto"/>
              </w:rPr>
            </w:pPr>
          </w:p>
        </w:tc>
        <w:tc>
          <w:tcPr>
            <w:tcW w:w="1580" w:type="dxa"/>
            <w:vAlign w:val="bottom"/>
          </w:tcPr>
          <w:p>
            <w:pPr>
              <w:jc w:val="right"/>
              <w:ind w:right="1381"/>
              <w:spacing w:after="0"/>
              <w:rPr>
                <w:sz w:val="20"/>
                <w:szCs w:val="20"/>
                <w:color w:val="auto"/>
              </w:rPr>
            </w:pPr>
            <w:r>
              <w:rPr>
                <w:rFonts w:ascii="Arial" w:cs="Arial" w:eastAsia="Arial" w:hAnsi="Arial"/>
                <w:sz w:val="17"/>
                <w:szCs w:val="17"/>
                <w:color w:val="auto"/>
              </w:rPr>
              <w:t>$</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(1)  We have agreed to reimburse the underwriters for certain expenses in connection with this offering. See “Underwriting.”</w:t>
      </w:r>
    </w:p>
    <w:p>
      <w:pPr>
        <w:spacing w:after="0" w:line="149" w:lineRule="exact"/>
        <w:rPr>
          <w:sz w:val="20"/>
          <w:szCs w:val="20"/>
          <w:color w:val="auto"/>
        </w:rPr>
      </w:pPr>
    </w:p>
    <w:p>
      <w:pPr>
        <w:ind w:right="380" w:firstLine="299"/>
        <w:spacing w:after="0" w:line="250" w:lineRule="auto"/>
        <w:rPr>
          <w:sz w:val="20"/>
          <w:szCs w:val="20"/>
          <w:color w:val="auto"/>
        </w:rPr>
      </w:pPr>
      <w:r>
        <w:rPr>
          <w:rFonts w:ascii="Arial" w:cs="Arial" w:eastAsia="Arial" w:hAnsi="Arial"/>
          <w:sz w:val="17"/>
          <w:szCs w:val="17"/>
          <w:color w:val="auto"/>
        </w:rPr>
        <w:t>The underwriters also may purchase up to additional shares from the selling stockholder at the initial offering price less the underwriting discounts and commissions, within 30 days from the date of this prospectus.</w:t>
      </w:r>
    </w:p>
    <w:p>
      <w:pPr>
        <w:spacing w:after="0" w:line="120" w:lineRule="exact"/>
        <w:rPr>
          <w:sz w:val="20"/>
          <w:szCs w:val="20"/>
          <w:color w:val="auto"/>
        </w:rPr>
      </w:pPr>
    </w:p>
    <w:p>
      <w:pPr>
        <w:ind w:right="260" w:firstLine="299"/>
        <w:spacing w:after="0" w:line="306"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the securities described herein or determined if this prospectus is truthful or complete. Any representation to the contrary is a criminal offense.</w:t>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200"/>
        </w:trPr>
        <w:tc>
          <w:tcPr>
            <w:tcW w:w="5600" w:type="dxa"/>
            <w:vAlign w:val="bottom"/>
          </w:tcPr>
          <w:p>
            <w:pPr>
              <w:spacing w:after="0"/>
              <w:rPr>
                <w:sz w:val="20"/>
                <w:szCs w:val="20"/>
                <w:color w:val="auto"/>
              </w:rPr>
            </w:pPr>
            <w:r>
              <w:rPr>
                <w:rFonts w:ascii="Arial" w:cs="Arial" w:eastAsia="Arial" w:hAnsi="Arial"/>
                <w:sz w:val="17"/>
                <w:szCs w:val="17"/>
                <w:color w:val="auto"/>
              </w:rPr>
              <w:t>The underwriters expect to deliver the shares to purchasers on or about</w:t>
            </w:r>
          </w:p>
        </w:tc>
        <w:tc>
          <w:tcPr>
            <w:tcW w:w="860" w:type="dxa"/>
            <w:vAlign w:val="bottom"/>
          </w:tcPr>
          <w:p>
            <w:pPr>
              <w:jc w:val="right"/>
              <w:spacing w:after="0"/>
              <w:rPr>
                <w:sz w:val="20"/>
                <w:szCs w:val="20"/>
                <w:color w:val="auto"/>
              </w:rPr>
            </w:pPr>
            <w:r>
              <w:rPr>
                <w:rFonts w:ascii="Arial" w:cs="Arial" w:eastAsia="Arial" w:hAnsi="Arial"/>
                <w:sz w:val="17"/>
                <w:szCs w:val="17"/>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142240</wp:posOffset>
            </wp:positionV>
            <wp:extent cx="15170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7620"/>
                    </a:xfrm>
                    <a:prstGeom prst="rect">
                      <a:avLst/>
                    </a:prstGeom>
                    <a:noFill/>
                  </pic:spPr>
                </pic:pic>
              </a:graphicData>
            </a:graphic>
          </wp:anchor>
        </w:drawing>
      </w: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352"/>
        </w:trPr>
        <w:tc>
          <w:tcPr>
            <w:tcW w:w="4280" w:type="dxa"/>
            <w:vAlign w:val="bottom"/>
            <w:gridSpan w:val="2"/>
          </w:tcPr>
          <w:p>
            <w:pPr>
              <w:ind w:left="800"/>
              <w:spacing w:after="0"/>
              <w:rPr>
                <w:sz w:val="20"/>
                <w:szCs w:val="20"/>
                <w:color w:val="auto"/>
              </w:rPr>
            </w:pPr>
            <w:r>
              <w:rPr>
                <w:rFonts w:ascii="Arial" w:cs="Arial" w:eastAsia="Arial" w:hAnsi="Arial"/>
                <w:sz w:val="27"/>
                <w:szCs w:val="27"/>
                <w:b w:val="1"/>
                <w:bCs w:val="1"/>
                <w:color w:val="auto"/>
              </w:rPr>
              <w:t>Goldman Sachs &amp; Co. LLC</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27"/>
                <w:szCs w:val="27"/>
                <w:b w:val="1"/>
                <w:bCs w:val="1"/>
                <w:color w:val="auto"/>
              </w:rPr>
              <w:t>BofA Securities</w:t>
            </w:r>
          </w:p>
        </w:tc>
        <w:tc>
          <w:tcPr>
            <w:tcW w:w="2540" w:type="dxa"/>
            <w:vAlign w:val="bottom"/>
          </w:tcPr>
          <w:p>
            <w:pPr>
              <w:ind w:left="1060"/>
              <w:spacing w:after="0"/>
              <w:rPr>
                <w:sz w:val="20"/>
                <w:szCs w:val="20"/>
                <w:color w:val="auto"/>
              </w:rPr>
            </w:pPr>
            <w:r>
              <w:rPr>
                <w:rFonts w:ascii="Arial" w:cs="Arial" w:eastAsia="Arial" w:hAnsi="Arial"/>
                <w:sz w:val="27"/>
                <w:szCs w:val="27"/>
                <w:b w:val="1"/>
                <w:bCs w:val="1"/>
                <w:color w:val="auto"/>
                <w:w w:val="95"/>
              </w:rPr>
              <w:t>J.P. Morgan</w:t>
            </w:r>
          </w:p>
        </w:tc>
      </w:tr>
      <w:tr>
        <w:trPr>
          <w:trHeight w:val="500"/>
        </w:trPr>
        <w:tc>
          <w:tcPr>
            <w:tcW w:w="1920" w:type="dxa"/>
            <w:vAlign w:val="bottom"/>
          </w:tcPr>
          <w:p>
            <w:pPr>
              <w:spacing w:after="0"/>
              <w:rPr>
                <w:sz w:val="20"/>
                <w:szCs w:val="20"/>
                <w:color w:val="auto"/>
              </w:rPr>
            </w:pPr>
            <w:r>
              <w:rPr>
                <w:rFonts w:ascii="Arial" w:cs="Arial" w:eastAsia="Arial" w:hAnsi="Arial"/>
                <w:sz w:val="23"/>
                <w:szCs w:val="23"/>
                <w:b w:val="1"/>
                <w:bCs w:val="1"/>
                <w:color w:val="auto"/>
              </w:rPr>
              <w:t>Barclays</w:t>
            </w:r>
          </w:p>
        </w:tc>
        <w:tc>
          <w:tcPr>
            <w:tcW w:w="2360" w:type="dxa"/>
            <w:vAlign w:val="bottom"/>
          </w:tcPr>
          <w:p>
            <w:pPr>
              <w:ind w:left="960"/>
              <w:spacing w:after="0"/>
              <w:rPr>
                <w:sz w:val="20"/>
                <w:szCs w:val="20"/>
                <w:color w:val="auto"/>
              </w:rPr>
            </w:pPr>
            <w:r>
              <w:rPr>
                <w:rFonts w:ascii="Arial" w:cs="Arial" w:eastAsia="Arial" w:hAnsi="Arial"/>
                <w:sz w:val="23"/>
                <w:szCs w:val="23"/>
                <w:b w:val="1"/>
                <w:bCs w:val="1"/>
                <w:color w:val="auto"/>
              </w:rPr>
              <w:t>Citigroup</w:t>
            </w:r>
          </w:p>
        </w:tc>
        <w:tc>
          <w:tcPr>
            <w:tcW w:w="120" w:type="dxa"/>
            <w:vAlign w:val="bottom"/>
          </w:tcPr>
          <w:p>
            <w:pPr>
              <w:spacing w:after="0"/>
              <w:rPr>
                <w:sz w:val="24"/>
                <w:szCs w:val="24"/>
                <w:color w:val="auto"/>
              </w:rPr>
            </w:pPr>
          </w:p>
        </w:tc>
        <w:tc>
          <w:tcPr>
            <w:tcW w:w="4280" w:type="dxa"/>
            <w:vAlign w:val="bottom"/>
            <w:gridSpan w:val="3"/>
          </w:tcPr>
          <w:p>
            <w:pPr>
              <w:ind w:left="1280"/>
              <w:spacing w:after="0"/>
              <w:rPr>
                <w:sz w:val="20"/>
                <w:szCs w:val="20"/>
                <w:color w:val="auto"/>
              </w:rPr>
            </w:pPr>
            <w:r>
              <w:rPr>
                <w:rFonts w:ascii="Arial" w:cs="Arial" w:eastAsia="Arial" w:hAnsi="Arial"/>
                <w:sz w:val="23"/>
                <w:szCs w:val="23"/>
                <w:b w:val="1"/>
                <w:bCs w:val="1"/>
                <w:color w:val="auto"/>
              </w:rPr>
              <w:t>Credit Suisse</w:t>
            </w:r>
          </w:p>
        </w:tc>
        <w:tc>
          <w:tcPr>
            <w:tcW w:w="2540" w:type="dxa"/>
            <w:vAlign w:val="bottom"/>
          </w:tcPr>
          <w:p>
            <w:pPr>
              <w:ind w:left="760"/>
              <w:spacing w:after="0"/>
              <w:rPr>
                <w:sz w:val="20"/>
                <w:szCs w:val="20"/>
                <w:color w:val="auto"/>
              </w:rPr>
            </w:pPr>
            <w:r>
              <w:rPr>
                <w:rFonts w:ascii="Arial" w:cs="Arial" w:eastAsia="Arial" w:hAnsi="Arial"/>
                <w:sz w:val="23"/>
                <w:szCs w:val="23"/>
                <w:b w:val="1"/>
                <w:bCs w:val="1"/>
                <w:color w:val="auto"/>
              </w:rPr>
              <w:t>Morgan Stanley</w:t>
            </w:r>
          </w:p>
        </w:tc>
      </w:tr>
      <w:tr>
        <w:trPr>
          <w:trHeight w:val="241"/>
        </w:trPr>
        <w:tc>
          <w:tcPr>
            <w:tcW w:w="1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8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41"/>
        </w:trPr>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color w:val="auto"/>
              </w:rPr>
              <w:t>Prospectus dated</w:t>
            </w:r>
          </w:p>
        </w:tc>
        <w:tc>
          <w:tcPr>
            <w:tcW w:w="980" w:type="dxa"/>
            <w:vAlign w:val="bottom"/>
          </w:tcPr>
          <w:p>
            <w:pPr>
              <w:jc w:val="right"/>
              <w:spacing w:after="0"/>
              <w:rPr>
                <w:sz w:val="20"/>
                <w:szCs w:val="20"/>
                <w:color w:val="auto"/>
              </w:rPr>
            </w:pPr>
            <w:r>
              <w:rPr>
                <w:rFonts w:ascii="Arial" w:cs="Arial" w:eastAsia="Arial" w:hAnsi="Arial"/>
                <w:sz w:val="17"/>
                <w:szCs w:val="17"/>
                <w:color w:val="auto"/>
              </w:rPr>
              <w:t>, 2021</w:t>
            </w:r>
          </w:p>
        </w:tc>
        <w:tc>
          <w:tcPr>
            <w:tcW w:w="18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240"/>
          </w:cols>
          <w:pgMar w:left="320" w:top="1173" w:right="339" w:bottom="1440" w:gutter="0" w:footer="0" w:header="0"/>
          <w:type w:val="continuous"/>
        </w:sectPr>
      </w:pPr>
    </w:p>
    <w:bookmarkStart w:id="3" w:name="page4"/>
    <w:bookmarkEnd w:id="3"/>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620" w:type="dxa"/>
            <w:vAlign w:val="bottom"/>
          </w:tcPr>
          <w:p>
            <w:pPr>
              <w:spacing w:after="0"/>
              <w:rPr>
                <w:sz w:val="15"/>
                <w:szCs w:val="15"/>
                <w:color w:val="auto"/>
              </w:rPr>
            </w:pPr>
          </w:p>
        </w:tc>
        <w:tc>
          <w:tcPr>
            <w:tcW w:w="26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Page</w:t>
            </w:r>
          </w:p>
        </w:tc>
      </w:tr>
      <w:tr>
        <w:trPr>
          <w:trHeight w:val="259"/>
        </w:trPr>
        <w:tc>
          <w:tcPr>
            <w:tcW w:w="8620" w:type="dxa"/>
            <w:vAlign w:val="bottom"/>
          </w:tcPr>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Certain Defined Terms</w:t>
              </w:r>
            </w:hyperlink>
          </w:p>
        </w:tc>
        <w:tc>
          <w:tcPr>
            <w:tcW w:w="2340" w:type="dxa"/>
            <w:vAlign w:val="bottom"/>
          </w:tcPr>
          <w:p>
            <w:pPr>
              <w:spacing w:after="0"/>
              <w:rPr>
                <w:sz w:val="22"/>
                <w:szCs w:val="22"/>
                <w:color w:val="auto"/>
              </w:rPr>
            </w:pPr>
          </w:p>
        </w:tc>
        <w:tc>
          <w:tcPr>
            <w:tcW w:w="260" w:type="dxa"/>
            <w:vAlign w:val="bottom"/>
          </w:tcPr>
          <w:p>
            <w:pPr>
              <w:jc w:val="right"/>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i</w:t>
              </w:r>
            </w:hyperlink>
          </w:p>
        </w:tc>
      </w:tr>
      <w:tr>
        <w:trPr>
          <w:trHeight w:val="224"/>
        </w:trPr>
        <w:tc>
          <w:tcPr>
            <w:tcW w:w="8620" w:type="dxa"/>
            <w:vAlign w:val="bottom"/>
          </w:tcPr>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Special Note Regarding Forward-Looking Statements and Information</w:t>
              </w:r>
            </w:hyperlink>
          </w:p>
        </w:tc>
        <w:tc>
          <w:tcPr>
            <w:tcW w:w="2340" w:type="dxa"/>
            <w:vAlign w:val="bottom"/>
          </w:tcPr>
          <w:p>
            <w:pPr>
              <w:spacing w:after="0"/>
              <w:rPr>
                <w:sz w:val="19"/>
                <w:szCs w:val="19"/>
                <w:color w:val="auto"/>
              </w:rPr>
            </w:pPr>
          </w:p>
        </w:tc>
        <w:tc>
          <w:tcPr>
            <w:tcW w:w="260" w:type="dxa"/>
            <w:vAlign w:val="bottom"/>
          </w:tcPr>
          <w:p>
            <w:pPr>
              <w:jc w:val="right"/>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ii</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Prospectus Summary</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1</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20">
              <w:r>
                <w:rPr>
                  <w:rFonts w:ascii="Arial" w:cs="Arial" w:eastAsia="Arial" w:hAnsi="Arial"/>
                  <w:sz w:val="17"/>
                  <w:szCs w:val="17"/>
                  <w:u w:val="single" w:color="auto"/>
                  <w:color w:val="0000FF"/>
                </w:rPr>
                <w:t>The Offering</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20">
              <w:r>
                <w:rPr>
                  <w:rFonts w:ascii="Arial" w:cs="Arial" w:eastAsia="Arial" w:hAnsi="Arial"/>
                  <w:sz w:val="17"/>
                  <w:szCs w:val="17"/>
                  <w:u w:val="single" w:color="auto"/>
                  <w:color w:val="0000FF"/>
                </w:rPr>
                <w:t>14</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21">
              <w:r>
                <w:rPr>
                  <w:rFonts w:ascii="Arial" w:cs="Arial" w:eastAsia="Arial" w:hAnsi="Arial"/>
                  <w:sz w:val="17"/>
                  <w:szCs w:val="17"/>
                  <w:u w:val="single" w:color="auto"/>
                  <w:color w:val="0000FF"/>
                </w:rPr>
                <w:t>Summary Consolidated Financial Data</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21">
              <w:r>
                <w:rPr>
                  <w:rFonts w:ascii="Arial" w:cs="Arial" w:eastAsia="Arial" w:hAnsi="Arial"/>
                  <w:sz w:val="17"/>
                  <w:szCs w:val="17"/>
                  <w:u w:val="single" w:color="auto"/>
                  <w:color w:val="0000FF"/>
                </w:rPr>
                <w:t>15</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22">
              <w:r>
                <w:rPr>
                  <w:rFonts w:ascii="Arial" w:cs="Arial" w:eastAsia="Arial" w:hAnsi="Arial"/>
                  <w:sz w:val="17"/>
                  <w:szCs w:val="17"/>
                  <w:u w:val="single" w:color="auto"/>
                  <w:color w:val="0000FF"/>
                </w:rPr>
                <w:t>Risk Factors</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22">
              <w:r>
                <w:rPr>
                  <w:rFonts w:ascii="Arial" w:cs="Arial" w:eastAsia="Arial" w:hAnsi="Arial"/>
                  <w:sz w:val="17"/>
                  <w:szCs w:val="17"/>
                  <w:u w:val="single" w:color="auto"/>
                  <w:color w:val="0000FF"/>
                </w:rPr>
                <w:t>16</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63">
              <w:r>
                <w:rPr>
                  <w:rFonts w:ascii="Arial" w:cs="Arial" w:eastAsia="Arial" w:hAnsi="Arial"/>
                  <w:sz w:val="17"/>
                  <w:szCs w:val="17"/>
                  <w:u w:val="single" w:color="auto"/>
                  <w:color w:val="0000FF"/>
                </w:rPr>
                <w:t>Use of Proceeds</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63">
              <w:r>
                <w:rPr>
                  <w:rFonts w:ascii="Arial" w:cs="Arial" w:eastAsia="Arial" w:hAnsi="Arial"/>
                  <w:sz w:val="17"/>
                  <w:szCs w:val="17"/>
                  <w:u w:val="single" w:color="auto"/>
                  <w:color w:val="0000FF"/>
                </w:rPr>
                <w:t>57</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64">
              <w:r>
                <w:rPr>
                  <w:rFonts w:ascii="Arial" w:cs="Arial" w:eastAsia="Arial" w:hAnsi="Arial"/>
                  <w:sz w:val="17"/>
                  <w:szCs w:val="17"/>
                  <w:u w:val="single" w:color="auto"/>
                  <w:color w:val="0000FF"/>
                </w:rPr>
                <w:t>Capitalization</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64">
              <w:r>
                <w:rPr>
                  <w:rFonts w:ascii="Arial" w:cs="Arial" w:eastAsia="Arial" w:hAnsi="Arial"/>
                  <w:sz w:val="17"/>
                  <w:szCs w:val="17"/>
                  <w:u w:val="single" w:color="auto"/>
                  <w:color w:val="0000FF"/>
                </w:rPr>
                <w:t>58</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66">
              <w:r>
                <w:rPr>
                  <w:rFonts w:ascii="Arial" w:cs="Arial" w:eastAsia="Arial" w:hAnsi="Arial"/>
                  <w:sz w:val="17"/>
                  <w:szCs w:val="17"/>
                  <w:u w:val="single" w:color="auto"/>
                  <w:color w:val="0000FF"/>
                </w:rPr>
                <w:t>Dividend Policy</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66">
              <w:r>
                <w:rPr>
                  <w:rFonts w:ascii="Arial" w:cs="Arial" w:eastAsia="Arial" w:hAnsi="Arial"/>
                  <w:sz w:val="17"/>
                  <w:szCs w:val="17"/>
                  <w:u w:val="single" w:color="auto"/>
                  <w:color w:val="0000FF"/>
                </w:rPr>
                <w:t>60</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Recapitalization</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61</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Selected Historical Consolidated Financial Data</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63</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71">
              <w:r>
                <w:rPr>
                  <w:rFonts w:ascii="Arial" w:cs="Arial" w:eastAsia="Arial" w:hAnsi="Arial"/>
                  <w:sz w:val="17"/>
                  <w:szCs w:val="17"/>
                  <w:u w:val="single" w:color="auto"/>
                  <w:color w:val="0000FF"/>
                </w:rPr>
                <w:t>Unaudited Pro Forma Consolidated Financial Information</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71">
              <w:r>
                <w:rPr>
                  <w:rFonts w:ascii="Arial" w:cs="Arial" w:eastAsia="Arial" w:hAnsi="Arial"/>
                  <w:sz w:val="17"/>
                  <w:szCs w:val="17"/>
                  <w:u w:val="single" w:color="auto"/>
                  <w:color w:val="0000FF"/>
                </w:rPr>
                <w:t>65</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78">
              <w:r>
                <w:rPr>
                  <w:rFonts w:ascii="Arial" w:cs="Arial" w:eastAsia="Arial" w:hAnsi="Arial"/>
                  <w:sz w:val="17"/>
                  <w:szCs w:val="17"/>
                  <w:u w:val="single" w:color="auto"/>
                  <w:color w:val="0000FF"/>
                </w:rPr>
                <w:t>Management’s Discussion and Analysis of Financial Condition and Results of Operations</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78">
              <w:r>
                <w:rPr>
                  <w:rFonts w:ascii="Arial" w:cs="Arial" w:eastAsia="Arial" w:hAnsi="Arial"/>
                  <w:sz w:val="17"/>
                  <w:szCs w:val="17"/>
                  <w:u w:val="single" w:color="auto"/>
                  <w:color w:val="0000FF"/>
                </w:rPr>
                <w:t>72</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Business</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105</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Management</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124</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Executive Compensation</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132</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65">
              <w:r>
                <w:rPr>
                  <w:rFonts w:ascii="Arial" w:cs="Arial" w:eastAsia="Arial" w:hAnsi="Arial"/>
                  <w:sz w:val="17"/>
                  <w:szCs w:val="17"/>
                  <w:u w:val="single" w:color="auto"/>
                  <w:color w:val="0000FF"/>
                </w:rPr>
                <w:t>Principal and Selling Stockholders</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65">
              <w:r>
                <w:rPr>
                  <w:rFonts w:ascii="Arial" w:cs="Arial" w:eastAsia="Arial" w:hAnsi="Arial"/>
                  <w:sz w:val="17"/>
                  <w:szCs w:val="17"/>
                  <w:u w:val="single" w:color="auto"/>
                  <w:color w:val="0000FF"/>
                </w:rPr>
                <w:t>159</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67">
              <w:r>
                <w:rPr>
                  <w:rFonts w:ascii="Arial" w:cs="Arial" w:eastAsia="Arial" w:hAnsi="Arial"/>
                  <w:sz w:val="17"/>
                  <w:szCs w:val="17"/>
                  <w:u w:val="single" w:color="auto"/>
                  <w:color w:val="0000FF"/>
                </w:rPr>
                <w:t>Certain Relationships and Related Party Transactions</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67">
              <w:r>
                <w:rPr>
                  <w:rFonts w:ascii="Arial" w:cs="Arial" w:eastAsia="Arial" w:hAnsi="Arial"/>
                  <w:sz w:val="17"/>
                  <w:szCs w:val="17"/>
                  <w:u w:val="single" w:color="auto"/>
                  <w:color w:val="0000FF"/>
                </w:rPr>
                <w:t>161</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79">
              <w:r>
                <w:rPr>
                  <w:rFonts w:ascii="Arial" w:cs="Arial" w:eastAsia="Arial" w:hAnsi="Arial"/>
                  <w:sz w:val="17"/>
                  <w:szCs w:val="17"/>
                  <w:u w:val="single" w:color="auto"/>
                  <w:color w:val="0000FF"/>
                </w:rPr>
                <w:t>Description of Capital Stock</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79">
              <w:r>
                <w:rPr>
                  <w:rFonts w:ascii="Arial" w:cs="Arial" w:eastAsia="Arial" w:hAnsi="Arial"/>
                  <w:sz w:val="17"/>
                  <w:szCs w:val="17"/>
                  <w:u w:val="single" w:color="auto"/>
                  <w:color w:val="0000FF"/>
                </w:rPr>
                <w:t>173</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86">
              <w:r>
                <w:rPr>
                  <w:rFonts w:ascii="Arial" w:cs="Arial" w:eastAsia="Arial" w:hAnsi="Arial"/>
                  <w:sz w:val="17"/>
                  <w:szCs w:val="17"/>
                  <w:u w:val="single" w:color="auto"/>
                  <w:color w:val="0000FF"/>
                </w:rPr>
                <w:t>Shares Eligible for Future Sale</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86">
              <w:r>
                <w:rPr>
                  <w:rFonts w:ascii="Arial" w:cs="Arial" w:eastAsia="Arial" w:hAnsi="Arial"/>
                  <w:sz w:val="17"/>
                  <w:szCs w:val="17"/>
                  <w:u w:val="single" w:color="auto"/>
                  <w:color w:val="0000FF"/>
                </w:rPr>
                <w:t>180</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88">
              <w:r>
                <w:rPr>
                  <w:rFonts w:ascii="Arial" w:cs="Arial" w:eastAsia="Arial" w:hAnsi="Arial"/>
                  <w:sz w:val="17"/>
                  <w:szCs w:val="17"/>
                  <w:u w:val="single" w:color="auto"/>
                  <w:color w:val="0000FF"/>
                </w:rPr>
                <w:t>Material U.S. Federal Tax Considerations For Non-U.S. Holders</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88">
              <w:r>
                <w:rPr>
                  <w:rFonts w:ascii="Arial" w:cs="Arial" w:eastAsia="Arial" w:hAnsi="Arial"/>
                  <w:sz w:val="17"/>
                  <w:szCs w:val="17"/>
                  <w:u w:val="single" w:color="auto"/>
                  <w:color w:val="0000FF"/>
                </w:rPr>
                <w:t>182</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91">
              <w:r>
                <w:rPr>
                  <w:rFonts w:ascii="Arial" w:cs="Arial" w:eastAsia="Arial" w:hAnsi="Arial"/>
                  <w:sz w:val="17"/>
                  <w:szCs w:val="17"/>
                  <w:u w:val="single" w:color="auto"/>
                  <w:color w:val="0000FF"/>
                </w:rPr>
                <w:t>Underwriting</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91">
              <w:r>
                <w:rPr>
                  <w:rFonts w:ascii="Arial" w:cs="Arial" w:eastAsia="Arial" w:hAnsi="Arial"/>
                  <w:sz w:val="17"/>
                  <w:szCs w:val="17"/>
                  <w:u w:val="single" w:color="auto"/>
                  <w:color w:val="0000FF"/>
                </w:rPr>
                <w:t>185</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97">
              <w:r>
                <w:rPr>
                  <w:rFonts w:ascii="Arial" w:cs="Arial" w:eastAsia="Arial" w:hAnsi="Arial"/>
                  <w:sz w:val="17"/>
                  <w:szCs w:val="17"/>
                  <w:u w:val="single" w:color="auto"/>
                  <w:color w:val="0000FF"/>
                </w:rPr>
                <w:t>Validity of Common Stock</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97">
              <w:r>
                <w:rPr>
                  <w:rFonts w:ascii="Arial" w:cs="Arial" w:eastAsia="Arial" w:hAnsi="Arial"/>
                  <w:sz w:val="17"/>
                  <w:szCs w:val="17"/>
                  <w:u w:val="single" w:color="auto"/>
                  <w:color w:val="0000FF"/>
                </w:rPr>
                <w:t>191</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98">
              <w:r>
                <w:rPr>
                  <w:rFonts w:ascii="Arial" w:cs="Arial" w:eastAsia="Arial" w:hAnsi="Arial"/>
                  <w:sz w:val="17"/>
                  <w:szCs w:val="17"/>
                  <w:u w:val="single" w:color="auto"/>
                  <w:color w:val="0000FF"/>
                </w:rPr>
                <w:t>Experts</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97">
              <w:r>
                <w:rPr>
                  <w:rFonts w:ascii="Arial" w:cs="Arial" w:eastAsia="Arial" w:hAnsi="Arial"/>
                  <w:sz w:val="17"/>
                  <w:szCs w:val="17"/>
                  <w:u w:val="single" w:color="auto"/>
                  <w:color w:val="0000FF"/>
                </w:rPr>
                <w:t>191</w:t>
              </w:r>
            </w:hyperlink>
          </w:p>
        </w:tc>
      </w:tr>
      <w:tr>
        <w:trPr>
          <w:trHeight w:val="249"/>
        </w:trPr>
        <w:tc>
          <w:tcPr>
            <w:tcW w:w="8620" w:type="dxa"/>
            <w:vAlign w:val="bottom"/>
          </w:tcPr>
          <w:p>
            <w:pPr>
              <w:spacing w:after="0"/>
              <w:rPr>
                <w:rFonts w:ascii="Arial" w:cs="Arial" w:eastAsia="Arial" w:hAnsi="Arial"/>
                <w:sz w:val="17"/>
                <w:szCs w:val="17"/>
                <w:u w:val="single" w:color="auto"/>
                <w:color w:val="0000FF"/>
              </w:rPr>
            </w:pPr>
            <w:hyperlink w:anchor="page198">
              <w:r>
                <w:rPr>
                  <w:rFonts w:ascii="Arial" w:cs="Arial" w:eastAsia="Arial" w:hAnsi="Arial"/>
                  <w:sz w:val="17"/>
                  <w:szCs w:val="17"/>
                  <w:u w:val="single" w:color="auto"/>
                  <w:color w:val="0000FF"/>
                </w:rPr>
                <w:t>Where You Can Find More Information</w:t>
              </w:r>
            </w:hyperlink>
          </w:p>
        </w:tc>
        <w:tc>
          <w:tcPr>
            <w:tcW w:w="2600" w:type="dxa"/>
            <w:vAlign w:val="bottom"/>
            <w:gridSpan w:val="2"/>
          </w:tcPr>
          <w:p>
            <w:pPr>
              <w:jc w:val="right"/>
              <w:spacing w:after="0"/>
              <w:rPr>
                <w:rFonts w:ascii="Arial" w:cs="Arial" w:eastAsia="Arial" w:hAnsi="Arial"/>
                <w:sz w:val="17"/>
                <w:szCs w:val="17"/>
                <w:u w:val="single" w:color="auto"/>
                <w:color w:val="0000FF"/>
              </w:rPr>
            </w:pPr>
            <w:hyperlink w:anchor="page198">
              <w:r>
                <w:rPr>
                  <w:rFonts w:ascii="Arial" w:cs="Arial" w:eastAsia="Arial" w:hAnsi="Arial"/>
                  <w:sz w:val="17"/>
                  <w:szCs w:val="17"/>
                  <w:u w:val="single" w:color="auto"/>
                  <w:color w:val="0000FF"/>
                </w:rPr>
                <w:t>191</w:t>
              </w:r>
            </w:hyperlink>
          </w:p>
        </w:tc>
      </w:tr>
      <w:tr>
        <w:trPr>
          <w:trHeight w:val="211"/>
        </w:trPr>
        <w:tc>
          <w:tcPr>
            <w:tcW w:w="8620" w:type="dxa"/>
            <w:vAlign w:val="bottom"/>
          </w:tcPr>
          <w:p>
            <w:pPr>
              <w:spacing w:after="0"/>
              <w:rPr>
                <w:rFonts w:ascii="Arial" w:cs="Arial" w:eastAsia="Arial" w:hAnsi="Arial"/>
                <w:sz w:val="17"/>
                <w:szCs w:val="17"/>
                <w:u w:val="single" w:color="auto"/>
                <w:color w:val="0000FF"/>
              </w:rPr>
            </w:pPr>
            <w:hyperlink w:anchor="page198">
              <w:r>
                <w:rPr>
                  <w:rFonts w:ascii="Arial" w:cs="Arial" w:eastAsia="Arial" w:hAnsi="Arial"/>
                  <w:sz w:val="17"/>
                  <w:szCs w:val="17"/>
                  <w:u w:val="single" w:color="auto"/>
                  <w:color w:val="0000FF"/>
                </w:rPr>
                <w:t>Index to Consolidated Financial Statements</w:t>
              </w:r>
            </w:hyperlink>
          </w:p>
        </w:tc>
        <w:tc>
          <w:tcPr>
            <w:tcW w:w="234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rFonts w:ascii="Arial" w:cs="Arial" w:eastAsia="Arial" w:hAnsi="Arial"/>
                <w:sz w:val="17"/>
                <w:szCs w:val="17"/>
                <w:color w:val="0000FF"/>
                <w:w w:val="93"/>
              </w:rPr>
            </w:pPr>
            <w:hyperlink w:anchor="page198">
              <w:r>
                <w:rPr>
                  <w:rFonts w:ascii="Arial" w:cs="Arial" w:eastAsia="Arial" w:hAnsi="Arial"/>
                  <w:sz w:val="17"/>
                  <w:szCs w:val="17"/>
                  <w:color w:val="0000FF"/>
                  <w:w w:val="93"/>
                </w:rPr>
                <w:t>F-1</w:t>
              </w:r>
            </w:hyperlink>
          </w:p>
        </w:tc>
      </w:tr>
    </w:tbl>
    <w:p>
      <w:pPr>
        <w:spacing w:after="0" w:line="228" w:lineRule="exact"/>
        <w:rPr>
          <w:sz w:val="20"/>
          <w:szCs w:val="20"/>
          <w:color w:val="auto"/>
        </w:rPr>
      </w:pPr>
    </w:p>
    <w:p>
      <w:pPr>
        <w:ind w:right="60" w:firstLine="299"/>
        <w:spacing w:after="0" w:line="249"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we may authorize to be delivered to you. We have not, and the selling stockholder and the underwriters have not, authorized anyone to provide you with information different from, or in addition to, that contained in this prospectus and any related free writing prospectus. We, the selling stockholder and the underwriters take no responsibility for, and can provide no assurances as to the reliability of, any information that others may give you. This prospectus is an offer to sell only the shares offered hereby, but only under circumstances and in jurisdictions where it is lawful to do so. The information contained in this prospectus is only accurate as of the date of this prospectus, regardless of the time of delivery of this prospectus and any sale of shares of our common stock.</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DEFINED TERMS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use the following terms in this prospectus:</w:t>
      </w:r>
    </w:p>
    <w:p>
      <w:pPr>
        <w:spacing w:after="0" w:line="153" w:lineRule="exact"/>
        <w:rPr>
          <w:sz w:val="20"/>
          <w:szCs w:val="20"/>
          <w:color w:val="auto"/>
        </w:rPr>
      </w:pPr>
    </w:p>
    <w:p>
      <w:pPr>
        <w:ind w:left="600" w:right="600" w:hanging="302"/>
        <w:spacing w:after="0" w:line="250" w:lineRule="auto"/>
        <w:tabs>
          <w:tab w:leader="none" w:pos="596" w:val="left"/>
        </w:tabs>
        <w:numPr>
          <w:ilvl w:val="0"/>
          <w:numId w:val="1"/>
        </w:numPr>
        <w:rPr>
          <w:rFonts w:ascii="Arial" w:cs="Arial" w:eastAsia="Arial" w:hAnsi="Arial"/>
          <w:sz w:val="17"/>
          <w:szCs w:val="17"/>
          <w:color w:val="auto"/>
        </w:rPr>
      </w:pPr>
      <w:r>
        <w:rPr>
          <w:rFonts w:ascii="Arial" w:cs="Arial" w:eastAsia="Arial" w:hAnsi="Arial"/>
          <w:sz w:val="17"/>
          <w:szCs w:val="17"/>
          <w:color w:val="auto"/>
        </w:rPr>
        <w:t>“US Holding” means Leonardo US Holding, Inc., a Delaware corporation, the selling stockholder in this offering and a direct wholly owned subsidiary of Leonardo S.p.A.;</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“Leonardo S.p.A.” means Leonardo – Societá per azioni, an Italian societá per azioni listed on the Milan Stock Exchange;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43" w:lineRule="exact"/>
        <w:rPr>
          <w:sz w:val="20"/>
          <w:szCs w:val="20"/>
          <w:color w:val="auto"/>
        </w:rPr>
      </w:pPr>
    </w:p>
    <w:p>
      <w:pPr>
        <w:ind w:left="600" w:right="600" w:hanging="302"/>
        <w:spacing w:after="0" w:line="250" w:lineRule="auto"/>
        <w:tabs>
          <w:tab w:leader="none" w:pos="596"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“us,” “our,” “DRS” and the “Company” mean Leonardo DRS, Inc. and its consolidated subsidiaries, unless the context refers only to Leonardo DRS, Inc. as a corporate entity.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SPECIAL NOTE REGARDING FORWARD-LOOKING STATEMENTS AND INFORMATION</w:t>
      </w:r>
    </w:p>
    <w:p>
      <w:pPr>
        <w:spacing w:after="0" w:line="173"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This prospectus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matters that are not historical facts. They appear in a number of places throughout this prospectus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spacing w:after="0" w:line="134"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prospectus. In addition, even if future performance and outcomes are consistent with the forward-looking statements contained in this prospectus,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w:t>
      </w:r>
    </w:p>
    <w:p>
      <w:pPr>
        <w:spacing w:after="0" w:line="146" w:lineRule="exact"/>
        <w:rPr>
          <w:sz w:val="20"/>
          <w:szCs w:val="20"/>
          <w:color w:val="auto"/>
        </w:rPr>
      </w:pPr>
    </w:p>
    <w:p>
      <w:pPr>
        <w:jc w:val="both"/>
        <w:ind w:left="600" w:hanging="302"/>
        <w:spacing w:after="0" w:line="247" w:lineRule="auto"/>
        <w:tabs>
          <w:tab w:leader="none" w:pos="596"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Disruptions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spacing w:after="0" w:line="143" w:lineRule="exact"/>
        <w:rPr>
          <w:rFonts w:ascii="Arial" w:cs="Arial" w:eastAsia="Arial" w:hAnsi="Arial"/>
          <w:sz w:val="17"/>
          <w:szCs w:val="17"/>
          <w:color w:val="auto"/>
        </w:rPr>
      </w:pPr>
    </w:p>
    <w:p>
      <w:pPr>
        <w:ind w:left="600" w:hanging="302"/>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delays or reductions in appropriations for our programs and changes in U.S. government priorities and spending levels more broadly;</w:t>
      </w:r>
    </w:p>
    <w:p>
      <w:pPr>
        <w:spacing w:after="0" w:line="164" w:lineRule="exact"/>
        <w:rPr>
          <w:rFonts w:ascii="Arial" w:cs="Arial" w:eastAsia="Arial" w:hAnsi="Arial"/>
          <w:sz w:val="16"/>
          <w:szCs w:val="16"/>
          <w:color w:val="auto"/>
        </w:rPr>
      </w:pPr>
    </w:p>
    <w:p>
      <w:pPr>
        <w:ind w:left="600" w:hanging="30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failure to comply with the proxy agreement with the U.S. Department of Defense (the “DoD”);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coronavirus pandemic (“COVID-19”) and related impacts on our business, financial condition and results of operations;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mix of fixed-price, cost-plus and time-and-material type contracts and any resulting impact on our cash flows due to cost overruns;</w:t>
      </w:r>
    </w:p>
    <w:p>
      <w:pPr>
        <w:spacing w:after="0" w:line="152" w:lineRule="exact"/>
        <w:rPr>
          <w:rFonts w:ascii="Arial" w:cs="Arial" w:eastAsia="Arial" w:hAnsi="Arial"/>
          <w:sz w:val="17"/>
          <w:szCs w:val="17"/>
          <w:color w:val="auto"/>
        </w:rPr>
      </w:pPr>
    </w:p>
    <w:p>
      <w:pPr>
        <w:ind w:left="600" w:right="680" w:hanging="302"/>
        <w:spacing w:after="0" w:line="250" w:lineRule="auto"/>
        <w:tabs>
          <w:tab w:leader="none" w:pos="5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U.S. government contracts, which often are only partially funded and are subject to immediate termination, and the concentration of our customer base in the U.S. defense industry;</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use of estimates in pricing and accounting for many of our programs that are inherently uncertain and which may not prove to be accurate;</w:t>
      </w:r>
    </w:p>
    <w:p>
      <w:pPr>
        <w:spacing w:after="0" w:line="164" w:lineRule="exact"/>
        <w:rPr>
          <w:rFonts w:ascii="Arial" w:cs="Arial" w:eastAsia="Arial" w:hAnsi="Arial"/>
          <w:sz w:val="16"/>
          <w:szCs w:val="16"/>
          <w:color w:val="auto"/>
        </w:rPr>
      </w:pPr>
    </w:p>
    <w:p>
      <w:pPr>
        <w:ind w:left="600" w:hanging="30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the full value of our backlog;</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predict future capital needs or to obtain additional financing if we need it;</w:t>
      </w:r>
    </w:p>
    <w:p>
      <w:pPr>
        <w:spacing w:after="0" w:line="152" w:lineRule="exact"/>
        <w:rPr>
          <w:rFonts w:ascii="Arial" w:cs="Arial" w:eastAsia="Arial" w:hAnsi="Arial"/>
          <w:sz w:val="17"/>
          <w:szCs w:val="17"/>
          <w:color w:val="auto"/>
        </w:rPr>
      </w:pPr>
    </w:p>
    <w:p>
      <w:pPr>
        <w:ind w:left="600" w:right="740" w:hanging="302"/>
        <w:spacing w:after="0" w:line="250" w:lineRule="auto"/>
        <w:tabs>
          <w:tab w:leader="none" w:pos="5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efficiently, including due to U.S. government organizational conflict of interest rules which may limit new contract opportunities or require us to wind down existing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180"/>
          </w:cols>
          <w:pgMar w:left="320" w:top="1440" w:right="399" w:bottom="1440" w:gutter="0" w:footer="0" w:header="0"/>
        </w:sectPr>
      </w:pPr>
    </w:p>
    <w:bookmarkStart w:id="5" w:name="page6"/>
    <w:bookmarkEnd w:id="5"/>
    <w:p>
      <w:pPr>
        <w:spacing w:after="0" w:line="43" w:lineRule="exact"/>
        <w:rPr>
          <w:sz w:val="20"/>
          <w:szCs w:val="20"/>
          <w:color w:val="auto"/>
        </w:rPr>
      </w:pPr>
    </w:p>
    <w:p>
      <w:pPr>
        <w:ind w:left="600" w:right="460" w:hanging="302"/>
        <w:spacing w:after="0" w:line="250"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relationships with other industry participants, including any contractual disputes or the inability of our key suppliers to timely deliver our components, parts or services;</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failure to meet our contractual obligations;</w:t>
      </w:r>
    </w:p>
    <w:p>
      <w:pPr>
        <w:spacing w:after="0" w:line="152" w:lineRule="exact"/>
        <w:rPr>
          <w:rFonts w:ascii="Arial" w:cs="Arial" w:eastAsia="Arial" w:hAnsi="Arial"/>
          <w:sz w:val="17"/>
          <w:szCs w:val="17"/>
          <w:color w:val="auto"/>
        </w:rPr>
      </w:pPr>
    </w:p>
    <w:p>
      <w:pPr>
        <w:ind w:left="600" w:right="480" w:hanging="302"/>
        <w:spacing w:after="0" w:line="250"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security breach, including any cyber attack, cyber intrusion, insider threat, or other significant disruption of our IT networks and related systems as well as any act of terrorism or other threat to our physical security and personnel;</w:t>
      </w:r>
    </w:p>
    <w:p>
      <w:pPr>
        <w:spacing w:after="0" w:line="140" w:lineRule="exact"/>
        <w:rPr>
          <w:rFonts w:ascii="Arial" w:cs="Arial" w:eastAsia="Arial" w:hAnsi="Arial"/>
          <w:sz w:val="17"/>
          <w:szCs w:val="17"/>
          <w:color w:val="auto"/>
        </w:rPr>
      </w:pPr>
    </w:p>
    <w:p>
      <w:pPr>
        <w:ind w:left="600" w:right="60" w:hanging="302"/>
        <w:spacing w:after="0" w:line="280" w:lineRule="auto"/>
        <w:tabs>
          <w:tab w:leader="none" w:pos="596"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w:t>
      </w:r>
    </w:p>
    <w:p>
      <w:pPr>
        <w:spacing w:after="0" w:line="118" w:lineRule="exact"/>
        <w:rPr>
          <w:rFonts w:ascii="Arial" w:cs="Arial" w:eastAsia="Arial" w:hAnsi="Arial"/>
          <w:sz w:val="16"/>
          <w:szCs w:val="16"/>
          <w:color w:val="auto"/>
        </w:rPr>
      </w:pPr>
    </w:p>
    <w:p>
      <w:pPr>
        <w:ind w:left="600" w:hanging="302"/>
        <w:spacing w:after="0" w:line="250"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conduct of our employees, agents, affiliates, subcontractors, suppliers, business partners or joint ventures in which we participate which may impact our reputation and ability to do business;</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compliance with environmental laws and regulations, and any environmental liabilities that may affect our reputation or financial position;</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outcome of litigation, arbitration, investigations, claims, disputes, enforcement actions and other legal proceedings in which we are involved;</w:t>
      </w:r>
    </w:p>
    <w:p>
      <w:pPr>
        <w:spacing w:after="0" w:line="164" w:lineRule="exact"/>
        <w:rPr>
          <w:rFonts w:ascii="Arial" w:cs="Arial" w:eastAsia="Arial" w:hAnsi="Arial"/>
          <w:sz w:val="16"/>
          <w:szCs w:val="16"/>
          <w:color w:val="auto"/>
        </w:rPr>
      </w:pPr>
    </w:p>
    <w:p>
      <w:pPr>
        <w:jc w:val="both"/>
        <w:ind w:left="600" w:right="40" w:hanging="302"/>
        <w:spacing w:after="0" w:line="247"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Various geopolitical and economic factors, laws and regulations including the Foreign Corrupt Practices Act (“FCPA”), the Export Control Act, the International Traffic in Arms Regulations (“ITAR”), the Export Administration Regulations (“EAR”), and those that we are exposed to as a result of our international business;</w:t>
      </w:r>
    </w:p>
    <w:p>
      <w:pPr>
        <w:spacing w:after="0" w:line="143" w:lineRule="exact"/>
        <w:rPr>
          <w:rFonts w:ascii="Arial" w:cs="Arial" w:eastAsia="Arial" w:hAnsi="Arial"/>
          <w:sz w:val="17"/>
          <w:szCs w:val="17"/>
          <w:color w:val="auto"/>
        </w:rPr>
      </w:pPr>
    </w:p>
    <w:p>
      <w:pPr>
        <w:ind w:left="600" w:right="260" w:hanging="302"/>
        <w:spacing w:after="0" w:line="250"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export licenses necessary to conduct certain operations abroad, including any attempts by Congress to prevent proposed sales to certain foreign governments;</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retain technical and other key personnel;</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occurrence of prolonged work stoppages;</w:t>
      </w:r>
    </w:p>
    <w:p>
      <w:pPr>
        <w:spacing w:after="0" w:line="152" w:lineRule="exact"/>
        <w:rPr>
          <w:rFonts w:ascii="Arial" w:cs="Arial" w:eastAsia="Arial" w:hAnsi="Arial"/>
          <w:sz w:val="17"/>
          <w:szCs w:val="17"/>
          <w:color w:val="auto"/>
        </w:rPr>
      </w:pPr>
    </w:p>
    <w:p>
      <w:pPr>
        <w:ind w:left="600" w:right="160" w:hanging="302"/>
        <w:spacing w:after="0" w:line="250"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unavailability or inadequacy of our insurance coverage, customer indemnifications or other liability protections to cover all of our significant risks or to pay for material losses we incur;</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changes in U.S. tax laws and regulations or interpretations thereof;</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estimates used in accounting for our pension plans, including in respect of the funding status thereof;</w:t>
      </w:r>
    </w:p>
    <w:p>
      <w:pPr>
        <w:spacing w:after="0" w:line="152" w:lineRule="exact"/>
        <w:rPr>
          <w:rFonts w:ascii="Arial" w:cs="Arial" w:eastAsia="Arial" w:hAnsi="Arial"/>
          <w:sz w:val="17"/>
          <w:szCs w:val="17"/>
          <w:color w:val="auto"/>
        </w:rPr>
      </w:pPr>
    </w:p>
    <w:p>
      <w:pPr>
        <w:ind w:left="600" w:right="20" w:hanging="302"/>
        <w:spacing w:after="0" w:line="250"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future business or other market conditions that could cause business investments and/or recorded goodwill or other long-term assets to become impaired;</w:t>
      </w:r>
    </w:p>
    <w:p>
      <w:pPr>
        <w:spacing w:after="0" w:line="140" w:lineRule="exact"/>
        <w:rPr>
          <w:rFonts w:ascii="Arial" w:cs="Arial" w:eastAsia="Arial" w:hAnsi="Arial"/>
          <w:sz w:val="17"/>
          <w:szCs w:val="17"/>
          <w:color w:val="auto"/>
        </w:rPr>
      </w:pPr>
    </w:p>
    <w:p>
      <w:pPr>
        <w:ind w:left="600" w:right="160" w:hanging="302"/>
        <w:spacing w:after="0" w:line="250"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consequences from any acquisitions such as operating difficulties, dilution and other harmful consequences or any modification, delay or prevention of any future acquisition or investment activity by the Committee on Foreign Investment in the United States (“CFIUS”);</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Natural disasters or other significant disruptions; or</w:t>
      </w:r>
    </w:p>
    <w:p>
      <w:pPr>
        <w:spacing w:after="0" w:line="152" w:lineRule="exact"/>
        <w:rPr>
          <w:rFonts w:ascii="Arial" w:cs="Arial" w:eastAsia="Arial" w:hAnsi="Arial"/>
          <w:sz w:val="17"/>
          <w:szCs w:val="17"/>
          <w:color w:val="auto"/>
        </w:rPr>
      </w:pPr>
    </w:p>
    <w:p>
      <w:pPr>
        <w:jc w:val="both"/>
        <w:ind w:left="600" w:right="40" w:hanging="302"/>
        <w:spacing w:after="0" w:line="247" w:lineRule="auto"/>
        <w:tabs>
          <w:tab w:leader="none" w:pos="596"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conflict of interest that may arise because our majority stockholder, US Holding, or ultimate parent, Leonardo S.p.A., may have interests that are different from those of our other stockholders, including as a result of any ongoing business relationships Leonardo S.p.A. may have with us, and their significant ownership in us may discourage change of control transactions.</w:t>
      </w:r>
    </w:p>
    <w:p>
      <w:pPr>
        <w:spacing w:after="0" w:line="143" w:lineRule="exact"/>
        <w:rPr>
          <w:sz w:val="20"/>
          <w:szCs w:val="20"/>
          <w:color w:val="auto"/>
        </w:rPr>
      </w:pPr>
    </w:p>
    <w:p>
      <w:pPr>
        <w:ind w:right="260" w:firstLine="299"/>
        <w:spacing w:after="0" w:line="250" w:lineRule="auto"/>
        <w:rPr>
          <w:sz w:val="20"/>
          <w:szCs w:val="20"/>
          <w:color w:val="auto"/>
        </w:rPr>
      </w:pPr>
      <w:r>
        <w:rPr>
          <w:rFonts w:ascii="Arial" w:cs="Arial" w:eastAsia="Arial" w:hAnsi="Arial"/>
          <w:sz w:val="17"/>
          <w:szCs w:val="17"/>
          <w:color w:val="auto"/>
        </w:rPr>
        <w:t>You should read this prospectus completely and with the understanding that actual future results may be materially different from expectations. All forward-looking statements made in this prospectus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220"/>
          </w:cols>
          <w:pgMar w:left="320" w:top="1440" w:right="359" w:bottom="1440" w:gutter="0" w:footer="0" w:header="0"/>
        </w:sectPr>
      </w:pPr>
    </w:p>
    <w:bookmarkStart w:id="6" w:name="page7"/>
    <w:bookmarkEnd w:id="6"/>
    <w:p>
      <w:pPr>
        <w:spacing w:after="0" w:line="43"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qualified by these cautionary statements. These forward-looking statements are made only as of the date of this prospectus,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spacing w:after="0" w:line="143"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Other risks, uncertainties and factors, including those discussed under “Risk Factors,” could cause our actual results to differ materially from those projected in any forward-looking statements we make. Readers should read carefully the factors described in “Risk Factors” to better understand the risks and uncertainties inherent in our business and underlying any forward-looking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 AND INDUSTRY DATA</w:t>
      </w:r>
    </w:p>
    <w:p>
      <w:pPr>
        <w:spacing w:after="0" w:line="173" w:lineRule="exact"/>
        <w:rPr>
          <w:sz w:val="20"/>
          <w:szCs w:val="20"/>
          <w:color w:val="auto"/>
        </w:rPr>
      </w:pPr>
    </w:p>
    <w:p>
      <w:pPr>
        <w:ind w:right="40" w:firstLine="299"/>
        <w:spacing w:after="0" w:line="262" w:lineRule="auto"/>
        <w:rPr>
          <w:sz w:val="20"/>
          <w:szCs w:val="20"/>
          <w:color w:val="auto"/>
        </w:rPr>
      </w:pPr>
      <w:r>
        <w:rPr>
          <w:rFonts w:ascii="Arial" w:cs="Arial" w:eastAsia="Arial" w:hAnsi="Arial"/>
          <w:sz w:val="16"/>
          <w:szCs w:val="16"/>
          <w:color w:val="auto"/>
        </w:rPr>
        <w:t>This prospectus includes estimates regarding market and industry data and forecasts, which are based on publicly available information, industry publications and surveys, reports from government agencies, reports by market research firms and our own estimates based on our management’s knowledge of, and experience in, the defense industry and market segments in which we compete. Third-party industry publications and forecasts generally state that the information contained therein has been obtained from sources generally believed to be reliable. Furthermore, certain reports, industry publications and surveys from which we have obtained industry and market data that are used in this prospectus had been based on information available before the outbreak of COVID-19 and therefore may not reflect any impact of COVID-19 or actions or inactions by any governmental agency or private party resulting therefrom on any specific market or globally. Our estimates involve risks and uncertainties, including risks and uncertainties related to COVID-19, and are subject to change based on various factors, including those discussed under the captions “Risk Factors,” “Special Note Regarding Forward-Looking Statements and Information” and “Management’s Discussion and Analysis of Financial Condition and Results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MARKS, TRADEMARKS AND TRADE NAMES</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We hold and license various service marks, trademarks and trade names that we deem particularly important to the marketing conducted by our business. This prospectus also contains trademarks, service marks and trade names of other companies which are the property of their respective holders. We do not intend our use or display of such names or marks to imply relationships with, or endorsements of us by, any other company other than explicitly stated.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PRESENTATION OF FINANCIAL INFORMATION</w:t>
      </w:r>
    </w:p>
    <w:p>
      <w:pPr>
        <w:spacing w:after="0" w:line="173" w:lineRule="exact"/>
        <w:rPr>
          <w:sz w:val="20"/>
          <w:szCs w:val="20"/>
          <w:color w:val="auto"/>
        </w:rPr>
      </w:pPr>
    </w:p>
    <w:p>
      <w:pPr>
        <w:ind w:right="120" w:firstLine="299"/>
        <w:spacing w:after="0" w:line="247" w:lineRule="auto"/>
        <w:rPr>
          <w:sz w:val="20"/>
          <w:szCs w:val="20"/>
          <w:color w:val="auto"/>
        </w:rPr>
      </w:pPr>
      <w:r>
        <w:rPr>
          <w:rFonts w:ascii="Arial" w:cs="Arial" w:eastAsia="Arial" w:hAnsi="Arial"/>
          <w:sz w:val="17"/>
          <w:szCs w:val="17"/>
          <w:color w:val="auto"/>
        </w:rPr>
        <w:t>We have made rounding adjustments to some of the figures included in this prospectus. Accordingly, numerical figures shown as totals in some tables may not be an arithmetic aggregation of the figures that precede them. Unless otherwise indicated, all references to “U.S. dollars,” “dollars,” “U.S. $” and “$” in this prospectus are to the lawful currency of the United States of America.</w:t>
      </w:r>
    </w:p>
    <w:p>
      <w:pPr>
        <w:spacing w:after="0" w:line="143"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In this prospectus, we present certain financial measures that are not calculated in accordance with accounting principles generally accepted in the United States of America (“U.S. GAAP”), such measures referred to herein as “non-GAAP,” including Adjusted EBITDA, Adjusted EBITDA Margin, Adjusted EPS, Leverage Ratio, and Free Cash Flow. You should review the reconciliation and accompanying disclosures carefully in connection with your consideration of such non-GAAP measures and note that the way in which we calculate these measures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350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7560" cy="635000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PROSPECTUS SUMMARY</w:t>
      </w:r>
    </w:p>
    <w:p>
      <w:pPr>
        <w:spacing w:after="0" w:line="155" w:lineRule="exact"/>
        <w:rPr>
          <w:sz w:val="20"/>
          <w:szCs w:val="20"/>
          <w:color w:val="auto"/>
        </w:rPr>
      </w:pPr>
    </w:p>
    <w:p>
      <w:pPr>
        <w:ind w:right="40" w:firstLine="299"/>
        <w:spacing w:after="0" w:line="250" w:lineRule="auto"/>
        <w:rPr>
          <w:sz w:val="20"/>
          <w:szCs w:val="20"/>
          <w:color w:val="auto"/>
        </w:rPr>
      </w:pPr>
      <w:r>
        <w:rPr>
          <w:rFonts w:ascii="Arial" w:cs="Arial" w:eastAsia="Arial" w:hAnsi="Arial"/>
          <w:sz w:val="17"/>
          <w:szCs w:val="17"/>
          <w:i w:val="1"/>
          <w:iCs w:val="1"/>
          <w:color w:val="auto"/>
        </w:rPr>
        <w:t>The following summary highlights selected information about our company and this offering that is included elsewhere in this prospectus in greater detail.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“Special Note Regarding Forward-Looking Statements and Information,” “Selected Historical Consolidated Financial Data,” “Management’s Discussion and Analysis of Financial Condition and Results of Operations” and in our consolidated financial statements and notes thereto.</w:t>
      </w:r>
    </w:p>
    <w:p>
      <w:pPr>
        <w:spacing w:after="0" w:line="122" w:lineRule="exact"/>
        <w:rPr>
          <w:sz w:val="20"/>
          <w:szCs w:val="20"/>
          <w:color w:val="auto"/>
        </w:rPr>
      </w:pPr>
    </w:p>
    <w:p>
      <w:pPr>
        <w:ind w:right="160" w:firstLine="299"/>
        <w:spacing w:after="0" w:line="272" w:lineRule="auto"/>
        <w:rPr>
          <w:sz w:val="20"/>
          <w:szCs w:val="20"/>
          <w:color w:val="auto"/>
        </w:rPr>
      </w:pPr>
      <w:r>
        <w:rPr>
          <w:rFonts w:ascii="Arial" w:cs="Arial" w:eastAsia="Arial" w:hAnsi="Arial"/>
          <w:sz w:val="17"/>
          <w:szCs w:val="17"/>
          <w:i w:val="1"/>
          <w:iCs w:val="1"/>
          <w:color w:val="auto"/>
        </w:rPr>
        <w:t>In this prospectus, unless we indicate otherwise or the context requires, “DRS,” “we,” “our,” “ours,” “us” and the “Company” refer to Leonardo DRS, Inc. and its consolidated subsidiaries and joint ventures.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DRS is a leading provider of defense products and technologies that are used across land, air, sea, space and cyber domains. Our diverse array of defense systems and solutions is offered to all branches of the U.S. military, major aerospace and defense prime contractors, government intelligence agencies and international military customers for deployment on a wide range of military platforms. We focus our capabilities in areas of critical importance to the U.S. military, such as sensing, electronic warfare (“EW”), cyber security, network computing, communications, force protection and electrical power conversion and propulsion. As a mid-tier defense company with a portfolio that includes internally developed proprietary intellectual property (“IP”) and offerings at the component, sub-system and system level, we are able to serve as either prime contractor or a sub-contractor on key contracts, affording us flexibility in how we approach the market.</w:t>
      </w:r>
    </w:p>
    <w:p>
      <w:pPr>
        <w:spacing w:after="0" w:line="146"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Our alignment with the nation’s top defense priorities has allowed us to achieve a 12% compounded annual growth rate (“CAGR”) in revenues from the year ended December 31, 2016 through the year ended December 31, 2020. This growth, which exceeded the DoD budget CAGR of 5.3% during such perio</w:t>
      </w:r>
      <w:r>
        <w:rPr>
          <w:rFonts w:ascii="Arial" w:cs="Arial" w:eastAsia="Arial" w:hAnsi="Arial"/>
          <w:sz w:val="17"/>
          <w:szCs w:val="17"/>
          <w:color w:val="1F497D"/>
        </w:rPr>
        <w:t>d</w:t>
      </w:r>
      <w:r>
        <w:rPr>
          <w:rFonts w:ascii="Arial" w:cs="Arial" w:eastAsia="Arial" w:hAnsi="Arial"/>
          <w:sz w:val="17"/>
          <w:szCs w:val="17"/>
          <w:color w:val="auto"/>
        </w:rPr>
        <w:t xml:space="preserve"> and drove our annual revenue to approximately $2.8 billion for the year ended December 31, 2020, was driven by organic growth. During the same period, our net earnings (loss) improved by $ 247 million to $85 million, our operating earnings grew $178 million to$181 million and our Adjusted EBITDA grew $115 million to $268 million (CAGR of 15%). Adjusted EBITDA is a non-GAAP measure. See “Management’s Discussion and Analysis of Financial Condition and Results of Operations—Key Financial and Operating Measures—Non-GAAP Financial Measures” for a reconciliation of Adjusted EBITDA to net earnings.</w:t>
      </w:r>
    </w:p>
    <w:p>
      <w:pPr>
        <w:spacing w:after="0" w:line="146"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have a 50-year legacy of designing and manufacturing innovative and differentiated products and solutions for military applications. From our earliest sonar systems that were instrumental in detecting enemy submarines, to today’s best-in-class electro-optical sensors, we have continually developed advanced technologies to address complex military challenges. Throughout much of our history, we have targeted our investments towards the highest growth areas of the DoD defense budgets. Today, we employ approximately 6,650 people including a substantial number of highly trained engineers and personnel with security clearances to support classified programs for the U.S military.</w:t>
      </w:r>
    </w:p>
    <w:p>
      <w:pPr>
        <w:spacing w:after="0" w:line="147"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We focus on products, systems and solutions that can be adapted for installation on a wide range of military platforms. This allows us to leverage our technology investments to expand revenue opportunities. Our high-technology solutions are designed to transition from one military platform to another. In addition, we have a significant installed base of products and solutions, which allows us to enhance revenue opportunities by providing upgrades to existing platforms. This gives us a resilient position to offer new solutions and technology in changing budget environments. Our growth has been facilitated by our longstanding relationships and position as a trusted partner with the U.S. military, intelligence community and industry customers. Together, these characteristics allow us to pivot quickly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000"/>
          </w:cols>
          <w:pgMar w:left="940" w:top="1440" w:right="9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254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7560" cy="62547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address emerging needs for our customers and generate growth opportunities in today’s dynamic defense market.</w:t>
      </w:r>
    </w:p>
    <w:p>
      <w:pPr>
        <w:spacing w:after="0" w:line="153" w:lineRule="exact"/>
        <w:rPr>
          <w:sz w:val="20"/>
          <w:szCs w:val="20"/>
          <w:color w:val="auto"/>
        </w:rPr>
      </w:pPr>
    </w:p>
    <w:p>
      <w:pPr>
        <w:jc w:val="both"/>
        <w:ind w:right="360" w:firstLine="299"/>
        <w:spacing w:after="0" w:line="247" w:lineRule="auto"/>
        <w:rPr>
          <w:sz w:val="20"/>
          <w:szCs w:val="20"/>
          <w:color w:val="auto"/>
        </w:rPr>
      </w:pPr>
      <w:r>
        <w:rPr>
          <w:rFonts w:ascii="Arial" w:cs="Arial" w:eastAsia="Arial" w:hAnsi="Arial"/>
          <w:sz w:val="17"/>
          <w:szCs w:val="17"/>
          <w:color w:val="auto"/>
        </w:rPr>
        <w:t>We operate in three segments: Advanced Sensor Technologies, Network Computing &amp; Communications and Integrated Mission Systems. We have achieved significant growth over the past five years by aligning our investments and technology development to address the greatest threats to U.S. defense interests.</w:t>
      </w:r>
    </w:p>
    <w:p>
      <w:pPr>
        <w:spacing w:after="0" w:line="123" w:lineRule="exact"/>
        <w:rPr>
          <w:sz w:val="20"/>
          <w:szCs w:val="20"/>
          <w:color w:val="auto"/>
        </w:rPr>
      </w:pPr>
    </w:p>
    <w:p>
      <w:pPr>
        <w:ind w:right="60" w:firstLine="299"/>
        <w:spacing w:after="0" w:line="248" w:lineRule="auto"/>
        <w:rPr>
          <w:sz w:val="20"/>
          <w:szCs w:val="20"/>
          <w:color w:val="auto"/>
        </w:rPr>
      </w:pPr>
      <w:r>
        <w:rPr>
          <w:rFonts w:ascii="Arial" w:cs="Arial" w:eastAsia="Arial" w:hAnsi="Arial"/>
          <w:sz w:val="17"/>
          <w:szCs w:val="17"/>
          <w:b w:val="1"/>
          <w:bCs w:val="1"/>
          <w:color w:val="auto"/>
        </w:rPr>
        <w:t xml:space="preserve">Advanced Sensor Technologies: </w:t>
      </w:r>
      <w:r>
        <w:rPr>
          <w:rFonts w:ascii="Arial" w:cs="Arial" w:eastAsia="Arial" w:hAnsi="Arial"/>
          <w:sz w:val="17"/>
          <w:szCs w:val="17"/>
          <w:color w:val="auto"/>
        </w:rPr>
        <w:t>Our Advanced Sensor Technologies segment provides world-class electro-optical sensor</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technologies, laser systems, EW systems and intelligence and surveillance solutions to U.S. military and intelligence community customers. We are a leading provider of ground vehicle targeting and surveillance sensors, including electro-optical and advanced detection systems. We are also a leading provider of soldier sensor systems in high priority modernization areas such as infrared imaging and precision targeting systems. Our infrared focal plane array foundry is recognized as a leading provider of high performance and small sized cryogenically cooled and uncooled detector arrays. We are also a leading and world-recognized provider of aircraft training instrumentation equipment and high-performance radio frequency receivers and transceivers for U.S. and international customers. Our quantum cascade laser technology has promising military and commercial medical applications. Collectively, these sensor technologies provide our warfighters with a distinct battlefield advantage.</w:t>
      </w:r>
    </w:p>
    <w:p>
      <w:pPr>
        <w:spacing w:after="0" w:line="123" w:lineRule="exact"/>
        <w:rPr>
          <w:sz w:val="20"/>
          <w:szCs w:val="20"/>
          <w:color w:val="auto"/>
        </w:rPr>
      </w:pPr>
    </w:p>
    <w:p>
      <w:pPr>
        <w:ind w:right="40" w:firstLine="299"/>
        <w:spacing w:after="0" w:line="247" w:lineRule="auto"/>
        <w:rPr>
          <w:sz w:val="20"/>
          <w:szCs w:val="20"/>
          <w:color w:val="auto"/>
        </w:rPr>
      </w:pPr>
      <w:r>
        <w:rPr>
          <w:rFonts w:ascii="Arial" w:cs="Arial" w:eastAsia="Arial" w:hAnsi="Arial"/>
          <w:sz w:val="17"/>
          <w:szCs w:val="17"/>
          <w:b w:val="1"/>
          <w:bCs w:val="1"/>
          <w:color w:val="auto"/>
        </w:rPr>
        <w:t xml:space="preserve">Network Computing &amp; Communications: </w:t>
      </w:r>
      <w:r>
        <w:rPr>
          <w:rFonts w:ascii="Arial" w:cs="Arial" w:eastAsia="Arial" w:hAnsi="Arial"/>
          <w:sz w:val="17"/>
          <w:szCs w:val="17"/>
          <w:color w:val="auto"/>
        </w:rPr>
        <w:t>Our Network Computing &amp; Communications segment provides advanced defense</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electronics solutions across warfare domains. Our technologies and products are used on legacy and new military platforms, end-to-end network communication systems, network services and cyber solutions. We are a leading provider of ruggedized computing equipment, having provided advanced tactical computing units for ground combat vehicles and command post operations for more than two decades. During this period we have delivered more than 125,000 units. For the U.S. Navy and its allies, we provide naval computing infrastructure, network and data distribution, radar and rugged naval control systems, which are present on naval surface and subsurface combatant vessels. Across the full spectrum of our network computing capabilities, we have leadership positions at both the product and sub-systems levels. Our global communications network is a worldwide network of terrestrial and satellite bandwidth that ensures our customers’ data is secure and reliable. As a result of this capability, we are positioned as one of the leading providers of secured satellite communications to the U.S. military.</w:t>
      </w:r>
    </w:p>
    <w:p>
      <w:pPr>
        <w:spacing w:after="0" w:line="129" w:lineRule="exact"/>
        <w:rPr>
          <w:sz w:val="20"/>
          <w:szCs w:val="20"/>
          <w:color w:val="auto"/>
        </w:rPr>
      </w:pPr>
    </w:p>
    <w:p>
      <w:pPr>
        <w:ind w:firstLine="299"/>
        <w:spacing w:after="0" w:line="264" w:lineRule="auto"/>
        <w:rPr>
          <w:sz w:val="20"/>
          <w:szCs w:val="20"/>
          <w:color w:val="auto"/>
        </w:rPr>
      </w:pPr>
      <w:r>
        <w:rPr>
          <w:rFonts w:ascii="Arial" w:cs="Arial" w:eastAsia="Arial" w:hAnsi="Arial"/>
          <w:sz w:val="16"/>
          <w:szCs w:val="16"/>
          <w:b w:val="1"/>
          <w:bCs w:val="1"/>
          <w:color w:val="auto"/>
        </w:rPr>
        <w:t xml:space="preserve">Integrated Mission Systems: </w:t>
      </w:r>
      <w:r>
        <w:rPr>
          <w:rFonts w:ascii="Arial" w:cs="Arial" w:eastAsia="Arial" w:hAnsi="Arial"/>
          <w:sz w:val="16"/>
          <w:szCs w:val="16"/>
          <w:color w:val="auto"/>
        </w:rPr>
        <w:t>Our Integrated Mission Systems segment provides critical force protection, vehicle integration,</w:t>
      </w:r>
      <w:r>
        <w:rPr>
          <w:rFonts w:ascii="Arial" w:cs="Arial" w:eastAsia="Arial" w:hAnsi="Arial"/>
          <w:sz w:val="16"/>
          <w:szCs w:val="16"/>
          <w:b w:val="1"/>
          <w:bCs w:val="1"/>
          <w:color w:val="auto"/>
        </w:rPr>
        <w:t xml:space="preserve"> </w:t>
      </w:r>
      <w:r>
        <w:rPr>
          <w:rFonts w:ascii="Arial" w:cs="Arial" w:eastAsia="Arial" w:hAnsi="Arial"/>
          <w:sz w:val="16"/>
          <w:szCs w:val="16"/>
          <w:color w:val="auto"/>
        </w:rPr>
        <w:t>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In 2018, we were awarded the Expedited Active Protection System program by bringing the TROPHY™ Active Protection System (“APS”) to the U.S. market, making us the leading U.S. provider of active protection systems for the U.S. Army. We were also awarded the Initial Maneuver Short-Range Air Defense (“IM-SHORAD”) Mission Equipment Package Program for the U.S. Army that year, culminating an 18-month cycle from development to customer delivery. We have military transportation and logistics offerings and ground vehicle integration capabilities to support U.S. forces in a wide range of operational environments.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Defense Market Trends and Market Opportunities</w:t>
      </w:r>
    </w:p>
    <w:p>
      <w:pPr>
        <w:spacing w:after="0" w:line="173" w:lineRule="exact"/>
        <w:rPr>
          <w:sz w:val="20"/>
          <w:szCs w:val="20"/>
          <w:color w:val="auto"/>
        </w:rPr>
      </w:pPr>
    </w:p>
    <w:p>
      <w:pPr>
        <w:ind w:right="360" w:firstLine="299"/>
        <w:spacing w:after="0" w:line="247" w:lineRule="auto"/>
        <w:rPr>
          <w:sz w:val="20"/>
          <w:szCs w:val="20"/>
          <w:color w:val="auto"/>
        </w:rPr>
      </w:pPr>
      <w:r>
        <w:rPr>
          <w:rFonts w:ascii="Arial" w:cs="Arial" w:eastAsia="Arial" w:hAnsi="Arial"/>
          <w:sz w:val="17"/>
          <w:szCs w:val="17"/>
          <w:color w:val="auto"/>
        </w:rPr>
        <w:t>Our core markets have experienced strong growth. The DoD defense budget has grown at a CAGR of 5.3% from 2016 to 2020, reflecting the shift of the DoD’s priorities from a focus on global terrorism to emerging threats from more sophisticated and technologically advanced adversaries requiring enhanced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000"/>
          </w:cols>
          <w:pgMar w:left="940" w:top="1440" w:right="9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412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7560" cy="641286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740"/>
        <w:spacing w:after="0" w:line="250" w:lineRule="auto"/>
        <w:rPr>
          <w:sz w:val="20"/>
          <w:szCs w:val="20"/>
          <w:color w:val="auto"/>
        </w:rPr>
      </w:pPr>
      <w:r>
        <w:rPr>
          <w:rFonts w:ascii="Arial" w:cs="Arial" w:eastAsia="Arial" w:hAnsi="Arial"/>
          <w:sz w:val="17"/>
          <w:szCs w:val="17"/>
          <w:color w:val="auto"/>
        </w:rPr>
        <w:t>capabilities across the DoD. Additionally, we foresee growth opportunities in foreign military sales and direct commercial sales, particularly as international allies require similar force modernization.</w:t>
      </w:r>
    </w:p>
    <w:p>
      <w:pPr>
        <w:spacing w:after="0" w:line="140" w:lineRule="exact"/>
        <w:rPr>
          <w:sz w:val="20"/>
          <w:szCs w:val="20"/>
          <w:color w:val="auto"/>
        </w:rPr>
      </w:pPr>
    </w:p>
    <w:p>
      <w:pPr>
        <w:ind w:right="20" w:firstLine="299"/>
        <w:spacing w:after="0" w:line="262" w:lineRule="auto"/>
        <w:rPr>
          <w:sz w:val="20"/>
          <w:szCs w:val="20"/>
          <w:color w:val="auto"/>
        </w:rPr>
      </w:pPr>
      <w:r>
        <w:rPr>
          <w:rFonts w:ascii="Arial" w:cs="Arial" w:eastAsia="Arial" w:hAnsi="Arial"/>
          <w:sz w:val="16"/>
          <w:szCs w:val="16"/>
          <w:color w:val="auto"/>
        </w:rPr>
        <w:t>The DoD is our largest customer and, for the year ended December 31, 2020, accounted for approximately 84% of our business as an end-user, with revenues principally derived directly or indirectly from contracts with the U.S. Army and U.S. Navy, which represented 43% and 32%, respectively, of our total revenues for the year ended December 31, 2020. The stated U.S. National Defense Strategy is to “compete, win and deter” in a challenging and complex international security environment. The current landscape is defined by rapid technological change and competition from emerging peer and near-peer adversaries who are nation states that are becoming great powers. Every domain of U.S. military advantage is expected to be contested, including air, land, sea, space and cyberspace. U.S. forces facing these new threats are in need of modernization as readiness has been strained following nearly two decades of continuous conflict with both traditional and novel adversaries. In order to face these challenges, the U.S. military will likely need to balance limited resources between new high-cost technological capabilities and upgrades of existing equipment.</w:t>
      </w:r>
    </w:p>
    <w:p>
      <w:pPr>
        <w:spacing w:after="0" w:line="13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In today’s threat environment, the U.S. military is positioning itself for non-stop, continuous competition against these rising nation state threats. Military services are increasingly moving towards multi-domain operations that now include both space and cyberspace domains in addition to the air, land and sea domains. The creation of the U.S. Space Force is also expected to drive new requirements for high technology defense capabilities, including increased space sensing and evolution of communications approaches. Even as new spending priorities shift towards addressing high-end threats, the U.S. military knows that it cannot compete with yesterday’s weapons or equipment. Military modernization programs and priorities are expected to provide both opportunities for new solutions and for upgrades to existing platforms. We believe that companies with an existing installed base of hardware will be able to perform upgrades to provide modernization solutions at a lower cost. Companies with strong customer relationships and outstanding execution will more effectively maintain program positions.</w:t>
      </w:r>
    </w:p>
    <w:p>
      <w:pPr>
        <w:spacing w:after="0" w:line="145"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In this new military environment, U.S. forces are seeking the ability to sense further from a greater distance and enhance their reach across the spectrum of warfare. Increased use of sensor technologies enables forces to detect threats further and more quickly and deliver rapid, forceful responses. Sensors and laser systems are expected to enable optionally manned and autonomous platforms for the future.</w:t>
      </w:r>
    </w:p>
    <w:p>
      <w:pPr>
        <w:spacing w:after="0" w:line="144" w:lineRule="exact"/>
        <w:rPr>
          <w:sz w:val="20"/>
          <w:szCs w:val="20"/>
          <w:color w:val="auto"/>
        </w:rPr>
      </w:pPr>
    </w:p>
    <w:p>
      <w:pPr>
        <w:ind w:right="20" w:firstLine="299"/>
        <w:spacing w:after="0" w:line="262" w:lineRule="auto"/>
        <w:rPr>
          <w:sz w:val="20"/>
          <w:szCs w:val="20"/>
          <w:color w:val="auto"/>
        </w:rPr>
      </w:pPr>
      <w:r>
        <w:rPr>
          <w:rFonts w:ascii="Arial" w:cs="Arial" w:eastAsia="Arial" w:hAnsi="Arial"/>
          <w:sz w:val="16"/>
          <w:szCs w:val="16"/>
          <w:color w:val="auto"/>
        </w:rPr>
        <w:t>The need for greater situational understanding for the warfighter also drives the need for increased data and communications bandwidth to and from command centers to forward-positioned military platforms and dismounted soldiers. Network computing and communications systems need to provide deployed forces with access to secure data to promote information-sharing and situational understanding for faster decision-making. Battlefield management systems and individual soldier communications systems require secure rugged computing solutions and are becoming increasingly interoperable with current combat air forces and naval computing infrastructure. Encrypted data and cyber protection capabilities aim to ensure that the data U.S. forces receive is trusted and protected from enemies. This capability is intended to allow forces to be more mobile and geographically dispersed while operating with immediate access to trusted information. Satellite communications systems also provide data to U.S. warfighters around the globe and are projected to increasingly utilize satellite constellations at all altitudes for redundancy, lower latency, expanded bandwidth and security.</w:t>
      </w:r>
    </w:p>
    <w:p>
      <w:pPr>
        <w:spacing w:after="0" w:line="134"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U.S. forces are in need of greater force protection technologies. Emerging requirements for counter-unmanned aerial systems, active protection, infrared countermeasures and air defense systems require rapid deployment to keep U.S. military platforms and personnel safe from growing threats. The U.S. military is also focusing efforts on transportation and logistics capabilities, ensuring that their trained and equipped personnel and supplies can make it to the battlefield wherever that may be. All of the increased sensing, self-protection, directed energy, communications and computing needs for the warfighter require significantly higher levels of mobile power than in the past. Electrical power generation, conversion, storage and distribution and on-board vehicle power solutions will provide U.S. forces the energy they need in the future to win in this era of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000"/>
          </w:cols>
          <w:pgMar w:left="940" w:top="1440" w:right="9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223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7560" cy="622363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The U.S. military budget accounts for nearly 40% of the world’s defense spending and foreign military allies often select U.S. military solutions to train, equip and modernize their forces to enhance interoperability. Beyond the opportunity for direct commercial and foreign military sales to these foreign countries, many allies leverage U.S. funding and equipment, providing opportunities for U.S. defense contractors offering solutions that can be sold internationally.</w:t>
      </w:r>
    </w:p>
    <w:p>
      <w:pPr>
        <w:spacing w:after="0" w:line="14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global community is in a period of rapid technological change and new commercial technologies may change society and, ultimately, the character of conflicts. We believe that investing in high technological capabilities, developing proprietary intellectual capability, as well as integrating leading-edge commercial technology into our solutions will provide us with a competitive advantage. New acquisition programs are expected to seek innovative solutions. The need for innovation is more critical than ever, and to accelerate innovation, the DoD has deployed more rapid acquisition methods. We believe that these methods will provide greater opportunities for companies with proven abilities to quickly develop and deploy new technologies. The DoD has placed a high priority on defense procurement reform to speed up the development of new key capabilities, increase responsibility and accountability for major acquisition programs and reduce acquisition risk. As a result, we believe that mid-tier companies, such as DRS, with proven technological capabilities and an agile decision-making structure are positioned to rapidly respond to emerging requirements.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Solutions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DoD is placing its focus and investment priorities in several platforms and capabilities where we have compelling offerings and market share. These offerings include: Ground Vehicle Sensors; Soldier Sensor Systems; EW &amp; Cyber; Network Computing; Communications; Force Protection; Transportation and Logistics; and Electrical Power &amp; Propulsion. These directly align with our three segments: Advanced Sensor Technologies, Network Computing &amp; Communications, and Integrated Mission Systems. In these areas, we have distinguishing capabilities, core technologies and IP underlying our product portfolio that we believe provide us with a sustainable differentiation from our competitors. We believe that our installed base of existing products and platform-agnostic offerings provide an opportunity for our business to continue to grow.</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Advanced Sensor Technologies</w:t>
      </w:r>
    </w:p>
    <w:p>
      <w:pPr>
        <w:spacing w:after="0" w:line="173" w:lineRule="exact"/>
        <w:rPr>
          <w:sz w:val="20"/>
          <w:szCs w:val="20"/>
          <w:color w:val="auto"/>
        </w:rPr>
      </w:pPr>
    </w:p>
    <w:p>
      <w:pPr>
        <w:ind w:right="100" w:firstLine="299"/>
        <w:spacing w:after="0" w:line="264" w:lineRule="auto"/>
        <w:rPr>
          <w:sz w:val="20"/>
          <w:szCs w:val="20"/>
          <w:color w:val="auto"/>
        </w:rPr>
      </w:pPr>
      <w:r>
        <w:rPr>
          <w:rFonts w:ascii="Arial" w:cs="Arial" w:eastAsia="Arial" w:hAnsi="Arial"/>
          <w:sz w:val="16"/>
          <w:szCs w:val="16"/>
          <w:color w:val="auto"/>
        </w:rPr>
        <w:t>Our Advanced Sensor Technologies segment provides world-class cryogenically cooled and uncooled infrared sensor technologies, laser systems, EW systems and intelligence and surveillance solutions to the U.S. military and intelligence community customers. Our products and solutions have significant capabilities and core technologies to meet the warfighter’s need for increased battlefield awareness and longer range sensing. Our infrared focal plane array foundry produces cooled and uncooled infrared sensors and our IP provides us with key technology differentiators and builds upon our long legacy of market-leading technology.</w:t>
      </w:r>
    </w:p>
    <w:p>
      <w:pPr>
        <w:spacing w:after="0" w:line="113" w:lineRule="exact"/>
        <w:rPr>
          <w:sz w:val="20"/>
          <w:szCs w:val="20"/>
          <w:color w:val="auto"/>
        </w:rPr>
      </w:pPr>
    </w:p>
    <w:p>
      <w:pPr>
        <w:ind w:right="380" w:firstLine="299"/>
        <w:spacing w:after="0" w:line="250" w:lineRule="auto"/>
        <w:rPr>
          <w:sz w:val="20"/>
          <w:szCs w:val="20"/>
          <w:color w:val="auto"/>
        </w:rPr>
      </w:pPr>
      <w:r>
        <w:rPr>
          <w:rFonts w:ascii="Arial" w:cs="Arial" w:eastAsia="Arial" w:hAnsi="Arial"/>
          <w:sz w:val="17"/>
          <w:szCs w:val="17"/>
          <w:b w:val="1"/>
          <w:bCs w:val="1"/>
          <w:color w:val="auto"/>
        </w:rPr>
        <w:t xml:space="preserve">Ground Vehicle Sensors – </w:t>
      </w:r>
      <w:r>
        <w:rPr>
          <w:rFonts w:ascii="Arial" w:cs="Arial" w:eastAsia="Arial" w:hAnsi="Arial"/>
          <w:sz w:val="17"/>
          <w:szCs w:val="17"/>
          <w:color w:val="auto"/>
        </w:rPr>
        <w:t>The U.S. military has identified specific needs for advanced sensor technology for ground vehicles,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electro-optical and advanced detection capabilities to enhance battlefield understanding, vehicle protection and vehicle targeting capabilities. Our market-leading sensor products include third-generation infrared sensing, fused sensing and sensors for threat detection and situational awareness, which we believe position us well for these opportunities. We are a leading provider of uncooled focal plane arrays and brownout solutions (which are sensors that can see through blowing sand). We are also a leader in ground vehicle sensor sighting systems led by our third-generation infrared imaging systems.</w:t>
      </w:r>
    </w:p>
    <w:p>
      <w:pPr>
        <w:spacing w:after="0" w:line="122" w:lineRule="exact"/>
        <w:rPr>
          <w:sz w:val="20"/>
          <w:szCs w:val="20"/>
          <w:color w:val="auto"/>
        </w:rPr>
      </w:pPr>
    </w:p>
    <w:p>
      <w:pPr>
        <w:ind w:right="80" w:firstLine="299"/>
        <w:spacing w:after="0" w:line="254" w:lineRule="auto"/>
        <w:rPr>
          <w:sz w:val="20"/>
          <w:szCs w:val="20"/>
          <w:color w:val="auto"/>
        </w:rPr>
      </w:pPr>
      <w:r>
        <w:rPr>
          <w:rFonts w:ascii="Arial" w:cs="Arial" w:eastAsia="Arial" w:hAnsi="Arial"/>
          <w:sz w:val="17"/>
          <w:szCs w:val="17"/>
          <w:b w:val="1"/>
          <w:bCs w:val="1"/>
          <w:color w:val="auto"/>
        </w:rPr>
        <w:t xml:space="preserve">Soldier Sensors – </w:t>
      </w:r>
      <w:r>
        <w:rPr>
          <w:rFonts w:ascii="Arial" w:cs="Arial" w:eastAsia="Arial" w:hAnsi="Arial"/>
          <w:sz w:val="17"/>
          <w:szCs w:val="17"/>
          <w:color w:val="auto"/>
        </w:rPr>
        <w:t>Our complement of soldier sensor systems employs state-of-the-art sensors, precision targeting capabilities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optics designed to improve infantry combat effectiveness. We have produced a family of innovative electro-optical and infrared systems for soldiers, from our legacy imaging system, the Thermal Weapons Sight, to the next generation of thermal weapon sights being produced today. We believe that our current position on next-generation soldier precision targeting programs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020"/>
          </w:cols>
          <w:pgMar w:left="940" w:top="1440" w:right="9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602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7560" cy="660273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40"/>
        <w:spacing w:after="0" w:line="250" w:lineRule="auto"/>
        <w:rPr>
          <w:sz w:val="20"/>
          <w:szCs w:val="20"/>
          <w:color w:val="auto"/>
        </w:rPr>
      </w:pPr>
      <w:r>
        <w:rPr>
          <w:rFonts w:ascii="Arial" w:cs="Arial" w:eastAsia="Arial" w:hAnsi="Arial"/>
          <w:sz w:val="17"/>
          <w:szCs w:val="17"/>
          <w:color w:val="auto"/>
        </w:rPr>
        <w:t>enable us to compete effectively in this area of growing need. Our uncooled sensor technology also positions us well to support the future of soldier goggle systems.</w:t>
      </w:r>
    </w:p>
    <w:p>
      <w:pPr>
        <w:spacing w:after="0" w:line="120" w:lineRule="exact"/>
        <w:rPr>
          <w:sz w:val="20"/>
          <w:szCs w:val="20"/>
          <w:color w:val="auto"/>
        </w:rPr>
      </w:pPr>
    </w:p>
    <w:p>
      <w:pPr>
        <w:ind w:right="40" w:firstLine="299"/>
        <w:spacing w:after="0" w:line="249" w:lineRule="auto"/>
        <w:rPr>
          <w:sz w:val="20"/>
          <w:szCs w:val="20"/>
          <w:color w:val="auto"/>
        </w:rPr>
      </w:pPr>
      <w:r>
        <w:rPr>
          <w:rFonts w:ascii="Arial" w:cs="Arial" w:eastAsia="Arial" w:hAnsi="Arial"/>
          <w:sz w:val="17"/>
          <w:szCs w:val="17"/>
          <w:b w:val="1"/>
          <w:bCs w:val="1"/>
          <w:color w:val="auto"/>
        </w:rPr>
        <w:t xml:space="preserve">EW &amp; Cyber </w:t>
      </w:r>
      <w:r>
        <w:rPr>
          <w:rFonts w:ascii="Arial" w:cs="Arial" w:eastAsia="Arial" w:hAnsi="Arial"/>
          <w:sz w:val="17"/>
          <w:szCs w:val="17"/>
          <w:color w:val="auto"/>
        </w:rPr>
        <w:t>– We have significant technological capabilities and program experience in EW &amp; Cyber and offer integrated</w:t>
      </w:r>
      <w:r>
        <w:rPr>
          <w:rFonts w:ascii="Arial" w:cs="Arial" w:eastAsia="Arial" w:hAnsi="Arial"/>
          <w:sz w:val="17"/>
          <w:szCs w:val="17"/>
          <w:b w:val="1"/>
          <w:bCs w:val="1"/>
          <w:color w:val="auto"/>
        </w:rPr>
        <w:t xml:space="preserve"> </w:t>
      </w:r>
      <w:r>
        <w:rPr>
          <w:rFonts w:ascii="Arial" w:cs="Arial" w:eastAsia="Arial" w:hAnsi="Arial"/>
          <w:sz w:val="17"/>
          <w:szCs w:val="17"/>
          <w:color w:val="auto"/>
        </w:rPr>
        <w:t>capabilities for multi-domain operations to supplement kinetic warfare. We have developed mounted and dismounted EW systems, EW software and training systems and intelligence solutions across a broad range of platforms. We believe that our capabilities in integrated mounted and dismounted ground EW, exploitation and cyber-based multi-domain operations position us well in this area of growing DoD priority. We have leveraged international EW programs to develop our capabilities for DoD offerings and have invested to meet developing U.S. Army and U.S. Marine Corps requirements for integrated solutions to address threats which are emanating from peer and near-peer adversaries.</w:t>
      </w:r>
    </w:p>
    <w:p>
      <w:pPr>
        <w:spacing w:after="0" w:line="123" w:lineRule="exact"/>
        <w:rPr>
          <w:sz w:val="20"/>
          <w:szCs w:val="20"/>
          <w:color w:val="auto"/>
        </w:rPr>
      </w:pPr>
    </w:p>
    <w:p>
      <w:pPr>
        <w:ind w:right="60" w:firstLine="299"/>
        <w:spacing w:after="0" w:line="254" w:lineRule="auto"/>
        <w:rPr>
          <w:sz w:val="20"/>
          <w:szCs w:val="20"/>
          <w:color w:val="auto"/>
        </w:rPr>
      </w:pPr>
      <w:r>
        <w:rPr>
          <w:rFonts w:ascii="Arial" w:cs="Arial" w:eastAsia="Arial" w:hAnsi="Arial"/>
          <w:sz w:val="17"/>
          <w:szCs w:val="17"/>
          <w:b w:val="1"/>
          <w:bCs w:val="1"/>
          <w:color w:val="auto"/>
        </w:rPr>
        <w:t xml:space="preserve">Force Protection </w:t>
      </w:r>
      <w:r>
        <w:rPr>
          <w:rFonts w:ascii="Arial" w:cs="Arial" w:eastAsia="Arial" w:hAnsi="Arial"/>
          <w:sz w:val="17"/>
          <w:szCs w:val="17"/>
          <w:color w:val="auto"/>
        </w:rPr>
        <w:t>– Aircraft Survivability – Our Advanced Sensors Technology segment also features quantum cascade laser</w:t>
      </w:r>
      <w:r>
        <w:rPr>
          <w:rFonts w:ascii="Arial" w:cs="Arial" w:eastAsia="Arial" w:hAnsi="Arial"/>
          <w:sz w:val="17"/>
          <w:szCs w:val="17"/>
          <w:b w:val="1"/>
          <w:bCs w:val="1"/>
          <w:color w:val="auto"/>
        </w:rPr>
        <w:t xml:space="preserve"> </w:t>
      </w:r>
      <w:r>
        <w:rPr>
          <w:rFonts w:ascii="Arial" w:cs="Arial" w:eastAsia="Arial" w:hAnsi="Arial"/>
          <w:sz w:val="17"/>
          <w:szCs w:val="17"/>
          <w:color w:val="auto"/>
        </w:rPr>
        <w:t>(“QCL”) technology which, along with our advanced two-color infrared sensors, have enabled us to support a high-profile U.S. Navy contract for advanced systems to protect aircraft from ground-launch missiles. We are also a critical partner on the U.S. Army’s common infrared countermeasures program and the next generation missile warning program.</w:t>
      </w:r>
    </w:p>
    <w:p>
      <w:pPr>
        <w:spacing w:after="0" w:line="118" w:lineRule="exact"/>
        <w:rPr>
          <w:sz w:val="20"/>
          <w:szCs w:val="20"/>
          <w:color w:val="auto"/>
        </w:rPr>
      </w:pPr>
    </w:p>
    <w:p>
      <w:pPr>
        <w:ind w:right="20" w:firstLine="299"/>
        <w:spacing w:after="0" w:line="254" w:lineRule="auto"/>
        <w:rPr>
          <w:sz w:val="20"/>
          <w:szCs w:val="20"/>
          <w:color w:val="auto"/>
        </w:rPr>
      </w:pPr>
      <w:r>
        <w:rPr>
          <w:rFonts w:ascii="Arial" w:cs="Arial" w:eastAsia="Arial" w:hAnsi="Arial"/>
          <w:sz w:val="17"/>
          <w:szCs w:val="17"/>
          <w:b w:val="1"/>
          <w:bCs w:val="1"/>
          <w:color w:val="auto"/>
        </w:rPr>
        <w:t xml:space="preserve">Other Advanced Sensor Technologies Capabilities </w:t>
      </w:r>
      <w:r>
        <w:rPr>
          <w:rFonts w:ascii="Arial" w:cs="Arial" w:eastAsia="Arial" w:hAnsi="Arial"/>
          <w:sz w:val="17"/>
          <w:szCs w:val="17"/>
          <w:color w:val="auto"/>
        </w:rPr>
        <w:t>– Our aircraft training instrumentation systems were selected for the high-profile Joint Strike Fighter program that has been the leading U.S. and allied forces military air platform in development over the past two decades. We are also a leading provider of the aircraft training instrumentation which deploy on both legacy and modern aircraft and are required for aircraft training programs.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Network Computing &amp; Communications</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Our Network Computing &amp; Communications segment provides an array of network computing products and sub -systems that bring trusted and resilient communications and computational resources to U.S. and international military forces, allowing them to rapidly share data and improve situational understanding. We provide trusted computing systems for ground vehicles, naval computing infrastructure, network and data distribution programs, rugged naval computational and control systems and networked communications. We also provide terrestrial and satellite communications for the U.S. Army, U.S. Navy, U.S. Special Forces, and intelligence communities.</w:t>
      </w:r>
    </w:p>
    <w:p>
      <w:pPr>
        <w:spacing w:after="0" w:line="127"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b w:val="1"/>
          <w:bCs w:val="1"/>
          <w:color w:val="auto"/>
        </w:rPr>
        <w:t xml:space="preserve">Network Computing - </w:t>
      </w:r>
      <w:r>
        <w:rPr>
          <w:rFonts w:ascii="Arial" w:cs="Arial" w:eastAsia="Arial" w:hAnsi="Arial"/>
          <w:sz w:val="17"/>
          <w:szCs w:val="17"/>
          <w:color w:val="auto"/>
        </w:rPr>
        <w:t>The U.S. military has recently shifted its computing paradigm for command, control,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computers, intelligence, surveillance and reconnaissance to include cyber capabilities. Our Mounted Family of Computing Systems (“MFoCs”) and MFoCs-II have earned us a reputation as a leading provider of mounted battle management systems hardware in the U.S. We have invested in cyber defense and trusted computing capabilities over the past several years to protect information at the edge of the battlefield. We have also transformed our legacy of naval display and computing equipment over the past several years, to secure a position as a leading provider of surface combat system components, submarine combat systems and command and control system components. We are a leading provider of naval ship communications, integrated logistics support and sustainment and manufacturing services to U.S. and allied military customers. We hold a leading market share in Command, Control, Communications, Computers and Intelligence (“C4I”) programs for the U.S. Navy, including those that will be upgraded as the fleet continues to modernize. For submarines, we provide hardware which is planned to be upgraded continuously over a two-year cycle. In addition, our joint venture, Advanced Acoustic Concepts, LLC (“AAC”), focuses on underwater products, acoustic training systems, and related products and services.</w:t>
      </w:r>
    </w:p>
    <w:p>
      <w:pPr>
        <w:spacing w:after="0" w:line="124" w:lineRule="exact"/>
        <w:rPr>
          <w:sz w:val="20"/>
          <w:szCs w:val="20"/>
          <w:color w:val="auto"/>
        </w:rPr>
      </w:pPr>
    </w:p>
    <w:p>
      <w:pPr>
        <w:ind w:right="60" w:firstLine="299"/>
        <w:spacing w:after="0" w:line="275" w:lineRule="auto"/>
        <w:rPr>
          <w:sz w:val="20"/>
          <w:szCs w:val="20"/>
          <w:color w:val="auto"/>
        </w:rPr>
      </w:pPr>
      <w:r>
        <w:rPr>
          <w:rFonts w:ascii="Arial" w:cs="Arial" w:eastAsia="Arial" w:hAnsi="Arial"/>
          <w:sz w:val="16"/>
          <w:szCs w:val="16"/>
          <w:b w:val="1"/>
          <w:bCs w:val="1"/>
          <w:color w:val="auto"/>
        </w:rPr>
        <w:t xml:space="preserve">Communications – </w:t>
      </w:r>
      <w:r>
        <w:rPr>
          <w:rFonts w:ascii="Arial" w:cs="Arial" w:eastAsia="Arial" w:hAnsi="Arial"/>
          <w:sz w:val="16"/>
          <w:szCs w:val="16"/>
          <w:color w:val="auto"/>
        </w:rPr>
        <w:t>We are contracted on two of the U.S. military’s top five satellite communications programs, including its largest,</w:t>
      </w:r>
      <w:r>
        <w:rPr>
          <w:rFonts w:ascii="Arial" w:cs="Arial" w:eastAsia="Arial" w:hAnsi="Arial"/>
          <w:sz w:val="16"/>
          <w:szCs w:val="16"/>
          <w:b w:val="1"/>
          <w:bCs w:val="1"/>
          <w:color w:val="auto"/>
        </w:rPr>
        <w:t xml:space="preserve"> </w:t>
      </w:r>
      <w:r>
        <w:rPr>
          <w:rFonts w:ascii="Arial" w:cs="Arial" w:eastAsia="Arial" w:hAnsi="Arial"/>
          <w:sz w:val="16"/>
          <w:szCs w:val="16"/>
          <w:color w:val="auto"/>
        </w:rPr>
        <w:t>serving special operations forces with terrestrial and space bandwidth. This long-standing program provides secure and reliable communications for the U.S.’s forward-deployed military forces across the globe, and is well positioned to meet future needs. Our contracts on these programs make us one of the largest satellite communications providers for the U.S. military. We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020"/>
          </w:cols>
          <w:pgMar w:left="940" w:top="1440" w:right="9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665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7560" cy="66655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that our legacy and outstanding reputation with the U.S. military will enable us to continue to be a leading communications provider for all DoD services.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Integrated Mission Systems</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Our Integrated Mission Systems segment supports the U.S. military’s need to deter and defend against increasingly lethal adversaries through a wide range of force protection solutions, integrated mission equipment, transportation and logistics products, naval power technologies and forward-deployed electrical power solutions. This segment enables us to maximize our customer offerings by integrating our products and systems onto platforms. We believe that our leading position in naval electrical power and propulsion will position us to help meet the U.S. military’s future electrical power needs as it increasingly deploys high technology capabilities to its forces.</w:t>
      </w:r>
    </w:p>
    <w:p>
      <w:pPr>
        <w:spacing w:after="0" w:line="127" w:lineRule="exact"/>
        <w:rPr>
          <w:sz w:val="20"/>
          <w:szCs w:val="20"/>
          <w:color w:val="auto"/>
        </w:rPr>
      </w:pPr>
    </w:p>
    <w:p>
      <w:pPr>
        <w:ind w:firstLine="299"/>
        <w:spacing w:after="0" w:line="249" w:lineRule="auto"/>
        <w:rPr>
          <w:sz w:val="20"/>
          <w:szCs w:val="20"/>
          <w:color w:val="auto"/>
        </w:rPr>
      </w:pPr>
      <w:r>
        <w:rPr>
          <w:rFonts w:ascii="Arial" w:cs="Arial" w:eastAsia="Arial" w:hAnsi="Arial"/>
          <w:sz w:val="17"/>
          <w:szCs w:val="17"/>
          <w:b w:val="1"/>
          <w:bCs w:val="1"/>
          <w:color w:val="auto"/>
        </w:rPr>
        <w:t xml:space="preserve">Force Protection – </w:t>
      </w:r>
      <w:r>
        <w:rPr>
          <w:rFonts w:ascii="Arial" w:cs="Arial" w:eastAsia="Arial" w:hAnsi="Arial"/>
          <w:sz w:val="17"/>
          <w:szCs w:val="17"/>
          <w:color w:val="auto"/>
        </w:rPr>
        <w:t>DRS is an integrator of systems in ground vehicles, including reconnaissance and surveillance, mission support</w:t>
      </w:r>
      <w:r>
        <w:rPr>
          <w:rFonts w:ascii="Arial" w:cs="Arial" w:eastAsia="Arial" w:hAnsi="Arial"/>
          <w:sz w:val="17"/>
          <w:szCs w:val="17"/>
          <w:b w:val="1"/>
          <w:bCs w:val="1"/>
          <w:color w:val="auto"/>
        </w:rPr>
        <w:t xml:space="preserve"> </w:t>
      </w:r>
      <w:r>
        <w:rPr>
          <w:rFonts w:ascii="Arial" w:cs="Arial" w:eastAsia="Arial" w:hAnsi="Arial"/>
          <w:sz w:val="17"/>
          <w:szCs w:val="17"/>
          <w:color w:val="auto"/>
        </w:rPr>
        <w:t>and vehicle survivability and protection. Protecting U.S. service members and valuable defense assets is always a top DoD priority. To help accomplish this mission, we have a family of key force protection systems, including counter-unmanned aerial systems and portable ground radar, active protection systems, modular combat vehicle turrets and stabilized sensor suites. We believe that our record providing the TROPHY™ APS to the U.S. Army enhances our reputation and positions us well to provide future vehicle protection systems. Our short-range air defense mission equipment package and mounted counter-unmanned aerial systems integrate market-leading technologies that are ready to rapidly deploy to the field in upcoming competitive pursuits.</w:t>
      </w:r>
    </w:p>
    <w:p>
      <w:pPr>
        <w:spacing w:after="0" w:line="123" w:lineRule="exact"/>
        <w:rPr>
          <w:sz w:val="20"/>
          <w:szCs w:val="20"/>
          <w:color w:val="auto"/>
        </w:rPr>
      </w:pPr>
    </w:p>
    <w:p>
      <w:pPr>
        <w:ind w:right="80" w:firstLine="299"/>
        <w:spacing w:after="0" w:line="249" w:lineRule="auto"/>
        <w:rPr>
          <w:sz w:val="20"/>
          <w:szCs w:val="20"/>
          <w:color w:val="auto"/>
        </w:rPr>
      </w:pPr>
      <w:r>
        <w:rPr>
          <w:rFonts w:ascii="Arial" w:cs="Arial" w:eastAsia="Arial" w:hAnsi="Arial"/>
          <w:sz w:val="17"/>
          <w:szCs w:val="17"/>
          <w:b w:val="1"/>
          <w:bCs w:val="1"/>
          <w:color w:val="auto"/>
        </w:rPr>
        <w:t xml:space="preserve">Transportation and Logistics – </w:t>
      </w:r>
      <w:r>
        <w:rPr>
          <w:rFonts w:ascii="Arial" w:cs="Arial" w:eastAsia="Arial" w:hAnsi="Arial"/>
          <w:sz w:val="17"/>
          <w:szCs w:val="17"/>
          <w:color w:val="auto"/>
        </w:rPr>
        <w:t>DRS is a provider of transportation and logistics solutions for the DoD, including bridging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cargo loaders and trailers. Our Tunner and Halvorsen programs have provided the U.S. Air Force with rapidly deployable, high-reach mechanized aircraft loaders that can lift up to 60,000 and 25,000 pounds, respectively, of cargo onto military aircraft. The Joint Assault Bridge program positions us well as the U.S. Army is looking to expand its tactical bridging capabilities. We believe that our legacy position in heavy military trailers will allow us to win new opportunities as the U.S. Army looks for increased solutions. We also have capabilities in military fuel and water handling and distribution which can support U.S. military forces in a variety of challenging forward deployed environments.</w:t>
      </w:r>
    </w:p>
    <w:p>
      <w:pPr>
        <w:spacing w:after="0" w:line="123"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b w:val="1"/>
          <w:bCs w:val="1"/>
          <w:color w:val="auto"/>
        </w:rPr>
        <w:t xml:space="preserve">Electrical Power &amp; Propulsion – </w:t>
      </w:r>
      <w:r>
        <w:rPr>
          <w:rFonts w:ascii="Arial" w:cs="Arial" w:eastAsia="Arial" w:hAnsi="Arial"/>
          <w:sz w:val="17"/>
          <w:szCs w:val="17"/>
          <w:color w:val="auto"/>
        </w:rPr>
        <w:t>DRS is a leading provider of next generation electrical propulsion components and systems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U.S. Navy, with significant capabilities to service the fleet’s future needs, including on the Columbia-class submarine program which is integral to the United States’ deterrence strategy and among its highest priority programs. Beyond electrification of its fleet, the U.S. Navy will require increased power to expand and modernize its vessels, including for the introduction of laser weapons. This increased power demand will require improved power generation, storage, conversion, management and distribution, which align with the core competencies of this segment.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As a diverse, defense technology company that is primarily focused on U.S. military programs, we have significant attributes that make us well positioned in the market. With a heritage of excellence in defense products, systems and solutions, we have transformed ourselves into a leading defense technology company with capabilities in sensing, electro-optics and laser systems, a critical provider of trusted network computing and communications systems and a key leader in integrated mission systems. We believe that we are positioned to grow our market position as a leading mid-tier U.S. defense technologies provider.</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innovative portfolio is well positioned for core platform wins.</w:t>
      </w:r>
    </w:p>
    <w:p>
      <w:pPr>
        <w:spacing w:after="0" w:line="173" w:lineRule="exact"/>
        <w:rPr>
          <w:sz w:val="20"/>
          <w:szCs w:val="20"/>
          <w:color w:val="auto"/>
        </w:rPr>
      </w:pPr>
    </w:p>
    <w:p>
      <w:pPr>
        <w:ind w:right="20" w:firstLine="299"/>
        <w:spacing w:after="0" w:line="247" w:lineRule="auto"/>
        <w:rPr>
          <w:sz w:val="20"/>
          <w:szCs w:val="20"/>
          <w:color w:val="auto"/>
        </w:rPr>
      </w:pPr>
      <w:r>
        <w:rPr>
          <w:rFonts w:ascii="Arial" w:cs="Arial" w:eastAsia="Arial" w:hAnsi="Arial"/>
          <w:sz w:val="17"/>
          <w:szCs w:val="17"/>
          <w:color w:val="auto"/>
        </w:rPr>
        <w:t>Over the past five decades, DRS has advanced its portfolio through focused innovation, targeted investments, selective partnerships and mergers and acquisitions. DRS has solutions for a number of military platforms and serves the branches of the U.S. military, and competes at the prime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020"/>
          </w:cols>
          <w:pgMar w:left="940" w:top="1440" w:right="9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792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7560" cy="67925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systems, supplier, or component level. Our core set of defense technologies and capabilities have applications that cross our three segments, allowing us to leverage research and development (“R&amp;D”) and IP across multiple product lines, platforms and end markets. We also provide higher-value integrated sub-systems and systems and have a goal of increasing scope and market share by integrating our own products and technologies.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portfolio of defense technologies is strategically aligned with key DoD priorities.</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believe that our product and technology portfolio aligns with rising great power competition needs and modernization efforts, which are high priorities for DoD spending. Our technology portfolio and knowledge of the U.S. military enable us to win positions on key programs and adapt quickly to changing customer dynamics. Our size and lean management structure allow us to shift our focus to changing priorities rapidly to best serve our customers’ growing needs. Our recent execution performance in short-range air defense exemplifies this ability, as we were able to rapidly develop and field new technology to address urgent needs of the warfighter in an extremely short procurement cycle.</w:t>
      </w:r>
    </w:p>
    <w:p>
      <w:pPr>
        <w:spacing w:after="0" w:line="127" w:lineRule="exact"/>
        <w:rPr>
          <w:sz w:val="20"/>
          <w:szCs w:val="20"/>
          <w:color w:val="auto"/>
        </w:rPr>
      </w:pPr>
    </w:p>
    <w:p>
      <w:pPr>
        <w:ind w:right="240" w:firstLine="299"/>
        <w:spacing w:after="0" w:line="274" w:lineRule="auto"/>
        <w:rPr>
          <w:sz w:val="20"/>
          <w:szCs w:val="20"/>
          <w:color w:val="auto"/>
        </w:rPr>
      </w:pPr>
      <w:r>
        <w:rPr>
          <w:rFonts w:ascii="Arial" w:cs="Arial" w:eastAsia="Arial" w:hAnsi="Arial"/>
          <w:sz w:val="17"/>
          <w:szCs w:val="17"/>
          <w:b w:val="1"/>
          <w:bCs w:val="1"/>
          <w:i w:val="1"/>
          <w:iCs w:val="1"/>
          <w:color w:val="auto"/>
        </w:rPr>
        <w:t>We hold an embedded position on key defense platforms and with prime contractors, supported by our installed base of existing products spanning U.S. Army, U.S. Navy and U.S. Air Force platforms.</w:t>
      </w:r>
    </w:p>
    <w:p>
      <w:pPr>
        <w:spacing w:after="0" w:line="121" w:lineRule="exact"/>
        <w:rPr>
          <w:sz w:val="20"/>
          <w:szCs w:val="20"/>
          <w:color w:val="auto"/>
        </w:rPr>
      </w:pPr>
    </w:p>
    <w:p>
      <w:pPr>
        <w:ind w:right="140" w:firstLine="299"/>
        <w:spacing w:after="0" w:line="245" w:lineRule="auto"/>
        <w:rPr>
          <w:sz w:val="20"/>
          <w:szCs w:val="20"/>
          <w:color w:val="auto"/>
        </w:rPr>
      </w:pPr>
      <w:r>
        <w:rPr>
          <w:rFonts w:ascii="Arial" w:cs="Arial" w:eastAsia="Arial" w:hAnsi="Arial"/>
          <w:sz w:val="17"/>
          <w:szCs w:val="17"/>
          <w:color w:val="auto"/>
        </w:rPr>
        <w:t>Our current installed base of existing products spans over 300,000 computer and display systems that are fielded globally, approximately 60,000 enhanced driver vision systems for military combat vehicles, over 50,000 thermal weapon systems and critical naval computing infrastructure and technology on every U.S. naval combatant vessel in service. The notable platforms for this installed base include: surface ships, submarines, tracked and wheeled ground vehicles, fixed and rotary wing aircraft, unmanned aircraft, operating bases, and commercial vehicles and facilities. This installed base of existing products provide us opportunities for upgrades and new business that leverages these solutions.</w:t>
      </w:r>
    </w:p>
    <w:p>
      <w:pPr>
        <w:spacing w:after="0" w:line="127" w:lineRule="exact"/>
        <w:rPr>
          <w:sz w:val="20"/>
          <w:szCs w:val="20"/>
          <w:color w:val="auto"/>
        </w:rPr>
      </w:pPr>
    </w:p>
    <w:p>
      <w:pPr>
        <w:ind w:right="240" w:firstLine="299"/>
        <w:spacing w:after="0" w:line="274" w:lineRule="auto"/>
        <w:rPr>
          <w:sz w:val="20"/>
          <w:szCs w:val="20"/>
          <w:color w:val="auto"/>
        </w:rPr>
      </w:pPr>
      <w:r>
        <w:rPr>
          <w:rFonts w:ascii="Arial" w:cs="Arial" w:eastAsia="Arial" w:hAnsi="Arial"/>
          <w:sz w:val="17"/>
          <w:szCs w:val="17"/>
          <w:b w:val="1"/>
          <w:bCs w:val="1"/>
          <w:i w:val="1"/>
          <w:iCs w:val="1"/>
          <w:color w:val="auto"/>
        </w:rPr>
        <w:t>Our record of growth should drive profitability due to program lifecycle evolution, sole source positions and operational efficiencies.</w:t>
      </w:r>
    </w:p>
    <w:p>
      <w:pPr>
        <w:spacing w:after="0" w:line="12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Over the past five years through 2020, we have had a revenue CAGR of 12%, operating earnings expanded by $178 million and our Adjusted EBITDA Margin has increased to 9.6%. We have accomplished this through key program wins and sole-source positions, including prominent positions on the Columbia-class submarine program, MFoCS ruggedized computing battle management program, next generation of thermal weapon sights and our active protection system awards. Going forward, we anticipate that recent investments will drive profitability expansion and corresponding cash flow generation. As our program lifecycle in several key programs shifts from lower-margin, fixed-price development efforts to production, and topline growth brings more operational efficiencies, we expect to improve margin. Across our business, our continuous improvement culture is embodied in our Operational Excellence initiative called “Always Performing For Excellence,” or “APEX,” which strives to reduce cost and improves efficiencies while increasing the quality of our products and services.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highly experienced management team and talented workforce have transformed DRS.</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Our management team has transformed DRS into the market-leading, high-growth, technology company it is today by focusing attention and investment on the fastest growing areas of the DoD budget. We have done this through an active portfolio management process that targeted investment to growing technological capabilities and acquisitions of smaller accretive companies that fill key strategic gaps in our portfolio, and by creating partnerships or joint ventures to supplement our own IP. The result of these efforts has led DRS to be well positioned in the U.S. defense market. Our management team has an average tenure of 15 years with the Company and nearly 30 years in the industry.</w:t>
      </w:r>
    </w:p>
    <w:p>
      <w:pPr>
        <w:spacing w:after="0" w:line="147" w:lineRule="exact"/>
        <w:rPr>
          <w:sz w:val="20"/>
          <w:szCs w:val="20"/>
          <w:color w:val="auto"/>
        </w:rPr>
      </w:pPr>
    </w:p>
    <w:p>
      <w:pPr>
        <w:jc w:val="both"/>
        <w:ind w:right="500" w:firstLine="299"/>
        <w:spacing w:after="0" w:line="247" w:lineRule="auto"/>
        <w:rPr>
          <w:sz w:val="20"/>
          <w:szCs w:val="20"/>
          <w:color w:val="auto"/>
        </w:rPr>
      </w:pPr>
      <w:r>
        <w:rPr>
          <w:rFonts w:ascii="Arial" w:cs="Arial" w:eastAsia="Arial" w:hAnsi="Arial"/>
          <w:sz w:val="17"/>
          <w:szCs w:val="17"/>
          <w:color w:val="auto"/>
        </w:rPr>
        <w:t>Our work force of approximately 6,700 people is highly innovative and we maintain a culture that fosters and rewards growth, problem-solving, technology development and process improvements. We have approximately 1,350 world-class engineers highly trained to work on programs in sensing, electro-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000"/>
          </w:cols>
          <w:pgMar w:left="940" w:top="1440" w:right="9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350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7560" cy="635000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optical infrared systems, laser systems, network computing, communications systems, integration and power propulsion. Our employees maintain over 2,000 security clearances to allow engineers and management to carry on business activities for our customers’ classified programs. Our strong commitment to diversity, inclusion, succession planning and training has fostered a highly collaborative and motivated work force. Our human resources policies and benefits have been designed to allow us to recruit and retain top talent.</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are focused on sustainability and diversity.</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We strongly believe that in order to succeed as a company, we must remain a strong and positive contributor to the communities where we do business, and the greater world around us. Sustainability to us means taking important steps towards protecting the environment, engaging in corporate social responsibility, ensuring a safe work force and promoting diversity. We have enacted a sustainability risk management model to take action towards responsible consumption. We have focused our corporate giving program on military veterans and have initiated a program called MyCommunity that matches donations to local charities and provides paid volunteer hours to employees. We created a Diversity Advisory Group to improve our diversity and inclusiveness so that we look like the communities in which we operate. We have targeted increases in minority hiring and women in management and overall women in the workforce, which is 2.6% higher than our industry average.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73" w:lineRule="exact"/>
        <w:rPr>
          <w:sz w:val="20"/>
          <w:szCs w:val="20"/>
          <w:color w:val="auto"/>
        </w:rPr>
      </w:pPr>
    </w:p>
    <w:p>
      <w:pPr>
        <w:ind w:right="160" w:firstLine="299"/>
        <w:spacing w:after="0" w:line="246" w:lineRule="auto"/>
        <w:rPr>
          <w:sz w:val="20"/>
          <w:szCs w:val="20"/>
          <w:color w:val="auto"/>
        </w:rPr>
      </w:pPr>
      <w:r>
        <w:rPr>
          <w:rFonts w:ascii="Arial" w:cs="Arial" w:eastAsia="Arial" w:hAnsi="Arial"/>
          <w:sz w:val="17"/>
          <w:szCs w:val="17"/>
          <w:color w:val="auto"/>
        </w:rPr>
        <w:t>Our growth strategy is focused on four pillars: targeting investment to drive organic growth; executing on our programs to enhance profitability; actively managing our portfolio for optimization; and taking care of our people. Our goal is to grow and increase margins faster than the overall defense market through focused market selection, technology differentiation and operational excellence. Our vision is to be the best mid-tier defense technology company in the U.S. market.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Targeting Investment to Drive Organic Growth</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strategically select the markets where we compete and the programs on which we bid.</w:t>
      </w:r>
    </w:p>
    <w:p>
      <w:pPr>
        <w:spacing w:after="0" w:line="153" w:lineRule="exact"/>
        <w:rPr>
          <w:sz w:val="20"/>
          <w:szCs w:val="20"/>
          <w:color w:val="auto"/>
        </w:rPr>
      </w:pPr>
    </w:p>
    <w:p>
      <w:pPr>
        <w:ind w:left="600" w:right="20" w:hanging="308"/>
        <w:spacing w:after="0" w:line="245"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target programs in markets where we have strong core technology and where the DoD is focused. We seek to compete only in the areas in which we have a technological or market advantage, and which will attract funding. As an example, our core technology in high-performance receivers/transceivers is sought after by our customers for their wide-bandwidth and high signal dynamic range. These features are required for modern EW systems being developed for the U.S. Army, U.S. Marine Corp. and other customers to capture, exploit and/or disrupt modern signals.</w:t>
      </w:r>
    </w:p>
    <w:p>
      <w:pPr>
        <w:spacing w:after="0" w:line="147" w:lineRule="exact"/>
        <w:rPr>
          <w:rFonts w:ascii="Arial" w:cs="Arial" w:eastAsia="Arial" w:hAnsi="Arial"/>
          <w:sz w:val="17"/>
          <w:szCs w:val="17"/>
          <w:color w:val="auto"/>
        </w:rPr>
      </w:pPr>
    </w:p>
    <w:p>
      <w:pPr>
        <w:ind w:left="600" w:right="60" w:hanging="308"/>
        <w:spacing w:after="0" w:line="247"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target our investments in core technologies in areas of high market growth. Our investments fill gaps, create leading market offerings and make capital improvements to our business. We are also awarded, and leverage, significant customer research and development funding to complement our investments.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Executing on Our Programs to Enhance Profitability</w:t>
      </w:r>
    </w:p>
    <w:p>
      <w:pPr>
        <w:spacing w:after="0" w:line="173" w:lineRule="exact"/>
        <w:rPr>
          <w:sz w:val="20"/>
          <w:szCs w:val="20"/>
          <w:color w:val="auto"/>
        </w:rPr>
      </w:pPr>
    </w:p>
    <w:p>
      <w:pPr>
        <w:ind w:right="260" w:firstLine="299"/>
        <w:spacing w:after="0" w:line="247" w:lineRule="auto"/>
        <w:rPr>
          <w:sz w:val="20"/>
          <w:szCs w:val="20"/>
          <w:color w:val="auto"/>
        </w:rPr>
      </w:pPr>
      <w:r>
        <w:rPr>
          <w:rFonts w:ascii="Arial" w:cs="Arial" w:eastAsia="Arial" w:hAnsi="Arial"/>
          <w:sz w:val="17"/>
          <w:szCs w:val="17"/>
          <w:color w:val="auto"/>
        </w:rPr>
        <w:t>We remain focused on continuing to drive operational enhancements and efficiencies, which we believe will result in improved profitability over time. We believe that our world-class technology and innovative solutions coupled with the transition of development programs into production will serve as the foundation for continued profitable growth.</w:t>
      </w:r>
    </w:p>
    <w:p>
      <w:pPr>
        <w:spacing w:after="0" w:line="143" w:lineRule="exact"/>
        <w:rPr>
          <w:sz w:val="20"/>
          <w:szCs w:val="20"/>
          <w:color w:val="auto"/>
        </w:rPr>
      </w:pPr>
    </w:p>
    <w:p>
      <w:pPr>
        <w:jc w:val="both"/>
        <w:ind w:left="600" w:right="120" w:hanging="308"/>
        <w:spacing w:after="0" w:line="247"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believe that outstanding performance and timely execution on our programs will win us new business and lead to profitable growth, including new opportunities for follow-on orders which will add to our growing production base. Our recent short-range air defense program is an example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80"/>
          </w:cols>
          <w:pgMar w:left="940" w:top="1440" w:right="9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508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7560" cy="65081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program that we were able to win because of our reputation with the customer and our ability to quickly react to their needs.</w:t>
      </w:r>
    </w:p>
    <w:p>
      <w:pPr>
        <w:spacing w:after="0" w:line="164" w:lineRule="exact"/>
        <w:rPr>
          <w:sz w:val="20"/>
          <w:szCs w:val="20"/>
          <w:color w:val="auto"/>
        </w:rPr>
      </w:pPr>
    </w:p>
    <w:p>
      <w:pPr>
        <w:ind w:left="600" w:hanging="308"/>
        <w:spacing w:after="0" w:line="247"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Integrated systems offerings of our products and systems should further expand margins as we continue to grow the topline. Our Integrated Missions Systems business, for example, has strong integration capabilities which will enable us to grow content on programs as we increase our role from smaller sub-systems into full systems integration.</w:t>
      </w:r>
    </w:p>
    <w:p>
      <w:pPr>
        <w:spacing w:after="0" w:line="143" w:lineRule="exact"/>
        <w:rPr>
          <w:rFonts w:ascii="Arial" w:cs="Arial" w:eastAsia="Arial" w:hAnsi="Arial"/>
          <w:sz w:val="17"/>
          <w:szCs w:val="17"/>
          <w:color w:val="auto"/>
        </w:rPr>
      </w:pPr>
    </w:p>
    <w:p>
      <w:pPr>
        <w:ind w:left="600" w:right="140" w:hanging="308"/>
        <w:spacing w:after="0" w:line="246"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Successful execution on key development programs in early phases is expected to drive a transition to higher margin business in production, bringing sustained profitable success. Our Columbia-class submarine program is an example of a fixed-price development program that we invested in while recognizing that it will deliver long-term profitable growth, beginning in 2021, when it transitions into production.</w:t>
      </w:r>
    </w:p>
    <w:p>
      <w:pPr>
        <w:spacing w:after="0" w:line="144" w:lineRule="exact"/>
        <w:rPr>
          <w:rFonts w:ascii="Arial" w:cs="Arial" w:eastAsia="Arial" w:hAnsi="Arial"/>
          <w:sz w:val="17"/>
          <w:szCs w:val="17"/>
          <w:color w:val="auto"/>
        </w:rPr>
      </w:pPr>
    </w:p>
    <w:p>
      <w:pPr>
        <w:ind w:left="600" w:right="20" w:hanging="308"/>
        <w:spacing w:after="0" w:line="245"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APEX program focuses on the achievement of operational savings in production, supply chain and our overall cost structure. The APEX program’s goal is to strive for continuous improvement through unification of our business practices, tools and metrics, ongoing employee training and innovation. Commitment to excellence requires us to challenge ourselves to exceed our customers’ expectations. A culture of continuous improvement will allow us to improve our efficiency and increase our margins.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Actively Managing our Portfolio for Optimization</w:t>
      </w:r>
    </w:p>
    <w:p>
      <w:pPr>
        <w:spacing w:after="0" w:line="173" w:lineRule="exact"/>
        <w:rPr>
          <w:sz w:val="20"/>
          <w:szCs w:val="20"/>
          <w:color w:val="auto"/>
        </w:rPr>
      </w:pPr>
    </w:p>
    <w:p>
      <w:pPr>
        <w:ind w:right="440" w:firstLine="299"/>
        <w:spacing w:after="0" w:line="250" w:lineRule="auto"/>
        <w:rPr>
          <w:sz w:val="20"/>
          <w:szCs w:val="20"/>
          <w:color w:val="auto"/>
        </w:rPr>
      </w:pPr>
      <w:r>
        <w:rPr>
          <w:rFonts w:ascii="Arial" w:cs="Arial" w:eastAsia="Arial" w:hAnsi="Arial"/>
          <w:sz w:val="17"/>
          <w:szCs w:val="17"/>
          <w:color w:val="auto"/>
        </w:rPr>
        <w:t>We manage our portfolio to optimize our growth in areas where we have the strongest core technology base, where we have a competitive cost structure and where the defense market is growing.</w:t>
      </w:r>
    </w:p>
    <w:p>
      <w:pPr>
        <w:spacing w:after="0" w:line="140" w:lineRule="exact"/>
        <w:rPr>
          <w:sz w:val="20"/>
          <w:szCs w:val="20"/>
          <w:color w:val="auto"/>
        </w:rPr>
      </w:pPr>
    </w:p>
    <w:p>
      <w:pPr>
        <w:ind w:left="600" w:right="120" w:hanging="308"/>
        <w:spacing w:after="0" w:line="27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DRS has a portfolio of products and services that we believe are positioned to move up the value chain to provide sub-systems and integrated systems and solutions. We regularly assess our portfolio to ensure strong alignment with our customers’ needs and priorities and consider accretive acquisitions in areas where we have strategic gaps to address our customer’s needs.</w:t>
      </w:r>
    </w:p>
    <w:p>
      <w:pPr>
        <w:spacing w:after="0" w:line="125" w:lineRule="exact"/>
        <w:rPr>
          <w:rFonts w:ascii="Arial" w:cs="Arial" w:eastAsia="Arial" w:hAnsi="Arial"/>
          <w:sz w:val="16"/>
          <w:szCs w:val="16"/>
          <w:color w:val="auto"/>
        </w:rPr>
      </w:pPr>
    </w:p>
    <w:p>
      <w:pPr>
        <w:ind w:left="600" w:right="80" w:hanging="308"/>
        <w:spacing w:after="0" w:line="247"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employ a strategy of active IP management to acquire technologies and IP through partnerships, teaming arrangements, strategic licenses and other business arrangements. This active IP management strategy allows us access to new technologies in a disciplined manner to maintain the strength of our diversified portfolio.</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Continue to Take Care of Our People</w:t>
      </w:r>
    </w:p>
    <w:p>
      <w:pPr>
        <w:spacing w:after="0" w:line="173" w:lineRule="exact"/>
        <w:rPr>
          <w:sz w:val="20"/>
          <w:szCs w:val="20"/>
          <w:color w:val="auto"/>
        </w:rPr>
      </w:pPr>
    </w:p>
    <w:p>
      <w:pPr>
        <w:ind w:right="420" w:firstLine="299"/>
        <w:spacing w:after="0" w:line="250" w:lineRule="auto"/>
        <w:rPr>
          <w:sz w:val="20"/>
          <w:szCs w:val="20"/>
          <w:color w:val="auto"/>
        </w:rPr>
      </w:pPr>
      <w:r>
        <w:rPr>
          <w:rFonts w:ascii="Arial" w:cs="Arial" w:eastAsia="Arial" w:hAnsi="Arial"/>
          <w:sz w:val="17"/>
          <w:szCs w:val="17"/>
          <w:color w:val="auto"/>
        </w:rPr>
        <w:t>We seek to recruit and retain the highest caliber of talent through competitive pay and benefits packages, diverse and inclusive personnel policies and fostering an innovative and modern workforce.</w:t>
      </w:r>
    </w:p>
    <w:p>
      <w:pPr>
        <w:spacing w:after="0" w:line="140" w:lineRule="exact"/>
        <w:rPr>
          <w:sz w:val="20"/>
          <w:szCs w:val="20"/>
          <w:color w:val="auto"/>
        </w:rPr>
      </w:pPr>
    </w:p>
    <w:p>
      <w:pPr>
        <w:ind w:left="580" w:hanging="288"/>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strive to maintain the highest ethical standards and foster a collaborative workplace to ensure a strong culture in our people.</w:t>
      </w:r>
    </w:p>
    <w:p>
      <w:pPr>
        <w:spacing w:after="0" w:line="164" w:lineRule="exact"/>
        <w:rPr>
          <w:rFonts w:ascii="Arial" w:cs="Arial" w:eastAsia="Arial" w:hAnsi="Arial"/>
          <w:sz w:val="16"/>
          <w:szCs w:val="16"/>
          <w:color w:val="auto"/>
        </w:rPr>
      </w:pPr>
    </w:p>
    <w:p>
      <w:pPr>
        <w:ind w:left="600" w:right="480" w:hanging="308"/>
        <w:spacing w:after="0" w:line="250"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constantly assess and make thoughtful changes to our personnel practices, including changes to our pay and benefits packages and increased training and growth opportunities, to ensure that we attract and retain top talent.</w:t>
      </w:r>
    </w:p>
    <w:p>
      <w:pPr>
        <w:spacing w:after="0" w:line="140" w:lineRule="exact"/>
        <w:rPr>
          <w:rFonts w:ascii="Arial" w:cs="Arial" w:eastAsia="Arial" w:hAnsi="Arial"/>
          <w:sz w:val="17"/>
          <w:szCs w:val="17"/>
          <w:color w:val="auto"/>
        </w:rPr>
      </w:pPr>
    </w:p>
    <w:p>
      <w:pPr>
        <w:ind w:left="600" w:right="60" w:hanging="308"/>
        <w:spacing w:after="0" w:line="247"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implemented a strong diversity and inclusion program to ensure that our workforce looks like the communities in which they operate. This helps us to bring diverse ideas and perspectives to decision-making and problem-solving and allows us to draw from the largest pool of available talent.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 of the Company</w:t>
      </w:r>
    </w:p>
    <w:p>
      <w:pPr>
        <w:spacing w:after="0" w:line="173" w:lineRule="exact"/>
        <w:rPr>
          <w:sz w:val="20"/>
          <w:szCs w:val="20"/>
          <w:color w:val="auto"/>
        </w:rPr>
      </w:pPr>
    </w:p>
    <w:p>
      <w:pPr>
        <w:ind w:right="480" w:firstLine="299"/>
        <w:spacing w:after="0" w:line="250" w:lineRule="auto"/>
        <w:rPr>
          <w:sz w:val="20"/>
          <w:szCs w:val="20"/>
          <w:color w:val="auto"/>
        </w:rPr>
      </w:pPr>
      <w:r>
        <w:rPr>
          <w:rFonts w:ascii="Arial" w:cs="Arial" w:eastAsia="Arial" w:hAnsi="Arial"/>
          <w:sz w:val="17"/>
          <w:szCs w:val="17"/>
          <w:color w:val="auto"/>
        </w:rPr>
        <w:t>DRS was founded in 1969, in Mount Vernon, New York, as Diagnostic Retrieval Systems, and soon became best known by its acronym, DRS. In 1981, we first became a publicly traded company.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000"/>
          </w:cols>
          <w:pgMar w:left="940" w:top="1440" w:right="9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318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7560" cy="63182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subsequent decades, DRS experienced a period of rapid growth driven in large part by numerous acquisitions. In 2008, our stock ceased to be publicly traded when we were acquired by the Italian-headquartered Finmeccanica S.p.A. (now known as Leonardo S.p.A.) and we subsequently rebranded ourselves as Leonardo DRS. Since the Leonardo acquisition, we have operated under agreements with the DoD and related security policies in order to limit our foreign parent’s ability to control our business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Structure</w:t>
      </w:r>
    </w:p>
    <w:p>
      <w:pPr>
        <w:spacing w:after="0" w:line="173" w:lineRule="exact"/>
        <w:rPr>
          <w:sz w:val="20"/>
          <w:szCs w:val="20"/>
          <w:color w:val="auto"/>
        </w:rPr>
      </w:pPr>
    </w:p>
    <w:p>
      <w:pPr>
        <w:ind w:right="40" w:firstLine="299"/>
        <w:spacing w:after="0" w:line="244" w:lineRule="auto"/>
        <w:rPr>
          <w:sz w:val="20"/>
          <w:szCs w:val="20"/>
          <w:color w:val="auto"/>
        </w:rPr>
      </w:pPr>
      <w:r>
        <w:rPr>
          <w:rFonts w:ascii="Arial" w:cs="Arial" w:eastAsia="Arial" w:hAnsi="Arial"/>
          <w:sz w:val="17"/>
          <w:szCs w:val="17"/>
          <w:color w:val="auto"/>
        </w:rPr>
        <w:t>Following completion of this offering, we expect that Leonardo S.p.A. will indirectly hold approximately % of our common stock through US Holding (or % if the underwriters exercise their option to purchase additional shares from the selling stockholder). As a</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U.S. defense contractor with high level personal and facility security clearances, DRS, US Holding and Leonardo S.p.A. have entered into an agreement with the DoD to mitigate against the potential for undue foreign ownership control and influence (“FOCI”) on the performance of classified programs by implementing various limitations on US Holding’s and Leonardo S.p.A.’s rights as the direct stockholder and ultimate foreign parent company of DRS, respectively. Specifically, US Holding has authorized certain cleared US persons to operate as its proxies and exercise the key prerogatives of stock ownership. The proxy agreement requires that DRS have the financial and operational ability to operate as an independent entity under an independent board of directors, subject to certain limited, enumerated consent rights of the majority stockholder (including material mergers and acquisitions and incurrence of debt). For additional information, see “Certain Relationships and Related Party Transactions—Transactions with Leonardo S.p.A. Affiliates—Proxy Agreement.”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Ultimate Parent</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Leonardo S.p.A., a global high-technology company, is among the top ten world players in Aerospace, Defense and Security and Italy’s main industrial company. Organized into five business divisions, Leonardo S.p.A. has a significant industrial presence in Italy, the United Kingdom, Poland and the USA, where it also operates through subsidiaries such as Leonardo DRS (defense electronics), and joint ventures and partnerships: ATR, MBDA, Telespazio, Thales Alenia Space and Avio. Leonardo S.p.A. competes in the most important international markets by leveraging its areas of technological and product leadership (Helicopters, Aircraft, Aerostructures, Electronics, Cyber Security and Space). Listed on the Milan Stock Exchange (LDO), in 2019 Leonardo S.p.A. recorded consolidated revenues of € 13.8 billion and invested € 1.5 billion in Research and Development. The group has been part of the Dow Jones Sustainability Index (“DJSI”) since 2010 and is named as sustainability global leader in the Aerospace &amp; Defense sector of DJSI for the second year in a row in 2020.</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Offering</w:t>
      </w:r>
    </w:p>
    <w:p>
      <w:pPr>
        <w:spacing w:after="0" w:line="173" w:lineRule="exact"/>
        <w:rPr>
          <w:sz w:val="20"/>
          <w:szCs w:val="20"/>
          <w:color w:val="auto"/>
        </w:rPr>
      </w:pPr>
    </w:p>
    <w:p>
      <w:pPr>
        <w:ind w:right="20" w:firstLine="299"/>
        <w:spacing w:after="0" w:line="264" w:lineRule="auto"/>
        <w:rPr>
          <w:sz w:val="20"/>
          <w:szCs w:val="20"/>
          <w:color w:val="auto"/>
        </w:rPr>
      </w:pPr>
      <w:r>
        <w:rPr>
          <w:rFonts w:ascii="Arial" w:cs="Arial" w:eastAsia="Arial" w:hAnsi="Arial"/>
          <w:sz w:val="16"/>
          <w:szCs w:val="16"/>
          <w:color w:val="auto"/>
        </w:rPr>
        <w:t>DRS is a wholly owned subsidiary of US Holding and, indirectly, of Leonardo S.p.A., which operates under a U.S. defense proxy board. We believe this offering will enable us to show the full potential of DRS’s value and provide focused capital allocation to fuel growth. Following this transaction, US Holding will remain a majority stockholder in the Company and will manage its ownership stake in accordance with an amended and restated proxy agreement and a cooperation agreement that will address rights that US Holding and Leonardo S.p.A. will have with respect to business and financial information and financial accounting matters and certain consent rights.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w:t>
      </w:r>
    </w:p>
    <w:p>
      <w:pPr>
        <w:spacing w:after="0" w:line="173" w:lineRule="exact"/>
        <w:rPr>
          <w:sz w:val="20"/>
          <w:szCs w:val="20"/>
          <w:color w:val="auto"/>
        </w:rPr>
      </w:pPr>
    </w:p>
    <w:p>
      <w:pPr>
        <w:ind w:right="120" w:firstLine="299"/>
        <w:spacing w:after="0" w:line="244" w:lineRule="auto"/>
        <w:rPr>
          <w:sz w:val="20"/>
          <w:szCs w:val="20"/>
          <w:color w:val="auto"/>
        </w:rPr>
      </w:pPr>
      <w:r>
        <w:rPr>
          <w:rFonts w:ascii="Arial" w:cs="Arial" w:eastAsia="Arial" w:hAnsi="Arial"/>
          <w:sz w:val="17"/>
          <w:szCs w:val="17"/>
          <w:color w:val="auto"/>
        </w:rPr>
        <w:t>After the completion of this offering, we expect that Leonardo S.p.A. will indirectly hold approximately % of our common stock through US Holding (or % if the underwriters exercise their option to purchase additional shares from the selling stockholder). As a</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result, we expect to be a “controlled company” within the meaning of NYSE rules, following the completion of this offering. This status will allow us to rely on exemptions from certain corporate governance requirements otherwise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80"/>
          </w:cols>
          <w:pgMar w:left="940" w:top="1440" w:right="9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3410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7560" cy="341058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listed companies, although we currently do not intend to use these exemptions. See “Management—Corporate Governance—Controlled Company.”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Recapitalization</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To prepare for this offering and operation as a stand-alone public company, we have undertaken recapitalization initiatives to align our capital structure more closely with other U.S. public companies, including the expected repayment in full of our outstanding related-party borrowings of $237 million and entry into financing arrangements providing for the issuance of $450 million of third-party debt. The third-party debt is expected to consist of (i) $100 million of Term A debt at the London Inter-Bank Offered Rate (“LIBOR”) plus 2.25% (the “Term A Loan”) under a credit agreement providing for $300 million of senior unsecured credit facilities, and (ii) a bridge loan in an aggregate principal amount of $350 million with an interest rate of LIBOR plus 2.25% subject to quarterly 0.25% duration increases through the 364 day loan duration (the “Bridge Loan,” and together with the Term A Loan, our “New Debt”), in each case subject to the consummation of this offering. We anticipate that the Bridge Loan will be repaid with the net proceeds from the issuance of unsecured senior notes following this offering. Any such unsecured senior notes would be offered pursuant to a separate offering memorandum and nothing contained in this prospectus shall constitute an offer to sell or solicitation of an offer to buy such unsecured senior notes. See “Recapitalization” and “Unaudited Pro Forma Consolidated Financial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Corporate Information</w:t>
      </w:r>
    </w:p>
    <w:p>
      <w:pPr>
        <w:spacing w:after="0" w:line="173" w:lineRule="exact"/>
        <w:rPr>
          <w:sz w:val="20"/>
          <w:szCs w:val="20"/>
          <w:color w:val="auto"/>
        </w:rPr>
      </w:pPr>
    </w:p>
    <w:p>
      <w:pPr>
        <w:ind w:right="420" w:firstLine="299"/>
        <w:spacing w:after="0" w:line="250" w:lineRule="auto"/>
        <w:rPr>
          <w:sz w:val="20"/>
          <w:szCs w:val="20"/>
          <w:color w:val="auto"/>
        </w:rPr>
      </w:pPr>
      <w:r>
        <w:rPr>
          <w:rFonts w:ascii="Arial" w:cs="Arial" w:eastAsia="Arial" w:hAnsi="Arial"/>
          <w:sz w:val="17"/>
          <w:szCs w:val="17"/>
          <w:color w:val="auto"/>
        </w:rPr>
        <w:t>We are a Delaware corporation. Our principal executive offices are located at 2345 Crystal Drive Suite 1000, Arlington, Virginia 22202 and our telephone number is (703) 416-8000.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000"/>
          </w:cols>
          <w:pgMar w:left="940" w:top="1440" w:right="9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70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7560" cy="670560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Factors</w:t>
      </w:r>
    </w:p>
    <w:p>
      <w:pPr>
        <w:spacing w:after="0" w:line="173" w:lineRule="exact"/>
        <w:rPr>
          <w:sz w:val="20"/>
          <w:szCs w:val="20"/>
          <w:color w:val="auto"/>
        </w:rPr>
      </w:pPr>
    </w:p>
    <w:p>
      <w:pPr>
        <w:ind w:right="140" w:firstLine="299"/>
        <w:spacing w:after="0" w:line="246" w:lineRule="auto"/>
        <w:rPr>
          <w:sz w:val="20"/>
          <w:szCs w:val="20"/>
          <w:color w:val="auto"/>
        </w:rPr>
      </w:pPr>
      <w:r>
        <w:rPr>
          <w:rFonts w:ascii="Arial" w:cs="Arial" w:eastAsia="Arial" w:hAnsi="Arial"/>
          <w:sz w:val="17"/>
          <w:szCs w:val="17"/>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“Risk Factors” in this prospectus. These risks include, but are not limited to, the following:</w:t>
      </w:r>
    </w:p>
    <w:p>
      <w:pPr>
        <w:spacing w:after="0" w:line="144" w:lineRule="exact"/>
        <w:rPr>
          <w:sz w:val="20"/>
          <w:szCs w:val="20"/>
          <w:color w:val="auto"/>
        </w:rPr>
      </w:pPr>
    </w:p>
    <w:p>
      <w:pPr>
        <w:ind w:left="60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ind w:left="600" w:right="26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ind w:left="600" w:right="20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COVID-19 pandemic and related impacts have had and are likely to continue to have an adverse impact on our business, financial condition and results of operations.</w:t>
      </w:r>
    </w:p>
    <w:p>
      <w:pPr>
        <w:ind w:left="60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p>
    <w:p>
      <w:pPr>
        <w:ind w:left="600" w:right="22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ind w:left="600" w:right="18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ind w:left="580" w:hanging="288"/>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operate in a highly regulated environment and are routinely audited and reviewed by the U.S. government and its agencies.</w:t>
      </w:r>
    </w:p>
    <w:p>
      <w:pPr>
        <w:spacing w:after="0" w:line="2" w:lineRule="exact"/>
        <w:rPr>
          <w:rFonts w:ascii="Arial" w:cs="Arial" w:eastAsia="Arial" w:hAnsi="Arial"/>
          <w:sz w:val="16"/>
          <w:szCs w:val="16"/>
          <w:color w:val="auto"/>
        </w:rPr>
      </w:pPr>
    </w:p>
    <w:p>
      <w:pPr>
        <w:ind w:left="600" w:right="4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ind w:left="600" w:right="6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ind w:left="600" w:right="24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U.S. government has and may continue to implement initiatives focused on efficiencies, affordability and cost growth and other changes to its procurement practices.</w:t>
      </w:r>
    </w:p>
    <w:p>
      <w:pPr>
        <w:ind w:left="600" w:right="4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use estimates in pricing and accounting for many of our programs, and changes in our estimates could adversely impact our business, financial condition and results of operations.</w:t>
      </w:r>
    </w:p>
    <w:p>
      <w:pPr>
        <w:ind w:left="60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ind w:left="580" w:hanging="288"/>
        <w:spacing w:after="0" w:line="229"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business may be harmed if we are unable to appropriately manage our inventory.</w:t>
      </w:r>
    </w:p>
    <w:p>
      <w:pPr>
        <w:ind w:left="600" w:right="14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working capital requirements and cash flows are extremely variable and subject to fluctuation, which could have a material adverse effect on our business, financial condition and results of operations.</w:t>
      </w:r>
    </w:p>
    <w:p>
      <w:pPr>
        <w:ind w:left="600" w:right="22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cannot predict future capital needs, the sufficiency of our current financing or our ability to obtain additional financing if we need it.</w:t>
      </w:r>
    </w:p>
    <w:p>
      <w:pPr>
        <w:ind w:left="600" w:right="14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agreements governing our debt may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ind w:left="600" w:right="360" w:hanging="308"/>
        <w:spacing w:after="0" w:line="229"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service indebtedness and fund other cash needs, we will require a significant amount of cash, and our ability to generate cash depends on many factors beyond our control.</w:t>
      </w:r>
    </w:p>
    <w:p>
      <w:pPr>
        <w:ind w:left="580" w:hanging="288"/>
        <w:spacing w:after="0" w:line="229"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face intense competition and may suffer losses if we fail to compete efficiently.</w:t>
      </w:r>
    </w:p>
    <w:p>
      <w:pPr>
        <w:ind w:left="580" w:hanging="288"/>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depend in part upon our relationships and alliances with industry participants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000"/>
          </w:cols>
          <w:pgMar w:left="940" w:top="1440" w:right="9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002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7560" cy="60020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8"/>
        <w:spacing w:after="0"/>
        <w:rPr>
          <w:sz w:val="20"/>
          <w:szCs w:val="20"/>
          <w:color w:val="auto"/>
        </w:rPr>
      </w:pPr>
      <w:r>
        <w:rPr>
          <w:rFonts w:ascii="Arial" w:cs="Arial" w:eastAsia="Arial" w:hAnsi="Arial"/>
          <w:sz w:val="17"/>
          <w:szCs w:val="17"/>
          <w:color w:val="auto"/>
        </w:rPr>
        <w:t>generate revenue, which involves risks and uncertainties.</w:t>
      </w:r>
    </w:p>
    <w:p>
      <w:pPr>
        <w:ind w:left="308" w:right="260" w:hanging="308"/>
        <w:spacing w:after="0" w:line="243" w:lineRule="auto"/>
        <w:tabs>
          <w:tab w:leader="none" w:pos="304"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Contractual disputes with industry participants or the inability of our key suppliers to timely deliver our components, parts or services, could cause our products, systems or services to be produced or delivered in an untimely or unsatisfactory manner.</w:t>
      </w:r>
    </w:p>
    <w:p>
      <w:pPr>
        <w:ind w:left="308" w:right="68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susceptible to a security breach, through cyber attack, cyber intrusion, insider threats or otherwise, and to other significant disruptions of our IT networks and related systems or of those we operate for our customers.</w:t>
      </w:r>
    </w:p>
    <w:p>
      <w:pPr>
        <w:ind w:left="288" w:hanging="288"/>
        <w:spacing w:after="0" w:line="229" w:lineRule="auto"/>
        <w:tabs>
          <w:tab w:leader="none" w:pos="2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be at greater risk from terrorism and other threats to our physical security and personnel, than other companies.</w:t>
      </w:r>
    </w:p>
    <w:p>
      <w:pPr>
        <w:ind w:left="308" w:right="4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future success will depend on our ability to respond to the rapid technological changes in the markets in which we compete, our ability to introduce new or enhanced products and to enter into new markets.</w:t>
      </w:r>
    </w:p>
    <w:p>
      <w:pPr>
        <w:ind w:left="308" w:right="10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business, financial condition, results of operations, reputation and future prospects.</w:t>
      </w:r>
    </w:p>
    <w:p>
      <w:pPr>
        <w:ind w:left="308"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able to fully exploit or obtain patents or other intellectual property protections necessary to secure our proprietary technology.</w:t>
      </w:r>
    </w:p>
    <w:p>
      <w:pPr>
        <w:ind w:left="308" w:right="78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Third parties have claimed in the past and may claim in the future that we are infringing directly or indirectly upon their intellectual property rights, and third parties may infringe upon our intellectual property rights.</w:t>
      </w:r>
    </w:p>
    <w:p>
      <w:pPr>
        <w:ind w:left="308" w:right="66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reputation and ability to do business may be impacted by the improper conduct of our employees, agents, affiliates, subcontractors, suppliers, business partners or joint ventures in which we participate.</w:t>
      </w:r>
    </w:p>
    <w:p>
      <w:pPr>
        <w:ind w:left="308" w:right="16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international business exposes us to additional risks, including risks related to geopolitical and economic factors, laws and regulations.</w:t>
      </w:r>
    </w:p>
    <w:p>
      <w:pPr>
        <w:ind w:left="308" w:right="14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successful in obtaining the export licenses necessary to conduct certain operations abroad, and Congress may prevent proposed sales to certain foreign governments.</w:t>
      </w:r>
    </w:p>
    <w:p>
      <w:pPr>
        <w:ind w:left="288" w:hanging="288"/>
        <w:spacing w:after="0" w:line="229" w:lineRule="auto"/>
        <w:tabs>
          <w:tab w:leader="none" w:pos="2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failure to attract and retain technical and other key personnel could reduce our revenues and our operational effectiveness.</w:t>
      </w:r>
    </w:p>
    <w:p>
      <w:pPr>
        <w:ind w:left="308" w:right="4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ind w:left="308" w:right="18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could be liable for certain tax liabilities, including tax liabilities of US Holding and its subsidiaries, under tax law and the tax allocation agreement.</w:t>
      </w:r>
    </w:p>
    <w:p>
      <w:pPr>
        <w:ind w:left="308" w:right="14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significant operations in locations that could be materially and adversely impacted in the event of a natural disaster or other significant disruption.</w:t>
      </w:r>
    </w:p>
    <w:p>
      <w:pPr>
        <w:ind w:left="308"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leases may be terminated or we may be unable to renew our leases on acceptable terms and if we wish to relocate, we may incur additional costs if we terminate a lease.</w:t>
      </w:r>
    </w:p>
    <w:p>
      <w:pPr>
        <w:ind w:left="308" w:right="6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p>
    <w:p>
      <w:pPr>
        <w:ind w:left="288" w:hanging="288"/>
        <w:spacing w:after="0" w:line="229" w:lineRule="auto"/>
        <w:tabs>
          <w:tab w:leader="none" w:pos="2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CFIUS may modify, delay or prevent our future acquisition or investment activities.</w:t>
      </w:r>
    </w:p>
    <w:p>
      <w:pPr>
        <w:ind w:left="308" w:right="6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ultimate majority stockholder, Leonardo S.p.A., may have interests that are different from, or conflict with, those of our other stockholders, and their significant ownership in us may discourage change of control transactions.</w:t>
      </w:r>
    </w:p>
    <w:p>
      <w:pPr>
        <w:ind w:left="308" w:right="20" w:hanging="308"/>
        <w:spacing w:after="0" w:line="229"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Following this offering, we expect to be a “controlled company” within the meaning of NYSE rules and, as a result, we will qualify for exemptions from certain corporate governance requirements. You may not have the same protections afforded to stockholders of companies that are subject to such requirements.</w:t>
      </w:r>
    </w:p>
    <w:p>
      <w:pPr>
        <w:ind w:left="288" w:hanging="288"/>
        <w:spacing w:after="0" w:line="229" w:lineRule="auto"/>
        <w:tabs>
          <w:tab w:leader="none" w:pos="2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have obligations in favor of Leonardo S.p.A. after this offering.</w:t>
      </w:r>
    </w:p>
    <w:p>
      <w:pPr>
        <w:ind w:left="288" w:hanging="288"/>
        <w:spacing w:after="0" w:line="229" w:lineRule="auto"/>
        <w:tabs>
          <w:tab w:leader="none" w:pos="2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Some of our contracts with the U.S. government are classified, which may limit investor insight into portions of our business.</w:t>
      </w:r>
    </w:p>
    <w:p>
      <w:pPr>
        <w:ind w:left="288" w:hanging="288"/>
        <w:spacing w:after="0"/>
        <w:tabs>
          <w:tab w:leader="none" w:pos="2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do not expect to declare any dividends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72"/>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708"/>
          </w:cols>
          <w:pgMar w:left="1232" w:top="1440" w:right="9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5725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7560" cy="57257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940"/>
          </w:cols>
          <w:pgMar w:left="940" w:top="1440" w:right="1019" w:bottom="1440" w:gutter="0" w:footer="0" w:header="0"/>
        </w:sectPr>
      </w:pPr>
    </w:p>
    <w:p>
      <w:pPr>
        <w:spacing w:after="0" w:line="234" w:lineRule="exact"/>
        <w:rPr>
          <w:sz w:val="20"/>
          <w:szCs w:val="20"/>
          <w:color w:val="auto"/>
        </w:rPr>
      </w:pPr>
    </w:p>
    <w:p>
      <w:pPr>
        <w:ind w:right="800"/>
        <w:spacing w:after="0" w:line="250" w:lineRule="auto"/>
        <w:rPr>
          <w:sz w:val="20"/>
          <w:szCs w:val="20"/>
          <w:color w:val="auto"/>
        </w:rPr>
      </w:pPr>
      <w:r>
        <w:rPr>
          <w:rFonts w:ascii="Arial" w:cs="Arial" w:eastAsia="Arial" w:hAnsi="Arial"/>
          <w:sz w:val="17"/>
          <w:szCs w:val="17"/>
          <w:color w:val="auto"/>
        </w:rPr>
        <w:t>Common stock offered by the 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202" w:lineRule="exact"/>
        <w:rPr>
          <w:sz w:val="20"/>
          <w:szCs w:val="20"/>
          <w:color w:val="auto"/>
        </w:rPr>
      </w:pPr>
    </w:p>
    <w:p>
      <w:pPr>
        <w:sectPr>
          <w:pgSz w:w="11900" w:h="16838" w:orient="portrait"/>
          <w:cols w:equalWidth="0" w:num="2">
            <w:col w:w="3480" w:space="720"/>
            <w:col w:w="5740"/>
          </w:cols>
          <w:pgMar w:left="940" w:top="1440" w:right="1019" w:bottom="1440" w:gutter="0" w:footer="0" w:header="0"/>
          <w:type w:val="continuous"/>
        </w:sectPr>
      </w:pPr>
    </w:p>
    <w:p>
      <w:pPr>
        <w:spacing w:after="0" w:line="250" w:lineRule="auto"/>
        <w:rPr>
          <w:sz w:val="20"/>
          <w:szCs w:val="20"/>
          <w:color w:val="auto"/>
        </w:rPr>
      </w:pPr>
      <w:r>
        <w:rPr>
          <w:rFonts w:ascii="Arial" w:cs="Arial" w:eastAsia="Arial" w:hAnsi="Arial"/>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145,000,000 shares.</w:t>
      </w:r>
    </w:p>
    <w:p>
      <w:pPr>
        <w:spacing w:after="0" w:line="202" w:lineRule="exact"/>
        <w:rPr>
          <w:sz w:val="20"/>
          <w:szCs w:val="20"/>
          <w:color w:val="auto"/>
        </w:rPr>
      </w:pPr>
    </w:p>
    <w:p>
      <w:pPr>
        <w:sectPr>
          <w:pgSz w:w="11900" w:h="16838" w:orient="portrait"/>
          <w:cols w:equalWidth="0" w:num="2">
            <w:col w:w="3120" w:space="380"/>
            <w:col w:w="6440"/>
          </w:cols>
          <w:pgMar w:left="940" w:top="1440" w:right="1019" w:bottom="1440" w:gutter="0" w:footer="0" w:header="0"/>
          <w:type w:val="continuous"/>
        </w:sectPr>
      </w:pPr>
    </w:p>
    <w:p>
      <w:pPr>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underwriters have a 30-day option to purchase up to an additional</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from the selling stockholder at the initial public offering price,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less underwriting discounts and commissions.</w:t>
      </w:r>
    </w:p>
    <w:p>
      <w:pPr>
        <w:spacing w:after="0" w:line="190" w:lineRule="exact"/>
        <w:rPr>
          <w:sz w:val="20"/>
          <w:szCs w:val="20"/>
          <w:color w:val="auto"/>
        </w:rPr>
      </w:pPr>
    </w:p>
    <w:p>
      <w:pPr>
        <w:sectPr>
          <w:pgSz w:w="11900" w:h="16838" w:orient="portrait"/>
          <w:cols w:equalWidth="0" w:num="2">
            <w:col w:w="2780" w:space="720"/>
            <w:col w:w="6440"/>
          </w:cols>
          <w:pgMar w:left="940" w:top="1440" w:right="1019" w:bottom="1440" w:gutter="0" w:footer="0" w:header="0"/>
          <w:type w:val="continuous"/>
        </w:sectPr>
      </w:pPr>
    </w:p>
    <w:p>
      <w:pPr>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ind w:right="300"/>
        <w:spacing w:after="0" w:line="247" w:lineRule="auto"/>
        <w:rPr>
          <w:sz w:val="20"/>
          <w:szCs w:val="20"/>
          <w:color w:val="auto"/>
        </w:rPr>
      </w:pPr>
      <w:r>
        <w:rPr>
          <w:rFonts w:ascii="Arial" w:cs="Arial" w:eastAsia="Arial" w:hAnsi="Arial"/>
          <w:sz w:val="17"/>
          <w:szCs w:val="17"/>
          <w:color w:val="auto"/>
        </w:rPr>
        <w:t>We will not receive any proceeds from the sale of common stock in this offering; the selling stockholder will receive all of the proceeds from the sale of shares of our common stock.</w:t>
      </w:r>
    </w:p>
    <w:p>
      <w:pPr>
        <w:spacing w:after="0" w:line="180" w:lineRule="exact"/>
        <w:rPr>
          <w:sz w:val="20"/>
          <w:szCs w:val="20"/>
          <w:color w:val="auto"/>
        </w:rPr>
      </w:pPr>
    </w:p>
    <w:p>
      <w:pPr>
        <w:sectPr>
          <w:pgSz w:w="11900" w:h="16838" w:orient="portrait"/>
          <w:cols w:equalWidth="0" w:num="2">
            <w:col w:w="2780" w:space="720"/>
            <w:col w:w="6440"/>
          </w:cols>
          <w:pgMar w:left="940" w:top="1440" w:right="1019" w:bottom="1440" w:gutter="0" w:footer="0" w:header="0"/>
          <w:type w:val="continuous"/>
        </w:sectPr>
      </w:pPr>
    </w:p>
    <w:p>
      <w:pPr>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ind w:right="580"/>
        <w:spacing w:after="0" w:line="246" w:lineRule="auto"/>
        <w:rPr>
          <w:sz w:val="20"/>
          <w:szCs w:val="20"/>
          <w:color w:val="auto"/>
        </w:rPr>
      </w:pPr>
      <w:r>
        <w:rPr>
          <w:rFonts w:ascii="Arial" w:cs="Arial" w:eastAsia="Arial" w:hAnsi="Arial"/>
          <w:sz w:val="17"/>
          <w:szCs w:val="17"/>
          <w:color w:val="auto"/>
        </w:rPr>
        <w:t>We do not currently anticipate declaring or paying regular cash dividends on our common stock in the near term. We expect that we will retain all of our future earnings for use in the operation and expansion of our business. See “Dividend Policy.”</w:t>
      </w:r>
    </w:p>
    <w:p>
      <w:pPr>
        <w:spacing w:after="0" w:line="182" w:lineRule="exact"/>
        <w:rPr>
          <w:sz w:val="20"/>
          <w:szCs w:val="20"/>
          <w:color w:val="auto"/>
        </w:rPr>
      </w:pPr>
    </w:p>
    <w:p>
      <w:pPr>
        <w:sectPr>
          <w:pgSz w:w="11900" w:h="16838" w:orient="portrait"/>
          <w:cols w:equalWidth="0" w:num="2">
            <w:col w:w="2780" w:space="720"/>
            <w:col w:w="6440"/>
          </w:cols>
          <w:pgMar w:left="940" w:top="1440" w:right="1019" w:bottom="1440" w:gutter="0" w:footer="0" w:header="0"/>
          <w:type w:val="continuous"/>
        </w:sectPr>
      </w:pPr>
    </w:p>
    <w:p>
      <w:pPr>
        <w:spacing w:after="0"/>
        <w:rPr>
          <w:sz w:val="20"/>
          <w:szCs w:val="20"/>
          <w:color w:val="auto"/>
        </w:rPr>
      </w:pPr>
      <w:r>
        <w:rPr>
          <w:rFonts w:ascii="Arial" w:cs="Arial" w:eastAsia="Arial" w:hAnsi="Arial"/>
          <w:sz w:val="16"/>
          <w:szCs w:val="16"/>
          <w:color w:val="auto"/>
        </w:rPr>
        <w:t>Proposed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“DRS.”</w:t>
      </w:r>
    </w:p>
    <w:p>
      <w:pPr>
        <w:spacing w:after="0" w:line="178" w:lineRule="exact"/>
        <w:rPr>
          <w:sz w:val="20"/>
          <w:szCs w:val="20"/>
          <w:color w:val="auto"/>
        </w:rPr>
      </w:pPr>
    </w:p>
    <w:p>
      <w:pPr>
        <w:sectPr>
          <w:pgSz w:w="11900" w:h="16838" w:orient="portrait"/>
          <w:cols w:equalWidth="0" w:num="2">
            <w:col w:w="2780" w:space="720"/>
            <w:col w:w="6440"/>
          </w:cols>
          <w:pgMar w:left="940" w:top="1440" w:right="1019" w:bottom="1440" w:gutter="0" w:footer="0" w:header="0"/>
          <w:type w:val="continuous"/>
        </w:sectPr>
      </w:pPr>
    </w:p>
    <w:p>
      <w:pPr>
        <w:ind w:right="200" w:firstLine="299"/>
        <w:spacing w:after="0" w:line="246" w:lineRule="auto"/>
        <w:rPr>
          <w:sz w:val="20"/>
          <w:szCs w:val="20"/>
          <w:color w:val="auto"/>
        </w:rPr>
      </w:pPr>
      <w:r>
        <w:rPr>
          <w:rFonts w:ascii="Arial" w:cs="Arial" w:eastAsia="Arial" w:hAnsi="Arial"/>
          <w:sz w:val="17"/>
          <w:szCs w:val="17"/>
          <w:color w:val="auto"/>
        </w:rPr>
        <w:t>The number of shares of our common stock to be outstanding immediately following this offering is based on 145,000,000 shares outstanding as of February 26, 2021, and excludes 3,511,400 shares of common stock reserved for future issuance following this offering under the Leonardo DRS 2021 Omnibus Equity Compensation Plan (the “Omnibus Plan”) adopted in connection with this offering.</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53" w:lineRule="exact"/>
        <w:rPr>
          <w:sz w:val="20"/>
          <w:szCs w:val="20"/>
          <w:color w:val="auto"/>
        </w:rPr>
      </w:pPr>
    </w:p>
    <w:p>
      <w:pPr>
        <w:ind w:left="580" w:hanging="288"/>
        <w:spacing w:after="0"/>
        <w:tabs>
          <w:tab w:leader="none" w:pos="580" w:val="left"/>
        </w:tabs>
        <w:numPr>
          <w:ilvl w:val="0"/>
          <w:numId w:val="12"/>
        </w:numPr>
        <w:rPr>
          <w:rFonts w:ascii="Arial" w:cs="Arial" w:eastAsia="Arial" w:hAnsi="Arial"/>
          <w:sz w:val="17"/>
          <w:szCs w:val="17"/>
          <w:color w:val="auto"/>
          <w:highlight w:val="white"/>
        </w:rPr>
      </w:pPr>
      <w:r>
        <w:rPr>
          <w:rFonts w:ascii="Arial" w:cs="Arial" w:eastAsia="Arial" w:hAnsi="Arial"/>
          <w:sz w:val="17"/>
          <w:szCs w:val="17"/>
          <w:color w:val="auto"/>
        </w:rPr>
        <w:t xml:space="preserve">gives effect to a </w:t>
      </w:r>
      <w:r>
        <w:rPr>
          <w:rFonts w:ascii="Arial" w:cs="Arial" w:eastAsia="Arial" w:hAnsi="Arial"/>
          <w:sz w:val="17"/>
          <w:szCs w:val="17"/>
          <w:color w:val="auto"/>
          <w:highlight w:val="white"/>
        </w:rPr>
        <w:t>1,450,000-for-1 forward stock split on our common stock effected on February 25, 2021</w:t>
      </w:r>
      <w:r>
        <w:rPr>
          <w:rFonts w:ascii="Arial" w:cs="Arial" w:eastAsia="Arial" w:hAnsi="Arial"/>
          <w:sz w:val="17"/>
          <w:szCs w:val="17"/>
          <w:color w:val="auto"/>
        </w:rPr>
        <w:t>;</w:t>
      </w:r>
    </w:p>
    <w:p>
      <w:pPr>
        <w:spacing w:after="0" w:line="152" w:lineRule="exact"/>
        <w:rPr>
          <w:rFonts w:ascii="Arial" w:cs="Arial" w:eastAsia="Arial" w:hAnsi="Arial"/>
          <w:sz w:val="17"/>
          <w:szCs w:val="17"/>
          <w:color w:val="auto"/>
          <w:highlight w:val="white"/>
        </w:rPr>
      </w:pPr>
    </w:p>
    <w:p>
      <w:pPr>
        <w:ind w:left="600" w:hanging="308"/>
        <w:spacing w:after="0" w:line="247" w:lineRule="auto"/>
        <w:tabs>
          <w:tab w:leader="none" w:pos="5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gives effect to the transactions described in the section “Recapitalization”, including the anticipated repayment of $237 million of related-party borrowings and the expected issuance of $450 million of third-party debt (consisting of the Term A Loan and the Bridge Loan) in connection with this offering;</w:t>
      </w:r>
    </w:p>
    <w:p>
      <w:pPr>
        <w:spacing w:after="0" w:line="143" w:lineRule="exact"/>
        <w:rPr>
          <w:rFonts w:ascii="Arial" w:cs="Arial" w:eastAsia="Arial" w:hAnsi="Arial"/>
          <w:sz w:val="17"/>
          <w:szCs w:val="17"/>
          <w:color w:val="auto"/>
        </w:rPr>
      </w:pPr>
    </w:p>
    <w:p>
      <w:pPr>
        <w:ind w:left="580" w:hanging="288"/>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assumes no exercise by the underwriters of their option to purchase additional shares from the selling stockholder; and</w:t>
      </w:r>
    </w:p>
    <w:p>
      <w:pPr>
        <w:spacing w:after="0" w:line="152" w:lineRule="exact"/>
        <w:rPr>
          <w:rFonts w:ascii="Arial" w:cs="Arial" w:eastAsia="Arial" w:hAnsi="Arial"/>
          <w:sz w:val="17"/>
          <w:szCs w:val="17"/>
          <w:color w:val="auto"/>
        </w:rPr>
      </w:pPr>
    </w:p>
    <w:p>
      <w:pPr>
        <w:ind w:left="600" w:right="220" w:hanging="308"/>
        <w:spacing w:after="0" w:line="250" w:lineRule="auto"/>
        <w:tabs>
          <w:tab w:leader="none" w:pos="5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gives effect to amendments to our amended and restated certificate of incorporation and amended and restated bylaws to be adopted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940"/>
          </w:cols>
          <w:pgMar w:left="940" w:top="1440" w:right="101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7560" cy="6381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7560" cy="638111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CONSOLIDATED FINANCIAL DATA</w:t>
      </w:r>
    </w:p>
    <w:p>
      <w:pPr>
        <w:spacing w:after="0" w:line="173" w:lineRule="exact"/>
        <w:rPr>
          <w:sz w:val="20"/>
          <w:szCs w:val="20"/>
          <w:color w:val="auto"/>
        </w:rPr>
      </w:pPr>
    </w:p>
    <w:p>
      <w:pPr>
        <w:ind w:left="20" w:right="80" w:firstLine="299"/>
        <w:spacing w:after="0" w:line="245" w:lineRule="auto"/>
        <w:rPr>
          <w:sz w:val="20"/>
          <w:szCs w:val="20"/>
          <w:color w:val="auto"/>
        </w:rPr>
      </w:pPr>
      <w:r>
        <w:rPr>
          <w:rFonts w:ascii="Arial" w:cs="Arial" w:eastAsia="Arial" w:hAnsi="Arial"/>
          <w:sz w:val="17"/>
          <w:szCs w:val="17"/>
          <w:color w:val="auto"/>
        </w:rPr>
        <w:t>The financial information included in the Consolidated Statements of Earnings (Loss) Data for the years ended December 31, 2020, 2019 and 2018, and for the Consolidated Balance Sheet Data as of December 31, 2020 and 2019 have been derived from our audited consolidated financial statements included elsewhere in this prospectus. The Balance Sheet Data as of December 31, 2018 has been derived from unaudited financial statements not included herein. The unaudited portion of the Consolidated Balance Sheet Data has been prepared on the same basis as the audited Consolidated Financial Statements and in the opinion of management, reflects all adjustments necessary for the fair presentation of the 2018 Balance Sheet Data. This summary consolidated financial data should be read in conjunction with “Selected Historical Consolidated Financial Data,” “Management’s Discussion and Analysis of Financial Condition and Results of Operations” and the financial statements included elsewhere in this prospectus. Historical results are not indicative of future operating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92"/>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2018</w:t>
            </w:r>
          </w:p>
        </w:tc>
      </w:tr>
      <w:tr>
        <w:trPr>
          <w:trHeight w:val="23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Earnings (Loss) Data:</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17"/>
        </w:trPr>
        <w:tc>
          <w:tcPr>
            <w:tcW w:w="534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2,778</w:t>
            </w: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2,714</w:t>
            </w: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18"/>
              <w:spacing w:after="0"/>
              <w:rPr>
                <w:sz w:val="20"/>
                <w:szCs w:val="20"/>
                <w:color w:val="auto"/>
              </w:rPr>
            </w:pPr>
            <w:r>
              <w:rPr>
                <w:rFonts w:ascii="Arial" w:cs="Arial" w:eastAsia="Arial" w:hAnsi="Arial"/>
                <w:sz w:val="17"/>
                <w:szCs w:val="17"/>
                <w:color w:val="auto"/>
              </w:rPr>
              <w:t>2,333</w:t>
            </w:r>
          </w:p>
        </w:tc>
      </w:tr>
      <w:tr>
        <w:trPr>
          <w:trHeight w:val="25"/>
        </w:trPr>
        <w:tc>
          <w:tcPr>
            <w:tcW w:w="5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181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163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45</w:t>
            </w:r>
          </w:p>
        </w:tc>
      </w:tr>
      <w:tr>
        <w:trPr>
          <w:trHeight w:val="217"/>
        </w:trPr>
        <w:tc>
          <w:tcPr>
            <w:tcW w:w="5340" w:type="dxa"/>
            <w:vAlign w:val="bottom"/>
          </w:tcPr>
          <w:p>
            <w:pPr>
              <w:ind w:left="20"/>
              <w:spacing w:after="0"/>
              <w:rPr>
                <w:sz w:val="20"/>
                <w:szCs w:val="20"/>
                <w:color w:val="auto"/>
              </w:rPr>
            </w:pPr>
            <w:r>
              <w:rPr>
                <w:rFonts w:ascii="Arial" w:cs="Arial" w:eastAsia="Arial" w:hAnsi="Arial"/>
                <w:sz w:val="17"/>
                <w:szCs w:val="17"/>
                <w:color w:val="auto"/>
              </w:rPr>
              <w:t>Net earnings (loss)</w:t>
            </w: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78"/>
              <w:spacing w:after="0"/>
              <w:rPr>
                <w:sz w:val="20"/>
                <w:szCs w:val="20"/>
                <w:color w:val="auto"/>
              </w:rPr>
            </w:pPr>
            <w:r>
              <w:rPr>
                <w:rFonts w:ascii="Arial" w:cs="Arial" w:eastAsia="Arial" w:hAnsi="Arial"/>
                <w:sz w:val="17"/>
                <w:szCs w:val="17"/>
                <w:color w:val="auto"/>
              </w:rPr>
              <w:t>(10)</w:t>
            </w:r>
          </w:p>
        </w:tc>
      </w:tr>
      <w:tr>
        <w:trPr>
          <w:trHeight w:val="25"/>
        </w:trPr>
        <w:tc>
          <w:tcPr>
            <w:tcW w:w="5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Basic and diluted earnings (loss) per share: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0.59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0.52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(0.07)</w:t>
            </w:r>
          </w:p>
        </w:tc>
      </w:tr>
      <w:tr>
        <w:trPr>
          <w:trHeight w:val="224"/>
        </w:trPr>
        <w:tc>
          <w:tcPr>
            <w:tcW w:w="5340" w:type="dxa"/>
            <w:vAlign w:val="bottom"/>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
        </w:trPr>
        <w:tc>
          <w:tcPr>
            <w:tcW w:w="5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61</w:t>
            </w:r>
          </w:p>
        </w:tc>
        <w:tc>
          <w:tcPr>
            <w:tcW w:w="4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85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79</w:t>
            </w:r>
          </w:p>
        </w:tc>
      </w:tr>
      <w:tr>
        <w:trPr>
          <w:trHeight w:val="224"/>
        </w:trPr>
        <w:tc>
          <w:tcPr>
            <w:tcW w:w="534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60" w:type="dxa"/>
            <w:vAlign w:val="bottom"/>
          </w:tcPr>
          <w:p>
            <w:pPr>
              <w:spacing w:after="0"/>
              <w:rPr>
                <w:sz w:val="19"/>
                <w:szCs w:val="19"/>
                <w:color w:val="auto"/>
              </w:rPr>
            </w:pPr>
          </w:p>
        </w:tc>
        <w:tc>
          <w:tcPr>
            <w:tcW w:w="1140" w:type="dxa"/>
            <w:vAlign w:val="bottom"/>
          </w:tcPr>
          <w:p>
            <w:pPr>
              <w:jc w:val="right"/>
              <w:ind w:right="138"/>
              <w:spacing w:after="0"/>
              <w:rPr>
                <w:sz w:val="20"/>
                <w:szCs w:val="20"/>
                <w:color w:val="auto"/>
              </w:rPr>
            </w:pPr>
            <w:r>
              <w:rPr>
                <w:rFonts w:ascii="Arial" w:cs="Arial" w:eastAsia="Arial" w:hAnsi="Arial"/>
                <w:sz w:val="17"/>
                <w:szCs w:val="17"/>
                <w:color w:val="auto"/>
              </w:rPr>
              <w:t>2,956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8"/>
              <w:spacing w:after="0"/>
              <w:rPr>
                <w:sz w:val="20"/>
                <w:szCs w:val="20"/>
                <w:color w:val="auto"/>
              </w:rPr>
            </w:pPr>
            <w:r>
              <w:rPr>
                <w:rFonts w:ascii="Arial" w:cs="Arial" w:eastAsia="Arial" w:hAnsi="Arial"/>
                <w:sz w:val="17"/>
                <w:szCs w:val="17"/>
                <w:color w:val="auto"/>
              </w:rPr>
              <w:t>2,888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8"/>
              <w:spacing w:after="0"/>
              <w:rPr>
                <w:sz w:val="20"/>
                <w:szCs w:val="20"/>
                <w:color w:val="auto"/>
              </w:rPr>
            </w:pPr>
            <w:r>
              <w:rPr>
                <w:rFonts w:ascii="Arial" w:cs="Arial" w:eastAsia="Arial" w:hAnsi="Arial"/>
                <w:sz w:val="17"/>
                <w:szCs w:val="17"/>
                <w:color w:val="auto"/>
              </w:rPr>
              <w:t>2,429</w:t>
            </w:r>
          </w:p>
        </w:tc>
      </w:tr>
      <w:tr>
        <w:trPr>
          <w:trHeight w:val="25"/>
        </w:trPr>
        <w:tc>
          <w:tcPr>
            <w:tcW w:w="5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656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552</w:t>
            </w:r>
          </w:p>
        </w:tc>
      </w:tr>
      <w:tr>
        <w:trPr>
          <w:trHeight w:val="224"/>
        </w:trPr>
        <w:tc>
          <w:tcPr>
            <w:tcW w:w="5340" w:type="dxa"/>
            <w:vAlign w:val="bottom"/>
          </w:tcPr>
          <w:p>
            <w:pPr>
              <w:ind w:left="20"/>
              <w:spacing w:after="0"/>
              <w:rPr>
                <w:sz w:val="20"/>
                <w:szCs w:val="20"/>
                <w:color w:val="auto"/>
              </w:rPr>
            </w:pPr>
            <w:r>
              <w:rPr>
                <w:rFonts w:ascii="Arial" w:cs="Arial" w:eastAsia="Arial" w:hAnsi="Arial"/>
                <w:sz w:val="17"/>
                <w:szCs w:val="17"/>
                <w:color w:val="auto"/>
              </w:rPr>
              <w:t>Total shareholder's equity</w:t>
            </w:r>
          </w:p>
        </w:tc>
        <w:tc>
          <w:tcPr>
            <w:tcW w:w="360" w:type="dxa"/>
            <w:vAlign w:val="bottom"/>
          </w:tcPr>
          <w:p>
            <w:pPr>
              <w:spacing w:after="0"/>
              <w:rPr>
                <w:sz w:val="19"/>
                <w:szCs w:val="19"/>
                <w:color w:val="auto"/>
              </w:rPr>
            </w:pPr>
          </w:p>
        </w:tc>
        <w:tc>
          <w:tcPr>
            <w:tcW w:w="1140" w:type="dxa"/>
            <w:vAlign w:val="bottom"/>
          </w:tcPr>
          <w:p>
            <w:pPr>
              <w:jc w:val="right"/>
              <w:ind w:right="138"/>
              <w:spacing w:after="0"/>
              <w:rPr>
                <w:sz w:val="20"/>
                <w:szCs w:val="20"/>
                <w:color w:val="auto"/>
              </w:rPr>
            </w:pPr>
            <w:r>
              <w:rPr>
                <w:rFonts w:ascii="Arial" w:cs="Arial" w:eastAsia="Arial" w:hAnsi="Arial"/>
                <w:sz w:val="17"/>
                <w:szCs w:val="17"/>
                <w:color w:val="auto"/>
              </w:rPr>
              <w:t>1,427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8"/>
              <w:spacing w:after="0"/>
              <w:rPr>
                <w:sz w:val="20"/>
                <w:szCs w:val="20"/>
                <w:color w:val="auto"/>
              </w:rPr>
            </w:pPr>
            <w:r>
              <w:rPr>
                <w:rFonts w:ascii="Arial" w:cs="Arial" w:eastAsia="Arial" w:hAnsi="Arial"/>
                <w:sz w:val="17"/>
                <w:szCs w:val="17"/>
                <w:color w:val="auto"/>
              </w:rPr>
              <w:t>1,019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8"/>
              <w:spacing w:after="0"/>
              <w:rPr>
                <w:sz w:val="20"/>
                <w:szCs w:val="20"/>
                <w:color w:val="auto"/>
              </w:rPr>
            </w:pPr>
            <w:r>
              <w:rPr>
                <w:rFonts w:ascii="Arial" w:cs="Arial" w:eastAsia="Arial" w:hAnsi="Arial"/>
                <w:sz w:val="17"/>
                <w:szCs w:val="17"/>
                <w:color w:val="auto"/>
              </w:rPr>
              <w:t>956</w:t>
            </w:r>
          </w:p>
        </w:tc>
      </w:tr>
      <w:tr>
        <w:trPr>
          <w:trHeight w:val="25"/>
        </w:trPr>
        <w:tc>
          <w:tcPr>
            <w:tcW w:w="5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Cash Flows Data:</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8"/>
              <w:spacing w:after="0"/>
              <w:rPr>
                <w:sz w:val="20"/>
                <w:szCs w:val="20"/>
                <w:color w:val="auto"/>
              </w:rPr>
            </w:pPr>
            <w:r>
              <w:rPr>
                <w:rFonts w:ascii="Arial" w:cs="Arial" w:eastAsia="Arial" w:hAnsi="Arial"/>
                <w:sz w:val="17"/>
                <w:szCs w:val="17"/>
                <w:color w:val="auto"/>
              </w:rPr>
              <w:t>125</w:t>
            </w:r>
          </w:p>
        </w:tc>
        <w:tc>
          <w:tcPr>
            <w:tcW w:w="440" w:type="dxa"/>
            <w:vAlign w:val="bottom"/>
            <w:gridSpan w:val="2"/>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8"/>
              <w:spacing w:after="0"/>
              <w:rPr>
                <w:sz w:val="20"/>
                <w:szCs w:val="20"/>
                <w:color w:val="auto"/>
              </w:rPr>
            </w:pPr>
            <w:r>
              <w:rPr>
                <w:rFonts w:ascii="Arial" w:cs="Arial" w:eastAsia="Arial" w:hAnsi="Arial"/>
                <w:sz w:val="17"/>
                <w:szCs w:val="17"/>
                <w:color w:val="auto"/>
              </w:rPr>
              <w:t>157</w:t>
            </w:r>
          </w:p>
        </w:tc>
        <w:tc>
          <w:tcPr>
            <w:tcW w:w="80" w:type="dxa"/>
            <w:vAlign w:val="bottom"/>
          </w:tcPr>
          <w:p>
            <w:pPr>
              <w:spacing w:after="0"/>
              <w:rPr>
                <w:sz w:val="19"/>
                <w:szCs w:val="19"/>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18"/>
              <w:spacing w:after="0"/>
              <w:rPr>
                <w:sz w:val="20"/>
                <w:szCs w:val="20"/>
                <w:color w:val="auto"/>
              </w:rPr>
            </w:pPr>
            <w:r>
              <w:rPr>
                <w:rFonts w:ascii="Arial" w:cs="Arial" w:eastAsia="Arial" w:hAnsi="Arial"/>
                <w:sz w:val="17"/>
                <w:szCs w:val="17"/>
                <w:color w:val="auto"/>
              </w:rPr>
              <w:t>105</w:t>
            </w:r>
          </w:p>
        </w:tc>
      </w:tr>
      <w:tr>
        <w:trPr>
          <w:trHeight w:val="25"/>
        </w:trPr>
        <w:tc>
          <w:tcPr>
            <w:tcW w:w="5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Financial Data:</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9"/>
        </w:trPr>
        <w:tc>
          <w:tcPr>
            <w:tcW w:w="5340" w:type="dxa"/>
            <w:vAlign w:val="bottom"/>
          </w:tcPr>
          <w:p>
            <w:pPr>
              <w:ind w:left="20"/>
              <w:spacing w:after="0"/>
              <w:rPr>
                <w:sz w:val="20"/>
                <w:szCs w:val="20"/>
                <w:color w:val="auto"/>
              </w:rPr>
            </w:pPr>
            <w:r>
              <w:rPr>
                <w:rFonts w:ascii="Arial" w:cs="Arial" w:eastAsia="Arial" w:hAnsi="Arial"/>
                <w:sz w:val="17"/>
                <w:szCs w:val="17"/>
                <w:color w:val="auto"/>
              </w:rPr>
              <w:t xml:space="preserve">Adjusted EBITDA </w:t>
            </w:r>
            <w:r>
              <w:rPr>
                <w:rFonts w:ascii="Arial" w:cs="Arial" w:eastAsia="Arial" w:hAnsi="Arial"/>
                <w:sz w:val="21"/>
                <w:szCs w:val="21"/>
                <w:color w:val="auto"/>
                <w:vertAlign w:val="superscript"/>
              </w:rPr>
              <w:t>(2)</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8"/>
              <w:spacing w:after="0"/>
              <w:rPr>
                <w:sz w:val="20"/>
                <w:szCs w:val="20"/>
                <w:color w:val="auto"/>
              </w:rPr>
            </w:pPr>
            <w:r>
              <w:rPr>
                <w:rFonts w:ascii="Arial" w:cs="Arial" w:eastAsia="Arial" w:hAnsi="Arial"/>
                <w:sz w:val="17"/>
                <w:szCs w:val="17"/>
                <w:color w:val="auto"/>
              </w:rPr>
              <w:t>268</w:t>
            </w:r>
          </w:p>
        </w:tc>
        <w:tc>
          <w:tcPr>
            <w:tcW w:w="440" w:type="dxa"/>
            <w:vAlign w:val="bottom"/>
            <w:gridSpan w:val="2"/>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8"/>
              <w:spacing w:after="0"/>
              <w:rPr>
                <w:sz w:val="20"/>
                <w:szCs w:val="20"/>
                <w:color w:val="auto"/>
              </w:rPr>
            </w:pPr>
            <w:r>
              <w:rPr>
                <w:rFonts w:ascii="Arial" w:cs="Arial" w:eastAsia="Arial" w:hAnsi="Arial"/>
                <w:sz w:val="17"/>
                <w:szCs w:val="17"/>
                <w:color w:val="auto"/>
              </w:rPr>
              <w:t>234</w:t>
            </w:r>
          </w:p>
        </w:tc>
        <w:tc>
          <w:tcPr>
            <w:tcW w:w="80" w:type="dxa"/>
            <w:vAlign w:val="bottom"/>
          </w:tcPr>
          <w:p>
            <w:pPr>
              <w:spacing w:after="0"/>
              <w:rPr>
                <w:sz w:val="21"/>
                <w:szCs w:val="21"/>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18"/>
              <w:spacing w:after="0"/>
              <w:rPr>
                <w:sz w:val="20"/>
                <w:szCs w:val="20"/>
                <w:color w:val="auto"/>
              </w:rPr>
            </w:pPr>
            <w:r>
              <w:rPr>
                <w:rFonts w:ascii="Arial" w:cs="Arial" w:eastAsia="Arial" w:hAnsi="Arial"/>
                <w:sz w:val="17"/>
                <w:szCs w:val="17"/>
                <w:color w:val="auto"/>
              </w:rPr>
              <w:t>187</w:t>
            </w:r>
          </w:p>
        </w:tc>
      </w:tr>
      <w:tr>
        <w:trPr>
          <w:trHeight w:val="24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Adjusted EBITDA Margin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8.0 %</w:t>
            </w:r>
          </w:p>
        </w:tc>
      </w:tr>
      <w:tr>
        <w:trPr>
          <w:trHeight w:val="249"/>
        </w:trPr>
        <w:tc>
          <w:tcPr>
            <w:tcW w:w="5340" w:type="dxa"/>
            <w:vAlign w:val="bottom"/>
          </w:tcPr>
          <w:p>
            <w:pPr>
              <w:ind w:left="20"/>
              <w:spacing w:after="0"/>
              <w:rPr>
                <w:sz w:val="20"/>
                <w:szCs w:val="20"/>
                <w:color w:val="auto"/>
              </w:rPr>
            </w:pPr>
            <w:r>
              <w:rPr>
                <w:rFonts w:ascii="Arial" w:cs="Arial" w:eastAsia="Arial" w:hAnsi="Arial"/>
                <w:sz w:val="17"/>
                <w:szCs w:val="17"/>
                <w:color w:val="auto"/>
              </w:rPr>
              <w:t xml:space="preserve">Free cash flow </w:t>
            </w:r>
            <w:r>
              <w:rPr>
                <w:rFonts w:ascii="Arial" w:cs="Arial" w:eastAsia="Arial" w:hAnsi="Arial"/>
                <w:sz w:val="21"/>
                <w:szCs w:val="21"/>
                <w:color w:val="auto"/>
                <w:vertAlign w:val="superscript"/>
              </w:rPr>
              <w:t>(2)</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8"/>
              <w:spacing w:after="0"/>
              <w:rPr>
                <w:sz w:val="20"/>
                <w:szCs w:val="20"/>
                <w:color w:val="auto"/>
              </w:rPr>
            </w:pPr>
            <w:r>
              <w:rPr>
                <w:rFonts w:ascii="Arial" w:cs="Arial" w:eastAsia="Arial" w:hAnsi="Arial"/>
                <w:sz w:val="17"/>
                <w:szCs w:val="17"/>
                <w:color w:val="auto"/>
              </w:rPr>
              <w:t>74</w:t>
            </w:r>
          </w:p>
        </w:tc>
        <w:tc>
          <w:tcPr>
            <w:tcW w:w="440" w:type="dxa"/>
            <w:vAlign w:val="bottom"/>
            <w:gridSpan w:val="2"/>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8"/>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21"/>
                <w:szCs w:val="21"/>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18"/>
              <w:spacing w:after="0"/>
              <w:rPr>
                <w:sz w:val="20"/>
                <w:szCs w:val="20"/>
                <w:color w:val="auto"/>
              </w:rPr>
            </w:pPr>
            <w:r>
              <w:rPr>
                <w:rFonts w:ascii="Arial" w:cs="Arial" w:eastAsia="Arial" w:hAnsi="Arial"/>
                <w:sz w:val="17"/>
                <w:szCs w:val="17"/>
                <w:color w:val="auto"/>
              </w:rPr>
              <w:t>65</w:t>
            </w:r>
          </w:p>
        </w:tc>
      </w:tr>
      <w:tr>
        <w:trPr>
          <w:trHeight w:val="24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Backlog </w:t>
            </w:r>
            <w:r>
              <w:rPr>
                <w:rFonts w:ascii="Arial" w:cs="Arial" w:eastAsia="Arial" w:hAnsi="Arial"/>
                <w:sz w:val="21"/>
                <w:szCs w:val="21"/>
                <w:color w:val="auto"/>
                <w:vertAlign w:val="superscript"/>
              </w:rPr>
              <w:t>(3)</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3,291</w:t>
            </w:r>
          </w:p>
        </w:tc>
        <w:tc>
          <w:tcPr>
            <w:tcW w:w="4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2,844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2,684</w:t>
            </w:r>
          </w:p>
        </w:tc>
      </w:tr>
      <w:tr>
        <w:trPr>
          <w:trHeight w:val="251"/>
        </w:trPr>
        <w:tc>
          <w:tcPr>
            <w:tcW w:w="5340" w:type="dxa"/>
            <w:vAlign w:val="bottom"/>
          </w:tcPr>
          <w:p>
            <w:pPr>
              <w:ind w:left="20"/>
              <w:spacing w:after="0"/>
              <w:rPr>
                <w:sz w:val="20"/>
                <w:szCs w:val="20"/>
                <w:color w:val="auto"/>
              </w:rPr>
            </w:pPr>
            <w:r>
              <w:rPr>
                <w:rFonts w:ascii="Arial" w:cs="Arial" w:eastAsia="Arial" w:hAnsi="Arial"/>
                <w:sz w:val="17"/>
                <w:szCs w:val="17"/>
                <w:color w:val="auto"/>
              </w:rPr>
              <w:t xml:space="preserve">Bookings </w:t>
            </w:r>
            <w:r>
              <w:rPr>
                <w:rFonts w:ascii="Arial" w:cs="Arial" w:eastAsia="Arial" w:hAnsi="Arial"/>
                <w:sz w:val="21"/>
                <w:szCs w:val="21"/>
                <w:color w:val="auto"/>
                <w:vertAlign w:val="superscript"/>
              </w:rPr>
              <w:t>(3)</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8"/>
              <w:spacing w:after="0"/>
              <w:rPr>
                <w:sz w:val="20"/>
                <w:szCs w:val="20"/>
                <w:color w:val="auto"/>
              </w:rPr>
            </w:pPr>
            <w:r>
              <w:rPr>
                <w:rFonts w:ascii="Arial" w:cs="Arial" w:eastAsia="Arial" w:hAnsi="Arial"/>
                <w:sz w:val="17"/>
                <w:szCs w:val="17"/>
                <w:color w:val="auto"/>
              </w:rPr>
              <w:t>3,055</w:t>
            </w:r>
          </w:p>
        </w:tc>
        <w:tc>
          <w:tcPr>
            <w:tcW w:w="440" w:type="dxa"/>
            <w:vAlign w:val="bottom"/>
            <w:gridSpan w:val="2"/>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8"/>
              <w:spacing w:after="0"/>
              <w:rPr>
                <w:sz w:val="20"/>
                <w:szCs w:val="20"/>
                <w:color w:val="auto"/>
              </w:rPr>
            </w:pPr>
            <w:r>
              <w:rPr>
                <w:rFonts w:ascii="Arial" w:cs="Arial" w:eastAsia="Arial" w:hAnsi="Arial"/>
                <w:sz w:val="17"/>
                <w:szCs w:val="17"/>
                <w:color w:val="auto"/>
              </w:rPr>
              <w:t>2,923</w:t>
            </w:r>
          </w:p>
        </w:tc>
        <w:tc>
          <w:tcPr>
            <w:tcW w:w="80" w:type="dxa"/>
            <w:vAlign w:val="bottom"/>
          </w:tcPr>
          <w:p>
            <w:pPr>
              <w:spacing w:after="0"/>
              <w:rPr>
                <w:sz w:val="21"/>
                <w:szCs w:val="21"/>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18"/>
              <w:spacing w:after="0"/>
              <w:rPr>
                <w:sz w:val="20"/>
                <w:szCs w:val="20"/>
                <w:color w:val="auto"/>
              </w:rPr>
            </w:pPr>
            <w:r>
              <w:rPr>
                <w:rFonts w:ascii="Arial" w:cs="Arial" w:eastAsia="Arial" w:hAnsi="Arial"/>
                <w:sz w:val="17"/>
                <w:szCs w:val="17"/>
                <w:color w:val="auto"/>
              </w:rPr>
              <w:t>2,879</w:t>
            </w:r>
          </w:p>
        </w:tc>
      </w:tr>
      <w:tr>
        <w:trPr>
          <w:trHeight w:val="174"/>
        </w:trPr>
        <w:tc>
          <w:tcPr>
            <w:tcW w:w="5340" w:type="dxa"/>
            <w:vAlign w:val="bottom"/>
          </w:tcPr>
          <w:p>
            <w:pPr>
              <w:ind w:left="20"/>
              <w:spacing w:after="0"/>
              <w:rPr>
                <w:sz w:val="20"/>
                <w:szCs w:val="20"/>
                <w:color w:val="auto"/>
              </w:rPr>
            </w:pPr>
            <w:r>
              <w:rPr>
                <w:rFonts w:ascii="Arial" w:cs="Arial" w:eastAsia="Arial" w:hAnsi="Arial"/>
                <w:sz w:val="15"/>
                <w:szCs w:val="15"/>
                <w:color w:val="auto"/>
              </w:rPr>
              <w:t>________________</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ind w:left="300" w:hanging="287"/>
        <w:spacing w:after="0"/>
        <w:tabs>
          <w:tab w:leader="none" w:pos="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Gives effect to a 1,450,000-for-1 forward stock split on our common stock effected on February 25, 2021.</w:t>
      </w:r>
    </w:p>
    <w:p>
      <w:pPr>
        <w:spacing w:after="0" w:line="1" w:lineRule="exact"/>
        <w:rPr>
          <w:rFonts w:ascii="Arial" w:cs="Arial" w:eastAsia="Arial" w:hAnsi="Arial"/>
          <w:sz w:val="15"/>
          <w:szCs w:val="15"/>
          <w:color w:val="auto"/>
        </w:rPr>
      </w:pPr>
    </w:p>
    <w:p>
      <w:pPr>
        <w:ind w:left="320" w:hanging="307"/>
        <w:spacing w:after="0" w:line="259" w:lineRule="auto"/>
        <w:tabs>
          <w:tab w:leader="none" w:pos="3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EBITDA, Adjusted EBITDA Margin and free cash flow are non-GAAP measures. Refer to “Management’s Discussion and Analysis of Financial Condition and Results of Operations—Key Financial and Operating Measures—Non-GAAP Financial Measures” for definitions, additional discussion of management’s use of non-GAAP measures as supplemental financial measures and reconciliations of net earnings (loss) to Adjusted EBITDA and net cash provided by operating activities to free cash flow. Adjusted EBITDA, Adjusted EBITDA Margin and free cash flow may not be comparable to similarly titled non-GAAP measures of other companies as other companies may have calculated the measures differently.</w:t>
      </w:r>
    </w:p>
    <w:p>
      <w:pPr>
        <w:spacing w:after="0" w:line="2" w:lineRule="exact"/>
        <w:rPr>
          <w:rFonts w:ascii="Arial" w:cs="Arial" w:eastAsia="Arial" w:hAnsi="Arial"/>
          <w:sz w:val="14"/>
          <w:szCs w:val="14"/>
          <w:color w:val="auto"/>
        </w:rPr>
      </w:pPr>
    </w:p>
    <w:p>
      <w:pPr>
        <w:ind w:left="320" w:right="220" w:hanging="307"/>
        <w:spacing w:after="0" w:line="251" w:lineRule="auto"/>
        <w:tabs>
          <w:tab w:leader="none" w:pos="3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Refer to “Management’s Discussion and Analysis of Financial Condition and Results of Operations—Key Financial and Operating Measures” for the definition and additional discussion of management’s use of backlog and bookings as key operating and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020"/>
          </w:cols>
          <w:pgMar w:left="920" w:top="1440" w:right="959" w:bottom="1440" w:gutter="0" w:footer="0" w:header="0"/>
        </w:sectPr>
      </w:pPr>
    </w:p>
    <w:bookmarkStart w:id="22" w:name="page23"/>
    <w:bookmarkEnd w:id="22"/>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Investing in our common stock involves risk. You should consider carefully the risks and uncertainties described below, as well as other information contained in this prospectus, including our financial statements and the section titled “Management’s Discussion and Analysis of Financial Condition and Results of Operations,” before making an investment decision. The risks described below are not the only ones facing us, and are not necessarily presented in the order of importance. The occurrence of any of the following risks or additional risks and uncertainties not presently known to us or that we currently believe to be immaterial could materially and adversely affect our business, financial condition and results of operations. In any such case, the trading price of our common stock could decline, and you could lose all or part of your investment. This prospectus also contains forward-looking statements and estimates that involve risks and uncertainties. Our actual results could differ materially from those anticipated in the forward-looking statements as a result of a number of factors, including the risks and uncertainties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15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spacing w:after="0" w:line="98"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depend on revenues from contracts and subcontracts with the U.S. government, including defense-related programs with the DoD and a broad range of programs with all branches of the U.S. military. Revenues derived directly or indirectly from contracts with the U.S. government represented approximately 84%, 89% and 86% of our total revenues for the years ended December 31, 2020, 2019 and 2018, respectively, with revenues principally derived directly or indirectly from contracts with the U.S. Army and U.S. Navy, which represented 43% and 32%, respectively, of our total revenues for the year ended December 31, 2020. Because our customer base is concentrated within the U.S. defense industry, any disruption or deterioration in our relationship with the U.S. government and its prime contractors, or any change in the U.S. government’s willingness to commit substantial resources to the continued purchase of our products, could significantly reduce our revenues and have a material adverse impact on our business, financial condition and results of operations.</w:t>
      </w:r>
    </w:p>
    <w:p>
      <w:pPr>
        <w:spacing w:after="0" w:line="126" w:lineRule="exact"/>
        <w:rPr>
          <w:sz w:val="20"/>
          <w:szCs w:val="20"/>
          <w:color w:val="auto"/>
        </w:rPr>
      </w:pPr>
    </w:p>
    <w:p>
      <w:pPr>
        <w:jc w:val="both"/>
        <w:ind w:right="400"/>
        <w:spacing w:after="0" w:line="259" w:lineRule="auto"/>
        <w:rPr>
          <w:sz w:val="20"/>
          <w:szCs w:val="20"/>
          <w:color w:val="auto"/>
        </w:rPr>
      </w:pPr>
      <w:r>
        <w:rPr>
          <w:rFonts w:ascii="Arial" w:cs="Arial" w:eastAsia="Arial" w:hAnsi="Arial"/>
          <w:sz w:val="17"/>
          <w:szCs w:val="17"/>
          <w:b w:val="1"/>
          <w:bCs w:val="1"/>
          <w:i w:val="1"/>
          <w:iCs w:val="1"/>
          <w:color w:val="auto"/>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spacing w:after="0" w:line="134" w:lineRule="exact"/>
        <w:rPr>
          <w:sz w:val="20"/>
          <w:szCs w:val="20"/>
          <w:color w:val="auto"/>
        </w:rPr>
      </w:pPr>
    </w:p>
    <w:p>
      <w:pPr>
        <w:ind w:right="20" w:firstLine="299"/>
        <w:spacing w:after="0" w:line="261" w:lineRule="auto"/>
        <w:rPr>
          <w:sz w:val="20"/>
          <w:szCs w:val="20"/>
          <w:color w:val="auto"/>
        </w:rPr>
      </w:pPr>
      <w:r>
        <w:rPr>
          <w:rFonts w:ascii="Arial" w:cs="Arial" w:eastAsia="Arial" w:hAnsi="Arial"/>
          <w:sz w:val="16"/>
          <w:szCs w:val="16"/>
          <w:color w:val="auto"/>
        </w:rPr>
        <w:t>The availability of U.S. government funding for significant programs in which we participate may be impacted by a number of factors beyond our control including the overall federal budget, changes in spending priorities and defense spending levels, sequestration, the appropriations process, use of continuing resolutions (with restrictions, e.g., on starting new programs) and the permissible level of federal debt. These factors may also delay purchasing or payment decisions by our customers. In the event government funding for significant programs in which we participate becomes unavailable, or is reduced or delayed, our contract or subcontract under such programs may be terminated or adjusted by the U.S. government or the prime contractor. U.S. government priorities and spending levels have fluctuated and may continue to fluctuate over time. We cannot predict the impact on existing, follow-on, replacement or future programs from potential changes in priorities whether due to changes in defense spending levels, the threat environment, procurement strategy, military strategy and planning and/or changes in social, economic or political priorities, including in response to the COVID-19 pandemic. As the DoD budget represents the largest part of the federal discretionary budget, it is possible that the various COVID-19 relief legislative actions might exert downward pressure on defense spending, as well as other non-defense discretionary outlays. The U.S. government may also delay, modify or cancel ongoing competitive bidding processes, procurements and programs, as well as change its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440" w:right="339" w:bottom="1440" w:gutter="0" w:footer="0" w:header="0"/>
        </w:sectPr>
      </w:pPr>
    </w:p>
    <w:bookmarkStart w:id="23" w:name="page24"/>
    <w:bookmarkEnd w:id="23"/>
    <w:p>
      <w:pPr>
        <w:spacing w:after="0" w:line="43"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strategy. A significant shift in government priorities, programs or acquisition strategies could have a material adverse impact on our business, financial condition and results of operations.</w:t>
      </w:r>
    </w:p>
    <w:p>
      <w:pPr>
        <w:spacing w:after="0" w:line="140"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Considerable uncertainty exists regarding future budget and program decisions, including U.S. defense spending priorities, what challenges budget reductions will present for the defense industry, whether annual appropriations bills for all agencies will be enacted for U.S. government fiscal year 2021 and thereafter, and how the Biden administration will approach those decisions through the budgeting process. The U.S. government’s budget deficit and the national debt could significantly affect government budgeting priorities and could have an adverse impact on our business, financial condition and results of operations in a number of ways, including the following:</w:t>
      </w:r>
    </w:p>
    <w:p>
      <w:pPr>
        <w:spacing w:after="0" w:line="147" w:lineRule="exact"/>
        <w:rPr>
          <w:sz w:val="20"/>
          <w:szCs w:val="20"/>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U.S. government could reduce or delay its spending on, or reprioritize its spending away from, defense programs in which we participate;</w:t>
      </w:r>
    </w:p>
    <w:p>
      <w:pPr>
        <w:spacing w:after="0" w:line="152" w:lineRule="exact"/>
        <w:rPr>
          <w:rFonts w:ascii="Arial" w:cs="Arial" w:eastAsia="Arial" w:hAnsi="Arial"/>
          <w:sz w:val="17"/>
          <w:szCs w:val="17"/>
          <w:color w:val="auto"/>
        </w:rPr>
      </w:pPr>
    </w:p>
    <w:p>
      <w:pPr>
        <w:ind w:left="600" w:right="80" w:hanging="302"/>
        <w:spacing w:after="0" w:line="25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U.S. defense spending could be impacted by alternate arrangements to sequestration, which increases the uncertainty as to, and the difficulty in predicting, U.S. government spending priorities and levels;</w:t>
      </w:r>
    </w:p>
    <w:p>
      <w:pPr>
        <w:spacing w:after="0" w:line="140" w:lineRule="exact"/>
        <w:rPr>
          <w:rFonts w:ascii="Arial" w:cs="Arial" w:eastAsia="Arial" w:hAnsi="Arial"/>
          <w:sz w:val="17"/>
          <w:szCs w:val="17"/>
          <w:color w:val="auto"/>
        </w:rPr>
      </w:pPr>
    </w:p>
    <w:p>
      <w:pPr>
        <w:ind w:left="600" w:right="520" w:hanging="302"/>
        <w:spacing w:after="0" w:line="25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experience reduced or delayed orders or payments or other responses to economic difficulties experienced by our customers and prospective customers, including U.S. Federal, state and local governments; and</w:t>
      </w:r>
    </w:p>
    <w:p>
      <w:pPr>
        <w:spacing w:after="0" w:line="140" w:lineRule="exact"/>
        <w:rPr>
          <w:rFonts w:ascii="Arial" w:cs="Arial" w:eastAsia="Arial" w:hAnsi="Arial"/>
          <w:sz w:val="17"/>
          <w:szCs w:val="17"/>
          <w:color w:val="auto"/>
        </w:rPr>
      </w:pPr>
    </w:p>
    <w:p>
      <w:pPr>
        <w:ind w:left="600" w:right="260" w:hanging="302"/>
        <w:spacing w:after="0" w:line="247"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U.S. government could reduce the outsourcing of functions that we are currently contracted to provide, including as a result of increased insourcing by various U.S. government agencies due to changes in the definition of “inherently governmental” work, such as proposals to limit contractor access to sensitive or classified information and work assignments.</w:t>
      </w:r>
    </w:p>
    <w:p>
      <w:pPr>
        <w:spacing w:after="0" w:line="123" w:lineRule="exact"/>
        <w:rPr>
          <w:sz w:val="20"/>
          <w:szCs w:val="20"/>
          <w:color w:val="auto"/>
        </w:rPr>
      </w:pPr>
    </w:p>
    <w:p>
      <w:pPr>
        <w:ind w:right="680"/>
        <w:spacing w:after="0" w:line="274" w:lineRule="auto"/>
        <w:rPr>
          <w:sz w:val="20"/>
          <w:szCs w:val="20"/>
          <w:color w:val="auto"/>
        </w:rPr>
      </w:pPr>
      <w:r>
        <w:rPr>
          <w:rFonts w:ascii="Arial" w:cs="Arial" w:eastAsia="Arial" w:hAnsi="Arial"/>
          <w:sz w:val="17"/>
          <w:szCs w:val="17"/>
          <w:b w:val="1"/>
          <w:bCs w:val="1"/>
          <w:i w:val="1"/>
          <w:iCs w:val="1"/>
          <w:color w:val="auto"/>
        </w:rPr>
        <w:t>The COVID-19 pandemic and related impacts have had and are likely to continue to have an adverse impact on our business, financial condition and results of operations.</w:t>
      </w:r>
    </w:p>
    <w:p>
      <w:pPr>
        <w:spacing w:after="0" w:line="121"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In March 2020, COVID-19 was recognized as a pandemic by the World Health Organization and declared a national emergency by the U.S. government. We are closely monitoring the impact of the COVID-19 pandemic on all aspects of our business and geographies, including how it is impacting our workforce, communities, suppliers, subcontractors and customers. The COVID-19 pandemic has created significant volatility, uncertainty and economic disruption, which has adversely affected, and is expected to continue to adversely affect, our business operations, and could materially and adversely affect our business, financial condition and results of operations.</w:t>
      </w:r>
    </w:p>
    <w:p>
      <w:pPr>
        <w:spacing w:after="0" w:line="147" w:lineRule="exact"/>
        <w:rPr>
          <w:sz w:val="20"/>
          <w:szCs w:val="20"/>
          <w:color w:val="auto"/>
        </w:rPr>
      </w:pPr>
    </w:p>
    <w:p>
      <w:pPr>
        <w:ind w:firstLine="299"/>
        <w:spacing w:after="0" w:line="261" w:lineRule="auto"/>
        <w:rPr>
          <w:sz w:val="20"/>
          <w:szCs w:val="20"/>
          <w:color w:val="auto"/>
        </w:rPr>
      </w:pPr>
      <w:r>
        <w:rPr>
          <w:rFonts w:ascii="Arial" w:cs="Arial" w:eastAsia="Arial" w:hAnsi="Arial"/>
          <w:sz w:val="16"/>
          <w:szCs w:val="16"/>
          <w:color w:val="auto"/>
        </w:rPr>
        <w:t>In addition to volatility in the overall demand environment for our products, systems and services, we have restricted the operations in our facilities, and we may continue to restrict operations if we deem it necessary or if recommended or mandated by governmental authorities which would have a further adverse impact on us. For example, we have temporarily closed portions of, and in some cases, entire facilities, including our manufacturing and engineering facility in St. Louis, Missouri for a two-week period, and implemented operational and travel restrictions, which have disrupted how we operate our business. We have also implemented enhanced health leave benefits and incurred other costs related to the COVID-19 pandemic. We incurred $12 million of expenditures from March 1, 2020 through December 31, 2020 to ensure a safe work environment for our employees. Although we offset a portion of the cash impacts from COVID-19 pursuant to Section 3610 of the Coronavirus Aid, Relief and Economic Securities Act (the “CARES Act”), allowing for a deferral of social security payroll tax payments and pension related contributions, we may not be able to fully offset COVID-19 related costs. We are designated as an essential business in the primary jurisdictions in which we operate, but if we lose that designation we may be subject to additional restrictions on our operations. We may be unable to perform fully on our contracts and our costs may increase as a result of the COVID-19 outbreak. These cost increases may not be fully recoverable or adequately covered by insurance. See “Management’s Discussion and Analysis of Financial Condition—Business Overview and Considerations—Impacts of COVID-19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20"/>
          </w:cols>
          <w:pgMar w:left="320" w:top="1440" w:right="359" w:bottom="1440" w:gutter="0" w:footer="0" w:header="0"/>
        </w:sectPr>
      </w:pPr>
    </w:p>
    <w:bookmarkStart w:id="24" w:name="page25"/>
    <w:bookmarkEnd w:id="24"/>
    <w:p>
      <w:pPr>
        <w:spacing w:after="0" w:line="4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COVID-19 pandemic has the potential to significantly impact our supply chains, including our access to vital products and services we source from suppliers and vendors. Our supply chains could be impacted if the operations of our suppliers, logistics and other service providers are disrupted, temporarily closed or experience worker shortages. In particular, we rely on smaller suppliers for some materials and underlying components needed for our products and these suppliers may be particularly vulnerable to COVID-19 related disruptions. To the extent that there is a slow-down in production from our suppliers, limiting our own production capacity, this could adversely affect our revenues and profit for a reporting period or beyond. Further, the COVID-19 pandemic could cause delay, or limit the ability of the U.S. government and other customers to perform, including in making timely payments to us. Any effect on our suppliers, other service providers and customers could materially adversely impact our business, financial condition and results of operations.</w:t>
      </w:r>
    </w:p>
    <w:p>
      <w:pPr>
        <w:spacing w:after="0" w:line="146" w:lineRule="exact"/>
        <w:rPr>
          <w:sz w:val="20"/>
          <w:szCs w:val="20"/>
          <w:color w:val="auto"/>
        </w:rPr>
      </w:pPr>
    </w:p>
    <w:p>
      <w:pPr>
        <w:ind w:right="600" w:firstLine="299"/>
        <w:spacing w:after="0" w:line="266" w:lineRule="auto"/>
        <w:rPr>
          <w:sz w:val="20"/>
          <w:szCs w:val="20"/>
          <w:color w:val="auto"/>
        </w:rPr>
      </w:pPr>
      <w:r>
        <w:rPr>
          <w:rFonts w:ascii="Arial" w:cs="Arial" w:eastAsia="Arial" w:hAnsi="Arial"/>
          <w:sz w:val="16"/>
          <w:szCs w:val="16"/>
          <w:color w:val="auto"/>
        </w:rPr>
        <w:t>Further, our management is focused on mitigating the effects of COVID-19, which has required and is expected to continue to require, a large investment of time and resources across our enterprise and which may delay other value-added services or initiatives. Additionally, many of our employees are currently working remotely. An extended period of remote work arrangements could strain our business continuity plans, introduce operational and compliance risk, including but not limited to cyber security risks, and impair our ability to manage our business.</w:t>
      </w:r>
    </w:p>
    <w:p>
      <w:pPr>
        <w:spacing w:after="0" w:line="130" w:lineRule="exact"/>
        <w:rPr>
          <w:sz w:val="20"/>
          <w:szCs w:val="20"/>
          <w:color w:val="auto"/>
        </w:rPr>
      </w:pPr>
    </w:p>
    <w:p>
      <w:pPr>
        <w:ind w:firstLine="299"/>
        <w:spacing w:after="0" w:line="261" w:lineRule="auto"/>
        <w:rPr>
          <w:sz w:val="20"/>
          <w:szCs w:val="20"/>
          <w:color w:val="auto"/>
        </w:rPr>
      </w:pPr>
      <w:r>
        <w:rPr>
          <w:rFonts w:ascii="Arial" w:cs="Arial" w:eastAsia="Arial" w:hAnsi="Arial"/>
          <w:sz w:val="16"/>
          <w:szCs w:val="16"/>
          <w:color w:val="auto"/>
        </w:rPr>
        <w:t>The extent to which the COVID-19 pandemic, or any mutation of this virus or a new virus that necessitates a similar national response, will impact us in the future will depend on numerous evolving factors and developments that we are unable to predict, including: the severity and transmission rate of the virus(es); the duration of the outbreak, including the risk of a resurgence of the virus in areas in which it appears to have been contained; the extent and effectiveness of containment actions; governmental, business and other actions (which could include limitations on our operations or mandates to provide products, systems or services); the continued success of measures taken by governmental authorities worldwide to stabilize the markets and support economic growth, which is unknown and may not be sufficient to address future market dislocations or avert severe and prolonged reductions in economic activity; the impacts on our supply chain; the impact of the pandemic on economic activity; the effects of additional business or facility closures or other changes to our operations; the health of and the effect on our workforce and our ability to meet staffing needs in our businesses and facilities, particularly if members of our workforce are quarantined as a result of exposure; any impairment in value of our tangible or intangible assets which could be recorded as a result of a weaker economic conditions; and the potential effects on our internal controls, including those over financial reporting, as a result of remote working environments and other conditions such as shelter-in-place and similar orders that apply to our employees and business partners, among others. In addition, disruptions in the credit or financial markets or impacts on our credit ratings from the pandemic could adversely affect our ability to access capital on favorable terms and continue to meet our liquidity needs, all of which are highly uncertain and cannot be predicted. This situation continues to evolve, sometimes rapidly, and additional impacts may arise that we are not aware of currently.</w:t>
      </w:r>
    </w:p>
    <w:p>
      <w:pPr>
        <w:spacing w:after="0" w:line="135"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The impacts of the COVID-19 pandemic may exacerbate other risks described in this section, any of which could have a material adverse impact on our business, financial condition and results of operations.</w:t>
      </w:r>
    </w:p>
    <w:p>
      <w:pPr>
        <w:spacing w:after="0" w:line="120"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p>
    <w:p>
      <w:pPr>
        <w:spacing w:after="0" w:line="121" w:lineRule="exact"/>
        <w:rPr>
          <w:sz w:val="20"/>
          <w:szCs w:val="20"/>
          <w:color w:val="auto"/>
        </w:rPr>
      </w:pPr>
    </w:p>
    <w:p>
      <w:pPr>
        <w:ind w:right="300" w:firstLine="299"/>
        <w:spacing w:after="0" w:line="247" w:lineRule="auto"/>
        <w:rPr>
          <w:sz w:val="20"/>
          <w:szCs w:val="20"/>
          <w:color w:val="auto"/>
        </w:rPr>
      </w:pPr>
      <w:r>
        <w:rPr>
          <w:rFonts w:ascii="Arial" w:cs="Arial" w:eastAsia="Arial" w:hAnsi="Arial"/>
          <w:sz w:val="17"/>
          <w:szCs w:val="17"/>
          <w:color w:val="auto"/>
        </w:rPr>
        <w:t>We generate revenue through various fixed-price, cost-plus and time-and-material contracts. For a general description of our U.S. government contracts and subcontracts, including a discussion of revenue generated thereunder and of cost-reimbursable versus fixed-price contracts please see “Management’s Discussion and Analysis of Financial Condition and Results of Operations.”</w:t>
      </w:r>
    </w:p>
    <w:p>
      <w:pPr>
        <w:spacing w:after="0" w:line="143" w:lineRule="exact"/>
        <w:rPr>
          <w:sz w:val="20"/>
          <w:szCs w:val="20"/>
          <w:color w:val="auto"/>
        </w:rPr>
      </w:pPr>
    </w:p>
    <w:p>
      <w:pPr>
        <w:ind w:right="260" w:firstLine="299"/>
        <w:spacing w:after="0" w:line="250" w:lineRule="auto"/>
        <w:rPr>
          <w:sz w:val="20"/>
          <w:szCs w:val="20"/>
          <w:color w:val="auto"/>
        </w:rPr>
      </w:pPr>
      <w:r>
        <w:rPr>
          <w:rFonts w:ascii="Arial" w:cs="Arial" w:eastAsia="Arial" w:hAnsi="Arial"/>
          <w:sz w:val="17"/>
          <w:szCs w:val="17"/>
          <w:color w:val="auto"/>
        </w:rPr>
        <w:t>For the years ended December 31, 2020, 2019 and 2018, approximately 87%, 86% and 82%, respectively, of our revenue was derived from fixed-price contracts. We assume financial risk on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440" w:right="339" w:bottom="1440" w:gutter="0" w:footer="0" w:header="0"/>
        </w:sectPr>
      </w:pPr>
    </w:p>
    <w:bookmarkStart w:id="25" w:name="page26"/>
    <w:bookmarkEnd w:id="25"/>
    <w:p>
      <w:pPr>
        <w:spacing w:after="0" w:line="4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price contracts due to the risk of potential cost overruns, particularly for firm fixed-price contracts in which we assume all of the cost burden. Our failure to anticipate risks or technical problems, estimate costs accurately or control costs during performance will reduce our profit or cause a loss on these contracts. U.S. government contracts can expose us to potentially large losses because the U.S. government can hold us responsible for completing a project or, in certain circumstances, paying the entire cost of its replacement by another provider regardless of the size or foreseeability of any cost overruns that occur over the life of the contract. Because many of these contracts involve new technologies and applications and can last for years, unforeseen events, such as technological difficulties, engineering or development challenges, fluctuations in raw materials prices, higher than expected inflation, increased labor costs,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significant losses if the customer terminates our contract. In addition, some of our contracts have provisions relating to cost controls and audit rights, and if we fail to meet the terms specified in those contracts, we may not realize their full benefits. For further information, see “—</w:t>
      </w:r>
      <w:r>
        <w:rPr>
          <w:rFonts w:ascii="Arial" w:cs="Arial" w:eastAsia="Arial" w:hAnsi="Arial"/>
          <w:sz w:val="17"/>
          <w:szCs w:val="17"/>
          <w:i w:val="1"/>
          <w:iCs w:val="1"/>
          <w:color w:val="auto"/>
        </w:rPr>
        <w:t>We operate in a highly regulated environment and are routinely audited and reviewed by the U.S.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its agencies.” </w:t>
      </w:r>
      <w:r>
        <w:rPr>
          <w:rFonts w:ascii="Arial" w:cs="Arial" w:eastAsia="Arial" w:hAnsi="Arial"/>
          <w:sz w:val="17"/>
          <w:szCs w:val="17"/>
          <w:color w:val="auto"/>
        </w:rPr>
        <w:t>Our results of operations depend on our ability to maximize our earnings from our contracts. Cost overruns could have a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adverse impact on our business, financial condition and results of operations.</w:t>
      </w:r>
    </w:p>
    <w:p>
      <w:pPr>
        <w:spacing w:after="0" w:line="134"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b w:val="1"/>
          <w:bCs w:val="1"/>
          <w:i w:val="1"/>
          <w:iCs w:val="1"/>
          <w:color w:val="auto"/>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spacing w:after="0" w:line="121" w:lineRule="exact"/>
        <w:rPr>
          <w:sz w:val="20"/>
          <w:szCs w:val="20"/>
          <w:color w:val="auto"/>
        </w:rPr>
      </w:pPr>
    </w:p>
    <w:p>
      <w:pPr>
        <w:ind w:right="220" w:firstLine="299"/>
        <w:spacing w:after="0" w:line="245" w:lineRule="auto"/>
        <w:rPr>
          <w:sz w:val="20"/>
          <w:szCs w:val="20"/>
          <w:color w:val="auto"/>
        </w:rPr>
      </w:pPr>
      <w:r>
        <w:rPr>
          <w:rFonts w:ascii="Arial" w:cs="Arial" w:eastAsia="Arial" w:hAnsi="Arial"/>
          <w:sz w:val="17"/>
          <w:szCs w:val="17"/>
          <w:color w:val="auto"/>
        </w:rPr>
        <w:t>We require a facility security clearance to perform on classified contracts for the DoD and certain other agencies of the U.S. government. Security clearances are subject to regulations and requirements including, among others, the National Industrial Security Program Operating Manual (the “NISPOM”), which specifies the requirements for the protection of classified information released or disclosed in connection with classified U.S. government contracts. The Defense Counterintelligence and Security Agency (the “DCSA”) manages the facility clearance process under the NISPOM and conducts various facility audits and inspections throughout the lifecycle of a respective facility clearance.</w:t>
      </w:r>
    </w:p>
    <w:p>
      <w:pPr>
        <w:spacing w:after="0" w:line="147" w:lineRule="exact"/>
        <w:rPr>
          <w:sz w:val="20"/>
          <w:szCs w:val="20"/>
          <w:color w:val="auto"/>
        </w:rPr>
      </w:pPr>
    </w:p>
    <w:p>
      <w:pPr>
        <w:ind w:right="20" w:firstLine="299"/>
        <w:spacing w:after="0" w:line="262" w:lineRule="auto"/>
        <w:rPr>
          <w:sz w:val="20"/>
          <w:szCs w:val="20"/>
          <w:color w:val="auto"/>
        </w:rPr>
      </w:pPr>
      <w:r>
        <w:rPr>
          <w:rFonts w:ascii="Arial" w:cs="Arial" w:eastAsia="Arial" w:hAnsi="Arial"/>
          <w:sz w:val="16"/>
          <w:szCs w:val="16"/>
          <w:color w:val="auto"/>
        </w:rPr>
        <w:t>We require certain facility and personnel security clearances to perform our classified U.S. government business. Any facility not audit ready, not staffed by appropriately cleared personnel, and/or that fails a routine inspection places that contract in jeopardy. As such, we must comply with the requirements of the NISPOM and other applicable U.S. government industrial security regulations, including extensive requirements related to cybersecurity. If we were to violate the terms and requirements of the NISPOM or such industrial security regulations (which apply to us under the terms of classified contracts), or if one or more of our facility or personnel security clearances is invalidated or terminated, we may not be able to continue to perform our existing classified contracts and may not be able to enter into new classified contracts, which could adversely affect our revenues. Failure to comply with the NISPOM or other security requirements may result in loss of access to classified information and subject us to civil and criminal penalties and administrative sanctions, including termination of contracts, forfeiture of profits, suspension of payments, fines and suspension or prohibition from doing business with the U.S. government, which could have a material adverse impact on our business, financial condition and results of operations.</w:t>
      </w:r>
    </w:p>
    <w:p>
      <w:pPr>
        <w:spacing w:after="0" w:line="134" w:lineRule="exact"/>
        <w:rPr>
          <w:sz w:val="20"/>
          <w:szCs w:val="20"/>
          <w:color w:val="auto"/>
        </w:rPr>
      </w:pPr>
    </w:p>
    <w:p>
      <w:pPr>
        <w:ind w:right="200" w:firstLine="299"/>
        <w:spacing w:after="0" w:line="246" w:lineRule="auto"/>
        <w:rPr>
          <w:sz w:val="20"/>
          <w:szCs w:val="20"/>
          <w:color w:val="auto"/>
        </w:rPr>
      </w:pPr>
      <w:r>
        <w:rPr>
          <w:rFonts w:ascii="Arial" w:cs="Arial" w:eastAsia="Arial" w:hAnsi="Arial"/>
          <w:sz w:val="17"/>
          <w:szCs w:val="17"/>
          <w:color w:val="auto"/>
        </w:rPr>
        <w:t>Additionally, the NISPOM requires that a corporation maintaining a facility security clearance be effectively insulated from FOCI. A company is considered to be operating under FOCI whenever a foreign interest has the power, direct or indirect, whether or not exercised, and whether or not exercisable, to direct or decide matters affecting the management or operations of that company in a manner that may result in unauthorized access to classified information, may adversely affect the performance of classified contracts, or may undermine U.S. security or export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440" w:right="339" w:bottom="1440" w:gutter="0" w:footer="0" w:header="0"/>
        </w:sectPr>
      </w:pPr>
    </w:p>
    <w:bookmarkStart w:id="26" w:name="page27"/>
    <w:bookmarkEnd w:id="26"/>
    <w:p>
      <w:pPr>
        <w:spacing w:after="0" w:line="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Following this offering, Leonardo S.p.A., an Italian company listed on the Milan Stock Exchange, will continue to own the entire share capital of US</w:t>
      </w:r>
    </w:p>
    <w:p>
      <w:pPr>
        <w:spacing w:after="0" w:line="1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Holding which, in turn, will beneficially own approximately % of the voting power of our outstanding common stock (or % if the underwriters exercise their option to purchase additional shares in full). As a result, we are deemed to be under FOCI. Furthermore, the Italian state beneficially owns approximately 30.2% of Leonardo S.p.A.’s voting power (through its ownership of approximately 30.2% of the outstanding ordinary shares of Leonardo S.p.A.). In order to be permitted to maintain our security clearances and our access to classified data and to perform or bid on classified programs, we are required to mitigate FOCI through a proxy agreement, which we have done by entering into a proxy agreement, dated as of October 26, 2017, with the DoD. Following this offering we expect to enter into an amended and restated proxy agreement and the parties to the proxy agreement have entered</w:t>
      </w:r>
    </w:p>
    <w:p>
      <w:pPr>
        <w:spacing w:after="0" w:line="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into a commitment letter, dated as of , 2021, as to the form and content of the amended and restated proxy agreement which allows us to operate as if the amended and restated proxy agreement was already in effect. The description of the proxy agreement in this prospectus therefore reflects the terms of the proxy agreement as it will be amended and restated, in accordance with the commitment letter, following this offering. For additional information on the terms and requirements of the proxy agreement, see “—</w:t>
      </w:r>
      <w:r>
        <w:rPr>
          <w:rFonts w:ascii="Arial" w:cs="Arial" w:eastAsia="Arial" w:hAnsi="Arial"/>
          <w:sz w:val="17"/>
          <w:szCs w:val="17"/>
          <w:i w:val="1"/>
          <w:iCs w:val="1"/>
          <w:color w:val="auto"/>
        </w:rPr>
        <w:t>We operate under a proxy agreement with the DoD that regulates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areas of our governance. If we fail to comply with the proxy agreement our classified U.S. government contracts could be terminated, which could have a material adverse impact on our business, financial condition and results of operations</w:t>
      </w:r>
      <w:r>
        <w:rPr>
          <w:rFonts w:ascii="Arial" w:cs="Arial" w:eastAsia="Arial" w:hAnsi="Arial"/>
          <w:sz w:val="17"/>
          <w:szCs w:val="17"/>
          <w:color w:val="auto"/>
        </w:rPr>
        <w:t>.”</w:t>
      </w:r>
    </w:p>
    <w:p>
      <w:pPr>
        <w:spacing w:after="0" w:line="147"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While we currently mitigate FOCI under the proxy agreement, the DoD reserves the right to impose such additional security safeguards as it believes necessary in order to prevent unauthorized access to classified and controlled unclassified information and any U.S. government agency may deny or revoke our access to classified and controlled unclassified information under its jurisdiction if it considers it necessary to protect national security. Failure to maintain an agreement with the DoD regarding the appropriate FOCI mitigation arrangement could result in invalidation or termination of our facility security clearances, which in turn would mean that we would not be able to perform under current or enter into future contracts with the U.S. government requiring facility security clearances.</w:t>
      </w:r>
    </w:p>
    <w:p>
      <w:pPr>
        <w:spacing w:after="0" w:line="147"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depend on revenues from contracts and subcontracts with the U.S. government, including defense-related programs with the DoD and a broad range of programs with each of the service branches. Revenues derived directly or indirectly from contracts with the U.S. government were approximately 84%, 89% and 86% for the years ended December 31, 2020, 2019 and 2018, respectively. If we fail to maintain an agreement with the DoD regarding the appropriate FOCI mitigation arrangement or otherwise fail to comply with the NISPOM, this could have a material adverse impact on our business, financial condition and results of operations. For further information, see “—</w:t>
      </w:r>
      <w:r>
        <w:rPr>
          <w:rFonts w:ascii="Arial" w:cs="Arial" w:eastAsia="Arial" w:hAnsi="Arial"/>
          <w:sz w:val="17"/>
          <w:szCs w:val="17"/>
          <w:i w:val="1"/>
          <w:iCs w:val="1"/>
          <w:color w:val="auto"/>
        </w:rPr>
        <w:t>We depend on U.S. defense spending for the vast majority of our revenues.</w:t>
      </w:r>
      <w:r>
        <w:rPr>
          <w:rFonts w:ascii="Arial" w:cs="Arial" w:eastAsia="Arial" w:hAnsi="Arial"/>
          <w:sz w:val="17"/>
          <w:szCs w:val="17"/>
          <w:color w:val="auto"/>
        </w:rPr>
        <w:t xml:space="preserve"> </w:t>
      </w:r>
      <w:r>
        <w:rPr>
          <w:rFonts w:ascii="Arial" w:cs="Arial" w:eastAsia="Arial" w:hAnsi="Arial"/>
          <w:sz w:val="17"/>
          <w:szCs w:val="17"/>
          <w:i w:val="1"/>
          <w:iCs w:val="1"/>
          <w:color w:val="auto"/>
        </w:rPr>
        <w:t>Disruptions or deteriorations in our relationships with the relevant agencies of the U.S. government could have a material adverse impact on our business, financial condition and results of operations.</w:t>
      </w:r>
      <w:r>
        <w:rPr>
          <w:rFonts w:ascii="Arial" w:cs="Arial" w:eastAsia="Arial" w:hAnsi="Arial"/>
          <w:sz w:val="17"/>
          <w:szCs w:val="17"/>
          <w:color w:val="auto"/>
        </w:rPr>
        <w:t>”</w:t>
      </w:r>
    </w:p>
    <w:p>
      <w:pPr>
        <w:spacing w:after="0" w:line="12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b w:val="1"/>
          <w:bCs w:val="1"/>
          <w:i w:val="1"/>
          <w:iCs w:val="1"/>
          <w:color w:val="auto"/>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spacing w:after="0" w:line="134"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Over its lifetime, a U.S. government program may be implemented by the award of many different individual contracts and subcontracts. The funding of U.S. government programs is subject to Congressional appropriations. U.S. government appropriations in turn are affected by general U.S. government budgetary issues and related legislation. Although multi-year contracts may be authorized and appropriated in connection with major procurements, Congress generally appropriates funds on a government fiscal year basis, which runs from October 1 to September 30. Procurement funds are typically made available for obligation over the course of one to three years. Consequently, programs often initially receive only partial funding, and additional funds are obligated only as Congress makes further appropriations. We cannot predict the extent to which total funding and/or funding for individual programs will be included, increased or reduced as part of the annual appropriations process ultimately approved by Congress and the President or in separate supplemental appropriations or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440" w:right="339" w:bottom="1440" w:gutter="0" w:footer="0" w:header="0"/>
        </w:sectPr>
      </w:pPr>
    </w:p>
    <w:bookmarkStart w:id="27" w:name="page28"/>
    <w:bookmarkEnd w:id="27"/>
    <w:p>
      <w:pPr>
        <w:spacing w:after="0" w:line="4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resolutions, as applicable. The termination of funding for a U.S. government program would result in a loss of anticipated future revenue attributable to that program, which could have a material adverse impact on our business, financial condition and results of operations. In addition, the termination of a program or the failure to commit additional funds to a program that already has been started could result in lost revenue and increase our overall costs of doing business. The loss of revenues from our possible failure to obtain renewal or follow-on contracts may be significant because we depend on the U.S. government for a significant portion of our revenues. For further information, see “—</w:t>
      </w:r>
      <w:r>
        <w:rPr>
          <w:rFonts w:ascii="Arial" w:cs="Arial" w:eastAsia="Arial" w:hAnsi="Arial"/>
          <w:sz w:val="17"/>
          <w:szCs w:val="17"/>
          <w:i w:val="1"/>
          <w:iCs w:val="1"/>
          <w:color w:val="auto"/>
        </w:rPr>
        <w:t>We depend on U.S. defense spending for the vast majority of</w:t>
      </w:r>
      <w:r>
        <w:rPr>
          <w:rFonts w:ascii="Arial" w:cs="Arial" w:eastAsia="Arial" w:hAnsi="Arial"/>
          <w:sz w:val="17"/>
          <w:szCs w:val="17"/>
          <w:color w:val="auto"/>
        </w:rPr>
        <w:t xml:space="preserve"> </w:t>
      </w:r>
      <w:r>
        <w:rPr>
          <w:rFonts w:ascii="Arial" w:cs="Arial" w:eastAsia="Arial" w:hAnsi="Arial"/>
          <w:sz w:val="17"/>
          <w:szCs w:val="17"/>
          <w:i w:val="1"/>
          <w:iCs w:val="1"/>
          <w:color w:val="auto"/>
        </w:rPr>
        <w:t>our revenues. Disruptions or deteriorations in our relationships with the relevant agencies of the U.S. government could have a material adverse impact on our business, financial condition and results of operations</w:t>
      </w:r>
      <w:r>
        <w:rPr>
          <w:rFonts w:ascii="Arial" w:cs="Arial" w:eastAsia="Arial" w:hAnsi="Arial"/>
          <w:sz w:val="17"/>
          <w:szCs w:val="17"/>
          <w:color w:val="auto"/>
        </w:rPr>
        <w:t>.”</w:t>
      </w:r>
    </w:p>
    <w:p>
      <w:pPr>
        <w:spacing w:after="0" w:line="146"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In addition, U.S. government contracts may generally be terminated, in whole or in part, without prior notice at the U.S. government’s convenience upon payment only for work done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contracts will not be terminated under those circumstances. Also, we can give no assurance that we would be able to procure new contracts to offset the revenue or backlog lost as a result of any termination of our contracts. Because a significant portion of our revenue depends on our performance and payment under our contracts, the loss of one or more large contracts could have a material adverse impact on our business, financial condition and results of operations.</w:t>
      </w:r>
    </w:p>
    <w:p>
      <w:pPr>
        <w:spacing w:after="0" w:line="146"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In addition to termination for convenience, U.S. defense contracts are generally also terminable for default based on performance. Termination by the U.S. government, or one of its prime contractors, of a contract due to default could in addition to the loss of future revenue obligate us to pay for re-procurement costs in excess of the original contract price, net of the value of work accepted from the original contract, as well as other damages. Termination of a contract due to our default could also impair our reputation and our ability to compete for other contracts which could have a material adverse impact on our business, financial condition and results of operations. Additionally, our U.S. government contracts are heavily regulated and subject to audit and negative audit findings could result in the termination of these or other contracts or the failure to receive future awards, see “—</w:t>
      </w:r>
      <w:r>
        <w:rPr>
          <w:rFonts w:ascii="Arial" w:cs="Arial" w:eastAsia="Arial" w:hAnsi="Arial"/>
          <w:sz w:val="17"/>
          <w:szCs w:val="17"/>
          <w:i w:val="1"/>
          <w:iCs w:val="1"/>
          <w:color w:val="auto"/>
        </w:rPr>
        <w:t>We</w:t>
      </w:r>
      <w:r>
        <w:rPr>
          <w:rFonts w:ascii="Arial" w:cs="Arial" w:eastAsia="Arial" w:hAnsi="Arial"/>
          <w:sz w:val="17"/>
          <w:szCs w:val="17"/>
          <w:color w:val="auto"/>
        </w:rPr>
        <w:t xml:space="preserve"> </w:t>
      </w:r>
      <w:r>
        <w:rPr>
          <w:rFonts w:ascii="Arial" w:cs="Arial" w:eastAsia="Arial" w:hAnsi="Arial"/>
          <w:sz w:val="17"/>
          <w:szCs w:val="17"/>
          <w:i w:val="1"/>
          <w:iCs w:val="1"/>
          <w:color w:val="auto"/>
        </w:rPr>
        <w:t>operate in a highly regulated environment and are routinely audited and reviewed by the U.S. government and its agencies</w:t>
      </w:r>
      <w:r>
        <w:rPr>
          <w:rFonts w:ascii="Arial" w:cs="Arial" w:eastAsia="Arial" w:hAnsi="Arial"/>
          <w:sz w:val="17"/>
          <w:szCs w:val="17"/>
          <w:color w:val="auto"/>
        </w:rPr>
        <w:t>.”</w:t>
      </w:r>
    </w:p>
    <w:p>
      <w:pPr>
        <w:spacing w:after="0" w:line="146"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The U.S. government also has the ability to stop work under a contract for a limited period of time for its convenience. It is possible that the U.S. government, or one of its prime contractors, could invoke this ability across a limited or broad number of contracts. In the event of a stop work order, contractors are typically protected by provisions covering reimbursement for costs incurred on the contract to date and for costs associated with the temporary stoppage of work on the contract plus a reasonable fee. However, such temporary stoppages and delays could introduce inefficiencies and result in financial and other damages for which we may not be able to receive full recovery. They could also ultimately result in termination of a contract (or contracts) for convenience or reduced future orders.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highly regulated environment and are routinely audited and reviewed by the U.S. government and its agencies.</w:t>
      </w:r>
    </w:p>
    <w:p>
      <w:pPr>
        <w:spacing w:after="0" w:line="173" w:lineRule="exact"/>
        <w:rPr>
          <w:sz w:val="20"/>
          <w:szCs w:val="20"/>
          <w:color w:val="auto"/>
        </w:rPr>
      </w:pPr>
    </w:p>
    <w:p>
      <w:pPr>
        <w:ind w:right="220" w:firstLine="299"/>
        <w:spacing w:after="0" w:line="263" w:lineRule="auto"/>
        <w:rPr>
          <w:sz w:val="20"/>
          <w:szCs w:val="20"/>
          <w:color w:val="auto"/>
        </w:rPr>
      </w:pPr>
      <w:r>
        <w:rPr>
          <w:rFonts w:ascii="Arial" w:cs="Arial" w:eastAsia="Arial" w:hAnsi="Arial"/>
          <w:sz w:val="16"/>
          <w:szCs w:val="16"/>
          <w:color w:val="auto"/>
        </w:rPr>
        <w:t>We depend on U.S. government contracts, which are heavily regulated and subject to audit by the U.S. government and its agencies, such as the Defense Contract Audit Agency (“DCAA”), Defense Contract Management Agency (“DCMA”), the DoD Inspector General, and others. These agencies review performance on government contracts, direct and indirect rates and pricing practices, and compliance with applicable contracting and procurement laws, regulations and standards. They also review compliance with government standards for our business systems and the adequacy of our internal control systems and policies. Negative findings related to our business and accounting systems and financial controls and capability could result in our ineligibility for future cost-plus contracts. Costs ultimately disallowed or found to be improperly allocated to a specific contract will not be reimbursed or must be refunded if already reimbursed. We record contract revenue based on costs on which we expect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20"/>
          </w:cols>
          <w:pgMar w:left="320" w:top="1440" w:right="359" w:bottom="1440" w:gutter="0" w:footer="0" w:header="0"/>
        </w:sectPr>
      </w:pPr>
    </w:p>
    <w:bookmarkStart w:id="28" w:name="page29"/>
    <w:bookmarkEnd w:id="28"/>
    <w:p>
      <w:pPr>
        <w:spacing w:after="0" w:line="4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paid after any final audit. However, we do not know the outcome of any future audits and adjustments in advance, and we may be required to reduce our revenue or profits materially upon completion and final negotiation of audits. As a result of certain cost reduction initiatives across our industry, we have experienced and may continue to experience an increased number of audits and/or a lengthened period of time required to close open audits. For example, the thresholds for certain allowable costs in the U.S., including compensation costs, have been significantly reduced; the allowability of other types of costs are being challenged, debated and, in certain cases, modified, all with potentially significant financial costs to the Company.</w:t>
      </w:r>
    </w:p>
    <w:p>
      <w:pPr>
        <w:spacing w:after="0" w:line="133" w:lineRule="exact"/>
        <w:rPr>
          <w:sz w:val="20"/>
          <w:szCs w:val="20"/>
          <w:color w:val="auto"/>
        </w:rPr>
      </w:pPr>
    </w:p>
    <w:p>
      <w:pPr>
        <w:ind w:right="100" w:firstLine="299"/>
        <w:spacing w:after="0" w:line="266" w:lineRule="auto"/>
        <w:rPr>
          <w:sz w:val="20"/>
          <w:szCs w:val="20"/>
          <w:color w:val="auto"/>
        </w:rPr>
      </w:pPr>
      <w:r>
        <w:rPr>
          <w:rFonts w:ascii="Arial" w:cs="Arial" w:eastAsia="Arial" w:hAnsi="Arial"/>
          <w:sz w:val="16"/>
          <w:szCs w:val="16"/>
          <w:color w:val="auto"/>
        </w:rPr>
        <w:t>If an audit uncovers improper or illegal activities, we may be subject to civil and criminal penalties, sanctions, termination of contracts, forfeiture of profits or suspension or debarment from doing business with the U.S. government. Whether or not illegal activities are alleged, the U.S. government has the ability to decrease or withhold certain payments when it deems systems subject to its review to be inadequate, with significant financial impact. In addition, we could suffer serious reputational harm if allegations of impropriety were made against us or our business partners and suppliers.</w:t>
      </w:r>
    </w:p>
    <w:p>
      <w:pPr>
        <w:spacing w:after="0" w:line="130" w:lineRule="exact"/>
        <w:rPr>
          <w:sz w:val="20"/>
          <w:szCs w:val="20"/>
          <w:color w:val="auto"/>
        </w:rPr>
      </w:pPr>
    </w:p>
    <w:p>
      <w:pPr>
        <w:ind w:right="180" w:firstLine="299"/>
        <w:spacing w:after="0" w:line="250" w:lineRule="auto"/>
        <w:rPr>
          <w:sz w:val="20"/>
          <w:szCs w:val="20"/>
          <w:color w:val="auto"/>
        </w:rPr>
      </w:pPr>
      <w:r>
        <w:rPr>
          <w:rFonts w:ascii="Arial" w:cs="Arial" w:eastAsia="Arial" w:hAnsi="Arial"/>
          <w:sz w:val="17"/>
          <w:szCs w:val="17"/>
          <w:color w:val="auto"/>
        </w:rPr>
        <w:t>Additionally, we are reviewed and rated by our government clients on a contract by contract basis. The receipt of a negative review on one contract could cause us reputational harm and adversely affect our ability to win future contracts.</w:t>
      </w:r>
    </w:p>
    <w:p>
      <w:pPr>
        <w:spacing w:after="0" w:line="140" w:lineRule="exact"/>
        <w:rPr>
          <w:sz w:val="20"/>
          <w:szCs w:val="20"/>
          <w:color w:val="auto"/>
        </w:rPr>
      </w:pPr>
    </w:p>
    <w:p>
      <w:pPr>
        <w:ind w:right="340" w:firstLine="299"/>
        <w:spacing w:after="0" w:line="250" w:lineRule="auto"/>
        <w:rPr>
          <w:sz w:val="20"/>
          <w:szCs w:val="20"/>
          <w:color w:val="auto"/>
        </w:rPr>
      </w:pPr>
      <w:r>
        <w:rPr>
          <w:rFonts w:ascii="Arial" w:cs="Arial" w:eastAsia="Arial" w:hAnsi="Arial"/>
          <w:sz w:val="17"/>
          <w:szCs w:val="17"/>
          <w:color w:val="auto"/>
        </w:rPr>
        <w:t>Due to our reliance on government contracts, negative audit findings or reviews for one or more of these contracts could have a material adverse impact on our business, financial condition and results of operations.</w:t>
      </w:r>
    </w:p>
    <w:p>
      <w:pPr>
        <w:spacing w:after="0" w:line="120"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b w:val="1"/>
          <w:bCs w:val="1"/>
          <w:i w:val="1"/>
          <w:iCs w:val="1"/>
          <w:color w:val="auto"/>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spacing w:after="0" w:line="13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evolving and strengthening regulations related to cybersecurity, privacy, recovery of employee compensation costs, counterfeit and/or substitute parts, anti-human trafficking, organizational conflicts of interest, specialty metals and conflict minerals) can significantly increase our costs and risks and negatively affect our results of operations.</w:t>
      </w:r>
    </w:p>
    <w:p>
      <w:pPr>
        <w:spacing w:after="0" w:line="147" w:lineRule="exact"/>
        <w:rPr>
          <w:sz w:val="20"/>
          <w:szCs w:val="20"/>
          <w:color w:val="auto"/>
        </w:rPr>
      </w:pPr>
    </w:p>
    <w:p>
      <w:pPr>
        <w:ind w:right="240" w:firstLine="299"/>
        <w:spacing w:after="0" w:line="246" w:lineRule="auto"/>
        <w:rPr>
          <w:sz w:val="20"/>
          <w:szCs w:val="20"/>
          <w:color w:val="auto"/>
        </w:rPr>
      </w:pPr>
      <w:r>
        <w:rPr>
          <w:rFonts w:ascii="Arial" w:cs="Arial" w:eastAsia="Arial" w:hAnsi="Arial"/>
          <w:sz w:val="17"/>
          <w:szCs w:val="17"/>
          <w:color w:val="auto"/>
        </w:rPr>
        <w:t>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w:t>
      </w:r>
    </w:p>
    <w:p>
      <w:pPr>
        <w:spacing w:after="0" w:line="14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(again, including our subcontractors and others with whom we do business) are also subject to, and expected to perform in compliance with, a vast array of federal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 Control, as well as rules and regulations administered by the U.S. Customs and Border Protection and the Bureau of Alcohol, Tobacco, Firearms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440" w:right="339" w:bottom="1440" w:gutter="0" w:footer="0" w:header="0"/>
        </w:sectPr>
      </w:pPr>
    </w:p>
    <w:bookmarkStart w:id="29" w:name="page30"/>
    <w:bookmarkEnd w:id="29"/>
    <w:p>
      <w:pPr>
        <w:spacing w:after="0" w:line="43"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color w:val="auto"/>
        </w:rPr>
        <w:t>and Explosives. While we have implemented compliance programs that are intended to avoid violations of these federal laws, regulations and requirements, given the nature of our operations and the constant evolution of applicable laws, regulations and requirements, we may not be able to prevent future violations. If we are found to have violated such laws, regulations or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134" w:lineRule="exact"/>
        <w:rPr>
          <w:sz w:val="20"/>
          <w:szCs w:val="20"/>
          <w:color w:val="auto"/>
        </w:rPr>
      </w:pPr>
    </w:p>
    <w:p>
      <w:pPr>
        <w:jc w:val="both"/>
        <w:ind w:right="400" w:firstLine="299"/>
        <w:spacing w:after="0" w:line="247" w:lineRule="auto"/>
        <w:rPr>
          <w:sz w:val="20"/>
          <w:szCs w:val="20"/>
          <w:color w:val="auto"/>
        </w:rPr>
      </w:pPr>
      <w:r>
        <w:rPr>
          <w:rFonts w:ascii="Arial" w:cs="Arial" w:eastAsia="Arial" w:hAnsi="Arial"/>
          <w:sz w:val="17"/>
          <w:szCs w:val="17"/>
          <w:color w:val="auto"/>
        </w:rPr>
        <w:t>If we or those with whom we do business do not comply with the laws, regulations and processes to which we are subject or if U.S. government practices or requirements change significantly, including with respect to the thresholds for allowable costs, it could affect our ability to compete and adversely impact our business, financial condition and results of operations.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spacing w:after="0" w:line="134" w:lineRule="exact"/>
        <w:rPr>
          <w:sz w:val="20"/>
          <w:szCs w:val="20"/>
          <w:color w:val="auto"/>
        </w:rPr>
      </w:pPr>
    </w:p>
    <w:p>
      <w:pPr>
        <w:ind w:right="20" w:firstLine="299"/>
        <w:spacing w:after="0" w:line="247" w:lineRule="auto"/>
        <w:rPr>
          <w:sz w:val="20"/>
          <w:szCs w:val="20"/>
          <w:color w:val="auto"/>
        </w:rPr>
      </w:pPr>
      <w:r>
        <w:rPr>
          <w:rFonts w:ascii="Arial" w:cs="Arial" w:eastAsia="Arial" w:hAnsi="Arial"/>
          <w:sz w:val="17"/>
          <w:szCs w:val="17"/>
          <w:color w:val="auto"/>
        </w:rPr>
        <w:t>Past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143" w:lineRule="exact"/>
        <w:rPr>
          <w:sz w:val="20"/>
          <w:szCs w:val="20"/>
          <w:color w:val="auto"/>
        </w:rPr>
      </w:pPr>
    </w:p>
    <w:p>
      <w:pPr>
        <w:ind w:left="600" w:hanging="302"/>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impaired objectivity during performance;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unfair access to non-public information; or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to set the “ground rules” for another procurement for which the contractor competes.</w:t>
      </w:r>
    </w:p>
    <w:p>
      <w:pPr>
        <w:spacing w:after="0" w:line="153"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A focus on organizational conflicts of interest issues has resulted in legislation and regulations aimed at increasing organizational conflicts of interest requirements, including, among other things, separating sellers of products and providers of advisory services in major defense acquisition programs. These organizational conflicts of interest regulations have led to increased bid protests related to arguments to disqualify or overturn awards based on conflict grounds.</w:t>
      </w:r>
    </w:p>
    <w:p>
      <w:pPr>
        <w:spacing w:after="0" w:line="144"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Future legislation and regulations may increase the restrictions in current organizational conflicts of interest regulations and rules. To the extent that organizational conflicts of interest laws, regulations and rules limit our ability to successfully compete for new contracts or task orders with the U.S. government and/or commercial entities, or require us to exit certain existing contracts or wind down certain existing contracts, either because of organizational conflicts of interest issues arising from our business or because companies with which we are affiliated, including Leonardo S.p.A. and its subsidiaries (including US Holding), or with which we otherwise conduct business create organizational conflicts of interest issues for us, our business, financial condition, results of operations and prospects could be materially and adversely affected.</w:t>
      </w:r>
    </w:p>
    <w:p>
      <w:pPr>
        <w:spacing w:after="0" w:line="12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The U.S. government has and may continue to implement initiatives focused on efficiencies, affordability and cost growth and other changes to its procurement practices.</w:t>
      </w:r>
    </w:p>
    <w:p>
      <w:pPr>
        <w:spacing w:after="0" w:line="121"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Our industry has experienced, and we expect will continue to experience, significant changes to business practices globally as a result of an increased focus on affordability, efficiencies, business systems, recovery of costs and a reprioritization of available defense funds to key areas for future defense spending.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For example, in connection with these cost reduction initiatives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00"/>
          </w:cols>
          <w:pgMar w:left="320" w:top="1440" w:right="379" w:bottom="1440" w:gutter="0" w:footer="0" w:header="0"/>
        </w:sectPr>
      </w:pPr>
    </w:p>
    <w:bookmarkStart w:id="30" w:name="page31"/>
    <w:bookmarkEnd w:id="30"/>
    <w:p>
      <w:pPr>
        <w:spacing w:after="0" w:line="4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U.S. government is pursuing alternatives to shift additional responsibility and performance risks to the contractor. Changes in procurement practices favoring incentive-based fee arrangements, different award criteria, non-traditional contract provisions and government contract negotiation offers also may affect our results of operations and predictability. The U.S. government has been pursuing and may continue to pursue these and other policies that could negatively impact our profitability and adversely impact our business, financial condition and results of operations.</w:t>
      </w:r>
    </w:p>
    <w:p>
      <w:pPr>
        <w:spacing w:after="0" w:line="124"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b w:val="1"/>
          <w:bCs w:val="1"/>
          <w:i w:val="1"/>
          <w:iCs w:val="1"/>
          <w:color w:val="auto"/>
        </w:rPr>
        <w:t>We use estimates in pricing and accounting for many of our programs, and changes in our estimates could adversely impact our business, financial condition and results of operations.</w:t>
      </w:r>
    </w:p>
    <w:p>
      <w:pPr>
        <w:spacing w:after="0" w:line="12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enter into forward pricing rate agreements with our U.S. government clients that establish specific direct and indirect rates to be used in pricing all contracts with the applicable government agency for a specified period of time. This requires us to estimate the costs that we will incur in connection with future contracts. Failure to accurately estimate the costs that we will incur including as a result of changes in underlying assumptions, circumstances or estimates may materially reduce our profit or cause a loss on these contracts and adversely impact our business, financial condition and results of operations.</w:t>
      </w:r>
    </w:p>
    <w:p>
      <w:pPr>
        <w:spacing w:after="0" w:line="147"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Additionally, accounting for our contracts requires judgment relative to assessing costs, including costs associated with customer-directed delays and reductions in scheduled deliveries, unfavorable resolutions of claims and contractual matters, judgments associated with estimating contract revenue and costs and assumptions for schedule and technical issues. Due to the size, nature and performance period of many of our contracts, the estimation of total revenue and cost at completion is complicated and subject to many variables. For example, we must make assumptions regarding: (i) the length of time to complete the contract because costs also include expected increases in wages and prices for supplies and materials; (ii) whether contracts should be accounted for as having one or more performance obligations based on the goods and services promised to the customer; (iii) incentives or penalties related to performance on contracts in estimating revenue and profit rates, and recording them when there is sufficient information for us to assess anticipated performance; and (iv) estimates of award fees in estimating revenue and profit rates based on actual and anticipated awards. Because of the significance of the judgments and estimation processes involved in accounting for our contracts, materially different amounts could be recorded if we used different assumptions or if the underlying circumstances were to change. Changes in underlying assumptions, circumstances or estimates may adversely impact our business, financial condition and results of operations.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i w:val="1"/>
          <w:iCs w:val="1"/>
          <w:color w:val="auto"/>
        </w:rPr>
        <w:t>We may not realize the full value of our total estimated remaining contract value or bookings, including as a result of reduction of funding or cancellation of our U.S. government contracts, which could have a material adverse impact on our business, financial condition and results of operations.</w:t>
      </w:r>
    </w:p>
    <w:p>
      <w:pPr>
        <w:spacing w:after="0" w:line="134" w:lineRule="exact"/>
        <w:rPr>
          <w:sz w:val="20"/>
          <w:szCs w:val="20"/>
          <w:color w:val="auto"/>
        </w:rPr>
      </w:pPr>
    </w:p>
    <w:p>
      <w:pPr>
        <w:ind w:right="60" w:firstLine="299"/>
        <w:spacing w:after="0" w:line="259" w:lineRule="auto"/>
        <w:rPr>
          <w:sz w:val="20"/>
          <w:szCs w:val="20"/>
          <w:color w:val="auto"/>
        </w:rPr>
      </w:pPr>
      <w:r>
        <w:rPr>
          <w:rFonts w:ascii="Arial" w:cs="Arial" w:eastAsia="Arial" w:hAnsi="Arial"/>
          <w:sz w:val="16"/>
          <w:szCs w:val="16"/>
          <w:color w:val="auto"/>
        </w:rPr>
        <w:t>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In addition to backlog, we also evaluate estimated potential remaining contract value, which represents unexercised options associated with existing firm contracts and primarily includes options and agreements with existing customers to purchase new services. Estimated potential remaining contract value together with backlog represents total estimated contract value. Lastly, we evaluate bookings which we define as the total value of contract awards received from the U.S. government for which it has appropriated funds and legally obligated such funds to the Company through a contract or purchase order, plus the value of contract awards and orders received from customers other than the U.S. government. As of December 31, 2020, our total estimated remaining contract value was approximately $11,272 million, consisting of approximately</w:t>
      </w:r>
    </w:p>
    <w:p>
      <w:pPr>
        <w:spacing w:after="0" w:line="5" w:lineRule="exact"/>
        <w:rPr>
          <w:sz w:val="20"/>
          <w:szCs w:val="20"/>
          <w:color w:val="auto"/>
        </w:rPr>
      </w:pPr>
    </w:p>
    <w:p>
      <w:pPr>
        <w:ind w:right="100"/>
        <w:spacing w:after="0" w:line="280" w:lineRule="auto"/>
        <w:tabs>
          <w:tab w:leader="none" w:pos="1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7,981 million of estimated potential remaining contract value and approximately $3,291 million of total backlog. Our bookings for the period were 3,055 million. We historically have not realized all of the revenue included in our total estimated contract value or bookings, and we may not realize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440" w:right="339" w:bottom="1440" w:gutter="0" w:footer="0" w:header="0"/>
        </w:sectPr>
      </w:pPr>
    </w:p>
    <w:bookmarkStart w:id="31" w:name="page32"/>
    <w:bookmarkEnd w:id="31"/>
    <w:p>
      <w:pPr>
        <w:spacing w:after="0" w:line="4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revenue included in our total estimated contract value or bookings in the future. There is a higher degree of risk in this regard with respect to estimated potential remaining contract value and unfunded backlog. In addition, there can be no assurance that our total estimated contract value or bookings will result in actual revenue in any particular period. This is because the actual receipt, timing, and amount of revenue under contracts included in total estimated contract value and bookings are subject to various contingencies, including Congressional appropriations, many of which are beyond our control. The actual receipt of revenue from contracts included in total estimated contract value and bookings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estimated potential remaining contract value, our clients may not exercise their options. Our failure to replace canceled or reduced total estimated contract value or bookings could have a material adverse impact on our business, financial condition and results of operations. See “—</w:t>
      </w:r>
      <w:r>
        <w:rPr>
          <w:rFonts w:ascii="Arial" w:cs="Arial" w:eastAsia="Arial" w:hAnsi="Arial"/>
          <w:sz w:val="17"/>
          <w:szCs w:val="17"/>
          <w:i w:val="1"/>
          <w:iCs w:val="1"/>
          <w:color w:val="auto"/>
        </w:rPr>
        <w:t>We have unfunded obligations under our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plans, and we use estimates in accounting for our pension plans and changes in our estimates could adversely affect our financial condition and results of operations</w:t>
      </w:r>
      <w:r>
        <w:rPr>
          <w:rFonts w:ascii="Arial" w:cs="Arial" w:eastAsia="Arial" w:hAnsi="Arial"/>
          <w:sz w:val="17"/>
          <w:szCs w:val="17"/>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harmed if we are unable to appropriately manage our inventory.</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are subject to the risk that the inventory we carry may decrease in value over time due to, among other things, changes in customer priorities and needs. Any increase in the level of inventories of finished goods, components and raw materials that we carry, including due to any failure to replace cancelled or reduced backlog or other shortfalls in anticipated sales, may increase our risk of inventory obsolescence and corresponding inventory write-downs and write-offs, and such amounts could be material. If we are unable to appropriately manage our inventory balances it could have a material adverse impact on our business, financial condition and results of operations.</w:t>
      </w:r>
    </w:p>
    <w:p>
      <w:pPr>
        <w:spacing w:after="0" w:line="12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i w:val="1"/>
          <w:iCs w:val="1"/>
          <w:color w:val="auto"/>
        </w:rPr>
        <w:t>Our working capital requirements and cash flows are extremely variable and subject to fluctuation, which could have a material adverse effect on our business, financial condition and results of operations.</w:t>
      </w:r>
    </w:p>
    <w:p>
      <w:pPr>
        <w:spacing w:after="0" w:line="121"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Our working capital requirements and cash flows have historically been, and are expected to continue to be, subject to significant fluctuations. Historically we have had negative cash flows in some quarters of the year, and we expect this pattern to continue in the future. See “Management’s Discussion and Analysis of Financial Condition and Results of Operations.” If we are unable to manage fluctuations in cash flow, it could have a material adverse impact on our liquidity, as well as on our business, financial condition and results of operations. Factors which could result in fluctuations in our working capital and cash flows include:</w:t>
      </w:r>
    </w:p>
    <w:p>
      <w:pPr>
        <w:spacing w:after="0" w:line="147" w:lineRule="exact"/>
        <w:rPr>
          <w:sz w:val="20"/>
          <w:szCs w:val="20"/>
          <w:color w:val="auto"/>
        </w:rPr>
      </w:pPr>
    </w:p>
    <w:p>
      <w:pPr>
        <w:ind w:left="600" w:hanging="30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quantity of product and service sales revenue achieved;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margins achieved on sales of products and services;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and collection of receivables;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and size of inventory and related component purchases;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payment on payables and accrued liabilities;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adequacy of our current financing arrangements and access to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20"/>
          </w:cols>
          <w:pgMar w:left="320" w:top="1440" w:right="359" w:bottom="1440" w:gutter="0" w:footer="0" w:header="0"/>
        </w:sectPr>
      </w:pPr>
    </w:p>
    <w:bookmarkStart w:id="32" w:name="page33"/>
    <w:bookmarkEnd w:id="32"/>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predict future capital needs, the sufficiency of our current financing or our ability to obtain additional financing if we need it.</w:t>
      </w:r>
    </w:p>
    <w:p>
      <w:pPr>
        <w:spacing w:after="0" w:line="173" w:lineRule="exact"/>
        <w:rPr>
          <w:sz w:val="20"/>
          <w:szCs w:val="20"/>
          <w:color w:val="auto"/>
        </w:rPr>
      </w:pPr>
    </w:p>
    <w:p>
      <w:pPr>
        <w:ind w:right="140" w:firstLine="299"/>
        <w:spacing w:after="0" w:line="246" w:lineRule="auto"/>
        <w:rPr>
          <w:sz w:val="20"/>
          <w:szCs w:val="20"/>
          <w:color w:val="auto"/>
        </w:rPr>
      </w:pPr>
      <w:r>
        <w:rPr>
          <w:rFonts w:ascii="Arial" w:cs="Arial" w:eastAsia="Arial" w:hAnsi="Arial"/>
          <w:sz w:val="17"/>
          <w:szCs w:val="17"/>
          <w:color w:val="auto"/>
        </w:rPr>
        <w:t>Our operations are capital intensive and we rely heavily on financing, including working capital financing, such as factoring and supply chain financing. We may also enter into other types of financings in the future, including bank and bond financing. Although we believe that our available cash resources, together with our retained earnings, are sufficient to meet our presently anticipated liquidity needs and capital expenditure requirements, we might in the future need to raise additional funds to, among other things:</w:t>
      </w:r>
    </w:p>
    <w:p>
      <w:pPr>
        <w:spacing w:after="0" w:line="144" w:lineRule="exact"/>
        <w:rPr>
          <w:sz w:val="20"/>
          <w:szCs w:val="20"/>
          <w:color w:val="auto"/>
        </w:rPr>
      </w:pPr>
    </w:p>
    <w:p>
      <w:pPr>
        <w:ind w:left="600" w:hanging="30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fund our operations;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address fluctuations in cash flow (including negative cash flow periods);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support more rapid growth of our business;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 new or enhanced products and solutions;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respond to competitive pressures;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acquire companies or technologies.</w:t>
      </w:r>
    </w:p>
    <w:p>
      <w:pPr>
        <w:spacing w:after="0" w:line="153" w:lineRule="exact"/>
        <w:rPr>
          <w:sz w:val="20"/>
          <w:szCs w:val="20"/>
          <w:color w:val="auto"/>
        </w:rPr>
      </w:pPr>
    </w:p>
    <w:p>
      <w:pPr>
        <w:ind w:right="20" w:firstLine="299"/>
        <w:spacing w:after="0" w:line="244" w:lineRule="auto"/>
        <w:rPr>
          <w:sz w:val="20"/>
          <w:szCs w:val="20"/>
          <w:color w:val="auto"/>
        </w:rPr>
      </w:pPr>
      <w:r>
        <w:rPr>
          <w:rFonts w:ascii="Arial" w:cs="Arial" w:eastAsia="Arial" w:hAnsi="Arial"/>
          <w:sz w:val="17"/>
          <w:szCs w:val="17"/>
          <w:color w:val="auto"/>
        </w:rPr>
        <w:t>We cannot guarantee that we will continue to be able to extend existing working capital financing on commercially reasonable terms or at all and we might be unable to obtain additional financing, if needed, on terms acceptable to us, if at all. In the past we have been reliant on our parent company for financing. If sufficient funds are not available or are not available on terms acceptable to us, our ability to fund our current operations, fund expansion, take advantage of acquisition opportunities, develop or enhance services or products, or otherwise respond to competitive pressures would be significantly limited. We may be required to obtain the consent of US Holding in order to obtain financing and there is no guarantee that their consent will be granted. See “—</w:t>
      </w:r>
      <w:r>
        <w:rPr>
          <w:rFonts w:ascii="Arial" w:cs="Arial" w:eastAsia="Arial" w:hAnsi="Arial"/>
          <w:sz w:val="17"/>
          <w:szCs w:val="17"/>
          <w:i w:val="1"/>
          <w:iCs w:val="1"/>
          <w:color w:val="auto"/>
        </w:rPr>
        <w:t>Risks Relating to Our Status as a Controlled Company and under the Proxy Agreement</w:t>
      </w:r>
      <w:r>
        <w:rPr>
          <w:rFonts w:ascii="Arial" w:cs="Arial" w:eastAsia="Arial" w:hAnsi="Arial"/>
          <w:sz w:val="17"/>
          <w:szCs w:val="17"/>
          <w:color w:val="auto"/>
        </w:rPr>
        <w:t>—</w:t>
      </w:r>
      <w:r>
        <w:rPr>
          <w:rFonts w:ascii="Arial" w:cs="Arial" w:eastAsia="Arial" w:hAnsi="Arial"/>
          <w:sz w:val="17"/>
          <w:szCs w:val="17"/>
          <w:i w:val="1"/>
          <w:iCs w:val="1"/>
          <w:color w:val="auto"/>
        </w:rPr>
        <w:t>Our ultimate majority stockholder, Leonardo</w:t>
      </w:r>
      <w:r>
        <w:rPr>
          <w:rFonts w:ascii="Arial" w:cs="Arial" w:eastAsia="Arial" w:hAnsi="Arial"/>
          <w:sz w:val="17"/>
          <w:szCs w:val="17"/>
          <w:color w:val="auto"/>
        </w:rPr>
        <w:t xml:space="preserve"> </w:t>
      </w:r>
      <w:r>
        <w:rPr>
          <w:rFonts w:ascii="Arial" w:cs="Arial" w:eastAsia="Arial" w:hAnsi="Arial"/>
          <w:sz w:val="17"/>
          <w:szCs w:val="17"/>
          <w:i w:val="1"/>
          <w:iCs w:val="1"/>
          <w:color w:val="auto"/>
        </w:rPr>
        <w:t>S.p.A., may have interests that are different from, or conflict with, those of our other stockholders, and their significant ownership in us may discourage change of control transactions</w:t>
      </w:r>
      <w:r>
        <w:rPr>
          <w:rFonts w:ascii="Arial" w:cs="Arial" w:eastAsia="Arial" w:hAnsi="Arial"/>
          <w:sz w:val="17"/>
          <w:szCs w:val="17"/>
          <w:color w:val="auto"/>
        </w:rPr>
        <w:t>.” The existing debt obligations of Leonardo S.p.A., which contain restrictions applicable to subsidiaries of Leonardo S.p.A.,</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us, may also negatively impact our ability to obtain additional financing on terms acceptable to us, if at all. In addition, any decline in the ratings of our corporate credit or any indications from the rating agencies that their ratings on our corporate credit are under surveillance or review with possible negative implications could adversely impact our ability to access capital. These limitations could have a material adverse impact on our business, financial condition and results of operations.</w:t>
      </w:r>
    </w:p>
    <w:p>
      <w:pPr>
        <w:spacing w:after="0" w:line="134"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spacing w:after="0" w:line="13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 xml:space="preserve">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including those described in the section “Recapitalization” in this prospectus, could contain similar restrictions and additionally could require us to comply with similar, new or additional financial tests or to maintain similar, new or additional financial ratios. For example, we expect to repay in full </w:t>
      </w:r>
      <w:r>
        <w:rPr>
          <w:rFonts w:ascii="Arial" w:cs="Arial" w:eastAsia="Arial" w:hAnsi="Arial"/>
          <w:sz w:val="17"/>
          <w:szCs w:val="17"/>
          <w:color w:val="1F497D"/>
        </w:rPr>
        <w:t>our outstanding related-party financing arrangements of $237 million and enter into financing arrangements</w:t>
      </w:r>
      <w:r>
        <w:rPr>
          <w:rFonts w:ascii="Arial" w:cs="Arial" w:eastAsia="Arial" w:hAnsi="Arial"/>
          <w:sz w:val="17"/>
          <w:szCs w:val="17"/>
          <w:color w:val="auto"/>
        </w:rPr>
        <w:t xml:space="preserve"> </w:t>
      </w:r>
      <w:r>
        <w:rPr>
          <w:rFonts w:ascii="Arial" w:cs="Arial" w:eastAsia="Arial" w:hAnsi="Arial"/>
          <w:sz w:val="17"/>
          <w:szCs w:val="17"/>
          <w:color w:val="1F497D"/>
        </w:rPr>
        <w:t xml:space="preserve">providing for the issuance of $450 million of third-party debt (consisting of the Term A Loan and the Bridge Loan, in each case subject to the consummation of this offering). </w:t>
      </w:r>
      <w:r>
        <w:rPr>
          <w:rFonts w:ascii="Arial" w:cs="Arial" w:eastAsia="Arial" w:hAnsi="Arial"/>
          <w:sz w:val="17"/>
          <w:szCs w:val="17"/>
          <w:color w:val="000000"/>
        </w:rPr>
        <w:t>We anticipate that the Bridge Loan will be repaid with the net proceeds from the issuance of unsecured senior notes</w:t>
      </w:r>
      <w:r>
        <w:rPr>
          <w:rFonts w:ascii="Arial" w:cs="Arial" w:eastAsia="Arial" w:hAnsi="Arial"/>
          <w:sz w:val="17"/>
          <w:szCs w:val="17"/>
          <w:color w:val="1F497D"/>
        </w:rPr>
        <w:t xml:space="preserve"> </w:t>
      </w:r>
      <w:r>
        <w:rPr>
          <w:rFonts w:ascii="Arial" w:cs="Arial" w:eastAsia="Arial" w:hAnsi="Arial"/>
          <w:sz w:val="17"/>
          <w:szCs w:val="17"/>
          <w:color w:val="000000"/>
        </w:rPr>
        <w:t>following this offering. Any such unsecured senior notes would be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1440" w:right="339" w:bottom="1440" w:gutter="0" w:footer="0" w:header="0"/>
        </w:sectPr>
      </w:pPr>
    </w:p>
    <w:bookmarkStart w:id="33" w:name="page34"/>
    <w:bookmarkEnd w:id="33"/>
    <w:p>
      <w:pPr>
        <w:spacing w:after="0" w:line="4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pursuant to a separate offering memorandum and nothing contained in this prospectus shall constitute an offer to sell or solicitation of an offer to buy such unsecured senior notes. There is no assurance as to the launch or completion of any unsecured senior notes offering. If we are unable to complete an unsecured senior notes offering or other transaction on substantially similar terms, then we could be subject to the higher interest rates and stricter covenants under the Bridge Loan for an extended period relative to those anticipated under the unsecured senior notes. See “Recapitalization” and “Unaudited Pro Forma Consolidated Financial Information.”</w:t>
      </w:r>
    </w:p>
    <w:p>
      <w:pPr>
        <w:spacing w:after="0" w:line="147"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144" w:lineRule="exact"/>
        <w:rPr>
          <w:sz w:val="20"/>
          <w:szCs w:val="20"/>
          <w:color w:val="auto"/>
        </w:rPr>
      </w:pPr>
    </w:p>
    <w:p>
      <w:pPr>
        <w:ind w:left="600" w:hanging="30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borrow money or guarantee debt;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 dividends or acquire our capital stock;</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make investments and acquisitions;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 into, or permit to exist, contractual limits on the ability of our subsidiaries to pay dividends to us;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 into new lines of business;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 into transactions with affiliates;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sell assets or merge with other companies.</w:t>
      </w:r>
    </w:p>
    <w:p>
      <w:pPr>
        <w:spacing w:after="0" w:line="153" w:lineRule="exact"/>
        <w:rPr>
          <w:sz w:val="20"/>
          <w:szCs w:val="20"/>
          <w:color w:val="auto"/>
        </w:rPr>
      </w:pPr>
    </w:p>
    <w:p>
      <w:pPr>
        <w:jc w:val="both"/>
        <w:ind w:right="20" w:firstLine="299"/>
        <w:spacing w:after="0" w:line="247" w:lineRule="auto"/>
        <w:rPr>
          <w:sz w:val="20"/>
          <w:szCs w:val="20"/>
          <w:color w:val="auto"/>
        </w:rPr>
      </w:pPr>
      <w:r>
        <w:rPr>
          <w:rFonts w:ascii="Arial" w:cs="Arial" w:eastAsia="Arial" w:hAnsi="Arial"/>
          <w:sz w:val="17"/>
          <w:szCs w:val="17"/>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43" w:lineRule="exact"/>
        <w:rPr>
          <w:sz w:val="20"/>
          <w:szCs w:val="20"/>
          <w:color w:val="auto"/>
        </w:rPr>
      </w:pPr>
    </w:p>
    <w:p>
      <w:pPr>
        <w:ind w:right="300" w:firstLine="299"/>
        <w:spacing w:after="0" w:line="246" w:lineRule="auto"/>
        <w:rPr>
          <w:sz w:val="20"/>
          <w:szCs w:val="20"/>
          <w:color w:val="auto"/>
        </w:rPr>
      </w:pPr>
      <w:r>
        <w:rPr>
          <w:rFonts w:ascii="Arial" w:cs="Arial" w:eastAsia="Arial" w:hAnsi="Arial"/>
          <w:sz w:val="17"/>
          <w:szCs w:val="17"/>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124"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To service indebtedness and fund other cash needs, we will require a significant amount of cash, and our ability to generate cash depends on many factors beyond our control.</w:t>
      </w:r>
    </w:p>
    <w:p>
      <w:pPr>
        <w:spacing w:after="0" w:line="121" w:lineRule="exact"/>
        <w:rPr>
          <w:sz w:val="20"/>
          <w:szCs w:val="20"/>
          <w:color w:val="auto"/>
        </w:rPr>
      </w:pPr>
    </w:p>
    <w:p>
      <w:pPr>
        <w:jc w:val="both"/>
        <w:ind w:right="160" w:firstLine="299"/>
        <w:spacing w:after="0" w:line="270" w:lineRule="auto"/>
        <w:rPr>
          <w:sz w:val="20"/>
          <w:szCs w:val="20"/>
          <w:color w:val="auto"/>
        </w:rPr>
      </w:pPr>
      <w:r>
        <w:rPr>
          <w:rFonts w:ascii="Arial" w:cs="Arial" w:eastAsia="Arial" w:hAnsi="Arial"/>
          <w:sz w:val="16"/>
          <w:szCs w:val="16"/>
          <w:color w:val="auto"/>
        </w:rPr>
        <w:t>Our ability to pay principal and interest on our anticipated debt obligations and to fund any planned capital expenditures and other cash needs will depend in part upon the future financial and operating performance of our company and our subsidiaries. Prevailing economic conditions and financial, business, competitive, legislative, regulatory and other factors, many of which are beyond our control, will affect our ability to make these payments.</w:t>
      </w:r>
    </w:p>
    <w:p>
      <w:pPr>
        <w:spacing w:after="0" w:line="126" w:lineRule="exact"/>
        <w:rPr>
          <w:sz w:val="20"/>
          <w:szCs w:val="20"/>
          <w:color w:val="auto"/>
        </w:rPr>
      </w:pPr>
    </w:p>
    <w:p>
      <w:pPr>
        <w:ind w:right="340" w:firstLine="299"/>
        <w:spacing w:after="0" w:line="250" w:lineRule="auto"/>
        <w:rPr>
          <w:sz w:val="20"/>
          <w:szCs w:val="20"/>
          <w:color w:val="auto"/>
        </w:rPr>
      </w:pPr>
      <w:r>
        <w:rPr>
          <w:rFonts w:ascii="Arial" w:cs="Arial" w:eastAsia="Arial" w:hAnsi="Arial"/>
          <w:sz w:val="17"/>
          <w:szCs w:val="17"/>
          <w:color w:val="auto"/>
        </w:rPr>
        <w:t>If we are unable to make payments or we are unable to refinance the debt or obtain new financing under these circumstances, we may consider other options, including:</w:t>
      </w:r>
    </w:p>
    <w:p>
      <w:pPr>
        <w:spacing w:after="0" w:line="140" w:lineRule="exact"/>
        <w:rPr>
          <w:sz w:val="20"/>
          <w:szCs w:val="20"/>
          <w:color w:val="auto"/>
        </w:rPr>
      </w:pPr>
    </w:p>
    <w:p>
      <w:pPr>
        <w:ind w:left="600" w:hanging="302"/>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sales of assets;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equity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180"/>
          </w:cols>
          <w:pgMar w:left="320" w:top="1440" w:right="399" w:bottom="1440" w:gutter="0" w:footer="0" w:header="0"/>
        </w:sectPr>
      </w:pPr>
    </w:p>
    <w:bookmarkStart w:id="34" w:name="page35"/>
    <w:bookmarkEnd w:id="34"/>
    <w:p>
      <w:pPr>
        <w:spacing w:after="0" w:line="43" w:lineRule="exact"/>
        <w:rPr>
          <w:sz w:val="20"/>
          <w:szCs w:val="20"/>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reductions or delays of capital expenditures, strategic acquisitions, investments and alliances; or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negotiations with our lenders to restructure the applicable debt.</w:t>
      </w:r>
    </w:p>
    <w:p>
      <w:pPr>
        <w:spacing w:after="0" w:line="15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Some of our variable-rate indebtedness, including our third-party indebtedness expected to be issued in connection with this offering as described in the section “Recapitalization,” uses LIBOR as a benchmark for establishing the rate. LIBOR is expected to be discontinued after 2021 and will be replaced with an alternative reference rate. The consequence of this development cannot be entirely predicted but could include an increase in the cost of our variable rate indebtedness. 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intense competition and may suffer losses if we fail to compete efficiently.</w:t>
      </w:r>
    </w:p>
    <w:p>
      <w:pPr>
        <w:spacing w:after="0" w:line="173" w:lineRule="exact"/>
        <w:rPr>
          <w:sz w:val="20"/>
          <w:szCs w:val="20"/>
          <w:color w:val="auto"/>
        </w:rPr>
      </w:pPr>
    </w:p>
    <w:p>
      <w:pPr>
        <w:ind w:right="40" w:firstLine="299"/>
        <w:spacing w:after="0" w:line="261" w:lineRule="auto"/>
        <w:rPr>
          <w:sz w:val="20"/>
          <w:szCs w:val="20"/>
          <w:color w:val="auto"/>
        </w:rPr>
      </w:pPr>
      <w:r>
        <w:rPr>
          <w:rFonts w:ascii="Arial" w:cs="Arial" w:eastAsia="Arial" w:hAnsi="Arial"/>
          <w:sz w:val="16"/>
          <w:szCs w:val="16"/>
          <w:color w:val="auto"/>
        </w:rPr>
        <w:t>We operate in highly competitive markets and compete with many large, small and mid-tier defense contractors, including, at times, our customers, based on performance, cost, overall value, delivery and reputation. Our competitors continuously seek to expand their business relationships with the U.S. government and will continue these efforts in the future, and the U.S. government may choose to use other contractors. We expect that a majority of the business that we seek will be awarded through competitive bidding. The U.S. government has increasingly relied on certain types of contracts that are subject to multiple competitive bidding processes, including multi-vendor Indefinite Delivery Indefinite Quantity (“IDIQ”), Governmentwide Acquisition Contracts, General Services Administration Schedule and other multi-award contracts, which has resulted in greater competition and increased pricing pressure. Many of our larger competitors have significantly greater financial resources than we do and have more extensive or more specialized engineering, manufacturing and marketing capabilities than we do in some areas, including as a result of substantial industry consolidation, which increased the market share of certain of our competitors and enabled them to take advantage of economies of scale and develop new technologies. These larger competitors may also benefit from supply chain leverage and pricing flexibility, including, in some cases, the ability to price contracts at a loss, due to their size. Larger competitors, for example, may decide to pursue contracts typically won by mid-tier contractors, such as us. Additionally, our smaller competitors may have lower overhead rates than we do, enabling them to compete effectively on pricing against mid-tier contractors such as us. A number of these competitors are also our suppliers and customers. Additionally, some customers, including the DoD, are increasingly purchasing “off the shelf” components from commercial suppliers in lieu of using traditional defense contractors to design and manufacture such items.</w:t>
      </w:r>
    </w:p>
    <w:p>
      <w:pPr>
        <w:spacing w:after="0" w:line="135"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may not be able to continue to win competitively awarded contracts or to obtain task orders under multi-award contracts. Further, the competitive bidding process involves significant cost and managerial time to prepare bids and proposals for contracts that may not be awarded to us or may be split with competitors, as well as the risk that we may fail to accurately estimate the resources and costs required to fulfill any contract awarded to us. The current competitive environment has resulted in an increase of bid protests from unsuccessful bidders, which typically extends the time until work on a contract can begin. Following any contract award, we may experience significant expense or delay, contract modification or contract rescission as a result of our competitors protesting or challenging contracts awarded to us in competitive bidding.</w:t>
      </w:r>
    </w:p>
    <w:p>
      <w:pPr>
        <w:spacing w:after="0" w:line="127"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Preferences or set-asides for minority-owned, small and small disadvantaged businesses could impact our ability to be a prime contractor and limit our opportunity to work as a subcontractor on certain governmental procurements.</w:t>
      </w:r>
    </w:p>
    <w:p>
      <w:pPr>
        <w:spacing w:after="0" w:line="121" w:lineRule="exact"/>
        <w:rPr>
          <w:sz w:val="20"/>
          <w:szCs w:val="20"/>
          <w:color w:val="auto"/>
        </w:rPr>
      </w:pPr>
    </w:p>
    <w:p>
      <w:pPr>
        <w:jc w:val="both"/>
        <w:ind w:right="60" w:firstLine="299"/>
        <w:spacing w:after="0" w:line="247" w:lineRule="auto"/>
        <w:rPr>
          <w:sz w:val="20"/>
          <w:szCs w:val="20"/>
          <w:color w:val="auto"/>
        </w:rPr>
      </w:pPr>
      <w:r>
        <w:rPr>
          <w:rFonts w:ascii="Arial" w:cs="Arial" w:eastAsia="Arial" w:hAnsi="Arial"/>
          <w:sz w:val="17"/>
          <w:szCs w:val="17"/>
          <w:color w:val="auto"/>
        </w:rPr>
        <w:t>As a result of the Small Business Administration (“SBA”) set-aside program, the federal government may decide to restrict certain procurements only to bidders that qualify as minority-owned, small, or small disadvantaged businesses. We would not be eligible to perform as a prime contractor on those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1440" w:right="339" w:bottom="1440" w:gutter="0" w:footer="0" w:header="0"/>
        </w:sectPr>
      </w:pPr>
    </w:p>
    <w:bookmarkStart w:id="35" w:name="page36"/>
    <w:bookmarkEnd w:id="35"/>
    <w:p>
      <w:pPr>
        <w:spacing w:after="0" w:line="43"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23"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b w:val="1"/>
          <w:bCs w:val="1"/>
          <w:i w:val="1"/>
          <w:iCs w:val="1"/>
          <w:color w:val="auto"/>
        </w:rPr>
        <w:t>We depend in part upon our relationships and alliances with industry participants in order to generate revenue, which involves risks and uncertainties.</w:t>
      </w:r>
    </w:p>
    <w:p>
      <w:pPr>
        <w:spacing w:after="0" w:line="121" w:lineRule="exact"/>
        <w:rPr>
          <w:sz w:val="20"/>
          <w:szCs w:val="20"/>
          <w:color w:val="auto"/>
        </w:rPr>
      </w:pPr>
    </w:p>
    <w:p>
      <w:pPr>
        <w:ind w:right="20" w:firstLine="299"/>
        <w:spacing w:after="0" w:line="261" w:lineRule="auto"/>
        <w:rPr>
          <w:sz w:val="20"/>
          <w:szCs w:val="20"/>
          <w:color w:val="auto"/>
        </w:rPr>
      </w:pPr>
      <w:r>
        <w:rPr>
          <w:rFonts w:ascii="Arial" w:cs="Arial" w:eastAsia="Arial" w:hAnsi="Arial"/>
          <w:sz w:val="16"/>
          <w:szCs w:val="16"/>
          <w:color w:val="auto"/>
        </w:rPr>
        <w:t>We rely on the strength of our relationships with other industry participants, including major prime contractors and small businesses, to form strategic alliances and we have entered, and expect to continue to enter, into joint venture, teaming, partnership, subcontractor and other arrangements. These activities involve risks and uncertainties, including the risk that a joint venture or applicable entity fails to satisfy its obligations, which may result in certain liabilities to us from guarantees and other commitments, the challenges in achieving strategic objectives and expected benefits of the business arrangement, the risk of conflicts arising between us and our partners and the difficulty of managing and resolving such conflicts and the business arrangements generally. In some cases, these relationships are subject to exclusivity arrangements which subject us to the risk that we may be forced to forego superior opportunities with a different partner. In addition, particularly where we act as a subcontractor and form teaming arrangements in which we and other contractors bid on particular contracts or programs, we often lack control over fulfillment of a contract and poor performance on the contract could impact our customer relationship, even when we perform as required. If partners in teaming arrangements suffer financial difficulties, face compliance or other reputational issues or fail to comply with the law, we may be adversely affected to the extent we are relying on such partners. Additionally, the U.S. Department of Justice and Federal Trade Commission have periodically and increasingly focused on ensuring competition in government acquisition and could challenge a teaming arrangement. If any of our existing relationships with our industry partners were impaired or terminated, or if we are unable to enter into future arrangements, we could also experience significant delays in the development of new products ourselves, and we would incur additional development costs. We would need to fund these costs internally or identify new industry partners.</w:t>
      </w:r>
    </w:p>
    <w:p>
      <w:pPr>
        <w:spacing w:after="0" w:line="135"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Some of our industry partners and major customers are also potential competitors, which may impair the viability of new or continued strategic relationships. This position may create conflicts of interest and uncertainty in circumstances where we continue to operate as both a subcontractor for and a competitor to one of our industry partners or customers, potentially jeopardizing potential revenue opportunities. While we must compete effectively in the marketplace, our future alliances may depend on our industry partners’ perception of us. Our ability to win new and/or follow-on contracts may be dependent upon our relationships within the defense industry.</w:t>
      </w:r>
    </w:p>
    <w:p>
      <w:pPr>
        <w:spacing w:after="0" w:line="12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Contractual disputes with industry participants or the inability of our key suppliers to timely deliver our components, parts or services, could cause our products, systems or services to be produced or delivered in an untimely or unsatisfactory manner.</w:t>
      </w:r>
    </w:p>
    <w:p>
      <w:pPr>
        <w:spacing w:after="0" w:line="121" w:lineRule="exact"/>
        <w:rPr>
          <w:sz w:val="20"/>
          <w:szCs w:val="20"/>
          <w:color w:val="auto"/>
        </w:rPr>
      </w:pPr>
    </w:p>
    <w:p>
      <w:pPr>
        <w:ind w:right="140" w:firstLine="299"/>
        <w:spacing w:after="0" w:line="262" w:lineRule="auto"/>
        <w:rPr>
          <w:sz w:val="20"/>
          <w:szCs w:val="20"/>
          <w:color w:val="auto"/>
        </w:rPr>
      </w:pPr>
      <w:r>
        <w:rPr>
          <w:rFonts w:ascii="Arial" w:cs="Arial" w:eastAsia="Arial" w:hAnsi="Arial"/>
          <w:sz w:val="16"/>
          <w:szCs w:val="16"/>
          <w:color w:val="auto"/>
        </w:rPr>
        <w:t>We act as subcontractor on many contracts and engage subcontractors on many of our own contracts. We may have disputes with our contractual counterparts, including regarding the quality and timeliness of work performed by a subcontractor, customer concerns about a subcontract or subcontractor, our failure to extend existing task orders or issue new task orders under a subcontract, our hiring of personnel of a subcontractor or as a subcontractor or our counterpart’s failure to comply with applicable law. In addition, there are certain parts, components and services for many of our products, systems and services that we source from other manufacturers or vendors. Some of our suppliers, from time to time, experience financial and operational difficulties, which may impair their ability to supply the materials, components, subsystems and services that we require. Impacts from the COVID-19 pandemic have created or exacerbated existing materials shortages, resulted in supplier business closures and disrupted our supply chain. Future impacts from the pandemic remain highly uncertain as the situation continues to evolve, sometimes rapidly. In addition, our supply chain may be disrupted by trade conflicts and tariffs imposed on products, as well as other external events, including natural disasters, extreme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20"/>
          </w:cols>
          <w:pgMar w:left="320" w:top="1440" w:right="359" w:bottom="1440" w:gutter="0" w:footer="0" w:header="0"/>
        </w:sectPr>
      </w:pPr>
    </w:p>
    <w:bookmarkStart w:id="36" w:name="page37"/>
    <w:bookmarkEnd w:id="36"/>
    <w:p>
      <w:pPr>
        <w:spacing w:after="0" w:line="4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weather conditions, future medical epidemics or pandemics, acts of terrorism, cyber attacks and labor disputes, governmental actions and legislative or regulatory changes, such as product certification or stewardship requirements, sourcing restrictions, product authenticity and climate change or greenhouse gas emission standards. These or any further political or governmental developments or health concerns could result in social, economic and labor instability. Any inability to develop alternative sources of supply on a cost-effective and timely basis could materially impair our ability to manufacture and deliver products, systems and services to our customers.</w:t>
      </w:r>
    </w:p>
    <w:p>
      <w:pPr>
        <w:spacing w:after="0" w:line="147" w:lineRule="exact"/>
        <w:rPr>
          <w:sz w:val="20"/>
          <w:szCs w:val="20"/>
          <w:color w:val="auto"/>
        </w:rPr>
      </w:pPr>
    </w:p>
    <w:p>
      <w:pPr>
        <w:ind w:right="20" w:firstLine="299"/>
        <w:spacing w:after="0" w:line="244" w:lineRule="auto"/>
        <w:rPr>
          <w:sz w:val="20"/>
          <w:szCs w:val="20"/>
          <w:color w:val="auto"/>
        </w:rPr>
      </w:pPr>
      <w:r>
        <w:rPr>
          <w:rFonts w:ascii="Arial" w:cs="Arial" w:eastAsia="Arial" w:hAnsi="Arial"/>
          <w:sz w:val="17"/>
          <w:szCs w:val="17"/>
          <w:color w:val="auto"/>
        </w:rPr>
        <w:t>We may have disputes with our subcontractors or suppliers; material supply constraints or problems; or component, subsystems or services problems in the future. Also, our subcontractors and other suppliers may not be able to acquire or maintain the quality of the materials, components, subsystems and services they supply, which might result in greater product returns, service problems and warranty claims and could harm our business, financial condition and results of operations. Further, warranty claims brought by our customers related to third-party components and materials may arise after our ability to bring corresponding warranty claims against such suppliers expire, which could result in costs to us. In addition, in connection with our government contracts, we are required to procure certain materials, components and parts from supply sources approved by the U.S. government and we rely on our subcontractors and suppliers to comply with applicable laws, regulations and other requirements regarding procurement of counterfeit, unauthorized or otherwise non-compliant parts or materials, including parts or materials they supply to us, and in some circumstances, we rely on their certifications as to their compliance. From time to time, we use components for which there is only one supplier and that supplier may be unable to meet our needs.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 Each of these subcontractor and supplier risks could have a material adverse impact on our business, financial condition and results of operations.</w:t>
      </w:r>
    </w:p>
    <w:p>
      <w:pPr>
        <w:spacing w:after="0" w:line="134" w:lineRule="exact"/>
        <w:rPr>
          <w:sz w:val="20"/>
          <w:szCs w:val="20"/>
          <w:color w:val="auto"/>
        </w:rPr>
      </w:pPr>
    </w:p>
    <w:p>
      <w:pPr>
        <w:ind w:right="920"/>
        <w:spacing w:after="0" w:line="274" w:lineRule="auto"/>
        <w:rPr>
          <w:sz w:val="20"/>
          <w:szCs w:val="20"/>
          <w:color w:val="auto"/>
        </w:rPr>
      </w:pPr>
      <w:r>
        <w:rPr>
          <w:rFonts w:ascii="Arial" w:cs="Arial" w:eastAsia="Arial" w:hAnsi="Arial"/>
          <w:sz w:val="17"/>
          <w:szCs w:val="17"/>
          <w:b w:val="1"/>
          <w:bCs w:val="1"/>
          <w:i w:val="1"/>
          <w:iCs w:val="1"/>
          <w:color w:val="auto"/>
        </w:rPr>
        <w:t>We are susceptible to a security breach, through cyber attack, cyber intrusion, insider threats or otherwise, and to other significant disruptions of our IT networks and related systems or of those we operate for our customers.</w:t>
      </w:r>
    </w:p>
    <w:p>
      <w:pPr>
        <w:spacing w:after="0" w:line="121" w:lineRule="exact"/>
        <w:rPr>
          <w:sz w:val="20"/>
          <w:szCs w:val="20"/>
          <w:color w:val="auto"/>
        </w:rPr>
      </w:pPr>
    </w:p>
    <w:p>
      <w:pPr>
        <w:ind w:right="40" w:firstLine="299"/>
        <w:spacing w:after="0" w:line="261" w:lineRule="auto"/>
        <w:rPr>
          <w:sz w:val="20"/>
          <w:szCs w:val="20"/>
          <w:color w:val="auto"/>
        </w:rPr>
      </w:pPr>
      <w:r>
        <w:rPr>
          <w:rFonts w:ascii="Arial" w:cs="Arial" w:eastAsia="Arial" w:hAnsi="Arial"/>
          <w:sz w:val="16"/>
          <w:szCs w:val="16"/>
          <w:color w:val="auto"/>
        </w:rPr>
        <w:t>We store sensitive data, including information relating to national security and other sensitive government functions, intellectual property and technology, proprietary business information, and confidential employee information such as personally identifiable or protected health information on our servers and databases. We are subject to laws and rules issued by U.S. and non-U.S. governments and agencies concerning safeguarding and maintaining information confidentiality including extensive and evolving cyber requirements of the DoD. We face the risk of a security breach with respect to that data, whether through cyber attack, cyber intrusion or insider threat via the Internet, malware, computer viruses, attachments to e-mails, persons inside our organization or with access to systems inside our organization, threats to the physical security of our facilities and employees or other significant disruption of our IT networks and related systems or those of our suppliers or subcontractors. The risk of security breaches may be higher during times of a natural disaster or pandemic (including COVID-19) due to remote working arrangements. As an advanced technology-based solutions provider, and particularly as a government contractor with access to national security and other sensitive government information, we face a heightened risk of a security breach or disruption from threats to gain unauthorized access to our and our customers’ proprietary or classified information on our IT networks and related systems and to the IT networks and related systems that we operate and maintain for certain of our customers. These types of information and IT networks and related systems are critical to the operation of our business and essential to our ability to perform day-to-day operations, and, in some cases, are critical to the operations of certain of our customers. We make significant efforts to maintain the security and integrity of these types of information and IT networks and related systems and have implemented various measures to manage the risk of a security breach or disruption. As is the case with many other companies, we have experienced cyber security incidents in the past, including DoS attacks, ransomware, and attacks from suspected nation state actors. Our efforts and measures have not been effective in the case of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440" w:right="339" w:bottom="1440" w:gutter="0" w:footer="0" w:header="0"/>
        </w:sectPr>
      </w:pPr>
    </w:p>
    <w:bookmarkStart w:id="37" w:name="page38"/>
    <w:bookmarkEnd w:id="37"/>
    <w:p>
      <w:pPr>
        <w:spacing w:after="0" w:line="4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incident, but no incident has had a material negative impact on us to date. Sensitive data saved on networks, systems and facilities therefore remain vulnerable because of the risk that cybersecurity incidents, including, but not limited to, attempts to gain unauthorized access to data, potential security breaches, particularly cyber attacks and cyber intrusions, or disruptions, will occur in the future, and because the techniques used in such attempts are constantly evolving and generally are not recognized until launched against a target, and in some cases are designed not to be detected and, in fact, may not be detected. In some cases, the resources of foreign governments may be behind such attacks due to the nature of our business and the industries in which we operate. Accordingly, we may be unable to anticipate these techniques or to implement adequate security barriers or other preventative measures. Thus, it is impossible for us to entirely mitigate this risk, and there can be no assurance that future cyber security incidents will not have a material negative impact on us. A security breach or other significant disruption involving these types of information and IT networks and related systems could:</w:t>
      </w:r>
    </w:p>
    <w:p>
      <w:pPr>
        <w:spacing w:after="0" w:line="145" w:lineRule="exact"/>
        <w:rPr>
          <w:sz w:val="20"/>
          <w:szCs w:val="20"/>
          <w:color w:val="auto"/>
        </w:rPr>
      </w:pPr>
    </w:p>
    <w:p>
      <w:pPr>
        <w:ind w:left="600" w:hanging="30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disrupt the proper functioning of these networks and systems and, therefore, our operations and/or those of certain of our customers;</w:t>
      </w:r>
    </w:p>
    <w:p>
      <w:pPr>
        <w:spacing w:after="0" w:line="152" w:lineRule="exact"/>
        <w:rPr>
          <w:rFonts w:ascii="Arial" w:cs="Arial" w:eastAsia="Arial" w:hAnsi="Arial"/>
          <w:sz w:val="17"/>
          <w:szCs w:val="17"/>
          <w:color w:val="auto"/>
        </w:rPr>
      </w:pPr>
    </w:p>
    <w:p>
      <w:pPr>
        <w:ind w:left="600" w:right="240" w:hanging="302"/>
        <w:spacing w:after="0" w:line="247" w:lineRule="auto"/>
        <w:tabs>
          <w:tab w:leader="none" w:pos="5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spacing w:after="0" w:line="143" w:lineRule="exact"/>
        <w:rPr>
          <w:rFonts w:ascii="Arial" w:cs="Arial" w:eastAsia="Arial" w:hAnsi="Arial"/>
          <w:sz w:val="17"/>
          <w:szCs w:val="17"/>
          <w:color w:val="auto"/>
        </w:rPr>
      </w:pPr>
    </w:p>
    <w:p>
      <w:pPr>
        <w:ind w:left="600" w:hanging="30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result in litigation and governmental investigation and proceedings associated with cybersecurity incidents;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compromise national security and other sensitive government functions;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significant management attention and resources to remedy the damages that result;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result in costs which exceed our insurance coverage and/or indemnification arrangements;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subject us to claims for contract breach, damages, credits, penalties or termination;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damage our reputation with our customers (particularly agencies of the U.S. government) and the general public.</w:t>
      </w:r>
    </w:p>
    <w:p>
      <w:pPr>
        <w:spacing w:after="0" w:line="153"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Additionally, a failure to comply with the National Institute of Standards and Technology Special Publication 800-171 or the DoD’s cybersecurity requirements, including the Cyber Security Material Model Certificate (“CMMC”) which will require all contractors to receive specific third-party certifications relating to specified cybersecurity standards in order to be eligible for contract awards, whether or not resulting in a security breach or disruption, could restrict our ability to bid for, be awarded and perform on DoD contracts. The DoD expects that all new contracts will be required to comply with the CMMC by 2026, and initial requests for information and for proposal have already begun. We are in the process of evaluating our readiness and preparing for the CMMC, but to the extent we, or our subcontractors or other third parties on whom we rely, are unable to achieve certification in advance of contract awards that specify the requirement, we will be unable to bid on such contract awards or on follow-on awards for existing work with the DoD, depending on the level of standard as required for each solicitation, which could adversely impact our revenue, business, results of operations and financial condition. We will also be required to go through a recertification process every two years in order to maintain our certification. In addition, any obligations that may be imposed on us under the CMMC may be different from or in addition to those otherwise required by applicable laws and regulations, which may cause additional expense for compliance.</w:t>
      </w:r>
    </w:p>
    <w:p>
      <w:pPr>
        <w:spacing w:after="0" w:line="144" w:lineRule="exact"/>
        <w:rPr>
          <w:sz w:val="20"/>
          <w:szCs w:val="20"/>
          <w:color w:val="auto"/>
        </w:rPr>
      </w:pPr>
    </w:p>
    <w:p>
      <w:pPr>
        <w:ind w:right="140" w:firstLine="299"/>
        <w:spacing w:after="0" w:line="247" w:lineRule="auto"/>
        <w:rPr>
          <w:sz w:val="20"/>
          <w:szCs w:val="20"/>
          <w:color w:val="auto"/>
        </w:rPr>
      </w:pPr>
      <w:r>
        <w:rPr>
          <w:rFonts w:ascii="Arial" w:cs="Arial" w:eastAsia="Arial" w:hAnsi="Arial"/>
          <w:sz w:val="17"/>
          <w:szCs w:val="17"/>
          <w:color w:val="auto"/>
        </w:rPr>
        <w:t>We must also rely on the safeguards put in place by customers, suppliers, vendors, subcontractors, partners in teaming arrangements or other third parties to minimize the impact of cyber threats, other security threats or business disruptions. These third parties may have varying levels of cybersecurity expertise and safeguards, and their relationships with government contractors, such as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440" w:right="339" w:bottom="1440" w:gutter="0" w:footer="0" w:header="0"/>
        </w:sectPr>
      </w:pPr>
    </w:p>
    <w:bookmarkStart w:id="38" w:name="page39"/>
    <w:bookmarkEnd w:id="38"/>
    <w:p>
      <w:pPr>
        <w:spacing w:after="0" w:line="4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may increase the likelihood that they are targeted by the same cyber threats, including from foreign governments, we face. In the event of a breach affecting these third parties, our business and financial results could suffer materially. With respect to our commercial arrangements with these third parties, we have processes designed to require that the third parties and their employees and agents agree to maintain certain standards for the storage, protection and transfer of confidential, personal and proprietary information. However, we remain at risk of a data breach due to the intentional or unintentional non-compliance by a third party’s employee or agent, the breakdown of a third party’s data protection processes, which may not be as sophisticated as ours, or a cyber attack on a third party’s information network or systems.</w:t>
      </w:r>
    </w:p>
    <w:p>
      <w:pPr>
        <w:spacing w:after="0" w:line="147" w:lineRule="exact"/>
        <w:rPr>
          <w:sz w:val="20"/>
          <w:szCs w:val="20"/>
          <w:color w:val="auto"/>
        </w:rPr>
      </w:pPr>
    </w:p>
    <w:p>
      <w:pPr>
        <w:ind w:right="200" w:firstLine="299"/>
        <w:spacing w:after="0" w:line="247" w:lineRule="auto"/>
        <w:rPr>
          <w:sz w:val="20"/>
          <w:szCs w:val="20"/>
          <w:color w:val="auto"/>
        </w:rPr>
      </w:pPr>
      <w:r>
        <w:rPr>
          <w:rFonts w:ascii="Arial" w:cs="Arial" w:eastAsia="Arial" w:hAnsi="Arial"/>
          <w:sz w:val="17"/>
          <w:szCs w:val="17"/>
          <w:color w:val="auto"/>
        </w:rPr>
        <w:t>The impact of these various factors is difficult to predict, but any of them could result in the loss of information or capabilities, harm to individuals or property, damage to our reputation, loss of business, contractual or regulatory actions and potential liabilities, any one of which could have a material adverse impact on our business, financial condition and results of operations.</w:t>
      </w:r>
    </w:p>
    <w:p>
      <w:pPr>
        <w:spacing w:after="0" w:line="14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Significant capital investments and other expenditures could be required to remedy cybersecurity problems and prevent future breaches, including costs associated with additional security technologies, personnel and experts. These costs, which could be material, could adversely impact our results of operations in the period in which they are incurred and may not meaningfully limit the success of future attempts to breach our information technology systems.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at greater risk from terrorism and other threats to our physical security and personnel, than other companies.</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As a defense contractor, we may be more likely than other companies to be a direct target of, or an indirect casualty of, physical attacks including by active shooters, terrorists or terrorist organizations. It is impossible to predict accurately the likelihood or impact of any attack on our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attack may harm our personnel, close our facilities or render our backup data and recovery systems inoperable. Damage to our facilities due to attacks may be significantly in excess of any amount of insurance recovery, and we may not be able to insure against such damage at a reasonable price or at all. The threat of attacks may also negatively affect our ability to attract and retain employees. Any of these events could have a material adverse effect on our business, financial condition and results of operations.</w:t>
      </w:r>
    </w:p>
    <w:p>
      <w:pPr>
        <w:spacing w:after="0" w:line="12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i w:val="1"/>
          <w:iCs w:val="1"/>
          <w:color w:val="auto"/>
        </w:rPr>
        <w:t>Our future success will depend on our ability to respond to the rapid technological changes in the markets in which we compete, our ability to introduce new or enhanced products and to enter into new markets.</w:t>
      </w:r>
    </w:p>
    <w:p>
      <w:pPr>
        <w:spacing w:after="0" w:line="12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markets in which we compete are characterized by rapid technological developments and frequent new product introductions, enhancements and modifications. Our ability to develop new products and technologies that anticipate changing customer requirements, reduce costs and otherwise retain or enhance our competitive position in existing and new markets will be an important factor in our future results from operations. We will continue to make substantial capital expenditures and incur significant research and development costs aimed at improving our manufacturing capability, reducing costs, and developing and introducing new products and enhancements. If we fail to develop and introduce new products and technologies in a timely manner it could have a material adverse effect on our business, financial condition and results of operations. In addition, we cannot be certain that our new products and technologies will be successful or that customers will accept any of our new products.</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adversely affect our business, financial condition, results of operations, reputation and future prospects.</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We design, develop and manufacture technologically advanced and innovative products and services, which are applied by our customers in a variety of environments, including some under highly demanding operating conditions, to accomplish challenging missions. Problems and delays in development or delivery, or system failures, as a result of issues with respect to design, technology, intellectual property rights, labor, inability to achieve learning curve assumptions, inability to manage effectively a broad array of programs, manufacturing materials or components, or subcontractor performance could prevent us from meeting requirements and create significant risk and liabilities. In addition, any obsolescence of components used in our products may require us to redesign our products, in whole or in part, which could cause increased costs. Similarly, failures to perform on schedule or otherwise to fulfill our contractual obligations could negatively affect our reputation and ability to win future business which could have a material adverse impact on our business, financial condition and results of operations.</w:t>
      </w:r>
    </w:p>
    <w:p>
      <w:pPr>
        <w:spacing w:after="0" w:line="146" w:lineRule="exact"/>
        <w:rPr>
          <w:sz w:val="20"/>
          <w:szCs w:val="20"/>
          <w:color w:val="auto"/>
        </w:rPr>
      </w:pPr>
    </w:p>
    <w:p>
      <w:pPr>
        <w:ind w:firstLine="299"/>
        <w:spacing w:after="0" w:line="261" w:lineRule="auto"/>
        <w:rPr>
          <w:sz w:val="20"/>
          <w:szCs w:val="20"/>
          <w:color w:val="auto"/>
        </w:rPr>
      </w:pPr>
      <w:r>
        <w:rPr>
          <w:rFonts w:ascii="Arial" w:cs="Arial" w:eastAsia="Arial" w:hAnsi="Arial"/>
          <w:sz w:val="16"/>
          <w:szCs w:val="16"/>
          <w:color w:val="auto"/>
        </w:rPr>
        <w:t>In addition, our products cannot be tested and proven in all situations and are otherwise subject to unforeseen problems. Examples of unforeseen problems that could negatively affect revenue, schedule and results of operations include premature failure of products that cannot be accessed for repair or replacement, failure to perform in anticipated or unanticipated battlefield conditions, unintended explosions or similar events, problems with design, quality and workmanship, inadequate delivery of subcontractor components or services and degradation of product performance. These failures could result, either directly or indirectly, in loss of life or property. Among the factors that may affect revenue and results of operations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 See also “—</w:t>
      </w:r>
      <w:r>
        <w:rPr>
          <w:rFonts w:ascii="Arial" w:cs="Arial" w:eastAsia="Arial" w:hAnsi="Arial"/>
          <w:sz w:val="16"/>
          <w:szCs w:val="16"/>
          <w:i w:val="1"/>
          <w:iCs w:val="1"/>
          <w:color w:val="auto"/>
        </w:rPr>
        <w:t>Our results of operations and cash flows are</w:t>
      </w:r>
      <w:r>
        <w:rPr>
          <w:rFonts w:ascii="Arial" w:cs="Arial" w:eastAsia="Arial" w:hAnsi="Arial"/>
          <w:sz w:val="16"/>
          <w:szCs w:val="16"/>
          <w:color w:val="auto"/>
        </w:rPr>
        <w:t xml:space="preserve"> </w:t>
      </w:r>
      <w:r>
        <w:rPr>
          <w:rFonts w:ascii="Arial" w:cs="Arial" w:eastAsia="Arial" w:hAnsi="Arial"/>
          <w:sz w:val="16"/>
          <w:szCs w:val="16"/>
          <w:i w:val="1"/>
          <w:iCs w:val="1"/>
          <w:color w:val="auto"/>
        </w:rPr>
        <w:t>substantially affected by our mix of fixed-price, cost-plus and time-and-material type contracts. In particular, fixed-price contracts subject us to the risk of loss in the event of cost overruns or higher than anticipated inflation</w:t>
      </w:r>
      <w:r>
        <w:rPr>
          <w:rFonts w:ascii="Arial" w:cs="Arial" w:eastAsia="Arial" w:hAnsi="Arial"/>
          <w:sz w:val="16"/>
          <w:szCs w:val="16"/>
          <w:color w:val="auto"/>
        </w:rPr>
        <w:t>.” and “—</w:t>
      </w:r>
      <w:r>
        <w:rPr>
          <w:rFonts w:ascii="Arial" w:cs="Arial" w:eastAsia="Arial" w:hAnsi="Arial"/>
          <w:sz w:val="16"/>
          <w:szCs w:val="16"/>
          <w:i w:val="1"/>
          <w:iCs w:val="1"/>
          <w:color w:val="auto"/>
        </w:rPr>
        <w:t>We use estimates in pricing and accounting for many of our programs, and changes in our estimates could adversely impact our business, financial condition and results of operations</w:t>
      </w:r>
      <w:r>
        <w:rPr>
          <w:rFonts w:ascii="Arial" w:cs="Arial" w:eastAsia="Arial" w:hAnsi="Arial"/>
          <w:sz w:val="16"/>
          <w:szCs w:val="16"/>
          <w:color w:val="auto"/>
        </w:rPr>
        <w:t>.”</w:t>
      </w:r>
    </w:p>
    <w:p>
      <w:pPr>
        <w:spacing w:after="0" w:line="138" w:lineRule="exact"/>
        <w:rPr>
          <w:sz w:val="20"/>
          <w:szCs w:val="20"/>
          <w:color w:val="auto"/>
        </w:rPr>
      </w:pPr>
    </w:p>
    <w:p>
      <w:pPr>
        <w:jc w:val="both"/>
        <w:ind w:right="340" w:firstLine="299"/>
        <w:spacing w:after="0" w:line="247" w:lineRule="auto"/>
        <w:rPr>
          <w:sz w:val="20"/>
          <w:szCs w:val="20"/>
          <w:color w:val="auto"/>
        </w:rPr>
      </w:pPr>
      <w:r>
        <w:rPr>
          <w:rFonts w:ascii="Arial" w:cs="Arial" w:eastAsia="Arial" w:hAnsi="Arial"/>
          <w:sz w:val="17"/>
          <w:szCs w:val="17"/>
          <w:color w:val="auto"/>
        </w:rPr>
        <w:t>If we are unable to meet our obligations, including due to issues regarding the design, development or manufacture of our products or services, it could have a material adverse impact on our reputation, our ability to compete for other contracts and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fully exploit or obtain patents or other intellectual property protections necessary to secure our proprietary technology.</w:t>
      </w:r>
    </w:p>
    <w:p>
      <w:pPr>
        <w:spacing w:after="0" w:line="184"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seek to protect our competitive position by seeking patents, proprietary information and other intellectual property protections when possible and appropriate. However, we do not have the right to prohibit the U.S. government from using certain technologies developed by us or to prohibit third-party companies, including our competitors, from using those technologies in providing products and services to the U.S. government. The U.S. government often obtains the right to royalty-free use of technologies or intellectual property that we develop under U.S. government contracts or with funding from the U.S. government. Further, while we may retain rights over any technology, product or intellectual property that we develop under U.S. government contracts or using funding from the U.S. government, this requires us to take timely affirmative measures to preserve our rights. We are sometimes able to commercially exploit those government-funded technologies and, in many cases, may assert our intellectual property rights to seek to block other non-government users thereof, but we cannot assure you that we will always have such rights and that when we do, that those efforts will be successful. In some cases it may not be appropriate to patent our intellectual property as this involves making the patented technology public. In such cases we may have limited means to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1440" w:right="339" w:bottom="1440" w:gutter="0" w:footer="0" w:header="0"/>
        </w:sectPr>
      </w:pPr>
    </w:p>
    <w:bookmarkStart w:id="40" w:name="page41"/>
    <w:bookmarkEnd w:id="40"/>
    <w:p>
      <w:pPr>
        <w:spacing w:after="0" w:line="43"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While we enter into confidentiality and non-disclosure agreements with our employees, consultants, partners, customers and others to attempt to limit access to and distribution of proprietary and confidential information, it is possible that:</w:t>
      </w:r>
    </w:p>
    <w:p>
      <w:pPr>
        <w:spacing w:after="0" w:line="140" w:lineRule="exact"/>
        <w:rPr>
          <w:sz w:val="20"/>
          <w:szCs w:val="20"/>
          <w:color w:val="auto"/>
        </w:rPr>
      </w:pPr>
    </w:p>
    <w:p>
      <w:pPr>
        <w:ind w:left="600" w:hanging="302"/>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some or all of our confidentiality agreements will not be honored;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third parties will independently develop equivalent technology or misappropriate our technology or designs;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disputes will arise with our strategic partners, customers or others concerning the ownership of intellectual property; or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contractual provisions may not be enforceable in certain jurisdictions.</w:t>
      </w:r>
    </w:p>
    <w:p>
      <w:pPr>
        <w:spacing w:after="0" w:line="153" w:lineRule="exact"/>
        <w:rPr>
          <w:sz w:val="20"/>
          <w:szCs w:val="20"/>
          <w:color w:val="auto"/>
        </w:rPr>
      </w:pPr>
    </w:p>
    <w:p>
      <w:pPr>
        <w:jc w:val="both"/>
        <w:ind w:right="420" w:firstLine="299"/>
        <w:spacing w:after="0" w:line="247" w:lineRule="auto"/>
        <w:rPr>
          <w:sz w:val="20"/>
          <w:szCs w:val="20"/>
          <w:color w:val="auto"/>
        </w:rPr>
      </w:pPr>
      <w:r>
        <w:rPr>
          <w:rFonts w:ascii="Arial" w:cs="Arial" w:eastAsia="Arial" w:hAnsi="Arial"/>
          <w:sz w:val="17"/>
          <w:szCs w:val="17"/>
          <w:color w:val="auto"/>
        </w:rPr>
        <w:t>Also, despite the steps taken by us to protect our proprietary rights, it may be possible for unauthorized third parties to copy or reverse-engineer aspects of our products, develop similar technology independently or otherwise obtain and use information from our supply chain that we regard as proprietary and we may be unable to successfully identify or prosecute unauthorized uses of our technology.</w:t>
      </w:r>
    </w:p>
    <w:p>
      <w:pPr>
        <w:spacing w:after="0" w:line="123"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b w:val="1"/>
          <w:bCs w:val="1"/>
          <w:i w:val="1"/>
          <w:iCs w:val="1"/>
          <w:color w:val="auto"/>
        </w:rPr>
        <w:t>Third parties have claimed in the past and may claim in the future that we are infringing directly or indirectly upon their intellectual property rights, and third parties may infringe upon our intellectual property rights.</w:t>
      </w:r>
    </w:p>
    <w:p>
      <w:pPr>
        <w:spacing w:after="0" w:line="121"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Our ability to ensure a competitive market position and gain awards of contracts depends in part on our ability to ensure that our intellectual property is protected, that our intellectual property rights are not diluted or subject to misuse, that we are able to license certain third-party intellectual property on reasonable terms and that we are able to operate without infringing the intellectual property rights of others. Third parties have claimed in the past and may claim in the future that we are infringing directly or indirectly upon their intellectual property rights, and we may be found to be infringing or to have infringed directly or indirectly upon those intellectual property rights. For example, in June 2017 another defense contractor filed suit in the United States Court of Federal Claims alleging that the U.S. government had infringed upon four of its patents relating to night vision weapon systems under a contract awarded to one of our subsidiaries. Neither we nor our subsidiary were named as defendants in the case, and the U.S. government assumes all infringement liability. In 2020, we received a notification from a commercial customer claiming that, under an agreement between us and the customer relating to night vision weapon systems on a separate program, we would be required to indemnify the customer if it were to incur any costs as a result of these allegations.</w:t>
      </w:r>
    </w:p>
    <w:p>
      <w:pPr>
        <w:spacing w:after="0" w:line="145" w:lineRule="exact"/>
        <w:rPr>
          <w:sz w:val="20"/>
          <w:szCs w:val="20"/>
          <w:color w:val="auto"/>
        </w:rPr>
      </w:pPr>
    </w:p>
    <w:p>
      <w:pPr>
        <w:ind w:right="20" w:firstLine="299"/>
        <w:spacing w:after="0" w:line="261" w:lineRule="auto"/>
        <w:rPr>
          <w:sz w:val="20"/>
          <w:szCs w:val="20"/>
          <w:color w:val="auto"/>
        </w:rPr>
      </w:pPr>
      <w:r>
        <w:rPr>
          <w:rFonts w:ascii="Arial" w:cs="Arial" w:eastAsia="Arial" w:hAnsi="Arial"/>
          <w:sz w:val="16"/>
          <w:szCs w:val="16"/>
          <w:color w:val="auto"/>
        </w:rPr>
        <w:t>Claims of intellectual property infringement might also require us to enter into costly royalty or license agreements. There can be no assurance that any of our patents and other intellectual property will not be challenged, invalidated, misappropriated or circumvented by third parties. Moreover, we may not be able to obtain royalty or license agreements on terms acceptable to us, or at all. We also may be subject to significant damages or injunctions against development and sale of certain of our products, services and solutions. Our success depends in large part on our proprietary technology. We rely on a combination of patents, copyrights, trademarks, trade secrets, know-how, confidentiality provisions and licensing arrangements to establish and protect our intellectual property rights. Our efforts, however, to protect our intellectual property and proprietary rights may not be sufficient. In addition, the laws concerning intellectual property vary among nations and the protection provided to our intellectual property by the laws and courts of foreign nations may differ from and be more limited than the protection provided in the U.S. If we fail to successfully protect and enforce these rights, our competitive position could suffer. Our pending patent and trademark registration applications may not be issued, and/or competitors may challenge the validity or scope of our patents or trademark registrations. In addition, our patents may not provide us a significant competitive advantage. We may be required to spend significant resources to monitor and enforce our intellectual property rights. Litigation to determine the scope of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1440" w:right="339" w:bottom="1440" w:gutter="0" w:footer="0" w:header="0"/>
        </w:sectPr>
      </w:pPr>
    </w:p>
    <w:bookmarkStart w:id="41" w:name="page42"/>
    <w:bookmarkEnd w:id="41"/>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property rights, even if ultimately successful, could be costly and could divert management’s attention away from other aspects of our business.</w:t>
      </w:r>
    </w:p>
    <w:p>
      <w:pPr>
        <w:spacing w:after="0" w:line="133"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b w:val="1"/>
          <w:bCs w:val="1"/>
          <w:i w:val="1"/>
          <w:iCs w:val="1"/>
          <w:color w:val="auto"/>
        </w:rPr>
        <w:t>Our reputation and ability to do business may be impacted by the improper conduct of our employees, agents, affiliates, subcontractors, suppliers, business partners or joint ventures in which we participate.</w:t>
      </w:r>
    </w:p>
    <w:p>
      <w:pPr>
        <w:spacing w:after="0" w:line="121" w:lineRule="exact"/>
        <w:rPr>
          <w:sz w:val="20"/>
          <w:szCs w:val="20"/>
          <w:color w:val="auto"/>
        </w:rPr>
      </w:pPr>
    </w:p>
    <w:p>
      <w:pPr>
        <w:ind w:right="140" w:firstLine="299"/>
        <w:spacing w:after="0" w:line="261" w:lineRule="auto"/>
        <w:rPr>
          <w:sz w:val="20"/>
          <w:szCs w:val="20"/>
          <w:color w:val="auto"/>
        </w:rPr>
      </w:pPr>
      <w:r>
        <w:rPr>
          <w:rFonts w:ascii="Arial" w:cs="Arial" w:eastAsia="Arial" w:hAnsi="Arial"/>
          <w:sz w:val="16"/>
          <w:szCs w:val="16"/>
          <w:color w:val="auto"/>
        </w:rPr>
        <w:t>We have implemented compliance controls, training, policies and procedures designed to prevent and detect misconduct from being committed by our employees, agents or business partners that would negatively impact our ability to be a U.S. government contractor or subcontractor and/or violate the laws of the jurisdictions in which we operate, including laws governing improper payments to government officials, such as the FCPA, the protection of export-controlled information, such as the ITAR or EAR, false claims, procurement integrity, cost accounting and billing, competition, information security and data privacy and the terms of our contracts. We cannot ensure, however, that our controls, training, policies and procedures will prevent or detect all misconduct. Additionally, we may have limited ability to control the conduct of our affiliates and we have been, and may in the future be, adversely impacted by misconduct of our affiliates. For example, in May 2019 the Italian Supreme Court overturned the 2014 convictions of the former chief executive officer of our ultimate parent, Leonardo S.p.A., and another Leonardo S.p.A. executive, of international bribery. While the convictions in Italy were overturned in a final non-appealable proceeding, the case continues to be the subject of a corruption trial in India. We remain subject to reputational risk as a result of this ongoing action and restrictions on our ability to sell to the Indian government. In addition, in October 2020 an Italian court convicted Alessandro Profumo, the chief executive officer of Leonardo S.p.A., on charges of false statements and market manipulation related to his previous role as chairman of the Italian banking entity, Banca Monte dei Paschi di Siena. While we have been advised by Leonardo S.p.A. that this conviction is going to be appealed, we remain subject to reputational risk as a result of this ongoing proceeding.</w:t>
      </w:r>
    </w:p>
    <w:p>
      <w:pPr>
        <w:spacing w:after="0" w:line="136"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This risk of improper conduct may increase as we continue to grow and expand our operations. If not prevented,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impact on our business, financial condition and results of operations. In addition, misconduct involving data security lapses resulting in the compromise of personal information or the improper use of our customers’ sensitive, export-controlled, or classified information could result in remediation costs, regulatory sanctions against us and serious harm to our reputation and could adversely impact our ability to continue to contract with the U.S. government.</w:t>
      </w:r>
    </w:p>
    <w:p>
      <w:pPr>
        <w:spacing w:after="0" w:line="126"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b w:val="1"/>
          <w:bCs w:val="1"/>
          <w:i w:val="1"/>
          <w:iCs w:val="1"/>
          <w:color w:val="auto"/>
        </w:rPr>
        <w:t>We are subject to environmental laws and regulations, and our ongoing operations may expose us to environmental liabilities affecting our reputation, business, financial condition and results of operations.</w:t>
      </w:r>
    </w:p>
    <w:p>
      <w:pPr>
        <w:spacing w:after="0" w:line="121"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Our operations are subject to federal, state, foreign and local environmental and health and safety laws and regulations. As a result, we have been involved from time to time in administrative or legal proceedings relating to environmental matters. We cannot assure you that the aggregate amount of future clean-up costs and other environmental liabilities will not be material. We could be subject to potentially significant fines or penalties, including criminal sanctions, if we fail to comply with these requirements. Additionally, we have made and will continue to be required to make significant capital and other expenditures in order to comply with these laws and regulations. The requirements of these laws and regulations are complex, change frequently and could become more stringent in the future. We cannot predict what environmental legislation or regulations will be enacted in the future, how existing or future laws or regulations will be administered or interpreted or what environmental conditions may be found to exist. Our products and services are also used in nuclear-related activities (including providing components for nuclear-powered platforms and sensors used in nuclear applications) and used in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20"/>
          </w:cols>
          <w:pgMar w:left="320" w:top="1440" w:right="359" w:bottom="1440" w:gutter="0" w:footer="0" w:header="0"/>
        </w:sectPr>
      </w:pPr>
    </w:p>
    <w:bookmarkStart w:id="42" w:name="page43"/>
    <w:bookmarkEnd w:id="42"/>
    <w:p>
      <w:pPr>
        <w:spacing w:after="0" w:line="4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Also, in the future, contamination may be found to exist at our current or former facilities or at off-site locations to which we or certain companies that we have acquired or previously owned may have sent waste, and we could be held liable for such contamination. For example, a government site within a national park for which we may be deemed a potentially responsible party has been subject to a government investigation since July 2000. The remediation of such contamination, or the enactment of more stringent laws or regulations or more strict interpretation of existing laws and regulations, may require us to make additional expenditures, and could decrease the amount of free cash flow available to us for other purposes, including capital expenditures, research and development and other investments and could have a material adverse impact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financial condition, and results of operations could be materially adversely affected by climate change regulations.</w:t>
      </w:r>
    </w:p>
    <w:p>
      <w:pPr>
        <w:spacing w:after="0" w:line="173"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Climate change regulations at the federal, state, or local level or in international jurisdictions could require us to limit emissions, change our manufacturing processes, obtain substitute materials which may cost more or be less available, increase our investment in control technology for greenhouse gas emissions, fund offset projects, or undertake other costly activities. These regulations could significantly increase our costs and restrict our manufacturing operations by virtue of requirements for new equipment. New permits may be required for our current operations, or expansions thereof. Failure to timely receive permits could result in fines, suspension of production, or cessation of operations at one or more facilities. In addition, restrictions on carbon dioxide or other greenhouse gas emissions could result in significant costs such as higher energy costs and the passing down of carbon taxes, emission cap-and-trade programs, and renewable portfolio standards by utility companies. The cost of complying, or of failing to comply, with these and other climate change and emissions regulations could have an adverse impact on our business, financial condition and results of operations.</w:t>
      </w:r>
    </w:p>
    <w:p>
      <w:pPr>
        <w:spacing w:after="0" w:line="125" w:lineRule="exact"/>
        <w:rPr>
          <w:sz w:val="20"/>
          <w:szCs w:val="20"/>
          <w:color w:val="auto"/>
        </w:rPr>
      </w:pPr>
    </w:p>
    <w:p>
      <w:pPr>
        <w:ind w:right="520"/>
        <w:spacing w:after="0" w:line="259" w:lineRule="auto"/>
        <w:rPr>
          <w:sz w:val="20"/>
          <w:szCs w:val="20"/>
          <w:color w:val="auto"/>
        </w:rPr>
      </w:pPr>
      <w:r>
        <w:rPr>
          <w:rFonts w:ascii="Arial" w:cs="Arial" w:eastAsia="Arial" w:hAnsi="Arial"/>
          <w:sz w:val="17"/>
          <w:szCs w:val="17"/>
          <w:b w:val="1"/>
          <w:bCs w:val="1"/>
          <w:i w:val="1"/>
          <w:iCs w:val="1"/>
          <w:color w:val="auto"/>
        </w:rPr>
        <w:t>The outcome of litigation, arbitration, investigations, claims, disputes, enforcement actions and other legal proceedings in which we are involved from time to time is unpredictable, and an adverse decision in any such matter could have a material adverse impact on our business, financial condition and results of operations.</w:t>
      </w:r>
    </w:p>
    <w:p>
      <w:pPr>
        <w:spacing w:after="0" w:line="134" w:lineRule="exact"/>
        <w:rPr>
          <w:sz w:val="20"/>
          <w:szCs w:val="20"/>
          <w:color w:val="auto"/>
        </w:rPr>
      </w:pPr>
    </w:p>
    <w:p>
      <w:pPr>
        <w:ind w:firstLine="299"/>
        <w:spacing w:after="0" w:line="261" w:lineRule="auto"/>
        <w:rPr>
          <w:sz w:val="20"/>
          <w:szCs w:val="20"/>
          <w:color w:val="auto"/>
        </w:rPr>
      </w:pPr>
      <w:r>
        <w:rPr>
          <w:rFonts w:ascii="Arial" w:cs="Arial" w:eastAsia="Arial" w:hAnsi="Arial"/>
          <w:sz w:val="16"/>
          <w:szCs w:val="16"/>
          <w:color w:val="auto"/>
        </w:rPr>
        <w:t>The size, nature and complexity of our business make us susceptible to investigations, claims, disputes, enforcement actions, litigation and other legal proceedings, particularly those involving governments. From time to time, we are and may become subject to investigations, claims, disputes, enforcement actions and administrative, civil or criminal litigation, arbitration or other legal proceedings globally and across a broad array of matters, including, but not limited to, government contracts, commercial transactions, false claims, false statements, mischarging, contract performance, fraud, procurement integrity, products liability, warranty liability, the use of hazardous materials, personal injury claims, environmental matters, shareholder-derivative actions, prior acquisitions and divestitures, intellectual property, tax, employees, export/import, anti-corruption, labor, health and safety, accidents, employee benefits and plans, including plan administration, and improper payments, as well as matters relating to our acquisition of assets or companies and other matters. These actions may divert financial and management resources that would otherwise be used to benefit our operations. No assurances can be given that the results of these or any other matters will be favorable to us. Although we maintain insurance policies, these policies may not be adequate to protect us from all material judgments and expenses related to current or future claims and may not cover the conduct that is the subject of the litigation or arbitration. Desired levels of insurance may not be available in the future at economical prices or at all. Although we believe that we have meritorious defenses to the claims made in the litigation matters in which we have been named a party and intend to contest each lawsuit vigorously, no assurances can be given that the results of these matters will be favorable to us. An adverse resolution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1440" w:right="339" w:bottom="1440" w:gutter="0" w:footer="0" w:header="0"/>
        </w:sectPr>
      </w:pPr>
    </w:p>
    <w:bookmarkStart w:id="43" w:name="page44"/>
    <w:bookmarkEnd w:id="43"/>
    <w:p>
      <w:pPr>
        <w:spacing w:after="0" w:line="4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outcome of any of these investigations, claims, disputes, enforcement actions, litigation and other legal proceedings could have an adverse impact on our business, financial condition and results of operations.</w:t>
      </w:r>
    </w:p>
    <w:p>
      <w:pPr>
        <w:spacing w:after="0" w:line="140" w:lineRule="exact"/>
        <w:rPr>
          <w:sz w:val="20"/>
          <w:szCs w:val="20"/>
          <w:color w:val="auto"/>
        </w:rPr>
      </w:pPr>
    </w:p>
    <w:p>
      <w:pPr>
        <w:ind w:right="140" w:firstLine="299"/>
        <w:spacing w:after="0" w:line="245" w:lineRule="auto"/>
        <w:rPr>
          <w:sz w:val="20"/>
          <w:szCs w:val="20"/>
          <w:color w:val="auto"/>
        </w:rPr>
      </w:pPr>
      <w:r>
        <w:rPr>
          <w:rFonts w:ascii="Arial" w:cs="Arial" w:eastAsia="Arial" w:hAnsi="Arial"/>
          <w:sz w:val="17"/>
          <w:szCs w:val="17"/>
          <w:color w:val="auto"/>
        </w:rPr>
        <w:t>We cannot predict the outcome of legal proceedings and other contingencies with certainty. As required by U.S. GAAP, we estimate material loss contingencies and establish liabilities based on our assessment of contingencies where liability is deemed probable and reasonably estimable in light of the facts and circumstances known to us at a particular point in time. Subsequent developments may affect our assessment and estimates of the loss contingency recorded as a liability or as a reserve against assets in our financial statements. It is possible that the ultimate resolution of these matters could result in a material adverse impact on our financial condition, results of operations and/or cash flows from operating activities in a particular reporting period.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business exposes us to additional risks, including risks related to geopolitical and economic factors, laws and regulations.</w:t>
      </w:r>
    </w:p>
    <w:p>
      <w:pPr>
        <w:spacing w:after="0" w:line="184"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For the years ended December 31, 2020, 2019 and 2018, approximately 8%, 4% and 6%, respectively, of our revenue was derived from sales to customers located in foreign countries and foreign governments. We cannot assure you that we will maintain significant operations internationally or that any such operations will be successful. International business (including our participation in joint ventures and other joint business arrangements)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our international business continues to grow.</w:t>
      </w:r>
    </w:p>
    <w:p>
      <w:pPr>
        <w:spacing w:after="0" w:line="147" w:lineRule="exact"/>
        <w:rPr>
          <w:sz w:val="20"/>
          <w:szCs w:val="20"/>
          <w:color w:val="auto"/>
        </w:rPr>
      </w:pPr>
    </w:p>
    <w:p>
      <w:pPr>
        <w:ind w:right="60" w:firstLine="299"/>
        <w:spacing w:after="0" w:line="244" w:lineRule="auto"/>
        <w:rPr>
          <w:sz w:val="20"/>
          <w:szCs w:val="20"/>
          <w:color w:val="auto"/>
        </w:rPr>
      </w:pPr>
      <w:r>
        <w:rPr>
          <w:rFonts w:ascii="Arial" w:cs="Arial" w:eastAsia="Arial" w:hAnsi="Arial"/>
          <w:sz w:val="17"/>
          <w:szCs w:val="17"/>
          <w:color w:val="auto"/>
        </w:rPr>
        <w:t>Our international business is subject to both U.S. and foreign laws and regulations, which may include, without limitation, laws and regulations relating to import-export controls, (such as the ITAR, EAR, and customs laws), tariffs, embargoes, technology transfer restrictions, government contracts and procurement, data privacy and protection, investment, exchange rates and controls, the FCPA and other anti-corruption laws, including the UK Bribery Act and the Canadian Corruption of Foreign Public Officials Act, the anti-boycott provisions under the EAR, U.S. economic sanctions administered by the Office of Foreign Assets Control and other federal agencies, labor and employment, works councils and other labor groups, anti-human trafficking, taxes, environment, immunity, security restrictions and intellectual property. If we or our employees, affiliates, partners or others with whom we work fail to comply with applicable laws and regulations we may be subject to administrative, civil, commercial or criminal penalties and liabilities, including suspension or debarment from government contracts or suspension of our export privileges. Our international business also exposes us to difficulties associated with repatriating cash generated or held abroad in a tax-efficient manner and changes in tax laws. Our customers outside of the U.S. generally have the ability to terminate contracts for default based on performance. Suspension or debarment, or termination of a contract due to default, in particular, could have a material adverse effect on our reputation, our ability to compete for other contracts and our financial position, results of operations and/or cash flows. New regulations and requirements, or changes to existing ones in the various countries in which we operate can significantly increase our costs and risks of doing business internationally. Any such future violations could have a material adverse impact on our reputation, business, results of operations and financial condition.</w:t>
      </w:r>
    </w:p>
    <w:p>
      <w:pPr>
        <w:spacing w:after="0" w:line="15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Changes in laws, regulations, political leadership and environment, or security risks may significantly affect our ability to conduct or continue to conduct business in international markets. Our international business may be impacted by changes in U.S. and foreign national policies and priorities, and geopolitical relationships, any of which may be influenced by changes in the threat environment, political leadership, geopolitical uncertainties, world events, acts of terrorism, bilateral and multi-lateral relationships, government budgets, and economic and political factors more generally, and any of which could impact funding for programs, alter export authorizations, or delay purchasing decisions or customer payments. These changes may affect export control laws as products or markets that were not previously subject to stringent controls may become subject to greater restrictions and oversight. These changes may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440" w:right="339" w:bottom="1440" w:gutter="0" w:footer="0" w:header="0"/>
        </w:sectPr>
      </w:pPr>
    </w:p>
    <w:bookmarkStart w:id="44" w:name="page45"/>
    <w:bookmarkEnd w:id="44"/>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affect the defense spending priorities and procurement policies of foreign governments which may affect our international military sales.</w:t>
      </w:r>
    </w:p>
    <w:p>
      <w:pPr>
        <w:spacing w:after="0" w:line="15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 In addition, the majority of our foreign costs are denominated in local currencies. Over time, an increasing portion of our contracts with paid customers outside of the United States may be denominated in local currencies. Therefore, fluctuations in the value of the U.S. dollar and foreign currencies may affect our results of operations when translated into U.S. dollars. We do not currently engage in currency-hedging activities to limit the risk of exchange rate fluctuations.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45"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Our contracts with non-U.S. customers may also include terms and reflect legal requirements that create additional risks including the risk of non-payment or delayed payment by foreign customers and governments. They may include industrial cooperation agreements requiring specific in-country purchases, investments, manufacturing agreements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performance obligations. We also increasingly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for export on a cost-effective basis or to obtain and retain all necessary export licenses and authorizations on a timely basis.</w:t>
      </w:r>
    </w:p>
    <w:p>
      <w:pPr>
        <w:spacing w:after="0" w:line="146"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Conducting business outside of the U.S. also exposes us to the complexity and necessity of using, and disruptions involving our international dealers, distributors, sales representatives and consultants as well as the difficulties of managing a geographically dispersed organization and culturally diverse workforces, including compliance with applicable U.S. and local laws and practices, such as anti-corruption and anti-trust/competition laws. Contracts with international customers are significantly different than the contracts with our U.S. customers, and some are more complex and require different skills to manage. Our ability to conduct business outside of the U.S. also depends on our ability to attract and retain sufficient qualified personnel with the skills and/or security clearances in the markets in which we do business.</w:t>
      </w:r>
    </w:p>
    <w:p>
      <w:pPr>
        <w:spacing w:after="0" w:line="147"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The products and services we provide internationally, including those provided by subcontractors and joint ventures in which we have an interest,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144" w:lineRule="exact"/>
        <w:rPr>
          <w:sz w:val="20"/>
          <w:szCs w:val="20"/>
          <w:color w:val="auto"/>
        </w:rPr>
      </w:pPr>
    </w:p>
    <w:p>
      <w:pPr>
        <w:ind w:right="260" w:firstLine="299"/>
        <w:spacing w:after="0" w:line="250" w:lineRule="auto"/>
        <w:rPr>
          <w:sz w:val="20"/>
          <w:szCs w:val="20"/>
          <w:color w:val="auto"/>
        </w:rPr>
      </w:pPr>
      <w:r>
        <w:rPr>
          <w:rFonts w:ascii="Arial" w:cs="Arial" w:eastAsia="Arial" w:hAnsi="Arial"/>
          <w:sz w:val="17"/>
          <w:szCs w:val="17"/>
          <w:color w:val="auto"/>
        </w:rPr>
        <w:t>The occurrence and impact of these factors is difficult to predict, but one or more of them could negatively impact our business, financial condition and results of operations.</w:t>
      </w:r>
    </w:p>
    <w:p>
      <w:pPr>
        <w:spacing w:after="0" w:line="120"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b w:val="1"/>
          <w:bCs w:val="1"/>
          <w:i w:val="1"/>
          <w:iCs w:val="1"/>
          <w:color w:val="auto"/>
        </w:rPr>
        <w:t>We may not be successful in obtaining the export licenses necessary to conduct certain operations abroad, and Congress may prevent proposed sales to certain foreign governments.</w:t>
      </w:r>
    </w:p>
    <w:p>
      <w:pPr>
        <w:spacing w:after="0" w:line="121" w:lineRule="exact"/>
        <w:rPr>
          <w:sz w:val="20"/>
          <w:szCs w:val="20"/>
          <w:color w:val="auto"/>
        </w:rPr>
      </w:pPr>
    </w:p>
    <w:p>
      <w:pPr>
        <w:ind w:right="80" w:firstLine="299"/>
        <w:spacing w:after="0" w:line="280" w:lineRule="auto"/>
        <w:rPr>
          <w:sz w:val="20"/>
          <w:szCs w:val="20"/>
          <w:color w:val="auto"/>
        </w:rPr>
      </w:pPr>
      <w:r>
        <w:rPr>
          <w:rFonts w:ascii="Arial" w:cs="Arial" w:eastAsia="Arial" w:hAnsi="Arial"/>
          <w:sz w:val="16"/>
          <w:szCs w:val="16"/>
          <w:color w:val="auto"/>
        </w:rPr>
        <w:t>We must obtain export and other licenses and authorizations from various U.S. and foreign government agencies before we are permitted to undertake certain activities including selling certain products and technologies outside of the U.S. For example, the U.S. Department of State must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1440" w:right="339" w:bottom="1440" w:gutter="0" w:footer="0" w:header="0"/>
        </w:sectPr>
      </w:pPr>
    </w:p>
    <w:bookmarkStart w:id="45" w:name="page46"/>
    <w:bookmarkEnd w:id="45"/>
    <w:p>
      <w:pPr>
        <w:spacing w:after="0" w:line="43"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Congress at least 15 to 30 days, depending on the size and location of the proposed sale, prior to authorizing certain sales of defense equipment and services to some foreign governments. During that time, Congress may take action to block the proposed sale. We can give no assurance that we will continue to be successful in obtaining the necessary licenses or authorizations or that Congress will not prevent or delay certain sales. Additionally, in some cases our ability to source components and products in foreign jurisdictions may require licenses or approvals from foreign governments. Our ability to obtain these licenses and authorizations in a timely fashion or at all is subject to risks and uncertainties, including changing U.S. government policies or laws or delays in Congressional action due to geopolitical and other factors. If we are not successful in obtaining or maintaining the necessary licenses or authorizations in a timely manner, our sales relating to those approvals may be reversed, prevented or delayed, and any significant impairment of our ability to sell products or technologies outside of the U.S. could negatively impact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failure to attract and retain technical and other key personnel could reduce our revenues and our operational effectiveness.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We rely on our leadership team in the areas of research and development, operations, security, marketing, sales, customer experience, general and administrative functions, and on individual contributors in our research and development and operations. In addition, the relationships and reputation that many members of our senior management team have established and maintain with U.S. government personnel contribute to our ability to maintain strong customer relationships and to identify new business opportunities.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chief executive officer, or key employees could impair our ability to identify and secure new contracts, disrupt customer relations, cause us to be in breach of contracts that require us to maintain key personnel or otherwise harm our business. Changes in our executive management team may also cause disruptions in, and harm to, our business.</w:t>
      </w:r>
    </w:p>
    <w:p>
      <w:pPr>
        <w:spacing w:after="0" w:line="145" w:lineRule="exact"/>
        <w:rPr>
          <w:sz w:val="20"/>
          <w:szCs w:val="20"/>
          <w:color w:val="auto"/>
        </w:rPr>
      </w:pPr>
    </w:p>
    <w:p>
      <w:pPr>
        <w:ind w:right="140" w:firstLine="299"/>
        <w:spacing w:after="0" w:line="245" w:lineRule="auto"/>
        <w:rPr>
          <w:sz w:val="20"/>
          <w:szCs w:val="20"/>
          <w:color w:val="auto"/>
        </w:rPr>
      </w:pPr>
      <w:r>
        <w:rPr>
          <w:rFonts w:ascii="Arial" w:cs="Arial" w:eastAsia="Arial" w:hAnsi="Arial"/>
          <w:sz w:val="17"/>
          <w:szCs w:val="17"/>
          <w:color w:val="auto"/>
        </w:rPr>
        <w:t>There is a high demand for qualified technical and other key personnel, and we believe that our future growth and success will depend upon our ability to attract, train and retain such personnel. Competition for personnel in the defense industry is intense, and there is a limited number of persons with knowledge of and experience in this industry. Additionally, some of our businesses are located in regions where competition for personnel is particularly intense. Although we currently experience manageable rates of turnover for our technical personnel the rate of turnover may increase in the future. Our ability to hire personnel in specific sectors may also be limited by non-disclosure or non-solicit agreements that we have entered into. An inability to attract or maintain a sufficient number of technical and other key personnel could have a material adverse effect on our contract performance or on our ability to capitalize on market opportunities.</w:t>
      </w:r>
    </w:p>
    <w:p>
      <w:pPr>
        <w:spacing w:after="0" w:line="146"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operating results and growth opportunities are heavily dependent upon our ability to attract and retain sufficient personnel with security clearances and requisite skills in multiple areas, including science, technology, engineering and math. Additionally, as we grow our international business, it is increasingly important that we are able to attract and retain personnel with relevant local qualifications and experience. In addition, in a tightened labor market, we are facing increased competition for talent, both with traditional defense companies and commercial companies. If qualified personnel are scarce or difficult to attract or retain or if we experience a high level of attrition, generally or in particular areas, or if such personnel are unable to obtain security clearances on a timely basis, we could experience higher labor, recruiting or training costs in order to attract and retain necessary employees.</w:t>
      </w:r>
    </w:p>
    <w:p>
      <w:pPr>
        <w:spacing w:after="0" w:line="146" w:lineRule="exact"/>
        <w:rPr>
          <w:sz w:val="20"/>
          <w:szCs w:val="20"/>
          <w:color w:val="auto"/>
        </w:rPr>
      </w:pPr>
    </w:p>
    <w:p>
      <w:pPr>
        <w:jc w:val="both"/>
        <w:ind w:right="160" w:firstLine="299"/>
        <w:spacing w:after="0" w:line="247" w:lineRule="auto"/>
        <w:rPr>
          <w:sz w:val="20"/>
          <w:szCs w:val="20"/>
          <w:color w:val="auto"/>
        </w:rPr>
      </w:pPr>
      <w:r>
        <w:rPr>
          <w:rFonts w:ascii="Arial" w:cs="Arial" w:eastAsia="Arial" w:hAnsi="Arial"/>
          <w:sz w:val="17"/>
          <w:szCs w:val="17"/>
          <w:color w:val="auto"/>
        </w:rPr>
        <w:t>Approximately 476 (or 8%) of our employees are covered by collective agreements which will expire in March and April of 2021. We generally have been able to renegotiate renewals to expiring agreements without significant disruption of operating activities. If we experience difficulties with renewals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440" w:right="339" w:bottom="1440" w:gutter="0" w:footer="0" w:header="0"/>
        </w:sectPr>
      </w:pPr>
    </w:p>
    <w:bookmarkStart w:id="46" w:name="page47"/>
    <w:bookmarkEnd w:id="46"/>
    <w:p>
      <w:pPr>
        <w:spacing w:after="0" w:line="4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renegotiations of existing collective agreements or if our employees pursue new collective representation, we could incur additional expenses and may be subject to work stoppages, slow-downs or other labor-related disruptions. Any such expenses or delays could adversely affect our programs served by employees who are covered by such agreements or representation.</w:t>
      </w:r>
    </w:p>
    <w:p>
      <w:pPr>
        <w:spacing w:after="0" w:line="143" w:lineRule="exact"/>
        <w:rPr>
          <w:sz w:val="20"/>
          <w:szCs w:val="20"/>
          <w:color w:val="auto"/>
        </w:rPr>
      </w:pPr>
    </w:p>
    <w:p>
      <w:pPr>
        <w:ind w:right="560" w:firstLine="299"/>
        <w:spacing w:after="0" w:line="250" w:lineRule="auto"/>
        <w:rPr>
          <w:sz w:val="20"/>
          <w:szCs w:val="20"/>
          <w:color w:val="auto"/>
        </w:rPr>
      </w:pPr>
      <w:r>
        <w:rPr>
          <w:rFonts w:ascii="Arial" w:cs="Arial" w:eastAsia="Arial" w:hAnsi="Arial"/>
          <w:sz w:val="17"/>
          <w:szCs w:val="17"/>
          <w:color w:val="auto"/>
        </w:rPr>
        <w:t>If we are unable to attract and retain a qualified workforce, we may be unable to maintain our competitive position and it could have a material adverse impact on our business, reputation,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in the event of a prolonged work stoppage.</w:t>
      </w:r>
    </w:p>
    <w:p>
      <w:pPr>
        <w:spacing w:after="0" w:line="173" w:lineRule="exact"/>
        <w:rPr>
          <w:sz w:val="20"/>
          <w:szCs w:val="20"/>
          <w:color w:val="auto"/>
        </w:rPr>
      </w:pPr>
    </w:p>
    <w:p>
      <w:pPr>
        <w:ind w:right="200" w:firstLine="299"/>
        <w:spacing w:after="0" w:line="263" w:lineRule="auto"/>
        <w:rPr>
          <w:sz w:val="20"/>
          <w:szCs w:val="20"/>
          <w:color w:val="auto"/>
        </w:rPr>
      </w:pPr>
      <w:r>
        <w:rPr>
          <w:rFonts w:ascii="Arial" w:cs="Arial" w:eastAsia="Arial" w:hAnsi="Arial"/>
          <w:sz w:val="16"/>
          <w:szCs w:val="16"/>
          <w:color w:val="auto"/>
        </w:rPr>
        <w:t>As of February 26, 2021, approximately 476 (or 8%) of our employees were represented by labor unions. If we encounter difficulties with renegotiations or renewals of collective bargaining arrangements or are unsuccessful in those efforts, we could incur additional costs and experience work stoppages. Union actions at our suppliers could also affect us.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While a relatively small percentage of our employee base is unionized, work stoppages could negatively impact the specific business segments in which our unionized employees are employed including our ability to manufacture products or provide services on a timely basis, which could negatively impact our business, financial condition and results of operations.</w:t>
      </w:r>
    </w:p>
    <w:p>
      <w:pPr>
        <w:spacing w:after="0" w:line="112" w:lineRule="exact"/>
        <w:rPr>
          <w:sz w:val="20"/>
          <w:szCs w:val="20"/>
          <w:color w:val="auto"/>
        </w:rPr>
      </w:pPr>
    </w:p>
    <w:p>
      <w:pPr>
        <w:ind w:right="520"/>
        <w:spacing w:after="0" w:line="259" w:lineRule="auto"/>
        <w:rPr>
          <w:sz w:val="20"/>
          <w:szCs w:val="20"/>
          <w:color w:val="auto"/>
        </w:rPr>
      </w:pPr>
      <w:r>
        <w:rPr>
          <w:rFonts w:ascii="Arial" w:cs="Arial" w:eastAsia="Arial" w:hAnsi="Arial"/>
          <w:sz w:val="17"/>
          <w:szCs w:val="17"/>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spacing w:after="0" w:line="134" w:lineRule="exact"/>
        <w:rPr>
          <w:sz w:val="20"/>
          <w:szCs w:val="20"/>
          <w:color w:val="auto"/>
        </w:rPr>
      </w:pPr>
    </w:p>
    <w:p>
      <w:pPr>
        <w:ind w:firstLine="299"/>
        <w:spacing w:after="0" w:line="244" w:lineRule="auto"/>
        <w:rPr>
          <w:sz w:val="20"/>
          <w:szCs w:val="20"/>
          <w:color w:val="auto"/>
        </w:rPr>
      </w:pPr>
      <w:r>
        <w:rPr>
          <w:rFonts w:ascii="Arial" w:cs="Arial" w:eastAsia="Arial" w:hAnsi="Arial"/>
          <w:sz w:val="17"/>
          <w:szCs w:val="17"/>
          <w:color w:val="auto"/>
        </w:rPr>
        <w:t>We provide products and services related to hazardous and high-risk operations. Among such operations, our products and services are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We endeavor to obtain insurance agreements from financially solid, responsible, highly rated counterparties in established markets to cover significant risks and liabilities (including, for example, natural disasters, hazardous operations and products liability). Not every risk or liability can be insured, and for risks that are insurable, the policy limits and terms of coverage reasonably obtainable in the market may not be sufficient to cover all actual losses or liabilities incurred. Even if insurance coverage is available, we may not be able to obtain it or renew existing coverage at a price or on terms acceptable to us. Disputes with insurance carriers, including over policy terms, reservation of rights, the applicability of coverage (including exclusions), compliance with provisions (including notice) and/or the insolvency of one or more of our insurers may significantly affect the availability or timing of recovery, and may impact our ability to obtain insurance coverage at reasonable rates in the future.</w:t>
      </w:r>
    </w:p>
    <w:p>
      <w:pPr>
        <w:spacing w:after="0" w:line="154" w:lineRule="exact"/>
        <w:rPr>
          <w:sz w:val="20"/>
          <w:szCs w:val="20"/>
          <w:color w:val="auto"/>
        </w:rPr>
      </w:pPr>
    </w:p>
    <w:p>
      <w:pPr>
        <w:ind w:right="200" w:firstLine="299"/>
        <w:spacing w:after="0" w:line="247" w:lineRule="auto"/>
        <w:rPr>
          <w:sz w:val="20"/>
          <w:szCs w:val="20"/>
          <w:color w:val="auto"/>
        </w:rPr>
      </w:pPr>
      <w:r>
        <w:rPr>
          <w:rFonts w:ascii="Arial" w:cs="Arial" w:eastAsia="Arial" w:hAnsi="Arial"/>
          <w:sz w:val="17"/>
          <w:szCs w:val="17"/>
          <w:color w:val="auto"/>
        </w:rPr>
        <w:t>In some circumstances we may be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w:t>
      </w:r>
    </w:p>
    <w:p>
      <w:pPr>
        <w:spacing w:after="0" w:line="143" w:lineRule="exact"/>
        <w:rPr>
          <w:sz w:val="20"/>
          <w:szCs w:val="20"/>
          <w:color w:val="auto"/>
        </w:rPr>
      </w:pPr>
    </w:p>
    <w:p>
      <w:pPr>
        <w:ind w:right="240" w:firstLine="299"/>
        <w:spacing w:after="0" w:line="250" w:lineRule="auto"/>
        <w:rPr>
          <w:sz w:val="20"/>
          <w:szCs w:val="20"/>
          <w:color w:val="auto"/>
        </w:rPr>
      </w:pPr>
      <w:r>
        <w:rPr>
          <w:rFonts w:ascii="Arial" w:cs="Arial" w:eastAsia="Arial" w:hAnsi="Arial"/>
          <w:sz w:val="17"/>
          <w:szCs w:val="17"/>
          <w:color w:val="auto"/>
        </w:rPr>
        <w:t>If insurance coverage, customer indemnifications and/or other legal protections are not available or are not sufficient to cover our risks or losses, it could have a material adverse impact on our business, reputation,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3"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b w:val="1"/>
          <w:bCs w:val="1"/>
          <w:i w:val="1"/>
          <w:iCs w:val="1"/>
          <w:color w:val="auto"/>
        </w:rPr>
        <w:t>We have unfunded obligations under our pension plans, and we use estimates in accounting for our pension plans and changes in our estimates could adversely affect our financial condition and results of operations.</w:t>
      </w:r>
    </w:p>
    <w:p>
      <w:pPr>
        <w:spacing w:after="0" w:line="103" w:lineRule="exact"/>
        <w:rPr>
          <w:sz w:val="20"/>
          <w:szCs w:val="20"/>
          <w:color w:val="auto"/>
        </w:rPr>
      </w:pPr>
    </w:p>
    <w:p>
      <w:pPr>
        <w:ind w:firstLine="299"/>
        <w:spacing w:after="0" w:line="249" w:lineRule="auto"/>
        <w:rPr>
          <w:sz w:val="20"/>
          <w:szCs w:val="20"/>
          <w:color w:val="auto"/>
        </w:rPr>
      </w:pPr>
      <w:r>
        <w:rPr>
          <w:rFonts w:ascii="Arial" w:cs="Arial" w:eastAsia="Arial" w:hAnsi="Arial"/>
          <w:sz w:val="17"/>
          <w:szCs w:val="17"/>
          <w:color w:val="auto"/>
        </w:rPr>
        <w:t xml:space="preserve">We have unfunded obligations under our pension, postretirement and supplemental retirement plans, see </w:t>
      </w:r>
      <w:r>
        <w:rPr>
          <w:rFonts w:ascii="Arial" w:cs="Arial" w:eastAsia="Arial" w:hAnsi="Arial"/>
          <w:sz w:val="17"/>
          <w:szCs w:val="17"/>
          <w:i w:val="1"/>
          <w:iCs w:val="1"/>
          <w:color w:val="auto"/>
        </w:rPr>
        <w:t>“Note 12: Pension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Postretirement Benefits” </w:t>
      </w:r>
      <w:r>
        <w:rPr>
          <w:rFonts w:ascii="Arial" w:cs="Arial" w:eastAsia="Arial" w:hAnsi="Arial"/>
          <w:sz w:val="17"/>
          <w:szCs w:val="17"/>
          <w:color w:val="auto"/>
        </w:rPr>
        <w:t>to the Consolidated Financial Statements. The process of determining the funded status of these plans and our pension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or income involves significant judgment, particularly with respect to our long-term return on pension assets and discount-rate assumptions. If our discount-rate assumption or long-term return on assets (“ROA”) (which is used to determine the funded status of our pension plans) is decreased due to changes in our assumptions or other reasons, our pension plan funded status and expense could increase which would negatively impact our results of operations. In addition, if our actual return on assets differs from our long-term ROA assumption, our pension plan funded status and pension expense would be impacted.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cause us to change our business practices.</w:t>
      </w:r>
    </w:p>
    <w:p>
      <w:pPr>
        <w:spacing w:after="0" w:line="173" w:lineRule="exact"/>
        <w:rPr>
          <w:sz w:val="20"/>
          <w:szCs w:val="20"/>
          <w:color w:val="auto"/>
        </w:rPr>
      </w:pPr>
    </w:p>
    <w:p>
      <w:pPr>
        <w:ind w:right="140" w:firstLine="299"/>
        <w:spacing w:after="0" w:line="270" w:lineRule="auto"/>
        <w:rPr>
          <w:sz w:val="20"/>
          <w:szCs w:val="20"/>
          <w:color w:val="auto"/>
        </w:rPr>
      </w:pPr>
      <w:r>
        <w:rPr>
          <w:rFonts w:ascii="Arial" w:cs="Arial" w:eastAsia="Arial" w:hAnsi="Arial"/>
          <w:sz w:val="16"/>
          <w:szCs w:val="16"/>
          <w:color w:val="auto"/>
        </w:rPr>
        <w:t>We prepare our financial statements in accordance with U.S. GAAP. These accounting principles are subject to interpretation by the Financial Accounting Standards Board, the SEC and various bodies formed to interpret and create appropriate accounting policies. A change in these accounting standards or the questioning of current reporting practices may adversely affect our reported financial results or the way we conduct our business.</w:t>
      </w:r>
    </w:p>
    <w:p>
      <w:pPr>
        <w:spacing w:after="0" w:line="106"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b w:val="1"/>
          <w:bCs w:val="1"/>
          <w:i w:val="1"/>
          <w:iCs w:val="1"/>
          <w:color w:val="auto"/>
        </w:rPr>
        <w:t>Changes in future business or other market conditions could cause business investments and/or recorded goodwill or other long-term assets to become impaired, resulting in substantial losses and write-downs that would adversely affect our business, financial condition and results of operations.</w:t>
      </w:r>
    </w:p>
    <w:p>
      <w:pPr>
        <w:spacing w:after="0" w:line="134"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As of December 31, 2020 and 2019, we had goodwill and other intangible assets of $1,117 and $1,126 million, respectively, net of accumulated amortization, which represented 38% and 39%, respectively, of our total assets. Our goodwill is subject to an impairment test on an annual basis and is also tested whenever events and circumstances indicate that goodwill may be impaired. Any excess goodwill resulting from the impairment test must be written off in the period of determination. Intangible assets (other than goodwill) are generally amortized over the useful life of such assets. In addition, from time to time, we may acquire or make an investment in a business which will require us to record goodwill based on the purchase price and the value of the acquired assets. We may subsequently experience unforeseen issues with such business which adversely affect the anticipated returns of the business or value of the intangible assets and trigger an evaluation of the recoverability of the recorded goodwill and intangible assets for such business. Future determinations of significant write-offs of goodwill or intangible assets as a result of an impairment test or any accelerated amortization of other intangible assets could have a negative impact on our results of operations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losses to offset future taxable income may be subject to certain limitations.</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In general, under Section 382 of the U.S. Internal Revenue Code of 1986, as amended (the “Tax Code”), a corporation that undergoes an “ownership change” is subject to limitations on its ability to utilize its pre-change net operating losses (“NOLs”) to offset future taxable income. Future changes in our stock ownership, some of which are beyond our control, could result in an ownership change under Section 382 of the Tax Code. Furthermore, our ability to utilize NOLs of any companies that we may acquire in the future may be subject to limitations. For these reasons, we may not be able to utilize a material portion of the NOLs reflected on our balance sheet, even if we attain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3"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b w:val="1"/>
          <w:bCs w:val="1"/>
          <w:i w:val="1"/>
          <w:iCs w:val="1"/>
          <w:color w:val="auto"/>
        </w:rPr>
        <w:t>We could be liable for certain tax liabilities, including tax liabilities of US Holding and its subsidiaries, under tax law and the tax allocation agreement.</w:t>
      </w:r>
    </w:p>
    <w:p>
      <w:pPr>
        <w:spacing w:after="0" w:line="121"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In connection with this offering, we and US Holding have entered into a tax allocation agreement with members of an affiliated group, as defined in Section 1504(a) of the Tax Code, members of one or more consolidated, combined, unitary or similar state tax groups and additional parties who are part of an “expanded affiliated group” for certain tax purposes. Under the tax allocation agreement, we are responsible for U.S. federal and state tax liability attributable to us or any of our subsidiaries, as determined under the tax allocation agreement, for prior taxable periods beginning with the first consolidated taxable year of US Holding that included DRS (i.e., the taxable year ended December 31, 2008) and for future taxable periods in which we are a member of any consolidated, combined or unitary tax return with US Holding or its subsidiaries. In addition, to the extent US Holding fails to pay taxes imposed with respect to any consolidated, combined or unitary tax return of US Holding or any of its subsidiaries that includes us or any of our subsidiaries, the relevant taxing authority could seek to collect such taxes (including taxes for which US Holding or any of its subsidiaries is responsible under the tax allocation agreement) from us or our subsidiaries. For a description of the tax allocation agreement, see “Certain Relationships and Related-Party Transactions—Relationship with Leonardo S.p.A. Following this Offering—Tax Allocation Agreement</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could result in operating difficulties, dilution and other harmful consequences.</w:t>
      </w:r>
    </w:p>
    <w:p>
      <w:pPr>
        <w:spacing w:after="0" w:line="173" w:lineRule="exact"/>
        <w:rPr>
          <w:sz w:val="20"/>
          <w:szCs w:val="20"/>
          <w:color w:val="auto"/>
        </w:rPr>
      </w:pPr>
    </w:p>
    <w:p>
      <w:pPr>
        <w:ind w:right="220" w:firstLine="299"/>
        <w:spacing w:after="0" w:line="247" w:lineRule="auto"/>
        <w:rPr>
          <w:sz w:val="20"/>
          <w:szCs w:val="20"/>
          <w:color w:val="auto"/>
        </w:rPr>
      </w:pPr>
      <w:r>
        <w:rPr>
          <w:rFonts w:ascii="Arial" w:cs="Arial" w:eastAsia="Arial" w:hAnsi="Arial"/>
          <w:sz w:val="17"/>
          <w:szCs w:val="17"/>
          <w:color w:val="auto"/>
        </w:rPr>
        <w:t>We have evaluated in the past, and expect to continue to evaluate in the future, potential strategic transactions. Any of these transactions could be material to our financial condition and results of operations. The acquisition and the integration of an acquired company, business or technology may create unforeseen operating difficulties and expenditures and involves risks, including:</w:t>
      </w:r>
    </w:p>
    <w:p>
      <w:pPr>
        <w:spacing w:after="0" w:line="143" w:lineRule="exact"/>
        <w:rPr>
          <w:sz w:val="20"/>
          <w:szCs w:val="20"/>
          <w:color w:val="auto"/>
        </w:rPr>
      </w:pPr>
    </w:p>
    <w:p>
      <w:pPr>
        <w:ind w:left="600" w:right="760" w:hanging="302"/>
        <w:spacing w:after="0" w:line="250"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need to implement or remediate controls, procedures, policies and compliance programs appropriate for a larger public company at companies that prior to the acquisition lacked these controls, procedures and policies;</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acquisition integration challenges;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retaining employees and customers from the businesses we acquire;</w:t>
      </w:r>
    </w:p>
    <w:p>
      <w:pPr>
        <w:spacing w:after="0" w:line="152" w:lineRule="exact"/>
        <w:rPr>
          <w:rFonts w:ascii="Arial" w:cs="Arial" w:eastAsia="Arial" w:hAnsi="Arial"/>
          <w:sz w:val="17"/>
          <w:szCs w:val="17"/>
          <w:color w:val="auto"/>
        </w:rPr>
      </w:pPr>
    </w:p>
    <w:p>
      <w:pPr>
        <w:ind w:left="600" w:hanging="302"/>
        <w:spacing w:after="0" w:line="250"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need to integrate each company’s accounting, management information, human resource and other administrative systems to permit effective management; and</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litigation related to acquisitions.</w:t>
      </w:r>
    </w:p>
    <w:p>
      <w:pPr>
        <w:spacing w:after="0" w:line="153" w:lineRule="exact"/>
        <w:rPr>
          <w:sz w:val="20"/>
          <w:szCs w:val="20"/>
          <w:color w:val="auto"/>
        </w:rPr>
      </w:pPr>
    </w:p>
    <w:p>
      <w:pPr>
        <w:ind w:right="280" w:firstLine="299"/>
        <w:spacing w:after="0" w:line="250"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0" w:lineRule="exact"/>
        <w:rPr>
          <w:sz w:val="20"/>
          <w:szCs w:val="20"/>
          <w:color w:val="auto"/>
        </w:rPr>
      </w:pPr>
    </w:p>
    <w:p>
      <w:pPr>
        <w:ind w:right="200" w:firstLine="299"/>
        <w:spacing w:after="0" w:line="246" w:lineRule="auto"/>
        <w:rPr>
          <w:sz w:val="20"/>
          <w:szCs w:val="20"/>
          <w:color w:val="auto"/>
        </w:rPr>
      </w:pPr>
      <w:r>
        <w:rPr>
          <w:rFonts w:ascii="Arial" w:cs="Arial" w:eastAsia="Arial" w:hAnsi="Arial"/>
          <w:sz w:val="17"/>
          <w:szCs w:val="17"/>
          <w:color w:val="auto"/>
        </w:rPr>
        <w:t>In addition, the anticipated benefit of many of our acquisitions may not materialize. Future acquisitions or dispositions could result in potentially dilutive issuances of our equity securities, the incurrence of debt, contingent liabilities or amortization expenses, or write-offs of goodwill, any of which could harm our financial condition and results of operations. Future acquisitions may require us to obtain additional equity or debt financing, which may not be available on favorable terms or at all.</w:t>
      </w:r>
    </w:p>
    <w:p>
      <w:pPr>
        <w:spacing w:after="0" w:line="144" w:lineRule="exact"/>
        <w:rPr>
          <w:sz w:val="20"/>
          <w:szCs w:val="20"/>
          <w:color w:val="auto"/>
        </w:rPr>
      </w:pPr>
    </w:p>
    <w:p>
      <w:pPr>
        <w:ind w:right="180" w:firstLine="299"/>
        <w:spacing w:after="0" w:line="247" w:lineRule="auto"/>
        <w:rPr>
          <w:sz w:val="20"/>
          <w:szCs w:val="20"/>
          <w:color w:val="auto"/>
        </w:rPr>
      </w:pPr>
      <w:r>
        <w:rPr>
          <w:rFonts w:ascii="Arial" w:cs="Arial" w:eastAsia="Arial" w:hAnsi="Arial"/>
          <w:sz w:val="17"/>
          <w:szCs w:val="17"/>
          <w:color w:val="auto"/>
        </w:rPr>
        <w:t>Finally, we may be required to obtain the consent of US Holding in order to pursue certain material transactions and there is no guarantee that their consent will be granted See “—</w:t>
      </w:r>
      <w:r>
        <w:rPr>
          <w:rFonts w:ascii="Arial" w:cs="Arial" w:eastAsia="Arial" w:hAnsi="Arial"/>
          <w:sz w:val="17"/>
          <w:szCs w:val="17"/>
          <w:i w:val="1"/>
          <w:iCs w:val="1"/>
          <w:color w:val="auto"/>
        </w:rPr>
        <w:t>Risks Relating to Our Status as a Controlled Company and under the Proxy Agreement</w:t>
      </w:r>
      <w:r>
        <w:rPr>
          <w:rFonts w:ascii="Arial" w:cs="Arial" w:eastAsia="Arial" w:hAnsi="Arial"/>
          <w:sz w:val="17"/>
          <w:szCs w:val="17"/>
          <w:color w:val="auto"/>
        </w:rPr>
        <w:t>—</w:t>
      </w:r>
      <w:r>
        <w:rPr>
          <w:rFonts w:ascii="Arial" w:cs="Arial" w:eastAsia="Arial" w:hAnsi="Arial"/>
          <w:sz w:val="17"/>
          <w:szCs w:val="17"/>
          <w:i w:val="1"/>
          <w:iCs w:val="1"/>
          <w:color w:val="auto"/>
        </w:rPr>
        <w:t>Our ultimate majority</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5"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i w:val="1"/>
          <w:iCs w:val="1"/>
          <w:color w:val="auto"/>
        </w:rPr>
        <w:t>Leonardo S.p.A., may have interests that are different from, or conflict with, those of our other stockholders, and their significant ownership in us may discourage change of control transactions</w:t>
      </w:r>
      <w:r>
        <w:rPr>
          <w:rFonts w:ascii="Arial" w:cs="Arial" w:eastAsia="Arial" w:hAnsi="Arial"/>
          <w:sz w:val="17"/>
          <w:szCs w:val="17"/>
          <w:color w:val="auto"/>
        </w:rPr>
        <w:t>.”</w:t>
      </w:r>
    </w:p>
    <w:p>
      <w:pPr>
        <w:spacing w:after="0" w:line="102" w:lineRule="exact"/>
        <w:rPr>
          <w:sz w:val="20"/>
          <w:szCs w:val="20"/>
          <w:color w:val="auto"/>
        </w:rPr>
      </w:pPr>
    </w:p>
    <w:p>
      <w:pPr>
        <w:ind w:right="740"/>
        <w:spacing w:after="0" w:line="274" w:lineRule="auto"/>
        <w:rPr>
          <w:sz w:val="20"/>
          <w:szCs w:val="20"/>
          <w:color w:val="auto"/>
        </w:rPr>
      </w:pPr>
      <w:r>
        <w:rPr>
          <w:rFonts w:ascii="Arial" w:cs="Arial" w:eastAsia="Arial" w:hAnsi="Arial"/>
          <w:sz w:val="17"/>
          <w:szCs w:val="17"/>
          <w:b w:val="1"/>
          <w:bCs w:val="1"/>
          <w:i w:val="1"/>
          <w:iCs w:val="1"/>
          <w:color w:val="auto"/>
        </w:rPr>
        <w:t>We have significant operations in locations that could be materially and adversely impacted in the event of a natural disaster or other significant disruption.</w:t>
      </w:r>
    </w:p>
    <w:p>
      <w:pPr>
        <w:spacing w:after="0" w:line="121"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Our operations and the operations of our suppliers and customers could be subject to natural disasters or other significant disruptions, including hurricanes, typhoons, tsunamis, floods, earthquakes, fires, water shortages, other extreme weather conditions, medical epidemics, pandemics (including COVID-19), acts of terrorism, power shortages and blackouts, telecommunications failures and other natural and manmade disasters or disruptions. We have significant business operations located in areas that are subject to these risks, for example our facilities in Florida and Texas. In the event of such a natural disaster or other disruption, we could experience disruptions or interruptions to our operations or the operations of our suppliers, subcontractors, distributors, resellers or customers, including inability of employees to work; destruction of facilities; and/or loss of life, all of which could materially increase our costs and expenses, delay or decrease orders and revenue from our customers and have a material adverse impact on our business, financial condition and results of operations.</w:t>
      </w:r>
    </w:p>
    <w:p>
      <w:pPr>
        <w:spacing w:after="0" w:line="126" w:lineRule="exact"/>
        <w:rPr>
          <w:sz w:val="20"/>
          <w:szCs w:val="20"/>
          <w:color w:val="auto"/>
        </w:rPr>
      </w:pPr>
    </w:p>
    <w:p>
      <w:pPr>
        <w:ind w:right="760"/>
        <w:spacing w:after="0" w:line="274" w:lineRule="auto"/>
        <w:rPr>
          <w:sz w:val="20"/>
          <w:szCs w:val="20"/>
          <w:color w:val="auto"/>
        </w:rPr>
      </w:pPr>
      <w:r>
        <w:rPr>
          <w:rFonts w:ascii="Arial" w:cs="Arial" w:eastAsia="Arial" w:hAnsi="Arial"/>
          <w:sz w:val="17"/>
          <w:szCs w:val="17"/>
          <w:b w:val="1"/>
          <w:bCs w:val="1"/>
          <w:i w:val="1"/>
          <w:iCs w:val="1"/>
          <w:color w:val="auto"/>
        </w:rPr>
        <w:t>Our leases may be terminated or we may be unable to renew our leases on acceptable terms and if we wish to relocate, we may incur additional costs if we terminate a lease.</w:t>
      </w:r>
    </w:p>
    <w:p>
      <w:pPr>
        <w:spacing w:after="0" w:line="12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have made significant capital expenditures to improve several of our leased facilities in order to make them suitable for our purposes as well as to meet requirements that we are subject to as a U.S. government contractor and obtain facility security clearances. However, at the end of the lease term and during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financial condition and results of operations, including significant capital expenses that may materially impact our results of operations and ability to meet certain contractual schedule commitments. Additionally, we may have to seek qualification of any new facilities in order to meet customer or contractual requirements. We would also have to obtain facility security clearances for the new facility in order to continue to perform on classified contracts. Further, we may not be able to secure a replacement facility in a location that is as commercially viable as that of the lease we are unable to renew, due to contracts that may require us to have facilities in certain locations. Having to close a facility, even briefly to relocate, would reduce the sales that such facility would be able to contribute to our revenues. Additionally, a relocated facility may generate less revenue and profit, if any, than the facility it was established to replace.</w:t>
      </w:r>
    </w:p>
    <w:p>
      <w:pPr>
        <w:spacing w:after="0" w:line="144" w:lineRule="exact"/>
        <w:rPr>
          <w:sz w:val="20"/>
          <w:szCs w:val="20"/>
          <w:color w:val="auto"/>
        </w:rPr>
      </w:pPr>
    </w:p>
    <w:p>
      <w:pPr>
        <w:ind w:right="200" w:firstLine="299"/>
        <w:spacing w:after="0" w:line="245" w:lineRule="auto"/>
        <w:rPr>
          <w:sz w:val="20"/>
          <w:szCs w:val="20"/>
          <w:color w:val="auto"/>
        </w:rPr>
      </w:pPr>
      <w:r>
        <w:rPr>
          <w:rFonts w:ascii="Arial" w:cs="Arial" w:eastAsia="Arial" w:hAnsi="Arial"/>
          <w:sz w:val="17"/>
          <w:szCs w:val="17"/>
          <w:color w:val="auto"/>
        </w:rPr>
        <w:t>Additionally, many of our facilities are located on leased premises subject to non -cancellable leases. Typically, our leases have initial terms ranging from five to 20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Our inability to terminate a lease when we stop fully utilizing a facility could negatively impact our business, financial condition and results of operations.</w:t>
      </w:r>
    </w:p>
    <w:p>
      <w:pPr>
        <w:spacing w:after="0" w:line="12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We cannot predict the consequences of future geo-political events, but they may adversely affect the markets in which we operate, our ability to insure against risks, our operations or our results of operations.</w:t>
      </w:r>
    </w:p>
    <w:p>
      <w:pPr>
        <w:spacing w:after="0" w:line="121" w:lineRule="exact"/>
        <w:rPr>
          <w:sz w:val="20"/>
          <w:szCs w:val="20"/>
          <w:color w:val="auto"/>
        </w:rPr>
      </w:pPr>
    </w:p>
    <w:p>
      <w:pPr>
        <w:ind w:right="60" w:firstLine="299"/>
        <w:spacing w:after="0" w:line="247" w:lineRule="auto"/>
        <w:rPr>
          <w:sz w:val="20"/>
          <w:szCs w:val="20"/>
          <w:color w:val="auto"/>
        </w:rPr>
      </w:pPr>
      <w:r>
        <w:rPr>
          <w:rFonts w:ascii="Arial" w:cs="Arial" w:eastAsia="Arial" w:hAnsi="Arial"/>
          <w:sz w:val="17"/>
          <w:szCs w:val="17"/>
          <w:color w:val="auto"/>
        </w:rPr>
        <w:t>Ongoing instability and current conflicts in global markets, including in the Middle East and Asia, and the potential for other conflicts and future terrorist activities and other recent geo-political events throughout the world, including new or increased tariffs and potential trade wars have created and continue to create economic and political uncertainties and impacts that could have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4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impact on our business, financial condition and results of operations. These matters cause uncertainty in the world’s financial and insurance markets and may significantly increase the political, economic and social instability in the geographic areas in which we operate. Such instability and any resulting changes in laws, regulations or security risks may dramatically affect our ability to conduct or continue to conduct business in the impacted international markets. If credit in financial markets outside of the U.S. tightened, it could adversely affect the ability of our customers and suppliers to obtain financing and could result in a decrease in or cancellation of orders for our products, systems and services or impact the ability of our customers to make payments. These matters may cause us to incur increased costs or experience difficulty with future borrowings under our credit facilities or in the debt capital markets, future issuances of common stock or other equity securities or otherwise with financing our operating, investing (including any future acquisitions) or financing activities. These matters also may cause our insurance coverages to increase in cost, or in some cases, to be unavailable altogether.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Status as a Controlled Company and under the Proxy Agreement</w:t>
      </w:r>
    </w:p>
    <w:p>
      <w:pPr>
        <w:spacing w:after="0" w:line="153" w:lineRule="exact"/>
        <w:rPr>
          <w:sz w:val="20"/>
          <w:szCs w:val="20"/>
          <w:color w:val="auto"/>
        </w:rPr>
      </w:pPr>
    </w:p>
    <w:p>
      <w:pPr>
        <w:jc w:val="both"/>
        <w:ind w:right="520"/>
        <w:spacing w:after="0" w:line="259" w:lineRule="auto"/>
        <w:rPr>
          <w:sz w:val="20"/>
          <w:szCs w:val="20"/>
          <w:color w:val="auto"/>
        </w:rPr>
      </w:pPr>
      <w:r>
        <w:rPr>
          <w:rFonts w:ascii="Arial" w:cs="Arial" w:eastAsia="Arial" w:hAnsi="Arial"/>
          <w:sz w:val="17"/>
          <w:szCs w:val="17"/>
          <w:b w:val="1"/>
          <w:bCs w:val="1"/>
          <w:i w:val="1"/>
          <w:iCs w:val="1"/>
          <w:color w:val="auto"/>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Following this offering, Leonardo S.p.A., an Italian company listed on the Milan Stock Exchange, will continue to own the entire share capital of our</w:t>
      </w:r>
    </w:p>
    <w:p>
      <w:pPr>
        <w:spacing w:after="0" w:line="15" w:lineRule="exact"/>
        <w:rPr>
          <w:sz w:val="20"/>
          <w:szCs w:val="20"/>
          <w:color w:val="auto"/>
        </w:rPr>
      </w:pPr>
    </w:p>
    <w:p>
      <w:pPr>
        <w:spacing w:after="0"/>
        <w:tabs>
          <w:tab w:leader="none" w:pos="6300" w:val="left"/>
        </w:tabs>
        <w:rPr>
          <w:sz w:val="20"/>
          <w:szCs w:val="20"/>
          <w:color w:val="auto"/>
        </w:rPr>
      </w:pPr>
      <w:r>
        <w:rPr>
          <w:rFonts w:ascii="Arial" w:cs="Arial" w:eastAsia="Arial" w:hAnsi="Arial"/>
          <w:sz w:val="17"/>
          <w:szCs w:val="17"/>
          <w:color w:val="auto"/>
        </w:rPr>
        <w:t>immediate parent US Holding which, in turn, will beneficially own approximately</w:t>
      </w:r>
      <w:r>
        <w:rPr>
          <w:sz w:val="20"/>
          <w:szCs w:val="20"/>
          <w:color w:val="auto"/>
        </w:rPr>
        <w:tab/>
      </w:r>
      <w:r>
        <w:rPr>
          <w:rFonts w:ascii="Arial" w:cs="Arial" w:eastAsia="Arial" w:hAnsi="Arial"/>
          <w:sz w:val="16"/>
          <w:szCs w:val="16"/>
          <w:color w:val="auto"/>
        </w:rPr>
        <w:t>% of the voting power of our outstanding common stock (or</w:t>
      </w:r>
    </w:p>
    <w:p>
      <w:pPr>
        <w:spacing w:after="0" w:line="4" w:lineRule="exact"/>
        <w:rPr>
          <w:sz w:val="20"/>
          <w:szCs w:val="20"/>
          <w:color w:val="auto"/>
        </w:rPr>
      </w:pPr>
    </w:p>
    <w:p>
      <w:pPr>
        <w:ind w:firstLine="414"/>
        <w:spacing w:after="0" w:line="259" w:lineRule="auto"/>
        <w:tabs>
          <w:tab w:leader="none" w:pos="6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underwriters exercise their option to purchase additional shares in full). As a result, we are deemed to be controlled by a foreign company and to be under FOCI, as defined in the NISPOM, which establishes procedures and requirements for government contractors, such as our company, with regard to classified information. See “—</w:t>
      </w:r>
      <w:r>
        <w:rPr>
          <w:rFonts w:ascii="Arial" w:cs="Arial" w:eastAsia="Arial" w:hAnsi="Arial"/>
          <w:sz w:val="16"/>
          <w:szCs w:val="16"/>
          <w:i w:val="1"/>
          <w:iCs w:val="1"/>
          <w:color w:val="auto"/>
        </w:rPr>
        <w:t>Risks Relating to Our Business</w:t>
      </w:r>
      <w:r>
        <w:rPr>
          <w:rFonts w:ascii="Arial" w:cs="Arial" w:eastAsia="Arial" w:hAnsi="Arial"/>
          <w:sz w:val="16"/>
          <w:szCs w:val="16"/>
          <w:color w:val="auto"/>
        </w:rPr>
        <w:t>—</w:t>
      </w:r>
      <w:r>
        <w:rPr>
          <w:rFonts w:ascii="Arial" w:cs="Arial" w:eastAsia="Arial" w:hAnsi="Arial"/>
          <w:sz w:val="16"/>
          <w:szCs w:val="16"/>
          <w:i w:val="1"/>
          <w:iCs w:val="1"/>
          <w:color w:val="auto"/>
        </w:rPr>
        <w:t>We are subject to the U.S. government’s requirements, including the DoD’s</w:t>
      </w:r>
      <w:r>
        <w:rPr>
          <w:rFonts w:ascii="Arial" w:cs="Arial" w:eastAsia="Arial" w:hAnsi="Arial"/>
          <w:sz w:val="16"/>
          <w:szCs w:val="16"/>
          <w:color w:val="auto"/>
        </w:rPr>
        <w:t xml:space="preserve"> </w:t>
      </w:r>
      <w:r>
        <w:rPr>
          <w:rFonts w:ascii="Arial" w:cs="Arial" w:eastAsia="Arial" w:hAnsi="Arial"/>
          <w:sz w:val="16"/>
          <w:szCs w:val="16"/>
          <w:i w:val="1"/>
          <w:iCs w:val="1"/>
          <w:color w:val="auto"/>
        </w:rPr>
        <w:t>National Industrial Security Program Operating Manual, for our facility security clearances, which are prerequisites to our ability to perform on classified contracts for the U.S. government</w:t>
      </w:r>
      <w:r>
        <w:rPr>
          <w:rFonts w:ascii="Arial" w:cs="Arial" w:eastAsia="Arial" w:hAnsi="Arial"/>
          <w:sz w:val="16"/>
          <w:szCs w:val="16"/>
          <w:color w:val="auto"/>
        </w:rPr>
        <w:t>.” Furthermore, the combination of the Italian state beneficially owning approximately 30.2% of Leonardo S.p.A.’s voting</w:t>
      </w:r>
      <w:r>
        <w:rPr>
          <w:rFonts w:ascii="Arial" w:cs="Arial" w:eastAsia="Arial" w:hAnsi="Arial"/>
          <w:sz w:val="16"/>
          <w:szCs w:val="16"/>
          <w:i w:val="1"/>
          <w:iCs w:val="1"/>
          <w:color w:val="auto"/>
        </w:rPr>
        <w:t xml:space="preserve"> </w:t>
      </w:r>
      <w:r>
        <w:rPr>
          <w:rFonts w:ascii="Arial" w:cs="Arial" w:eastAsia="Arial" w:hAnsi="Arial"/>
          <w:sz w:val="16"/>
          <w:szCs w:val="16"/>
          <w:color w:val="auto"/>
        </w:rPr>
        <w:t>power (through its ownership of approximately 30.2% of the outstanding ordinary shares of Leonardo S.p.A.), and the governance of Leonardo S.p.A. itself, has led DRS to be deemed to be controlled by a foreign government by certain U.S. regulatory authorities. In order to be permitted to maintain our security clearances and our access to classified data and to perform or bid on classified programs, we are required to mitigate FOCI through a proxy agreement. We have therefore entered into a proxy agreement, dated as of October 26, 2017, with the DoD. Following this offering, we expect to enter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20" w:type="dxa"/>
            <w:vAlign w:val="bottom"/>
          </w:tcPr>
          <w:p>
            <w:pPr>
              <w:spacing w:after="0"/>
              <w:rPr>
                <w:sz w:val="20"/>
                <w:szCs w:val="20"/>
                <w:color w:val="auto"/>
              </w:rPr>
            </w:pPr>
            <w:r>
              <w:rPr>
                <w:rFonts w:ascii="Arial" w:cs="Arial" w:eastAsia="Arial" w:hAnsi="Arial"/>
                <w:sz w:val="17"/>
                <w:szCs w:val="17"/>
                <w:color w:val="auto"/>
              </w:rPr>
              <w:t>into an amended and restated proxy agreement and the parties to the proxy agreement have entered into a commitment letter, dated as of</w:t>
            </w:r>
          </w:p>
        </w:tc>
        <w:tc>
          <w:tcPr>
            <w:tcW w:w="800" w:type="dxa"/>
            <w:vAlign w:val="bottom"/>
          </w:tcPr>
          <w:p>
            <w:pPr>
              <w:jc w:val="right"/>
              <w:spacing w:after="0"/>
              <w:rPr>
                <w:sz w:val="20"/>
                <w:szCs w:val="20"/>
                <w:color w:val="auto"/>
              </w:rPr>
            </w:pPr>
            <w:r>
              <w:rPr>
                <w:rFonts w:ascii="Arial" w:cs="Arial" w:eastAsia="Arial" w:hAnsi="Arial"/>
                <w:sz w:val="17"/>
                <w:szCs w:val="17"/>
                <w:color w:val="auto"/>
              </w:rPr>
              <w:t>, 2021,</w:t>
            </w:r>
          </w:p>
        </w:tc>
      </w:tr>
    </w:tbl>
    <w:p>
      <w:pPr>
        <w:ind w:right="220"/>
        <w:spacing w:after="0" w:line="247" w:lineRule="auto"/>
        <w:rPr>
          <w:sz w:val="20"/>
          <w:szCs w:val="20"/>
          <w:color w:val="auto"/>
        </w:rPr>
      </w:pPr>
      <w:r>
        <w:rPr>
          <w:rFonts w:ascii="Arial" w:cs="Arial" w:eastAsia="Arial" w:hAnsi="Arial"/>
          <w:sz w:val="17"/>
          <w:szCs w:val="17"/>
          <w:color w:val="auto"/>
        </w:rPr>
        <w:t>as to the form and content of the amended and restated proxy agreement which allows us to operate as if the amended and restated proxy agreement were already in effect. The description of the proxy agreement in this prospectus therefore reflects the terms of the proxy agreement as it will be amended and restated, in accordance with the commitment letter, following this offering. Among other things, the proxy agreement:</w:t>
      </w:r>
    </w:p>
    <w:p>
      <w:pPr>
        <w:spacing w:after="0" w:line="143" w:lineRule="exact"/>
        <w:rPr>
          <w:sz w:val="20"/>
          <w:szCs w:val="20"/>
          <w:color w:val="auto"/>
        </w:rPr>
      </w:pPr>
    </w:p>
    <w:p>
      <w:pPr>
        <w:ind w:left="600" w:right="140" w:hanging="302"/>
        <w:spacing w:after="0" w:line="247"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w:t>
      </w:r>
    </w:p>
    <w:p>
      <w:pPr>
        <w:spacing w:after="0" w:line="143" w:lineRule="exact"/>
        <w:rPr>
          <w:rFonts w:ascii="Arial" w:cs="Arial" w:eastAsia="Arial" w:hAnsi="Arial"/>
          <w:sz w:val="17"/>
          <w:szCs w:val="17"/>
          <w:color w:val="auto"/>
        </w:rPr>
      </w:pPr>
    </w:p>
    <w:p>
      <w:pPr>
        <w:ind w:left="600" w:hanging="302"/>
        <w:spacing w:after="0" w:line="280"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provides that the proxy holders are appointed by our immediate parent US Holding (in consultation with Leonardo S.p.A.)., but the appointment is subject to approval of the DCSA, an agency of the DoD, and that the proxy holders must be members of our board of directors;</w:t>
      </w:r>
    </w:p>
    <w:p>
      <w:pPr>
        <w:spacing w:after="0" w:line="118" w:lineRule="exact"/>
        <w:rPr>
          <w:rFonts w:ascii="Arial" w:cs="Arial" w:eastAsia="Arial" w:hAnsi="Arial"/>
          <w:sz w:val="16"/>
          <w:szCs w:val="16"/>
          <w:color w:val="auto"/>
        </w:rPr>
      </w:pPr>
    </w:p>
    <w:p>
      <w:pPr>
        <w:ind w:left="600" w:hanging="302"/>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restricts our ability to share facilities and personnel with and receive certain services from any Leonardo S.p.A. or its other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20"/>
          </w:cols>
          <w:pgMar w:left="320" w:top="1440" w:right="359" w:bottom="1440" w:gutter="0" w:footer="0" w:header="0"/>
        </w:sectPr>
      </w:pPr>
    </w:p>
    <w:bookmarkStart w:id="51" w:name="page52"/>
    <w:bookmarkEnd w:id="51"/>
    <w:p>
      <w:pPr>
        <w:spacing w:after="0" w:line="43" w:lineRule="exact"/>
        <w:rPr>
          <w:sz w:val="20"/>
          <w:szCs w:val="20"/>
          <w:color w:val="auto"/>
        </w:rPr>
      </w:pPr>
    </w:p>
    <w:p>
      <w:pPr>
        <w:ind w:left="600" w:hanging="302"/>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requires us to maintain a government security committee of our board of directors; and</w:t>
      </w:r>
    </w:p>
    <w:p>
      <w:pPr>
        <w:spacing w:after="0" w:line="152" w:lineRule="exact"/>
        <w:rPr>
          <w:rFonts w:ascii="Arial" w:cs="Arial" w:eastAsia="Arial" w:hAnsi="Arial"/>
          <w:sz w:val="17"/>
          <w:szCs w:val="17"/>
          <w:color w:val="auto"/>
        </w:rPr>
      </w:pPr>
    </w:p>
    <w:p>
      <w:pPr>
        <w:ind w:left="600" w:right="320" w:hanging="302"/>
        <w:spacing w:after="0" w:line="250" w:lineRule="auto"/>
        <w:tabs>
          <w:tab w:leader="none" w:pos="5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regulates meetings, visits and communications that are not deemed to be routine business visits between us and Leonardo S.p.A. or its other subsidiaries (including US Holding).</w:t>
      </w:r>
    </w:p>
    <w:p>
      <w:pPr>
        <w:spacing w:after="0" w:line="140"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Compliance with the proxy agreement requires a significant commitment of resources and management and board oversight, and the DoD may impose additional security safeguards that it believes necessary to adequately safeguard classified and controlled unclassified information, which could make it more difficult for us to comply with the proxy agreement. Under the proxy agreement we are required to prepare and submit an annual implementation and compliance report to the DCSA including detailed information with respect to the manner in which we comply with the proxy agreement including with respect to classified information, any acts of noncompliance and other matters specified by DCSA. We are subject to regular audits of our FOCI compliance and have at times been found to not have strictly complied with our proxy agreement or relevant security requirements but have not to date been sanctioned for any such noncompliance. Additionally, the restrictions imposed by the proxy agreement on our communications and ability to share facilities, personnel and services with Leonardo S.p.A. or its other subsidiaries mean that we cannot benefit from the full range of synergies and cost savings typically enjoyed by a majority-owned subsidiary.</w:t>
      </w:r>
    </w:p>
    <w:p>
      <w:pPr>
        <w:spacing w:after="0" w:line="145"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In the event of a material breach of the proxy agreement, the DoD may (i) novate our classified contracts to a company not under FOCI at our expense, (ii) terminate our classified contracts and deny us new classified contracts, (iii) revoke our facility security clearance and/or (iv) suspend or debar us from participation in all U.S. government contracts. We depend on revenues from contracts and subcontracts with the U.S. government, including defense-related programs with the DoD and a broad range of programs with the U.S. Army and U.S. Navy. See “—</w:t>
      </w:r>
      <w:r>
        <w:rPr>
          <w:rFonts w:ascii="Arial" w:cs="Arial" w:eastAsia="Arial" w:hAnsi="Arial"/>
          <w:sz w:val="17"/>
          <w:szCs w:val="17"/>
          <w:i w:val="1"/>
          <w:iCs w:val="1"/>
          <w:color w:val="auto"/>
        </w:rPr>
        <w:t>Risks Relating to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color w:val="auto"/>
        </w:rPr>
        <w:t>—</w:t>
      </w:r>
      <w:r>
        <w:rPr>
          <w:rFonts w:ascii="Arial" w:cs="Arial" w:eastAsia="Arial" w:hAnsi="Arial"/>
          <w:sz w:val="17"/>
          <w:szCs w:val="17"/>
          <w:i w:val="1"/>
          <w:iCs w:val="1"/>
          <w:color w:val="auto"/>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r>
        <w:rPr>
          <w:rFonts w:ascii="Arial" w:cs="Arial" w:eastAsia="Arial" w:hAnsi="Arial"/>
          <w:sz w:val="17"/>
          <w:szCs w:val="17"/>
          <w:color w:val="auto"/>
        </w:rPr>
        <w:t>” Therefore, if we</w:t>
      </w:r>
      <w:r>
        <w:rPr>
          <w:rFonts w:ascii="Arial" w:cs="Arial" w:eastAsia="Arial" w:hAnsi="Arial"/>
          <w:sz w:val="17"/>
          <w:szCs w:val="17"/>
          <w:i w:val="1"/>
          <w:iCs w:val="1"/>
          <w:color w:val="auto"/>
        </w:rPr>
        <w:t xml:space="preserve"> </w:t>
      </w:r>
      <w:r>
        <w:rPr>
          <w:rFonts w:ascii="Arial" w:cs="Arial" w:eastAsia="Arial" w:hAnsi="Arial"/>
          <w:sz w:val="17"/>
          <w:szCs w:val="17"/>
          <w:color w:val="auto"/>
        </w:rPr>
        <w:t>fail to comply with the terms of the proxy agreement and the DoD imposes any of the above remedies, this could have a material adverse impact on our business, financial condition and results of operations. For further information about the proxy agreement, see “Certain Relationships and Related-Party Transactions—Relationship with Leonardo S.p.A. Following this Offering—Proxy Agreement.”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CFIUS may modify, delay or prevent our future acquisition or investment activities.</w:t>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are considered a “foreign person” under the regulations administered by CFIUS and will continue to be considered as such in the future for so long as Leonardo S.p.A. has the ability to exercise control over us for purposes of CFIUS’s regulations. As such, acquisitions of or investments in U.S. businesses or foreign companies with U.S. businesses that we may wish to pursue may be subject to CFIUS review, the scope of which was recently expanded by the Foreign Investment Risk Review Modernization Act of 2018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a particular proposed acquisition or investment in a U.S. business falls within CFIUS’s jurisdiction, we may determine that we are required to make a mandatory filing or that we will submit a voluntary notice to CFIUS, or to proceed with the transaction without notifying CFIUS and risk CFIUS intervention, before or after closing the transaction. CFIUS may decide to block or delay an acquisition or investment by us, impose conditions to mitigate national security concerns with respect to such acquisition or investment or order us to divest all or a portion of a U.S. business that we acquired without first obtaining CFIUS clearance, which may limit the attractiveness of or prevent us from pursuing certain acquisitions or investments that we believe would otherwise be beneficial to us and our stockholders. We may therefore be adversely affected in terms of competing with other companies in our industry which do not have similar foreign ownership issues. Furthermore, because the Italian state beneficially owns approximately 30.2% of the voting power of the outstanding ordinary shares of, and exercises certain governance rights over, Leonardo S.p.A. (through its ownership of approximately 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4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of Leonardo S.p.A.’s ordinary shares), which in turn has the ability to exercise control over us for purposes of CFIUS’s regulations, we are considered to be foreign government controlled under the regulations administered by CFIUS. Foreign -government-controlled investors may be subject to a higher level of CFIUS scrutiny than non-foreign-government-controlled investors. Additionally, future foreign investments in us could be within the jurisdiction of CFIUS and, given the nature of our business, may trigger a mandatory CFIUS notification requirement or warrant voluntary notification to CFIUS, impacting our ability to attract such investment. Further, CFIUS may decide to block, delay, or impose material conditions on any such future foreign investment in us that it reviews.</w:t>
      </w:r>
    </w:p>
    <w:p>
      <w:pPr>
        <w:spacing w:after="0" w:line="147" w:lineRule="exact"/>
        <w:rPr>
          <w:sz w:val="20"/>
          <w:szCs w:val="20"/>
          <w:color w:val="auto"/>
        </w:rPr>
      </w:pPr>
    </w:p>
    <w:p>
      <w:pPr>
        <w:ind w:right="600" w:firstLine="299"/>
        <w:spacing w:after="0" w:line="250" w:lineRule="auto"/>
        <w:rPr>
          <w:sz w:val="20"/>
          <w:szCs w:val="20"/>
          <w:color w:val="auto"/>
        </w:rPr>
      </w:pPr>
      <w:r>
        <w:rPr>
          <w:rFonts w:ascii="Arial" w:cs="Arial" w:eastAsia="Arial" w:hAnsi="Arial"/>
          <w:sz w:val="17"/>
          <w:szCs w:val="17"/>
          <w:color w:val="auto"/>
        </w:rPr>
        <w:t>Because we are deemed to be controlled by a foreign company, we are required to mitigate FOCI through our proxy agreement. See “Certain Relationships and Related-Party Transactions—Relationship with Leonardo S.p.A. Following this Offering—Proxy Agreement.”</w:t>
      </w:r>
    </w:p>
    <w:p>
      <w:pPr>
        <w:spacing w:after="0" w:line="120" w:lineRule="exact"/>
        <w:rPr>
          <w:sz w:val="20"/>
          <w:szCs w:val="20"/>
          <w:color w:val="auto"/>
        </w:rPr>
      </w:pPr>
    </w:p>
    <w:p>
      <w:pPr>
        <w:ind w:right="1100"/>
        <w:spacing w:after="0" w:line="274" w:lineRule="auto"/>
        <w:rPr>
          <w:sz w:val="20"/>
          <w:szCs w:val="20"/>
          <w:color w:val="auto"/>
        </w:rPr>
      </w:pPr>
      <w:r>
        <w:rPr>
          <w:rFonts w:ascii="Arial" w:cs="Arial" w:eastAsia="Arial" w:hAnsi="Arial"/>
          <w:sz w:val="17"/>
          <w:szCs w:val="17"/>
          <w:b w:val="1"/>
          <w:bCs w:val="1"/>
          <w:i w:val="1"/>
          <w:iCs w:val="1"/>
          <w:color w:val="auto"/>
        </w:rPr>
        <w:t>Our ultimate majority stockholder, Leonardo S.p.A., may have interests that are different from, or conflict with, those of our other stockholders, and their significant ownership in us may discourage change of control transactions.</w:t>
      </w:r>
    </w:p>
    <w:p>
      <w:pPr>
        <w:spacing w:after="0" w:line="12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proxy agreement 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 The proxy holders have the right to vote US Holding’s shares of our common stock in the same manner and to the same extent as if they were the absolute owners of such shares in their own right. In exercising their power as proxy holders, the proxy holders are directed to act to protect the legitimate economic interests of our shareholders and in a manner consistent with their fiduciary duties, but they are not generally required to follow instructions of Leonardo S.p.A., US Holding or us.</w:t>
      </w:r>
    </w:p>
    <w:p>
      <w:pPr>
        <w:spacing w:after="0" w:line="147" w:lineRule="exact"/>
        <w:rPr>
          <w:sz w:val="20"/>
          <w:szCs w:val="20"/>
          <w:color w:val="auto"/>
        </w:rPr>
      </w:pPr>
    </w:p>
    <w:p>
      <w:pPr>
        <w:ind w:right="220" w:firstLine="299"/>
        <w:spacing w:after="0" w:line="199" w:lineRule="exact"/>
        <w:rPr>
          <w:sz w:val="20"/>
          <w:szCs w:val="20"/>
          <w:color w:val="auto"/>
        </w:rPr>
      </w:pPr>
      <w:r>
        <w:rPr>
          <w:rFonts w:ascii="Arial" w:cs="Arial" w:eastAsia="Arial" w:hAnsi="Arial"/>
          <w:sz w:val="16"/>
          <w:szCs w:val="16"/>
          <w:color w:val="auto"/>
        </w:rPr>
        <w:t>The proxy agreement provides that the proxy holders may vote for or consent to in, their sole and absolute discretion, without consultation with US Holding or Leonardo S.p.A., the election of additional directors who are not proxy holders (and who are selected from candidates proposed by US Holding after reasonable consultation with our nominating and corporate governance committee, and subject to DCSA’s approval in certain circumstances), any changes or amendments to our certificate of incorporation or by</w:t>
      </w:r>
      <w:r>
        <w:rPr>
          <w:rFonts w:ascii="MS PGothic" w:cs="MS PGothic" w:eastAsia="MS PGothic" w:hAnsi="MS PGothic"/>
          <w:sz w:val="16"/>
          <w:szCs w:val="16"/>
          <w:color w:val="auto"/>
        </w:rPr>
        <w:t>‑</w:t>
      </w:r>
      <w:r>
        <w:rPr>
          <w:rFonts w:ascii="Arial" w:cs="Arial" w:eastAsia="Arial" w:hAnsi="Arial"/>
          <w:sz w:val="16"/>
          <w:szCs w:val="16"/>
          <w:color w:val="auto"/>
        </w:rPr>
        <w:t>laws, the sale or disposal of our property, assets or business, our incurrence of debt or any pledge, mortgage or encumbrance of any of our assets, or any other matter affecting us, other than as described below.</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However, the proxy holders may only vote for or consent to, with the express written approval of US Holding:</w:t>
      </w:r>
    </w:p>
    <w:p>
      <w:pPr>
        <w:spacing w:after="0" w:line="153" w:lineRule="exact"/>
        <w:rPr>
          <w:sz w:val="20"/>
          <w:szCs w:val="20"/>
          <w:color w:val="auto"/>
        </w:rPr>
      </w:pPr>
    </w:p>
    <w:p>
      <w:pPr>
        <w:ind w:left="600" w:right="100" w:hanging="302"/>
        <w:spacing w:after="0" w:line="264"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than in the ordinary course of business with vendors, customers and suppliers, the sale or disposition of any of our subsidiaries, property, assets or business or those of our subsidiaries or the purchase by us or our subsidiaries of any business, properties, assets or entities, other than in the ordinary course of business, in any individual transaction where our investment (based on our share of the enterprise value) exceeds two percent (2%) of our revenues for the immediately preceding year or where our investment, in the aggregate for all such sales or dispositions in a calendar year, exceeds an amount equal to five percent (5%) of our revenues for the immediately preceding year;</w:t>
      </w:r>
    </w:p>
    <w:p>
      <w:pPr>
        <w:spacing w:after="0" w:line="132" w:lineRule="exact"/>
        <w:rPr>
          <w:rFonts w:ascii="Arial" w:cs="Arial" w:eastAsia="Arial" w:hAnsi="Arial"/>
          <w:sz w:val="16"/>
          <w:szCs w:val="16"/>
          <w:color w:val="auto"/>
        </w:rPr>
      </w:pPr>
    </w:p>
    <w:p>
      <w:pPr>
        <w:ind w:left="600" w:right="160" w:hanging="302"/>
        <w:spacing w:after="0" w:line="246" w:lineRule="auto"/>
        <w:tabs>
          <w:tab w:leader="none" w:pos="5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incurrence of debt or pledge, mortgage, lease or other encumbrance of our assets of those of our subsidiaries in connection with the incurrence of debt if such incurrence would cause the aggregate outstanding principal amount of all debt of us and our subsidiaries to exceed a target leverage ratio set forth in our then-current operating plan, excluding current debt incurred for purposes of funding day-to-day working capital requirements in the ordinary course of business;</w:t>
      </w:r>
    </w:p>
    <w:p>
      <w:pPr>
        <w:spacing w:after="0" w:line="144" w:lineRule="exact"/>
        <w:rPr>
          <w:rFonts w:ascii="Arial" w:cs="Arial" w:eastAsia="Arial" w:hAnsi="Arial"/>
          <w:sz w:val="17"/>
          <w:szCs w:val="17"/>
          <w:color w:val="auto"/>
        </w:rPr>
      </w:pPr>
    </w:p>
    <w:p>
      <w:pPr>
        <w:ind w:left="600" w:right="300" w:hanging="302"/>
        <w:spacing w:after="0" w:line="250" w:lineRule="auto"/>
        <w:tabs>
          <w:tab w:leader="none" w:pos="5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merger, consolidation, reorganization or dissolution of us of any of our subsidiaries except as permitted above and excluding transactions solely among our wholly owned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43" w:lineRule="exact"/>
        <w:rPr>
          <w:sz w:val="20"/>
          <w:szCs w:val="20"/>
          <w:color w:val="auto"/>
        </w:rPr>
      </w:pPr>
    </w:p>
    <w:p>
      <w:pPr>
        <w:ind w:left="600" w:right="300" w:hanging="302"/>
        <w:spacing w:after="0" w:line="250" w:lineRule="auto"/>
        <w:tabs>
          <w:tab w:leader="none" w:pos="59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filing or making of any petition by us or our subsidiaries under the federal bankruptcy laws or any similar law or statute of any state or any foreign country.</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addition, the proxy holders may only vote to declare or suspend dividends after prior consultation with US Holding.</w:t>
      </w:r>
    </w:p>
    <w:p>
      <w:pPr>
        <w:spacing w:after="0" w:line="15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Conflicts of interest may arise between our majority stockholder and us. Affiliates of our majority stockholder engage in transactions with us. Further, Leonardo S.p.A. and its affiliates may, from time to time, acquire and hold interests in businesses that compete directly or indirectly with us, and they may either directly, or through affiliates, also maintain business relationships with companies that may directly compete with us. In general, Leonardo S.p.A. or its affiliates could pursue business interests that are detrimental to us but beneficial to themselves or to other companies in which they invest or with whom they have a material relationship. Conflicts of interest could also arise with respect to business opportunities that could be advantageous to Leonardo S.p.A., and they may pursue acquisition opportunities that may be complementary to our business. As a result, those acquisition opportunities may not be available to us. Under the terms of our amended and restated certificate of incorporation, neither Leonardo S.p.A. nor US Holding will have an obligation to offer us corporate opportunities.</w:t>
      </w:r>
    </w:p>
    <w:p>
      <w:pPr>
        <w:spacing w:after="0" w:line="146" w:lineRule="exact"/>
        <w:rPr>
          <w:sz w:val="20"/>
          <w:szCs w:val="20"/>
          <w:color w:val="auto"/>
        </w:rPr>
      </w:pPr>
    </w:p>
    <w:p>
      <w:pPr>
        <w:ind w:firstLine="299"/>
        <w:spacing w:after="0" w:line="264" w:lineRule="auto"/>
        <w:rPr>
          <w:sz w:val="20"/>
          <w:szCs w:val="20"/>
          <w:color w:val="auto"/>
        </w:rPr>
      </w:pPr>
      <w:r>
        <w:rPr>
          <w:rFonts w:ascii="Arial" w:cs="Arial" w:eastAsia="Arial" w:hAnsi="Arial"/>
          <w:sz w:val="16"/>
          <w:szCs w:val="16"/>
          <w:color w:val="auto"/>
        </w:rPr>
        <w:t>As a result of these relationships the interests of our ultimate parent, Leonardo S.p.A., may not coincide with our interests or the interests of the other holders of our common stock. So long as Leonardo S.p.A. continues to indirectly control a significant amount of the outstanding shares of our common stock, Leonardo S.p.A. and the proxy holders will continue to be able to strongly influence or effectively control our decisions, including potential mergers or acquisitions, asset sales and other significant corporate transactions. This influence, including the requirement in our proxy agreement for approval by the proxy holders and our majority stockholder of mergers and consolidations, may also discourage change of control transactions.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i w:val="1"/>
          <w:iCs w:val="1"/>
          <w:color w:val="auto"/>
        </w:rPr>
        <w:t>Following this offering, we expect to be a “controlled company” within the meaning of the NYSE rules and, as a result, we will qualify for exemptions from certain corporate governance requirements. You may not have the same protections afforded to stockholders of companies that are subject to such requirements.</w:t>
      </w:r>
    </w:p>
    <w:p>
      <w:pPr>
        <w:spacing w:after="0" w:line="134" w:lineRule="exact"/>
        <w:rPr>
          <w:sz w:val="20"/>
          <w:szCs w:val="20"/>
          <w:color w:val="auto"/>
        </w:rPr>
      </w:pPr>
    </w:p>
    <w:p>
      <w:pPr>
        <w:jc w:val="both"/>
        <w:ind w:right="60" w:firstLine="299"/>
        <w:spacing w:after="0" w:line="247" w:lineRule="auto"/>
        <w:rPr>
          <w:sz w:val="20"/>
          <w:szCs w:val="20"/>
          <w:color w:val="auto"/>
        </w:rPr>
      </w:pPr>
      <w:r>
        <w:rPr>
          <w:rFonts w:ascii="Arial" w:cs="Arial" w:eastAsia="Arial" w:hAnsi="Arial"/>
          <w:sz w:val="17"/>
          <w:szCs w:val="17"/>
          <w:color w:val="auto"/>
        </w:rPr>
        <w:t>Following this offering, we expect to be a “controlled company” within the meaning of the NYSE corporate governance standards. Under these rules, a company of which more than 50% of the voting power is held by an individual, group or another company is a “controlled company” and may elect not to comply with certain NYSE corporate governance standards, including:</w:t>
      </w:r>
    </w:p>
    <w:p>
      <w:pPr>
        <w:spacing w:after="0" w:line="143" w:lineRule="exact"/>
        <w:rPr>
          <w:sz w:val="20"/>
          <w:szCs w:val="20"/>
          <w:color w:val="auto"/>
        </w:rPr>
      </w:pPr>
    </w:p>
    <w:p>
      <w:pPr>
        <w:ind w:left="600" w:hanging="30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requirement that a majority of the Board consist of independent directors;</w:t>
      </w:r>
    </w:p>
    <w:p>
      <w:pPr>
        <w:spacing w:after="0" w:line="152" w:lineRule="exact"/>
        <w:rPr>
          <w:rFonts w:ascii="Arial" w:cs="Arial" w:eastAsia="Arial" w:hAnsi="Arial"/>
          <w:sz w:val="17"/>
          <w:szCs w:val="17"/>
          <w:color w:val="auto"/>
        </w:rPr>
      </w:pPr>
    </w:p>
    <w:p>
      <w:pPr>
        <w:ind w:left="600" w:right="40" w:hanging="302"/>
        <w:spacing w:after="0" w:line="250" w:lineRule="auto"/>
        <w:tabs>
          <w:tab w:leader="none" w:pos="5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independent directors with a written charter addressing the committee’s purpose and responsibilities;</w:t>
      </w:r>
    </w:p>
    <w:p>
      <w:pPr>
        <w:spacing w:after="0" w:line="140" w:lineRule="exact"/>
        <w:rPr>
          <w:rFonts w:ascii="Arial" w:cs="Arial" w:eastAsia="Arial" w:hAnsi="Arial"/>
          <w:sz w:val="17"/>
          <w:szCs w:val="17"/>
          <w:color w:val="auto"/>
        </w:rPr>
      </w:pPr>
    </w:p>
    <w:p>
      <w:pPr>
        <w:jc w:val="both"/>
        <w:ind w:left="600" w:right="120" w:hanging="302"/>
        <w:spacing w:after="0" w:line="247" w:lineRule="auto"/>
        <w:tabs>
          <w:tab w:leader="none" w:pos="5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requirement that our nominating and corporate governance committee be composed entirely of independent directors with a written charter addressing the committee’s purpose and responsibilities, or otherwise have director nominees selected by vote of a majority of the independent directors; and</w:t>
      </w:r>
    </w:p>
    <w:p>
      <w:pPr>
        <w:spacing w:after="0" w:line="143" w:lineRule="exact"/>
        <w:rPr>
          <w:rFonts w:ascii="Arial" w:cs="Arial" w:eastAsia="Arial" w:hAnsi="Arial"/>
          <w:sz w:val="17"/>
          <w:szCs w:val="17"/>
          <w:color w:val="auto"/>
        </w:rPr>
      </w:pPr>
    </w:p>
    <w:p>
      <w:pPr>
        <w:ind w:left="600" w:hanging="30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153" w:lineRule="exact"/>
        <w:rPr>
          <w:sz w:val="20"/>
          <w:szCs w:val="20"/>
          <w:color w:val="auto"/>
        </w:rPr>
      </w:pPr>
    </w:p>
    <w:p>
      <w:pPr>
        <w:jc w:val="both"/>
        <w:ind w:right="100" w:firstLine="299"/>
        <w:spacing w:after="0" w:line="247" w:lineRule="auto"/>
        <w:rPr>
          <w:sz w:val="20"/>
          <w:szCs w:val="20"/>
          <w:color w:val="auto"/>
        </w:rPr>
      </w:pPr>
      <w:r>
        <w:rPr>
          <w:rFonts w:ascii="Arial" w:cs="Arial" w:eastAsia="Arial" w:hAnsi="Arial"/>
          <w:sz w:val="17"/>
          <w:szCs w:val="17"/>
          <w:color w:val="auto"/>
        </w:rPr>
        <w:t>While we do not currently intend to use these exemptions, we may in the future decide to do so. Consequently, you may not be entitled to the same protections afforded to stockholders of companies that are subject to all NYSE corporate governance rules and requirements. Our status as a controlled company could make our common stock less attractive to some investors or otherwise harm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20"/>
          </w:cols>
          <w:pgMar w:left="320" w:top="1440" w:right="359" w:bottom="1440" w:gutter="0" w:footer="0" w:header="0"/>
        </w:sectPr>
      </w:pPr>
    </w:p>
    <w:bookmarkStart w:id="54" w:name="page55"/>
    <w:bookmarkEnd w:id="54"/>
    <w:p>
      <w:pPr>
        <w:spacing w:after="0" w:line="23"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that we will waive any interest or expectancy in corporate opportunities presented to Leonardo S.p.A.</w:t>
      </w:r>
    </w:p>
    <w:p>
      <w:pPr>
        <w:spacing w:after="0" w:line="121" w:lineRule="exact"/>
        <w:rPr>
          <w:sz w:val="20"/>
          <w:szCs w:val="20"/>
          <w:color w:val="auto"/>
        </w:rPr>
      </w:pPr>
    </w:p>
    <w:p>
      <w:pPr>
        <w:ind w:firstLine="299"/>
        <w:spacing w:after="0" w:line="261" w:lineRule="auto"/>
        <w:rPr>
          <w:sz w:val="20"/>
          <w:szCs w:val="20"/>
          <w:color w:val="auto"/>
        </w:rPr>
      </w:pPr>
      <w:r>
        <w:rPr>
          <w:rFonts w:ascii="Arial" w:cs="Arial" w:eastAsia="Arial" w:hAnsi="Arial"/>
          <w:sz w:val="16"/>
          <w:szCs w:val="16"/>
          <w:color w:val="auto"/>
        </w:rPr>
        <w:t>Our amended and restated certificate of incorporation will provide that we, on our behalf and on behalf of our subsidiaries, renounce and waive any interest or expectancy in, or in being offered an opportunity to participate in, corporate opportunities that are from time to time presented to Leonardo S.p.A., or its officers, directors, agents, stockholders, members, partners, affiliates or subsidiaries, with the exception of the proxy holders, even if the opportunity is one that we or our subsidiaries might reasonably have pursued or had the ability or desire to pursue if granted the opportunity to do so. None of Leonardo S.p.A. or its agents, stockholders, members, partners, affiliates or subsidiaries, with the exception of the proxy holders, will generally be liable to us or any of our subsidiaries for breach of any fiduciary or other duty by reason of the fact that such person pursues, acquires or participates in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amended and restated certificate of incorporation. This will allow Leonardo S.p.A. and its affiliates to compete with us. Strong competition for investment opportunities could result in fewer such opportunities for us. We likely will not always be able to compete successfully with our competitors and competitive pressures or other factors may also result in significant price competition, particularly during industry downturns, which could have a material adverse impact on our business, financial condition and results of operations.</w:t>
      </w:r>
    </w:p>
    <w:p>
      <w:pPr>
        <w:spacing w:after="0" w:line="117"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b w:val="1"/>
          <w:bCs w:val="1"/>
          <w:i w:val="1"/>
          <w:iCs w:val="1"/>
          <w:color w:val="auto"/>
        </w:rPr>
        <w:t>If US Holding sells a controlling interest in our company to a third party in a private transaction, you may not realize any change of control premium on shares of our common stock and we may become subject to the control of a presently unknown third party.</w:t>
      </w:r>
    </w:p>
    <w:p>
      <w:pPr>
        <w:spacing w:after="0" w:line="121"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 xml:space="preserve">US Holding will have the ability, should it choose to do so, to sell some or all of its shares of our common stock in a privately negotiated transaction, subject to the terms of the lock-up agreements described in the section “Shares Eligible For Future Sale”. If such a transaction were to be sufficient in size, it could result in a change of control of DRS. The ability of US Holding to privately sell such shares of our common stock, with no requirement for a concurrent offer to be made to acquire all of the shares of our common stock that will be publicly traded hereafter, could prevent you from realizing any change-of-control premium on your shares of our common stock that may otherwise accrue to US Holding upon its private sale of our common stock. Additionally, if US Holding privately sells a significant equity interest in us, we may become subject to the control of a presently unknown third party. Such third party may have conflicts of interest with the interests of other stockholders. For additional information on the tax implications of a change in ownership, see </w:t>
      </w:r>
      <w:r>
        <w:rPr>
          <w:rFonts w:ascii="Arial" w:cs="Arial" w:eastAsia="Arial" w:hAnsi="Arial"/>
          <w:sz w:val="17"/>
          <w:szCs w:val="17"/>
          <w:i w:val="1"/>
          <w:iCs w:val="1"/>
          <w:color w:val="auto"/>
        </w:rPr>
        <w:t>“—Risks Relating to Our Business—Our ability to use our net operating losses to offset future taxable income may be subject to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limitations.”</w:t>
      </w:r>
    </w:p>
    <w:p>
      <w:pPr>
        <w:spacing w:after="0" w:line="1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b w:val="1"/>
          <w:bCs w:val="1"/>
          <w:i w:val="1"/>
          <w:iCs w:val="1"/>
          <w:color w:val="auto"/>
        </w:rPr>
        <w:t>Following this offering, we will continue to be obligated to provide certain services to Leonardo S.p.A., which may divert human and financial resources from our business, and to rely on provision of certain services from Leonardo S.p.A., which we may be unable to replicate should the need arise.</w:t>
      </w:r>
    </w:p>
    <w:p>
      <w:pPr>
        <w:spacing w:after="0" w:line="134"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Although we operate largely independently from Leonardo S.p.A. and the proxy agreement contains limitations on services that we may provide to and receive from Leonardo S.p.A. and its affiliates, we have historically provided, and expect to continue to provide, certain services to Leonardo S.p.A. and its affiliates to support its U.S. operations (aside from us) and have historically received and expect to continue to receive certain services from Leonardo S.p.A., including services related to group training support, subject in all cases to the proxy agreement. Following this offering, we will continue to provide or procure certain services to or from Leonardo S.p.A. and its affiliates and Leonardo S.p.A. and its affiliates will continue to provide or procure certain services to or from us pursuant to the tax allocation agreement and existing Affiliated Operations Plan (“AOP”) services agreements which will continue pursuant to the terms of such contracts. The tax allocation agreement will remain in effect until terminated upon the written agreement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43" w:lineRule="exact"/>
        <w:rPr>
          <w:sz w:val="20"/>
          <w:szCs w:val="20"/>
          <w:color w:val="auto"/>
        </w:rPr>
      </w:pPr>
    </w:p>
    <w:p>
      <w:pPr>
        <w:ind w:right="20" w:firstLine="299"/>
        <w:spacing w:after="0" w:line="262" w:lineRule="auto"/>
        <w:rPr>
          <w:sz w:val="20"/>
          <w:szCs w:val="20"/>
          <w:color w:val="auto"/>
        </w:rPr>
      </w:pPr>
      <w:r>
        <w:rPr>
          <w:rFonts w:ascii="Arial" w:cs="Arial" w:eastAsia="Arial" w:hAnsi="Arial"/>
          <w:sz w:val="16"/>
          <w:szCs w:val="16"/>
          <w:color w:val="auto"/>
        </w:rPr>
        <w:t>Under our existing AOP services agreements we will continue to provide Leonardo S.p.A. and its affiliates with services in support of its U.S. operations (aside from us), including services related to tax, financial and accounting support, legal support, trade compliance, marketing, communications, media and advertising, and security, on an arm’s-length basis. Under the tax allocation agreement, we are responsible for administering certain U.S. federal and state tax matters on behalf of Leonardo S.p.A. and its subsidiaries (including US Holding). The provision of such services may divert human and financial resources from focus on our business, and may expose us to additional risks and liabilities. Under our existing AOP services agreements, Leonardo S.p.A. and its affiliates will continue to provide us with services, including services related to group training support. We will work to replicate or replace these services; however we cannot assure you that we will be able to obtain the services at the same or better levels or at the same or lower costs directly from third-party providers. As a result, when Leonardo S.p.A. or its affiliates cease providing these services to us, either as a result of the termination of the relevant agreements or individual services thereunder or a failure by Leonardo S.p.A. or its affiliates to perform their respective obligations under these agreements, our costs of procuring these services or comparable replacement services may increase.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obligations in favor of Leonardo S.p.A. after this offering.</w:t>
      </w:r>
    </w:p>
    <w:p>
      <w:pPr>
        <w:spacing w:after="0" w:line="17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and Leonardo S.p.A. are party to, or will enter into, certain agreements, including a cooperation agreement, registration rights agreement, trademark license agreement, a tax allocation agreement and our existing AOP services agreements, that will govern our and Leonardo S.p.A.’s obligations to one another following this offering in respect of, among other things, taxes, financial and transition services, information sharing and our respective indemnification obligations. The amounts payable by us pursuant to such indemnification obligations could be significant. Under the registration rights agreement, Leonardo S.p.A., and its affiliated entities including US Holding will have the right to require us to register shares of common stock for resale in some circumstances. For additional information on the potential risks of resale, see “—</w:t>
      </w:r>
      <w:r>
        <w:rPr>
          <w:rFonts w:ascii="Arial" w:cs="Arial" w:eastAsia="Arial" w:hAnsi="Arial"/>
          <w:sz w:val="16"/>
          <w:szCs w:val="16"/>
          <w:i w:val="1"/>
          <w:iCs w:val="1"/>
          <w:color w:val="auto"/>
        </w:rPr>
        <w:t>Risks Relating to Our Common Stock and This Offering</w:t>
      </w:r>
      <w:r>
        <w:rPr>
          <w:rFonts w:ascii="Arial" w:cs="Arial" w:eastAsia="Arial" w:hAnsi="Arial"/>
          <w:sz w:val="16"/>
          <w:szCs w:val="16"/>
          <w:color w:val="auto"/>
        </w:rPr>
        <w:t>—</w:t>
      </w:r>
      <w:r>
        <w:rPr>
          <w:rFonts w:ascii="Arial" w:cs="Arial" w:eastAsia="Arial" w:hAnsi="Arial"/>
          <w:sz w:val="16"/>
          <w:szCs w:val="16"/>
          <w:i w:val="1"/>
          <w:iCs w:val="1"/>
          <w:color w:val="auto"/>
        </w:rPr>
        <w:t>Future</w:t>
      </w:r>
      <w:r>
        <w:rPr>
          <w:rFonts w:ascii="Arial" w:cs="Arial" w:eastAsia="Arial" w:hAnsi="Arial"/>
          <w:sz w:val="16"/>
          <w:szCs w:val="16"/>
          <w:color w:val="auto"/>
        </w:rPr>
        <w:t xml:space="preserve"> </w:t>
      </w:r>
      <w:r>
        <w:rPr>
          <w:rFonts w:ascii="Arial" w:cs="Arial" w:eastAsia="Arial" w:hAnsi="Arial"/>
          <w:sz w:val="16"/>
          <w:szCs w:val="16"/>
          <w:i w:val="1"/>
          <w:iCs w:val="1"/>
          <w:color w:val="auto"/>
        </w:rPr>
        <w:t>sales of shares by existing stockholders could cause our stock price to decline.</w:t>
      </w:r>
      <w:r>
        <w:rPr>
          <w:rFonts w:ascii="Arial" w:cs="Arial" w:eastAsia="Arial" w:hAnsi="Arial"/>
          <w:sz w:val="16"/>
          <w:szCs w:val="16"/>
          <w:color w:val="auto"/>
        </w:rPr>
        <w:t>” Under the cooperation agreement, among other things, Leonardo S.p.A .</w:t>
      </w:r>
      <w:r>
        <w:rPr>
          <w:rFonts w:ascii="Arial" w:cs="Arial" w:eastAsia="Arial" w:hAnsi="Arial"/>
          <w:sz w:val="16"/>
          <w:szCs w:val="16"/>
          <w:i w:val="1"/>
          <w:iCs w:val="1"/>
          <w:color w:val="auto"/>
        </w:rPr>
        <w:t xml:space="preserve"> </w:t>
      </w:r>
      <w:r>
        <w:rPr>
          <w:rFonts w:ascii="Arial" w:cs="Arial" w:eastAsia="Arial" w:hAnsi="Arial"/>
          <w:sz w:val="16"/>
          <w:szCs w:val="16"/>
          <w:color w:val="auto"/>
        </w:rPr>
        <w:t>and US Holding will be entitled to certain consent rights, and we will be required to provide Leonardo S.p.A. with information and data relating to our and our subsidiaries’ business and financial results and reasonable access to our personnel, data and systems. Satisfying our obligations to Leonardo S.p.A. under these agreements may require a significant commitment of resources and management oversight.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Common Stock and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and obligations as a result of being a public company.</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As a privately held company, we were not required to comply with certain corporate governance and financial reporting practices and policies required of a publicly traded company. As a publicly traded company, we will incur significant legal, accounting and other expenses that we were not required to incur in the recent past. After this offering, we will be required to file with the SEC annual and quarterly information and other reports that are specified in Section 13 of the Securities Exchange Act of 1934, as amended (the “Exchange Act”). We will also be required to ensure that we have the ability to prepare financial statements that are fully compliant with all SEC reporting requirements on a timely basis. We will also become subject to other reporting and corporate governance requirements, including the requirements of the NYSE, and certain provisions of the Sarbanes-Oxley Act (“SOX”) and the regulations promulgated thereunder, which will impose significant compliance obligations upon us. As a public company, we will, among other things:</w:t>
      </w:r>
    </w:p>
    <w:p>
      <w:pPr>
        <w:spacing w:after="0" w:line="146" w:lineRule="exact"/>
        <w:rPr>
          <w:sz w:val="20"/>
          <w:szCs w:val="20"/>
          <w:color w:val="auto"/>
        </w:rPr>
      </w:pPr>
    </w:p>
    <w:p>
      <w:pPr>
        <w:ind w:left="600" w:right="700" w:hanging="302"/>
        <w:spacing w:after="0" w:line="250" w:lineRule="auto"/>
        <w:tabs>
          <w:tab w:leader="none" w:pos="596"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prepare and distribute periodic public reports and other stockholder communications, including proxy statements, in compliance with our obligations under the federal securities laws and applicable NYSE rules;</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hold annual shareholder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1440" w:right="339" w:bottom="1440" w:gutter="0" w:footer="0" w:header="0"/>
        </w:sectPr>
      </w:pPr>
    </w:p>
    <w:bookmarkStart w:id="56" w:name="page57"/>
    <w:bookmarkEnd w:id="56"/>
    <w:p>
      <w:pPr>
        <w:spacing w:after="0" w:line="43" w:lineRule="exact"/>
        <w:rPr>
          <w:sz w:val="20"/>
          <w:szCs w:val="20"/>
          <w:color w:val="auto"/>
        </w:rPr>
      </w:pPr>
    </w:p>
    <w:p>
      <w:pPr>
        <w:ind w:left="600" w:hanging="302"/>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create or expand the roles and duties of our board of directors and committees of the board;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institute more comprehensive financial reporting and disclosure compliance functions;</w:t>
      </w:r>
    </w:p>
    <w:p>
      <w:pPr>
        <w:spacing w:after="0" w:line="152" w:lineRule="exact"/>
        <w:rPr>
          <w:rFonts w:ascii="Arial" w:cs="Arial" w:eastAsia="Arial" w:hAnsi="Arial"/>
          <w:sz w:val="17"/>
          <w:szCs w:val="17"/>
          <w:color w:val="auto"/>
        </w:rPr>
      </w:pPr>
    </w:p>
    <w:p>
      <w:pPr>
        <w:ind w:left="600" w:right="80" w:hanging="302"/>
        <w:spacing w:after="0" w:line="250" w:lineRule="auto"/>
        <w:tabs>
          <w:tab w:leader="none" w:pos="5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supplement our internal accounting, internal controls, auditing and reporting function, including hiring additional staff with expertise in accounting and financial reporting for a public company, in compliance with Section 404 of SOX;</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enhance and formalize closing procedures at the end of our accounting periods;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enhance our internal audit and tax functions;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enhance our investor relations function;</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establish new internal policies, including those relating to disclosure controls and procedures;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involve and retain to a greater degree outside counsel and accountants in the activities listed above.</w:t>
      </w:r>
    </w:p>
    <w:p>
      <w:pPr>
        <w:spacing w:after="0" w:line="153" w:lineRule="exact"/>
        <w:rPr>
          <w:sz w:val="20"/>
          <w:szCs w:val="20"/>
          <w:color w:val="auto"/>
        </w:rPr>
      </w:pPr>
    </w:p>
    <w:p>
      <w:pPr>
        <w:ind w:right="20" w:firstLine="299"/>
        <w:spacing w:after="0" w:line="244" w:lineRule="auto"/>
        <w:rPr>
          <w:sz w:val="20"/>
          <w:szCs w:val="20"/>
          <w:color w:val="auto"/>
        </w:rPr>
      </w:pPr>
      <w:r>
        <w:rPr>
          <w:rFonts w:ascii="Arial" w:cs="Arial" w:eastAsia="Arial" w:hAnsi="Arial"/>
          <w:sz w:val="17"/>
          <w:szCs w:val="17"/>
          <w:color w:val="auto"/>
        </w:rPr>
        <w:t xml:space="preserve">These changes will require a significant commitment of additional resources and many of our competitors already comply with these obligations. Although we had previously been a public company until 2008, we became privately owned following our acquisition by Finmeccanica – </w:t>
      </w:r>
      <w:r>
        <w:rPr>
          <w:rFonts w:ascii="Arial" w:cs="Arial" w:eastAsia="Arial" w:hAnsi="Arial"/>
          <w:sz w:val="17"/>
          <w:szCs w:val="17"/>
          <w:i w:val="1"/>
          <w:iCs w:val="1"/>
          <w:color w:val="auto"/>
        </w:rPr>
        <w:t>Societá 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azioni </w:t>
      </w:r>
      <w:r>
        <w:rPr>
          <w:rFonts w:ascii="Arial" w:cs="Arial" w:eastAsia="Arial" w:hAnsi="Arial"/>
          <w:sz w:val="17"/>
          <w:szCs w:val="17"/>
          <w:color w:val="auto"/>
        </w:rPr>
        <w:t>(now Leonardo S.p.A.). Given the significant passage of time that followed, we no longer benefit from the prior infrastructure we had in place as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held company. In connection with preparing for this offering and operating as a stand-alone public company following the closing of this offering, we expect to incur one-time and recurring expenses. We estimate that the aggregate amount of the one-time expenses described above will be between approximately $11 million and $14 million, of which $9 million had been incurred in the year ended December 31, 2020 and approximately $2 million to $4 million is expected to be incurred in the year ended December 31, 2021. This does not include bank fees related to the securing of third party financing or amounts paid by US Holding out of the proceeds of this offering including underwriting discounts and commissions. In addition, for so long as our parent company, Leonardo S.p.A., consolidates our financial position and results of operations in its consolidated financial statements, we expect to engage the same auditing firm to act as our independent registered public accounting firm. Leonardo S.p.A. will be required to change its auditing firm in 2021 in light of European mandatory audit firm rotation rules, which we expect will require us to change our audit firm. A new auditing firm may apply certain auditing standards or accounting practices differently, which, among other factors, may result in additional costs, delays or other issues in preparing our audited financial statements.</w:t>
      </w:r>
    </w:p>
    <w:p>
      <w:pPr>
        <w:spacing w:after="0" w:line="15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may not be successful in implementing all of the going-public requirements described above and the significant commitment of resources required for implementing them could adversely affect our business, financial condition and results of operations. In addition, if we fail to implement the requirements with respect to our internal accounting and audit functions, our ability to report our results of operations on a timely and accurate basis could be impaired and we could suffer adverse regulatory consequences or violate NYSE listing standards. There could also be a negative reaction in the financial markets due to a loss of investor confidence in us and the reliability of our financial statements.</w:t>
      </w:r>
    </w:p>
    <w:p>
      <w:pPr>
        <w:spacing w:after="0" w:line="147"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 changes necessitated by becoming a public company require a significant commitment of resources and management oversight that has increased and may continue to increase our costs and might place a strain on our systems and resources. As a result, our management’s attention might be diverted from other business concerns. Some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440" w:right="339" w:bottom="1440" w:gutter="0" w:footer="0" w:header="0"/>
        </w:sectPr>
      </w:pPr>
    </w:p>
    <w:bookmarkStart w:id="57" w:name="page58"/>
    <w:bookmarkEnd w:id="57"/>
    <w:p>
      <w:pPr>
        <w:spacing w:after="0" w:line="43" w:lineRule="exact"/>
        <w:rPr>
          <w:sz w:val="20"/>
          <w:szCs w:val="20"/>
          <w:color w:val="auto"/>
        </w:rPr>
      </w:pPr>
    </w:p>
    <w:p>
      <w:pPr>
        <w:ind w:right="360" w:firstLine="299"/>
        <w:spacing w:after="0" w:line="250" w:lineRule="auto"/>
        <w:rPr>
          <w:sz w:val="20"/>
          <w:szCs w:val="20"/>
          <w:color w:val="auto"/>
        </w:rPr>
      </w:pPr>
      <w:r>
        <w:rPr>
          <w:rFonts w:ascii="Arial" w:cs="Arial" w:eastAsia="Arial" w:hAnsi="Arial"/>
          <w:sz w:val="17"/>
          <w:szCs w:val="17"/>
          <w:color w:val="auto"/>
        </w:rPr>
        <w:t>If we are unable to offset these costs through other savings then it could have a material adverse impact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contracts with the U.S. government are classified, which may limit investor insight into portions of our business.</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derive a portion of our revenues from programs with the U.S. government that are subject to security restrictions that preclude the dissemination of information that is classified for national security purposes. We are limited in our ability to provide details about these classified programs, their risks or any disputes or claims relating to such programs, and may not disclose such information pursuant to SEC rules permitting confidential treatment of certain information. As a result, investors and others might have less insight into our classified programs than our other businesses and, therefore, less ability to fully evaluate the risks related to our classified business.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existing stockholders could cause our stock price to decline.</w:t>
      </w:r>
    </w:p>
    <w:p>
      <w:pPr>
        <w:spacing w:after="0" w:line="173"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Sales of substantial amounts of our common stock in the public market following this offering, or the perception that these sales could occur, could cause the market price of our common stock to decline. These sales, or the possibility that these sales may occur, also might make it more difficult for us to sell equity securities in the future at a time and at a price that we deem appropriate. Immediately after this offering, Leonardo S.p.A. through US Holding will own % of our outstanding common stock (or % if the underwriters exercise their option to purchase additional shares in full).</w:t>
      </w:r>
    </w:p>
    <w:p>
      <w:pPr>
        <w:spacing w:after="0" w:line="144"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As of February 26, 2021, we have 145,000,000 outstanding shares of common stock. All of the shares sold pursuant to this offering will be immediately tradable without restriction under the Securities Act of 1933, as amended (the “Securities Act,”), except for any shares held by “affiliates,” as that term is defined in Rule 144 under the Securities Act, or “Rule 144.” The remaining shares of common stock outstanding as of February 26, 2021 will be restricted securities within the meaning of Rule 144, but will be eligible for resale subject, in certain cases, to applicable volume, manner of sale, holding period and other limitations of Rule 144 subject to the terms of the lock-up agreements described below.</w:t>
      </w:r>
    </w:p>
    <w:p>
      <w:pPr>
        <w:spacing w:after="0" w:line="147" w:lineRule="exact"/>
        <w:rPr>
          <w:sz w:val="20"/>
          <w:szCs w:val="20"/>
          <w:color w:val="auto"/>
        </w:rPr>
      </w:pPr>
    </w:p>
    <w:p>
      <w:pPr>
        <w:ind w:right="140" w:firstLine="299"/>
        <w:spacing w:after="0" w:line="199" w:lineRule="exact"/>
        <w:rPr>
          <w:sz w:val="20"/>
          <w:szCs w:val="20"/>
          <w:color w:val="auto"/>
        </w:rPr>
      </w:pPr>
      <w:r>
        <w:rPr>
          <w:rFonts w:ascii="Arial" w:cs="Arial" w:eastAsia="Arial" w:hAnsi="Arial"/>
          <w:sz w:val="17"/>
          <w:szCs w:val="17"/>
          <w:color w:val="auto"/>
        </w:rPr>
        <w:t>Upon the closing of this offering, we intend to file one or more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under the Securities Act to register the shares of common stock to be issued under our equity compensation plans and, as a result, all shares of common stock acquired upon exercise of stock options granted under our plans will also be freely tradable under the Securities Act, subject to the terms of the lock-up agreements, unless purchased by our affiliates. As of February 26, 2021, 3,511,400 shares of our common stock are reserved for future issuances under our Omnibus Plan adopted in connection with this offering.</w:t>
      </w:r>
    </w:p>
    <w:p>
      <w:pPr>
        <w:spacing w:after="0" w:line="151" w:lineRule="exact"/>
        <w:rPr>
          <w:sz w:val="20"/>
          <w:szCs w:val="20"/>
          <w:color w:val="auto"/>
        </w:rPr>
      </w:pPr>
    </w:p>
    <w:p>
      <w:pPr>
        <w:ind w:firstLine="299"/>
        <w:spacing w:after="0" w:line="259" w:lineRule="auto"/>
        <w:rPr>
          <w:sz w:val="20"/>
          <w:szCs w:val="20"/>
          <w:color w:val="auto"/>
        </w:rPr>
      </w:pPr>
      <w:r>
        <w:rPr>
          <w:rFonts w:ascii="Arial" w:cs="Arial" w:eastAsia="Arial" w:hAnsi="Arial"/>
          <w:sz w:val="16"/>
          <w:szCs w:val="16"/>
          <w:color w:val="auto"/>
        </w:rPr>
        <w:t>In connection with this offering, we, US Holding and all of our directors and executive officers will enter into lock-up agreements under which, subject to certain exceptions, we and they will agree not to dispose of or hedge any of our common stock or securities convertible into or exchangeable for shares of our common stock for a period of 180 days after the date of this prospectus, except with the prior written consent of Goldman Sachs &amp; Co. LLC.</w:t>
      </w:r>
    </w:p>
    <w:p>
      <w:pPr>
        <w:spacing w:after="0" w:line="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Following the expiration of this 180-day lock-up period, approximately shares of our common stock will be eligible for future sale, subject to the applicable volume, manner of sale, holding period and other limitations of Rule 144. As resale restrictions end, the market price of our common stock could decline if US Holding sells its shares or is perceived by the market as intending to sell them. Goldman Sachs &amp; Co. LLC may, in its sole discretion and at any time, release all or any portion of the securities subject to lock-up agreements entered into in connection with this offering. Furthermore, subject to the expiration or waiver of the lock up agreements, Leonardo S.p.A. and its affiliated entities, including US Holding, will have the right to require us to register shares of common stock for resale in some circumstances pursuant to the registration rights agreement we will enter into with Leonardo S.p.A. and US Holding. For a description of the registration rights agreement, see “Certain Relationships and Related-Party Transactions—Relationship with Leonardo S.p.A. Following this Offering—Registration Rights Agreement</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43" w:lineRule="exact"/>
        <w:rPr>
          <w:sz w:val="20"/>
          <w:szCs w:val="20"/>
          <w:color w:val="auto"/>
        </w:rPr>
      </w:pPr>
    </w:p>
    <w:p>
      <w:pPr>
        <w:ind w:right="180" w:firstLine="299"/>
        <w:spacing w:after="0" w:line="270" w:lineRule="auto"/>
        <w:rPr>
          <w:sz w:val="20"/>
          <w:szCs w:val="20"/>
          <w:color w:val="auto"/>
        </w:rPr>
      </w:pPr>
      <w:r>
        <w:rPr>
          <w:rFonts w:ascii="Arial" w:cs="Arial" w:eastAsia="Arial" w:hAnsi="Arial"/>
          <w:sz w:val="16"/>
          <w:szCs w:val="16"/>
          <w:color w:val="auto"/>
        </w:rPr>
        <w:t>In the future, we may issue additional shares of common stock or other equity or debt securities convertible into or exercisable or exchangeable for shares of our common stock in connection with a financing, strategic investment, litigation settlement or employee arrangement or otherwise. Any of these issuances could result in substantial dilution to our existing stockholders and could cause the trading price of our common stock to decline.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common stock has no prior public market, and the market price of our common stock may be volatile and could decline after this offering.</w:t>
      </w:r>
    </w:p>
    <w:p>
      <w:pPr>
        <w:spacing w:after="0" w:line="184" w:lineRule="exact"/>
        <w:rPr>
          <w:sz w:val="20"/>
          <w:szCs w:val="20"/>
          <w:color w:val="auto"/>
        </w:rPr>
      </w:pPr>
    </w:p>
    <w:p>
      <w:pPr>
        <w:ind w:right="20" w:firstLine="299"/>
        <w:spacing w:after="0" w:line="263" w:lineRule="auto"/>
        <w:rPr>
          <w:sz w:val="20"/>
          <w:szCs w:val="20"/>
          <w:color w:val="auto"/>
        </w:rPr>
      </w:pPr>
      <w:r>
        <w:rPr>
          <w:rFonts w:ascii="Arial" w:cs="Arial" w:eastAsia="Arial" w:hAnsi="Arial"/>
          <w:sz w:val="16"/>
          <w:szCs w:val="16"/>
          <w:color w:val="auto"/>
        </w:rPr>
        <w:t>Prior to this offering, there has been no public market for our common stock, and an active market for our common stock may not develop or be sustained after this offering. We have been approved to list our common stock on the NYSE. We and US Holding negotiated the initial public offering price per share with the representatives of the underwriters and, therefore, that price may not be indicative of the market price of our common stock after this offering. We cannot assure you that an active public market for our common stock will develop after this offering or, if one does develop, that it will be sustained. In the absence of an active public trading market, you may not be able to sell your shares. An inactive market may also impair our ability to raise capital to continue to fund operations by selling shares and may impair our ability to make strategic investments by using our shares as consideration. In addition, the market price of our common stock may fluctuate significantly. Among the factors that could affect our stock price are:</w:t>
      </w:r>
    </w:p>
    <w:p>
      <w:pPr>
        <w:spacing w:after="0" w:line="132" w:lineRule="exact"/>
        <w:rPr>
          <w:sz w:val="20"/>
          <w:szCs w:val="20"/>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industry or general market conditions;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domestic and international economic factors unrelated to our performance;</w:t>
      </w:r>
    </w:p>
    <w:p>
      <w:pPr>
        <w:spacing w:after="0" w:line="152" w:lineRule="exact"/>
        <w:rPr>
          <w:rFonts w:ascii="Arial" w:cs="Arial" w:eastAsia="Arial" w:hAnsi="Arial"/>
          <w:sz w:val="17"/>
          <w:szCs w:val="17"/>
          <w:color w:val="auto"/>
        </w:rPr>
      </w:pPr>
    </w:p>
    <w:p>
      <w:pPr>
        <w:ind w:left="600" w:right="280" w:hanging="302"/>
        <w:spacing w:after="0" w:line="247" w:lineRule="auto"/>
        <w:tabs>
          <w:tab w:leader="none" w:pos="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announcements as to a Congressional or Presidential initiative with respect to changes in spending priorities and defense spending levels, sequestration, the appropriations process, use of continuing resolutions (with restrictions, e.g., on starting new programs) and the permissible level of federal debt;</w:t>
      </w:r>
    </w:p>
    <w:p>
      <w:pPr>
        <w:spacing w:after="0" w:line="143"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our customers’ preferences;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new regulatory pronouncements and changes in regulatory guidelines;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lawsuits, enforcement actions and other claims by third parties or governmental authorities;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adverse publicity related to us or another industry participant;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securities analysts’ estimates of our financial performance or lack of research coverage and reports by industry analysts;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action by institutional stockholders or other large stockholders, including future sales of our common stock;</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meet any guidance given by us or any change in any guidance given by us, or changes by us in our guidance practices;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announcements by us of significant impairment charges;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investor perception of us and our industry;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market valuations or earnings of similar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20"/>
          </w:cols>
          <w:pgMar w:left="320" w:top="1440" w:right="359" w:bottom="1440" w:gutter="0" w:footer="0" w:header="0"/>
        </w:sectPr>
      </w:pPr>
    </w:p>
    <w:bookmarkStart w:id="59" w:name="page60"/>
    <w:bookmarkEnd w:id="59"/>
    <w:p>
      <w:pPr>
        <w:spacing w:after="0" w:line="43" w:lineRule="exact"/>
        <w:rPr>
          <w:sz w:val="20"/>
          <w:szCs w:val="20"/>
          <w:color w:val="auto"/>
        </w:rPr>
      </w:pPr>
    </w:p>
    <w:p>
      <w:pPr>
        <w:ind w:left="600" w:hanging="30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acquisitions, dispositions or strategic partnerships;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war, terrorist acts and a pandemic or epidemic disease;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future sales of our common stock or other securities;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additions or departures of key personnel;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misconduct or other improper actions of our employees.</w:t>
      </w:r>
    </w:p>
    <w:p>
      <w:pPr>
        <w:spacing w:after="0" w:line="153" w:lineRule="exact"/>
        <w:rPr>
          <w:sz w:val="20"/>
          <w:szCs w:val="20"/>
          <w:color w:val="auto"/>
        </w:rPr>
      </w:pPr>
    </w:p>
    <w:p>
      <w:pPr>
        <w:ind w:right="400" w:firstLine="299"/>
        <w:spacing w:after="0" w:line="245" w:lineRule="auto"/>
        <w:rPr>
          <w:sz w:val="20"/>
          <w:szCs w:val="20"/>
          <w:color w:val="auto"/>
        </w:rPr>
      </w:pPr>
      <w:r>
        <w:rPr>
          <w:rFonts w:ascii="Arial" w:cs="Arial" w:eastAsia="Arial" w:hAnsi="Arial"/>
          <w:sz w:val="17"/>
          <w:szCs w:val="17"/>
          <w:color w:val="auto"/>
        </w:rPr>
        <w:t>In particular, we cannot assure you that you will be able to resell your shares at or above the initial public offering price. Stock markets have experienced extreme volatility in recent years that has been unrelated to the operating performance of particular companies. These broad market fluctuations may adversely affect the trading price of our common stock. In the past, following periods of volatility in the market price of a company’s securities, class action litigation has often been instituted against the affected company. Any litigation of this type brought against us could result in substantial costs and a diversion of our management’s attention and resources, which could materially and adversely affect our business, results of operations or financial condition.</w:t>
      </w:r>
    </w:p>
    <w:p>
      <w:pPr>
        <w:spacing w:after="0" w:line="127"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misleading or unfavorable research about our business, our stock price and trading volume could decline.</w:t>
      </w:r>
    </w:p>
    <w:p>
      <w:pPr>
        <w:spacing w:after="0" w:line="121"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currently have, and may never obtain, research coverage for our common stock. If there is no research coverage of our common stock, the trading price for our common stock may be negatively impacted. In the event we obtain research coverage for our common stock, if one or more of the analysts downgrades our stock or publishes misleading or unfavorable research about our business, our stock price would likely decline. If one or more of the analysts ceases coverage of our common stock or fails to publish reports on us regularly, demand for our common stock could decrease, which could cause our common stock price or trading volume to decline.</w:t>
      </w:r>
    </w:p>
    <w:p>
      <w:pPr>
        <w:spacing w:after="0" w:line="127"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b w:val="1"/>
          <w:bCs w:val="1"/>
          <w:i w:val="1"/>
          <w:iCs w:val="1"/>
          <w:color w:val="auto"/>
        </w:rPr>
        <w:t>Future offerings of debt or certain equity securities which would rank senior to our common stock may adversely affect the market price of our common stock.</w:t>
      </w:r>
    </w:p>
    <w:p>
      <w:pPr>
        <w:spacing w:after="0" w:line="12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If, in the future, we decide to issue debt or equity securities that rank senior to our common stock, it is likely that such securities will be governed by an indenture or other instrument containing covenants restricting our operating flexibility. Our amended and restated certificate of incorporation will also authorize the issuance of “blank check” preferred stock that could be issued by our board. Additionally, any convertible or exchangeable securities that we issue in the future may have rights, preferences and privileges more favorable than those of our common stock and may result in dilution to owners of our common stock.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our future offerings. Thus, holders of our common stock will bear the risk of our future offerings reducing the market price of our common stock and diluting the value of their stock holdings in us.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declare any dividends in the near term.</w:t>
      </w:r>
    </w:p>
    <w:p>
      <w:pPr>
        <w:spacing w:after="0" w:line="173"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We do not anticipate declaring any cash dividends to holders of our common stock in the near term. Consequently, investors may need to rely on sales of their common stock after price appreciation, which may never occur, as the only way to realize any future gains on their investment. Investors seeking cash dividends should not purchase our common stock. In addition, the proxy holders may only vote to declare or suspend dividends after prior consultation with US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00"/>
          </w:cols>
          <w:pgMar w:left="320" w:top="1440" w:right="379" w:bottom="1440" w:gutter="0" w:footer="0" w:header="0"/>
        </w:sectPr>
      </w:pPr>
    </w:p>
    <w:bookmarkStart w:id="60" w:name="page61"/>
    <w:bookmarkEnd w:id="60"/>
    <w:p>
      <w:pPr>
        <w:spacing w:after="0" w:line="23"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b w:val="1"/>
          <w:bCs w:val="1"/>
          <w:i w:val="1"/>
          <w:iCs w:val="1"/>
          <w:color w:val="auto"/>
        </w:rPr>
        <w:t>Anti-takeover provisions in our amended and restated certificate of incorporation and amended and restated bylaws and Delaware law could discourage, delay or prevent a change of control of our company and may affect the trading price of our common stock.</w:t>
      </w:r>
    </w:p>
    <w:p>
      <w:pPr>
        <w:spacing w:after="0" w:line="121" w:lineRule="exact"/>
        <w:rPr>
          <w:sz w:val="20"/>
          <w:szCs w:val="20"/>
          <w:color w:val="auto"/>
        </w:rPr>
      </w:pPr>
    </w:p>
    <w:p>
      <w:pPr>
        <w:ind w:right="260" w:firstLine="299"/>
        <w:spacing w:after="0" w:line="247" w:lineRule="auto"/>
        <w:rPr>
          <w:sz w:val="20"/>
          <w:szCs w:val="20"/>
          <w:color w:val="auto"/>
        </w:rPr>
      </w:pPr>
      <w:r>
        <w:rPr>
          <w:rFonts w:ascii="Arial" w:cs="Arial" w:eastAsia="Arial" w:hAnsi="Arial"/>
          <w:sz w:val="17"/>
          <w:szCs w:val="17"/>
          <w:color w:val="auto"/>
        </w:rPr>
        <w:t>Our amended and restated certificate of incorporation and our amended and restated bylaws include a number of provisions that may discourage, delay or prevent a change in our management or control over us that stockholders may consider favorable. For example, prior to the closing of this offering, our amended and restated certificate of incorporation and amended and restated bylaws will collectively:</w:t>
      </w:r>
    </w:p>
    <w:p>
      <w:pPr>
        <w:spacing w:after="0" w:line="143" w:lineRule="exact"/>
        <w:rPr>
          <w:sz w:val="20"/>
          <w:szCs w:val="20"/>
          <w:color w:val="auto"/>
        </w:rPr>
      </w:pPr>
    </w:p>
    <w:p>
      <w:pPr>
        <w:ind w:left="600" w:right="20" w:hanging="302"/>
        <w:spacing w:after="0" w:line="250"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authorize the issuance of shares of our common stock to create voting impediments or to frustrate persons otherwise seeking to effect a takeover or gain control;</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could be issued by our board to thwart a takeover attempt;</w:t>
      </w:r>
    </w:p>
    <w:p>
      <w:pPr>
        <w:spacing w:after="0" w:line="152" w:lineRule="exact"/>
        <w:rPr>
          <w:rFonts w:ascii="Arial" w:cs="Arial" w:eastAsia="Arial" w:hAnsi="Arial"/>
          <w:sz w:val="17"/>
          <w:szCs w:val="17"/>
          <w:color w:val="auto"/>
        </w:rPr>
      </w:pPr>
    </w:p>
    <w:p>
      <w:pPr>
        <w:ind w:left="600" w:right="380" w:hanging="302"/>
        <w:spacing w:after="0" w:line="250"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that vacancies on our board, including vacancies resulting from an enlargement of our board, may be filled only by a majority vote of directors then in office following termination of the proxy agreement;</w:t>
      </w:r>
    </w:p>
    <w:p>
      <w:pPr>
        <w:spacing w:after="0" w:line="140" w:lineRule="exact"/>
        <w:rPr>
          <w:rFonts w:ascii="Arial" w:cs="Arial" w:eastAsia="Arial" w:hAnsi="Arial"/>
          <w:sz w:val="17"/>
          <w:szCs w:val="17"/>
          <w:color w:val="auto"/>
        </w:rPr>
      </w:pPr>
    </w:p>
    <w:p>
      <w:pPr>
        <w:ind w:left="600" w:right="60" w:hanging="302"/>
        <w:spacing w:after="0" w:line="250"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prohibit stockholders from calling special meetings of stockholders following the later of the termination of the proxy agreement and such date as Leonardo S.p.A. is no longer required under IFRS to consolidate the financial statements of the Company with its financial results;</w:t>
      </w:r>
    </w:p>
    <w:p>
      <w:pPr>
        <w:spacing w:after="0" w:line="140" w:lineRule="exact"/>
        <w:rPr>
          <w:rFonts w:ascii="Arial" w:cs="Arial" w:eastAsia="Arial" w:hAnsi="Arial"/>
          <w:sz w:val="17"/>
          <w:szCs w:val="17"/>
          <w:color w:val="auto"/>
        </w:rPr>
      </w:pPr>
    </w:p>
    <w:p>
      <w:pPr>
        <w:ind w:left="600" w:right="20" w:hanging="302"/>
        <w:spacing w:after="0" w:line="247"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actions to be taken at a meeting of the stockholders, following the later of the termination of the proxy agreement and such date as Leonardo S.p.A. is no longer required under IFRS to consolidate the financial statements of the Company with its financial results;</w:t>
      </w:r>
    </w:p>
    <w:p>
      <w:pPr>
        <w:spacing w:after="0" w:line="143" w:lineRule="exact"/>
        <w:rPr>
          <w:rFonts w:ascii="Arial" w:cs="Arial" w:eastAsia="Arial" w:hAnsi="Arial"/>
          <w:sz w:val="17"/>
          <w:szCs w:val="17"/>
          <w:color w:val="auto"/>
        </w:rPr>
      </w:pPr>
    </w:p>
    <w:p>
      <w:pPr>
        <w:ind w:left="600" w:hanging="302"/>
        <w:spacing w:after="0" w:line="250"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of candidates for election as directors or to bring other business before an annual meeting of our stockholders; and</w:t>
      </w:r>
    </w:p>
    <w:p>
      <w:pPr>
        <w:spacing w:after="0" w:line="140" w:lineRule="exact"/>
        <w:rPr>
          <w:rFonts w:ascii="Arial" w:cs="Arial" w:eastAsia="Arial" w:hAnsi="Arial"/>
          <w:sz w:val="17"/>
          <w:szCs w:val="17"/>
          <w:color w:val="auto"/>
        </w:rPr>
      </w:pPr>
    </w:p>
    <w:p>
      <w:pPr>
        <w:jc w:val="both"/>
        <w:ind w:left="600" w:right="180" w:hanging="302"/>
        <w:spacing w:after="0" w:line="270" w:lineRule="auto"/>
        <w:tabs>
          <w:tab w:leader="none" w:pos="596"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 the approval of holders of at least 66 2⁄3% of the outstanding shares of our common stock to amend our amended and restated bylaws and certain provisions of our amended and restated certificate of incorporation following the later of the termination of the proxy agreement and such date as Leonardo S.p.A. is no longer required under IFRS to consolidate the financial statements of the Company with its financial result.</w:t>
      </w:r>
    </w:p>
    <w:p>
      <w:pPr>
        <w:spacing w:after="0" w:line="126" w:lineRule="exact"/>
        <w:rPr>
          <w:sz w:val="20"/>
          <w:szCs w:val="20"/>
          <w:color w:val="auto"/>
        </w:rPr>
      </w:pPr>
    </w:p>
    <w:p>
      <w:pPr>
        <w:ind w:right="260" w:firstLine="299"/>
        <w:spacing w:after="0" w:line="245" w:lineRule="auto"/>
        <w:rPr>
          <w:sz w:val="20"/>
          <w:szCs w:val="20"/>
          <w:color w:val="auto"/>
        </w:rPr>
      </w:pPr>
      <w:r>
        <w:rPr>
          <w:rFonts w:ascii="Arial" w:cs="Arial" w:eastAsia="Arial" w:hAnsi="Arial"/>
          <w:sz w:val="17"/>
          <w:szCs w:val="17"/>
          <w:color w:val="auto"/>
        </w:rPr>
        <w:t>These provisions may prevent our stockholders from receiving the benefit from any premium to the market price of our common stock offered by a bidder in a takeover context. In addition, the requirement in our proxy agreement for approval by the proxy holders and our majority stockholder of mergers and consolidations also may discourage change of control transactions. Even in the absence of a takeover attempt, the existence of these provisions may adversely affect the prevailing market price of our common stock if the provisions are viewed as discouraging takeover attempts in the future.</w:t>
      </w:r>
    </w:p>
    <w:p>
      <w:pPr>
        <w:spacing w:after="0" w:line="147"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Our amended and restated certificate of incorporation and amended and restated bylaws may also make it difficult for stockholders to replace or remove our management. Furthermore, the existence of the foregoing provisions, as well as the significant amount of common stock that US Holding will beneficially own following this offering, could limit the price that investors might be willing to pay in the future for shares of our common stock. These provisions may facilitate management entrenchment that may delay, deter, render more difficult or prevent a change in our control, which may not be in the best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3"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include provisions limiting the personal liability of our directors for breaches of fiduciary duty under the Delaware General Corporation Law.</w:t>
      </w:r>
    </w:p>
    <w:p>
      <w:pPr>
        <w:spacing w:after="0" w:line="121" w:lineRule="exact"/>
        <w:rPr>
          <w:sz w:val="20"/>
          <w:szCs w:val="20"/>
          <w:color w:val="auto"/>
        </w:rPr>
      </w:pPr>
    </w:p>
    <w:p>
      <w:pPr>
        <w:jc w:val="both"/>
        <w:ind w:right="100" w:firstLine="299"/>
        <w:spacing w:after="0" w:line="247" w:lineRule="auto"/>
        <w:rPr>
          <w:sz w:val="20"/>
          <w:szCs w:val="20"/>
          <w:color w:val="auto"/>
        </w:rPr>
      </w:pPr>
      <w:r>
        <w:rPr>
          <w:rFonts w:ascii="Arial" w:cs="Arial" w:eastAsia="Arial" w:hAnsi="Arial"/>
          <w:sz w:val="17"/>
          <w:szCs w:val="17"/>
          <w:color w:val="auto"/>
        </w:rPr>
        <w:t>Our amended and restated certificate of incorporation will contain provisions permitted under the General Corporation Law of the State of Delaware, or the “DGCL,” relating to the liability of directors. These provisions will eliminate a director’s personal liability to the fullest extent permitted by the DGCL for monetary damages resulting from a breach of fiduciary duty, except in circumstances involving:</w:t>
      </w:r>
    </w:p>
    <w:p>
      <w:pPr>
        <w:spacing w:after="0" w:line="143" w:lineRule="exact"/>
        <w:rPr>
          <w:sz w:val="20"/>
          <w:szCs w:val="20"/>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breach of the director’s duty of loyalty;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the law;</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under Section 174 of the DGCL (unlawful dividends); or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transaction from which the director derives an improper personal benefit.</w:t>
      </w:r>
    </w:p>
    <w:p>
      <w:pPr>
        <w:spacing w:after="0" w:line="153"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a director’s fiduciary duty. These provisions will not alter a director’s liability under federal securities laws. The inclusion of this provision in our amended and restated certificate of 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11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designate the Court of Chancery of the State of Delaware as the sole and exclusive forum for certain litigation that may be initiated by our stockholders, and federal district courts as the exclusive forum for Securities Act claims, which could limit our stockholders’ ability to obtain a favorable judicial forum for disputes with us or our directors, officers or stockholders.</w:t>
      </w:r>
    </w:p>
    <w:p>
      <w:pPr>
        <w:spacing w:after="0" w:line="138"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claim of breach of a fiduciary duty owed to us or our stockholders by any of our directors, officers, other employees, agents or stockholders, (iii) any action asserting a claim arising out of or under the DGCL, or as to which the DGCL confers jurisdiction on the Court of Chancery of the State of Delaware (including, without limitation, any action asserting a claim arising out of or pursuant to our amended and restated certificate of incorporation or our amended and restated bylaws) and (iv) any action asserting a claim that is governed by the internal affairs doctrine. The foregoing provision does not apply to claims arising under the Securities Act or the Securities Exchange Act or other federal securities laws for which there is exclusive federal or concurrent federal and state jurisdiction. Our stockholders cannot waive compliance with the federal securities laws and the rules and regulations thereunder.</w:t>
      </w:r>
    </w:p>
    <w:p>
      <w:pPr>
        <w:spacing w:after="0" w:line="145" w:lineRule="exact"/>
        <w:rPr>
          <w:sz w:val="20"/>
          <w:szCs w:val="20"/>
          <w:color w:val="auto"/>
        </w:rPr>
      </w:pPr>
    </w:p>
    <w:p>
      <w:pPr>
        <w:jc w:val="both"/>
        <w:ind w:right="120" w:firstLine="299"/>
        <w:spacing w:after="0" w:line="247" w:lineRule="auto"/>
        <w:rPr>
          <w:sz w:val="20"/>
          <w:szCs w:val="20"/>
          <w:color w:val="auto"/>
        </w:rPr>
      </w:pPr>
      <w:r>
        <w:rPr>
          <w:rFonts w:ascii="Arial" w:cs="Arial" w:eastAsia="Arial" w:hAnsi="Arial"/>
          <w:sz w:val="17"/>
          <w:szCs w:val="17"/>
          <w:color w:val="auto"/>
        </w:rPr>
        <w:t>Furthermore, unless we select or consent to the selection of an alternative forum, our amended and restated certificate of incorporation will provide that the federal district courts of the United States of America shall be the exclusive forum for the resolution of any complaint asserting a cause of action arising under the Securities Act.</w:t>
      </w:r>
    </w:p>
    <w:p>
      <w:pPr>
        <w:spacing w:after="0" w:line="143" w:lineRule="exact"/>
        <w:rPr>
          <w:sz w:val="20"/>
          <w:szCs w:val="20"/>
          <w:color w:val="auto"/>
        </w:rPr>
      </w:pPr>
    </w:p>
    <w:p>
      <w:pPr>
        <w:ind w:right="40" w:firstLine="299"/>
        <w:spacing w:after="0" w:line="280"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amended and restated certificate of incorporation related to choice of forum. The choice of forum provision in our amended and restated certificate of incorporation may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1440" w:right="339" w:bottom="1440" w:gutter="0" w:footer="0" w:header="0"/>
        </w:sectPr>
      </w:pPr>
    </w:p>
    <w:bookmarkStart w:id="62" w:name="page63"/>
    <w:bookmarkEnd w:id="62"/>
    <w:p>
      <w:pPr>
        <w:spacing w:after="0" w:line="4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160"/>
          </w:cols>
          <w:pgMar w:left="320" w:top="1440" w:right="419" w:bottom="1440" w:gutter="0" w:footer="0" w:header="0"/>
        </w:sectPr>
      </w:pPr>
    </w:p>
    <w:bookmarkStart w:id="63" w:name="page64"/>
    <w:bookmarkEnd w:id="63"/>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pacing w:after="0" w:line="173"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The selling stockholder is selling all of the shares of common stock in this offering, and we will not receive any proceeds from the sale of the common stock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20"/>
          </w:cols>
          <w:pgMar w:left="320" w:top="1440" w:right="359" w:bottom="1440" w:gutter="0" w:footer="0" w:header="0"/>
        </w:sectPr>
      </w:pPr>
    </w:p>
    <w:bookmarkStart w:id="64" w:name="page65"/>
    <w:bookmarkEnd w:id="64"/>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sets forth our anticipated cash and cash equivalents and capitalization on a consolidated basis and on a pro forma basis as of</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to reflect:</w:t>
      </w:r>
    </w:p>
    <w:p>
      <w:pPr>
        <w:spacing w:after="0" w:line="153" w:lineRule="exact"/>
        <w:rPr>
          <w:sz w:val="20"/>
          <w:szCs w:val="20"/>
          <w:color w:val="auto"/>
        </w:rPr>
      </w:pPr>
    </w:p>
    <w:p>
      <w:pPr>
        <w:ind w:left="600" w:hanging="302"/>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repayment of $237 million of related-party borrowings;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expected issuance of $450 million of third-party debt (consisting of the Term A Loan and the Bridge Loan).</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selling stockholder is selling all of the shares of common stock in this offering and we will not receive any proceeds from the sale of shares.</w:t>
      </w:r>
    </w:p>
    <w:p>
      <w:pPr>
        <w:spacing w:after="0" w:line="153" w:lineRule="exact"/>
        <w:rPr>
          <w:sz w:val="20"/>
          <w:szCs w:val="20"/>
          <w:color w:val="auto"/>
        </w:rPr>
      </w:pPr>
    </w:p>
    <w:p>
      <w:pPr>
        <w:ind w:right="120" w:firstLine="299"/>
        <w:spacing w:after="0" w:line="263" w:lineRule="auto"/>
        <w:rPr>
          <w:sz w:val="20"/>
          <w:szCs w:val="20"/>
          <w:color w:val="auto"/>
        </w:rPr>
      </w:pPr>
      <w:r>
        <w:rPr>
          <w:rFonts w:ascii="Arial" w:cs="Arial" w:eastAsia="Arial" w:hAnsi="Arial"/>
          <w:sz w:val="16"/>
          <w:szCs w:val="16"/>
          <w:color w:val="auto"/>
        </w:rPr>
        <w:t>We currently have related-party borrowings of $237 million outstanding that bear a weighted average interest rate of 6.5%. Additionally, we have access to a related-party revolving credit facility with a capacity of $450 million that bears interest at a rate of LIBOR plus 3.5%, for which there were no borrowings outstanding as of December 31, 2020. In connection with this offering, we expect to repay our related-party borrowings of $237 million in full and enter into financing arrangements providing for the issuance of $450 million of third-party debt (consisting of the Term A Loan and the Bridge Loan), as described in the section “Recapitalization.” We believe these transactions are probable as the material terms have been agreed, although there is no assurance as to the completion of these transactions. Such transactions are conditioned on the consummation of this offering</w:t>
      </w:r>
      <w:r>
        <w:rPr>
          <w:rFonts w:ascii="Arial" w:cs="Arial" w:eastAsia="Arial" w:hAnsi="Arial"/>
          <w:sz w:val="16"/>
          <w:szCs w:val="16"/>
          <w:color w:val="1F497D"/>
        </w:rPr>
        <w:t>.</w:t>
      </w:r>
    </w:p>
    <w:p>
      <w:pPr>
        <w:spacing w:after="0" w:line="134" w:lineRule="exact"/>
        <w:rPr>
          <w:sz w:val="20"/>
          <w:szCs w:val="20"/>
          <w:color w:val="auto"/>
        </w:rPr>
      </w:pPr>
    </w:p>
    <w:p>
      <w:pPr>
        <w:ind w:right="580" w:firstLine="299"/>
        <w:spacing w:after="0" w:line="247" w:lineRule="auto"/>
        <w:rPr>
          <w:sz w:val="20"/>
          <w:szCs w:val="20"/>
          <w:color w:val="auto"/>
        </w:rPr>
      </w:pPr>
      <w:r>
        <w:rPr>
          <w:rFonts w:ascii="Arial" w:cs="Arial" w:eastAsia="Arial" w:hAnsi="Arial"/>
          <w:sz w:val="17"/>
          <w:szCs w:val="17"/>
          <w:color w:val="auto"/>
        </w:rPr>
        <w:t>You should read the following table in conjunction with “Selected Historical Consolidated Financial Data,” “Unaudited Pro Forma Consolidated Financial Information,” “Management’s Discussion and Analysis of Financial Condition and Results of Operations,” “Recapitalization” and our consolidated financial statements included elsewhere in this prospectus.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58"/>
              <w:spacing w:after="0"/>
              <w:rPr>
                <w:sz w:val="20"/>
                <w:szCs w:val="20"/>
                <w:color w:val="auto"/>
              </w:rPr>
            </w:pPr>
            <w:r>
              <w:rPr>
                <w:rFonts w:ascii="Arial" w:cs="Arial" w:eastAsia="Arial" w:hAnsi="Arial"/>
                <w:sz w:val="13"/>
                <w:szCs w:val="13"/>
                <w:b w:val="1"/>
                <w:bCs w:val="1"/>
                <w:color w:val="auto"/>
              </w:rPr>
              <w:t>As of December 31, 2020</w:t>
            </w:r>
          </w:p>
        </w:tc>
        <w:tc>
          <w:tcPr>
            <w:tcW w:w="0" w:type="dxa"/>
            <w:vAlign w:val="bottom"/>
          </w:tcPr>
          <w:p>
            <w:pPr>
              <w:spacing w:after="0"/>
              <w:rPr>
                <w:sz w:val="1"/>
                <w:szCs w:val="1"/>
                <w:color w:val="auto"/>
              </w:rPr>
            </w:pPr>
          </w:p>
        </w:tc>
      </w:tr>
      <w:tr>
        <w:trPr>
          <w:trHeight w:val="196"/>
        </w:trPr>
        <w:tc>
          <w:tcPr>
            <w:tcW w:w="8000" w:type="dxa"/>
            <w:vAlign w:val="bottom"/>
          </w:tcPr>
          <w:p>
            <w:pPr>
              <w:ind w:left="20"/>
              <w:spacing w:after="0"/>
              <w:rPr>
                <w:sz w:val="20"/>
                <w:szCs w:val="20"/>
                <w:color w:val="auto"/>
              </w:rPr>
            </w:pPr>
            <w:r>
              <w:rPr>
                <w:rFonts w:ascii="Arial" w:cs="Arial" w:eastAsia="Arial" w:hAnsi="Arial"/>
                <w:sz w:val="13"/>
                <w:szCs w:val="13"/>
                <w:color w:val="auto"/>
              </w:rPr>
              <w:t>(Dollars in millions)</w:t>
            </w:r>
          </w:p>
        </w:tc>
        <w:tc>
          <w:tcPr>
            <w:tcW w:w="26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3"/>
                <w:szCs w:val="13"/>
                <w:b w:val="1"/>
                <w:bCs w:val="1"/>
                <w:color w:val="auto"/>
              </w:rPr>
              <w:t xml:space="preserve">Historical </w:t>
            </w:r>
            <w:r>
              <w:rPr>
                <w:rFonts w:ascii="Arial" w:cs="Arial" w:eastAsia="Arial" w:hAnsi="Arial"/>
                <w:sz w:val="17"/>
                <w:szCs w:val="17"/>
                <w:b w:val="1"/>
                <w:bCs w:val="1"/>
                <w:color w:val="auto"/>
                <w:vertAlign w:val="superscript"/>
              </w:rPr>
              <w:t>(2)</w:t>
            </w:r>
          </w:p>
        </w:tc>
        <w:tc>
          <w:tcPr>
            <w:tcW w:w="300" w:type="dxa"/>
            <w:vAlign w:val="bottom"/>
          </w:tcPr>
          <w:p>
            <w:pPr>
              <w:spacing w:after="0"/>
              <w:rPr>
                <w:sz w:val="17"/>
                <w:szCs w:val="17"/>
                <w:color w:val="auto"/>
              </w:rPr>
            </w:pPr>
          </w:p>
        </w:tc>
        <w:tc>
          <w:tcPr>
            <w:tcW w:w="1280" w:type="dxa"/>
            <w:vAlign w:val="bottom"/>
          </w:tcPr>
          <w:p>
            <w:pPr>
              <w:jc w:val="right"/>
              <w:ind w:right="358"/>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66"/>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4.0% Term loan due December 31, 2021</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8000" w:type="dxa"/>
            <w:vAlign w:val="bottom"/>
          </w:tcPr>
          <w:p>
            <w:pPr>
              <w:ind w:left="20"/>
              <w:spacing w:after="0"/>
              <w:rPr>
                <w:sz w:val="20"/>
                <w:szCs w:val="20"/>
                <w:color w:val="auto"/>
              </w:rPr>
            </w:pPr>
            <w:r>
              <w:rPr>
                <w:rFonts w:ascii="Arial" w:cs="Arial" w:eastAsia="Arial" w:hAnsi="Arial"/>
                <w:sz w:val="17"/>
                <w:szCs w:val="17"/>
                <w:color w:val="auto"/>
              </w:rPr>
              <w:t>7.5% Term loan due November 30, 2022</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5.0% Daylight term loan due October 15, 2024</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8000" w:type="dxa"/>
            <w:vAlign w:val="bottom"/>
          </w:tcPr>
          <w:p>
            <w:pPr>
              <w:ind w:left="20"/>
              <w:spacing w:after="0"/>
              <w:rPr>
                <w:sz w:val="20"/>
                <w:szCs w:val="20"/>
                <w:color w:val="auto"/>
              </w:rPr>
            </w:pPr>
            <w:r>
              <w:rPr>
                <w:rFonts w:ascii="Arial" w:cs="Arial" w:eastAsia="Arial" w:hAnsi="Arial"/>
                <w:sz w:val="17"/>
                <w:szCs w:val="17"/>
                <w:color w:val="auto"/>
              </w:rPr>
              <w:t>LIBOR +2.25% term loan</w:t>
            </w:r>
            <w:r>
              <w:rPr>
                <w:rFonts w:ascii="Arial" w:cs="Arial" w:eastAsia="Arial" w:hAnsi="Arial"/>
                <w:sz w:val="21"/>
                <w:szCs w:val="21"/>
                <w:color w:val="auto"/>
                <w:vertAlign w:val="superscript"/>
              </w:rPr>
              <w:t>(3)</w:t>
            </w:r>
          </w:p>
        </w:tc>
        <w:tc>
          <w:tcPr>
            <w:tcW w:w="26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Bridge loan</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Finance lease and other</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5"/>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Preferred Stock, $0.01 par value: 10,000,000 shares authorized; none issued</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$0.01 par value: 300,000,000 shares authorized; 145,000,000 shares issued and</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20"/>
              <w:spacing w:after="0" w:line="234" w:lineRule="exact"/>
              <w:rPr>
                <w:sz w:val="20"/>
                <w:szCs w:val="20"/>
                <w:color w:val="auto"/>
              </w:rPr>
            </w:pPr>
            <w:r>
              <w:rPr>
                <w:rFonts w:ascii="Arial" w:cs="Arial" w:eastAsia="Arial" w:hAnsi="Arial"/>
                <w:sz w:val="17"/>
                <w:szCs w:val="17"/>
                <w:color w:val="auto"/>
              </w:rPr>
              <w:t>outstanding</w:t>
            </w:r>
            <w:r>
              <w:rPr>
                <w:rFonts w:ascii="Arial" w:cs="Arial" w:eastAsia="Arial" w:hAnsi="Arial"/>
                <w:sz w:val="21"/>
                <w:szCs w:val="21"/>
                <w:color w:val="auto"/>
                <w:vertAlign w:val="superscript"/>
              </w:rPr>
              <w:t>(4)</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9"/>
        </w:trPr>
        <w:tc>
          <w:tcPr>
            <w:tcW w:w="8000" w:type="dxa"/>
            <w:vAlign w:val="bottom"/>
          </w:tcPr>
          <w:p>
            <w:pPr>
              <w:ind w:left="20"/>
              <w:spacing w:after="0"/>
              <w:rPr>
                <w:sz w:val="20"/>
                <w:szCs w:val="20"/>
                <w:color w:val="auto"/>
              </w:rPr>
            </w:pPr>
            <w:r>
              <w:rPr>
                <w:rFonts w:ascii="Arial" w:cs="Arial" w:eastAsia="Arial" w:hAnsi="Arial"/>
                <w:sz w:val="17"/>
                <w:szCs w:val="17"/>
                <w:color w:val="auto"/>
              </w:rPr>
              <w:t>Additional paid-in capital</w:t>
            </w:r>
            <w:r>
              <w:rPr>
                <w:rFonts w:ascii="Arial" w:cs="Arial" w:eastAsia="Arial" w:hAnsi="Arial"/>
                <w:sz w:val="21"/>
                <w:szCs w:val="21"/>
                <w:color w:val="auto"/>
                <w:vertAlign w:val="superscript"/>
              </w:rPr>
              <w:t>(4)</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4,633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0" w:type="dxa"/>
            <w:vAlign w:val="bottom"/>
          </w:tcPr>
          <w:p>
            <w:pPr>
              <w:spacing w:after="0"/>
              <w:rPr>
                <w:sz w:val="1"/>
                <w:szCs w:val="1"/>
                <w:color w:val="auto"/>
              </w:rPr>
            </w:pPr>
          </w:p>
        </w:tc>
      </w:tr>
      <w:tr>
        <w:trPr>
          <w:trHeight w:val="241"/>
        </w:trPr>
        <w:tc>
          <w:tcPr>
            <w:tcW w:w="8000" w:type="dxa"/>
            <w:vAlign w:val="bottom"/>
          </w:tcPr>
          <w:p>
            <w:pPr>
              <w:ind w:left="20"/>
              <w:spacing w:after="0"/>
              <w:rPr>
                <w:sz w:val="20"/>
                <w:szCs w:val="20"/>
                <w:color w:val="auto"/>
              </w:rPr>
            </w:pPr>
            <w:r>
              <w:rPr>
                <w:rFonts w:ascii="Arial" w:cs="Arial" w:eastAsia="Arial" w:hAnsi="Arial"/>
                <w:sz w:val="17"/>
                <w:szCs w:val="17"/>
                <w:color w:val="auto"/>
              </w:rPr>
              <w:t>Total capitalization</w:t>
            </w: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1,854</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1440" w:right="339" w:bottom="1440" w:gutter="0" w:footer="0" w:header="0"/>
        </w:sectPr>
      </w:pPr>
    </w:p>
    <w:bookmarkStart w:id="65" w:name="page66"/>
    <w:bookmarkEnd w:id="65"/>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w:t>
      </w:r>
    </w:p>
    <w:p>
      <w:pPr>
        <w:spacing w:after="0" w:line="2" w:lineRule="exact"/>
        <w:rPr>
          <w:sz w:val="20"/>
          <w:szCs w:val="20"/>
          <w:color w:val="auto"/>
        </w:rPr>
      </w:pPr>
    </w:p>
    <w:p>
      <w:pPr>
        <w:ind w:left="300" w:hanging="300"/>
        <w:spacing w:after="0" w:line="242" w:lineRule="auto"/>
        <w:tabs>
          <w:tab w:leader="none" w:pos="296"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Company’s debt with related parties consists of two term loans and a working capital credit facility with US Holding, as described under “Certain Relationships and Related Party Transactions—Transactions with Leonardo S.p.A. Affiliates—Financing Arrangements.”</w:t>
      </w:r>
    </w:p>
    <w:p>
      <w:pPr>
        <w:ind w:left="300" w:right="380" w:hanging="300"/>
        <w:spacing w:after="0" w:line="242" w:lineRule="auto"/>
        <w:tabs>
          <w:tab w:leader="none" w:pos="296" w:val="left"/>
        </w:tabs>
        <w:numPr>
          <w:ilvl w:val="0"/>
          <w:numId w:val="38"/>
        </w:numPr>
        <w:rPr>
          <w:rFonts w:ascii="Arial" w:cs="Arial" w:eastAsia="Arial" w:hAnsi="Arial"/>
          <w:sz w:val="15"/>
          <w:szCs w:val="15"/>
          <w:color w:val="auto"/>
        </w:rPr>
      </w:pPr>
      <w:r>
        <w:rPr>
          <w:rFonts w:ascii="Arial" w:cs="Arial" w:eastAsia="Arial" w:hAnsi="Arial"/>
          <w:sz w:val="15"/>
          <w:szCs w:val="15"/>
          <w:color w:val="auto"/>
        </w:rPr>
        <w:t>Does not reflect $115 million of related party note receivables included in our leverage ratio. Refer to “Non-GAAP Financial Measures” within “Management’s Discussion and Analysis of Financial Condition and Results of Operations” for further discussion of the related party note receivable.</w:t>
      </w:r>
    </w:p>
    <w:p>
      <w:pPr>
        <w:ind w:left="300" w:hanging="300"/>
        <w:spacing w:after="0"/>
        <w:tabs>
          <w:tab w:leader="none" w:pos="3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Net of unamortized debt issuance costs.</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Gives effect to a 1,450,000-for-1 forward stock split on our common stock effected on 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000"/>
          </w:cols>
          <w:pgMar w:left="320" w:top="1440" w:right="579" w:bottom="1440" w:gutter="0" w:footer="0" w:header="0"/>
        </w:sectPr>
      </w:pPr>
    </w:p>
    <w:bookmarkStart w:id="66" w:name="page67"/>
    <w:bookmarkEnd w:id="66"/>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DIVIDEND POLICY</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do not currently anticipate declaring or paying regular cash dividends on our common stock in the near term. We expect that we will retain all of our future earnings for use in the operation and expansion of our business. Subject to the foregoing, the payment of cash dividends in the future, if any, will be at the discretion of our board and will depend upon such factors as our financial condition, earnings, liquidity and capital requirements, level of indebtedness, general business conditions, applicable Delaware law, which provides that dividends are only payable out of surplus or current net profits, and any other factors that our board deems relevant in making such a determination. In addition, the terms of the agreements governing the debt we have incurred or may incur may limit or prohibit the payment of dividends. Further, the proxy holders, in their capacity as directors, may vote to declare or suspend dividends only after prior consultation with US Holding. Therefore, there can be no assurance that we will pay any dividends to holders of our common stock, or as to the amount of any such dividends. See “Risk Factors—Risks Relating to Our Common Stock and This Offering—We do not expect to declare any dividends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00"/>
          </w:cols>
          <w:pgMar w:left="320" w:top="1440" w:right="379" w:bottom="1440" w:gutter="0" w:footer="0" w:header="0"/>
        </w:sectPr>
      </w:pPr>
    </w:p>
    <w:bookmarkStart w:id="67" w:name="page68"/>
    <w:bookmarkEnd w:id="67"/>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RECAPITALIZATION</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have historically operated with a capital structure that reflected our status as a wholly owned indirect subsidiary of Leonardo S.p.A. Our debt with related parties currently consists of two term loans and a working capital credit facility with US Holding, as described in “Certain Relationships and Related Party Transactions—Transactions with Leonardo S.p.A. Affiliates—Financing Arrangements.” To prepare for this offering and operation as a stand-alone public company, we have undertaken recapitalization initiatives to align our capital structure more closely with other U.S. public companies (the “Recapitalization”). In undertaking the Recapitalization, we are focused on several goals:</w:t>
      </w:r>
    </w:p>
    <w:p>
      <w:pPr>
        <w:spacing w:after="0" w:line="147" w:lineRule="exact"/>
        <w:rPr>
          <w:sz w:val="20"/>
          <w:szCs w:val="20"/>
          <w:color w:val="auto"/>
        </w:rPr>
      </w:pPr>
    </w:p>
    <w:p>
      <w:pPr>
        <w:ind w:left="600" w:hanging="302"/>
        <w:spacing w:after="0"/>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Maintaining and strengthening our credit ratings;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Providing increased financial flexibility at the DRS level.</w:t>
      </w:r>
    </w:p>
    <w:p>
      <w:pPr>
        <w:spacing w:after="0" w:line="153" w:lineRule="exact"/>
        <w:rPr>
          <w:sz w:val="20"/>
          <w:szCs w:val="20"/>
          <w:color w:val="auto"/>
        </w:rPr>
      </w:pPr>
    </w:p>
    <w:p>
      <w:pPr>
        <w:ind w:right="160" w:firstLine="299"/>
        <w:spacing w:after="0" w:line="247" w:lineRule="auto"/>
        <w:rPr>
          <w:sz w:val="20"/>
          <w:szCs w:val="20"/>
          <w:color w:val="auto"/>
        </w:rPr>
      </w:pPr>
      <w:r>
        <w:rPr>
          <w:rFonts w:ascii="Arial" w:cs="Arial" w:eastAsia="Arial" w:hAnsi="Arial"/>
          <w:sz w:val="17"/>
          <w:szCs w:val="17"/>
          <w:color w:val="auto"/>
        </w:rPr>
        <w:t>In December 2020, US Holding contributed $300 million to us by converting an equal amount of borrowings outstanding under our 7.5% Term Loan (as defined in “Certain Relationships and Related Party Transactions—Transactions with Leonardo S.p.A. Affiliates—Financing Arrangements”) into additional paid in capital.</w:t>
      </w:r>
    </w:p>
    <w:p>
      <w:pPr>
        <w:spacing w:after="0" w:line="143" w:lineRule="exact"/>
        <w:rPr>
          <w:sz w:val="20"/>
          <w:szCs w:val="20"/>
          <w:color w:val="auto"/>
        </w:rPr>
      </w:pPr>
    </w:p>
    <w:p>
      <w:pPr>
        <w:ind w:right="60" w:firstLine="299"/>
        <w:spacing w:after="0" w:line="250" w:lineRule="auto"/>
        <w:rPr>
          <w:sz w:val="20"/>
          <w:szCs w:val="20"/>
          <w:color w:val="auto"/>
        </w:rPr>
      </w:pPr>
      <w:r>
        <w:rPr>
          <w:rFonts w:ascii="Arial" w:cs="Arial" w:eastAsia="Arial" w:hAnsi="Arial"/>
          <w:sz w:val="17"/>
          <w:szCs w:val="17"/>
          <w:color w:val="auto"/>
        </w:rPr>
        <w:t>In connection with the consummation of this offering, we expect to implement the following additional financing arrangements as part of our efforts to align our capital structure more closely with other U.S. public companies and achieve the goals described above:</w:t>
      </w:r>
    </w:p>
    <w:p>
      <w:pPr>
        <w:spacing w:after="0" w:line="140" w:lineRule="exact"/>
        <w:rPr>
          <w:sz w:val="20"/>
          <w:szCs w:val="20"/>
          <w:color w:val="auto"/>
        </w:rPr>
      </w:pPr>
    </w:p>
    <w:p>
      <w:pPr>
        <w:ind w:left="600" w:hanging="302"/>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repayment of $237 million of related-party borrowings;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expected issuance of $450 million of third-party debt (consisting of the Term A Loan and the Bridge Loan).</w:t>
      </w:r>
    </w:p>
    <w:p>
      <w:pPr>
        <w:spacing w:after="0" w:line="153" w:lineRule="exact"/>
        <w:rPr>
          <w:sz w:val="20"/>
          <w:szCs w:val="20"/>
          <w:color w:val="auto"/>
        </w:rPr>
      </w:pPr>
    </w:p>
    <w:p>
      <w:pPr>
        <w:ind w:right="240" w:firstLine="299"/>
        <w:spacing w:after="0" w:line="247" w:lineRule="auto"/>
        <w:rPr>
          <w:sz w:val="20"/>
          <w:szCs w:val="20"/>
          <w:color w:val="auto"/>
        </w:rPr>
      </w:pPr>
      <w:r>
        <w:rPr>
          <w:rFonts w:ascii="Arial" w:cs="Arial" w:eastAsia="Arial" w:hAnsi="Arial"/>
          <w:sz w:val="17"/>
          <w:szCs w:val="17"/>
          <w:color w:val="auto"/>
        </w:rPr>
        <w:t>We believe these transactions are probable as the material terms have been agreed, although there is no assurance as to the completion of these transactions. Such transactions are conditioned on the consummation of this offering. See the sections “Capitalization” and “Unaudited Proforma Consolidated Financial Information” in this prospectus.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Repayment of Related-Party Borrowings</w:t>
      </w:r>
    </w:p>
    <w:p>
      <w:pPr>
        <w:spacing w:after="0" w:line="173" w:lineRule="exact"/>
        <w:rPr>
          <w:sz w:val="20"/>
          <w:szCs w:val="20"/>
          <w:color w:val="auto"/>
        </w:rPr>
      </w:pPr>
    </w:p>
    <w:p>
      <w:pPr>
        <w:ind w:right="40" w:firstLine="299"/>
        <w:spacing w:after="0" w:line="280" w:lineRule="auto"/>
        <w:rPr>
          <w:sz w:val="20"/>
          <w:szCs w:val="20"/>
          <w:color w:val="auto"/>
        </w:rPr>
      </w:pPr>
      <w:r>
        <w:rPr>
          <w:rFonts w:ascii="Arial" w:cs="Arial" w:eastAsia="Arial" w:hAnsi="Arial"/>
          <w:sz w:val="16"/>
          <w:szCs w:val="16"/>
          <w:color w:val="auto"/>
        </w:rPr>
        <w:t>In connection this offering, we expect to repay all outstanding related-party borrowings outstanding including those under the credit agreement dated January 20, 2009, as amended, by and among us, certain of our subsidiaries and US Holding and amounts outstanding under the Daylight Term Loan.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Indebtedness Following this Offering</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Senior Facilities</w:t>
      </w:r>
    </w:p>
    <w:p>
      <w:pPr>
        <w:spacing w:after="0" w:line="173"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In connection with this offering, we expect to enter into a credit agreement providing for $ 300 million of senior unsecured credit facilities, consisting of a $100 million term loan facility (the Term A Loan), and a $200 million revolving credit facility. Initial borrowings under the credit facilities are subject to satisfaction of certain closing conditions, including the consummation of this offering.</w:t>
      </w:r>
    </w:p>
    <w:p>
      <w:pPr>
        <w:spacing w:after="0" w:line="143"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Loans under the credit facilities will bear interest at an annual rate equal to, at our option, a base rate plus a margin ranging from 0.75% to 1.75%, or LIBOR plus a margin ranging from 1.75% to 2.75%, in either case based on our credit ratings. The credit agreement contains customary LIBOR replacement provisions for syndicated loans. We will also pay a commitment fee on the undrawn balance under the revolving credit facility at an annual rate ranging from 0.375% to 0.500% based on our credit ratings.</w:t>
      </w:r>
    </w:p>
    <w:p>
      <w:pPr>
        <w:spacing w:after="0" w:line="144" w:lineRule="exact"/>
        <w:rPr>
          <w:sz w:val="20"/>
          <w:szCs w:val="20"/>
          <w:color w:val="auto"/>
        </w:rPr>
      </w:pPr>
    </w:p>
    <w:p>
      <w:pPr>
        <w:ind w:right="280" w:firstLine="299"/>
        <w:spacing w:after="0" w:line="250" w:lineRule="auto"/>
        <w:rPr>
          <w:sz w:val="20"/>
          <w:szCs w:val="20"/>
          <w:color w:val="auto"/>
        </w:rPr>
      </w:pPr>
      <w:r>
        <w:rPr>
          <w:rFonts w:ascii="Arial" w:cs="Arial" w:eastAsia="Arial" w:hAnsi="Arial"/>
          <w:sz w:val="17"/>
          <w:szCs w:val="17"/>
          <w:color w:val="auto"/>
        </w:rPr>
        <w:t>The principal of the term loan will be repaid in quarterly installments and at final maturity on the fifth anniversary of the closing date. The revolving credit facility will mature on the fifth anniversary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20"/>
          </w:cols>
          <w:pgMar w:left="320" w:top="1440" w:right="359" w:bottom="1440" w:gutter="0" w:footer="0" w:header="0"/>
        </w:sectPr>
      </w:pPr>
    </w:p>
    <w:bookmarkStart w:id="68" w:name="page69"/>
    <w:bookmarkEnd w:id="68"/>
    <w:p>
      <w:pPr>
        <w:spacing w:after="0" w:line="43" w:lineRule="exact"/>
        <w:rPr>
          <w:sz w:val="20"/>
          <w:szCs w:val="20"/>
          <w:color w:val="auto"/>
        </w:rPr>
      </w:pPr>
    </w:p>
    <w:p>
      <w:pPr>
        <w:ind w:right="280" w:firstLine="299"/>
        <w:spacing w:after="0" w:line="250" w:lineRule="auto"/>
        <w:rPr>
          <w:sz w:val="20"/>
          <w:szCs w:val="20"/>
          <w:color w:val="auto"/>
        </w:rPr>
      </w:pPr>
      <w:r>
        <w:rPr>
          <w:rFonts w:ascii="Arial" w:cs="Arial" w:eastAsia="Arial" w:hAnsi="Arial"/>
          <w:sz w:val="17"/>
          <w:szCs w:val="17"/>
          <w:color w:val="auto"/>
        </w:rPr>
        <w:t>Loans under the credit facilities may be voluntarily prepaid and commitments reduced in whole or in part at any time and from time to time without premium or penalty. The loans will be subject to mandatory prepayment upon a change of control.</w:t>
      </w:r>
    </w:p>
    <w:p>
      <w:pPr>
        <w:spacing w:after="0" w:line="140" w:lineRule="exact"/>
        <w:rPr>
          <w:sz w:val="20"/>
          <w:szCs w:val="20"/>
          <w:color w:val="auto"/>
        </w:rPr>
      </w:pPr>
    </w:p>
    <w:p>
      <w:pPr>
        <w:ind w:right="40" w:firstLine="299"/>
        <w:spacing w:after="0" w:line="264" w:lineRule="auto"/>
        <w:rPr>
          <w:sz w:val="20"/>
          <w:szCs w:val="20"/>
          <w:color w:val="auto"/>
        </w:rPr>
      </w:pPr>
      <w:r>
        <w:rPr>
          <w:rFonts w:ascii="Arial" w:cs="Arial" w:eastAsia="Arial" w:hAnsi="Arial"/>
          <w:sz w:val="16"/>
          <w:szCs w:val="16"/>
          <w:color w:val="auto"/>
        </w:rPr>
        <w:t>The credit agreement contains a number of covenants, including but not limited to, a maximum total net leverage ratio of 3:75 to 1:00 as of the last day of any fiscal quarter and a minimum net interest coverage ratio of 3:25 to 1:00 as of the last day of any fiscal quarter, which restrict our ability to incur additional debt; pay dividends or make other distributions; prepay, redeem or repurchase certain debt; make loans and investments; sell, transfer or otherwise dispose of assets; incur or permit to exist certain liens; enter into certain types of transactions with affiliates; enter into agreements restricting their respective subsidiaries’ ability to pay dividends; and consolidate, amalgamate, merge or sell all or substantially all of their respective assets.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obligations under the credit facilities will be guaranteed by all of our U.S. subsidiaries.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credit agreement governing the credit facilities has been filed as an exhibit to the registration statement of which this prospectus forms a part.</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Bridge Facilities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connection with this offering, we expect to enter into a credit agreement providing for the Bridge Loan, a $350 million bridge loan facility.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Borrowings under the Bridge Loan will be subject to satisfaction of certain closing conditions, including the consummation of this offering.</w:t>
      </w:r>
    </w:p>
    <w:p>
      <w:pPr>
        <w:spacing w:after="0" w:line="153" w:lineRule="exact"/>
        <w:rPr>
          <w:sz w:val="20"/>
          <w:szCs w:val="20"/>
          <w:color w:val="auto"/>
        </w:rPr>
      </w:pPr>
    </w:p>
    <w:p>
      <w:pPr>
        <w:jc w:val="both"/>
        <w:ind w:right="400" w:firstLine="299"/>
        <w:spacing w:after="0" w:line="247" w:lineRule="auto"/>
        <w:rPr>
          <w:sz w:val="20"/>
          <w:szCs w:val="20"/>
          <w:color w:val="auto"/>
        </w:rPr>
      </w:pPr>
      <w:r>
        <w:rPr>
          <w:rFonts w:ascii="Arial" w:cs="Arial" w:eastAsia="Arial" w:hAnsi="Arial"/>
          <w:sz w:val="17"/>
          <w:szCs w:val="17"/>
          <w:color w:val="auto"/>
        </w:rPr>
        <w:t>The interest rate on the Bridge Loans will initially be equal to LIBOR plus 2.25% and will increase by at least 0.25% every three months after the closing date. The credit agreement contains customary LIBOR replacement provisions for syndicated loans. The Bridge Loan will also be subject to customary fees.</w:t>
      </w:r>
    </w:p>
    <w:p>
      <w:pPr>
        <w:spacing w:after="0" w:line="143" w:lineRule="exact"/>
        <w:rPr>
          <w:sz w:val="20"/>
          <w:szCs w:val="20"/>
          <w:color w:val="auto"/>
        </w:rPr>
      </w:pPr>
    </w:p>
    <w:p>
      <w:pPr>
        <w:ind w:right="200" w:firstLine="299"/>
        <w:spacing w:after="0" w:line="247" w:lineRule="auto"/>
        <w:rPr>
          <w:sz w:val="20"/>
          <w:szCs w:val="20"/>
          <w:color w:val="auto"/>
        </w:rPr>
      </w:pPr>
      <w:r>
        <w:rPr>
          <w:rFonts w:ascii="Arial" w:cs="Arial" w:eastAsia="Arial" w:hAnsi="Arial"/>
          <w:sz w:val="17"/>
          <w:szCs w:val="17"/>
          <w:color w:val="auto"/>
        </w:rPr>
        <w:t>The Bridge Loan will mature on the date that is 364 days after the closing date. The Bridge Loan is subject to mandatory prepayment with the proceeds of certain issuances of debt and equity securities, certain asset sales and certain insurance and condemnation events, and upon a change of control.</w:t>
      </w:r>
    </w:p>
    <w:p>
      <w:pPr>
        <w:spacing w:after="0" w:line="143" w:lineRule="exact"/>
        <w:rPr>
          <w:sz w:val="20"/>
          <w:szCs w:val="20"/>
          <w:color w:val="auto"/>
        </w:rPr>
      </w:pPr>
    </w:p>
    <w:p>
      <w:pPr>
        <w:ind w:right="40" w:firstLine="299"/>
        <w:spacing w:after="0" w:line="264" w:lineRule="auto"/>
        <w:rPr>
          <w:sz w:val="20"/>
          <w:szCs w:val="20"/>
          <w:color w:val="auto"/>
        </w:rPr>
      </w:pPr>
      <w:r>
        <w:rPr>
          <w:rFonts w:ascii="Arial" w:cs="Arial" w:eastAsia="Arial" w:hAnsi="Arial"/>
          <w:sz w:val="16"/>
          <w:szCs w:val="16"/>
          <w:color w:val="auto"/>
        </w:rPr>
        <w:t>The credit agreement will contain a number of covenants, including but not limited to, a maximum total net leverage ratio of 3:75 to 1:00 as of the last day of any fiscal quarter and a minimum net interest coverage ratio of 3:25 to 1:00 as of the last day of any fiscal quarter, which restrict our ability to incur additional debt; pay dividends or make other distributions; prepay, redeem or repurchase certain debt; make loans and investments; sell, transfer or otherwise dispose of assets; incur or permit to exist certain liens; enter into certain types of transactions with affiliates; enter into agreements restricting their respective subsidiaries’ ability to pay dividends; and consolidate, amalgamate, merge or sell all or substantially all of their respective assets.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obligations under the Bridge Loan will be guaranteed by all of our U.S. subsidiaries.</w:t>
      </w:r>
    </w:p>
    <w:p>
      <w:pPr>
        <w:spacing w:after="0" w:line="15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We anticipate that the Bridge Loan will be repaid with the net proceeds from the issuance of unsecured senior notes in an aggregate principal amount of $350 million with an estimated maturity of five to eight years following this offering. Any such unsecured senior notes would be offered pursuant to a separate offering memorandum and nothing contained in this prospectus shall constitute an offer to sell or solicitation of an offer to buy such unsecured senior notes.</w:t>
      </w:r>
    </w:p>
    <w:p>
      <w:pPr>
        <w:spacing w:after="0" w:line="144" w:lineRule="exact"/>
        <w:rPr>
          <w:sz w:val="20"/>
          <w:szCs w:val="20"/>
          <w:color w:val="auto"/>
        </w:rPr>
      </w:pPr>
    </w:p>
    <w:p>
      <w:pPr>
        <w:ind w:right="240" w:firstLine="299"/>
        <w:spacing w:after="0" w:line="250" w:lineRule="auto"/>
        <w:rPr>
          <w:sz w:val="20"/>
          <w:szCs w:val="20"/>
          <w:color w:val="auto"/>
        </w:rPr>
      </w:pPr>
      <w:r>
        <w:rPr>
          <w:rFonts w:ascii="Arial" w:cs="Arial" w:eastAsia="Arial" w:hAnsi="Arial"/>
          <w:sz w:val="17"/>
          <w:szCs w:val="17"/>
          <w:color w:val="auto"/>
        </w:rPr>
        <w:t>The credit agreement governing the bridge loan facilities has been filed as an exhibit to the registration statement of which this prospectus forms a part.</w:t>
      </w:r>
    </w:p>
    <w:p>
      <w:pPr>
        <w:spacing w:after="0" w:line="140" w:lineRule="exact"/>
        <w:rPr>
          <w:sz w:val="20"/>
          <w:szCs w:val="20"/>
          <w:color w:val="auto"/>
        </w:rPr>
      </w:pPr>
    </w:p>
    <w:p>
      <w:pPr>
        <w:ind w:right="240" w:firstLine="299"/>
        <w:spacing w:after="0" w:line="250" w:lineRule="auto"/>
        <w:rPr>
          <w:sz w:val="20"/>
          <w:szCs w:val="20"/>
          <w:color w:val="auto"/>
        </w:rPr>
      </w:pPr>
      <w:r>
        <w:rPr>
          <w:rFonts w:ascii="Arial" w:cs="Arial" w:eastAsia="Arial" w:hAnsi="Arial"/>
          <w:sz w:val="17"/>
          <w:szCs w:val="17"/>
          <w:color w:val="auto"/>
        </w:rPr>
        <w:t>For more information, see the sections “Capitalization,” “Unaudited Pro Forma Consolidated Financial Information” and “Certain Relationships and Related Party Transactions—Transactions with Leonardo S.p.A. Affiliates—Financing Arrangements”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3" w:lineRule="exact"/>
        <w:rPr>
          <w:sz w:val="20"/>
          <w:szCs w:val="20"/>
          <w:color w:val="auto"/>
        </w:rPr>
      </w:pPr>
    </w:p>
    <w:p>
      <w:pPr>
        <w:ind w:right="3260" w:firstLine="3263"/>
        <w:spacing w:after="0" w:line="440" w:lineRule="auto"/>
        <w:rPr>
          <w:sz w:val="20"/>
          <w:szCs w:val="20"/>
          <w:color w:val="auto"/>
        </w:rPr>
      </w:pPr>
      <w:r>
        <w:rPr>
          <w:rFonts w:ascii="Arial" w:cs="Arial" w:eastAsia="Arial" w:hAnsi="Arial"/>
          <w:sz w:val="17"/>
          <w:szCs w:val="17"/>
          <w:b w:val="1"/>
          <w:bCs w:val="1"/>
          <w:color w:val="auto"/>
        </w:rPr>
        <w:t>SELECTED HISTORICAL CONSOLIDATED FINANCIAL DATA Summary Historical Consolidated Financial Information of DRS</w:t>
      </w:r>
    </w:p>
    <w:p>
      <w:pPr>
        <w:ind w:firstLine="299"/>
        <w:spacing w:after="0" w:line="245" w:lineRule="auto"/>
        <w:rPr>
          <w:sz w:val="20"/>
          <w:szCs w:val="20"/>
          <w:color w:val="auto"/>
        </w:rPr>
      </w:pPr>
      <w:r>
        <w:rPr>
          <w:rFonts w:ascii="Arial" w:cs="Arial" w:eastAsia="Arial" w:hAnsi="Arial"/>
          <w:sz w:val="17"/>
          <w:szCs w:val="17"/>
          <w:color w:val="auto"/>
        </w:rPr>
        <w:t>The following tables present our selected consolidated financial data. The selected Consolidated Statements of Earnings (Loss) data for the years ended December 31, 2020, 2019 and 2018 and the selected Consolidated Balance Sheet data as of December 31, 2020 and 2019 are each derived from our audited Consolidated Financial Statements that are included elsewhere in this prospectus. The selected Consolidated Statements of Earnings (Loss) data for the years ended December 31, 2017 and 2016 and the selected Consolidated Balance Sheet data as of December 31, 2018, 2017 and 2016 are each derived from our unaudited Consolidated Financial Statements not included in this prospectus. The unaudited Consolidated Financial Statements have been prepared on the same basis as the audited Consolidated Financial Statements and, in the opinion of management, reflect all adjustments, consisting only of normal recurring adjustments, that are necessary for the fair presentation of our unaudited Consolidated Financial Statements. Our historical results are not necessarily indicative of the results that may be expected in the future. You should read the selected historical financial data below in conjunction with the section titled “Management’s Discussion and Analysis of Financial Condition and Results of Operations” and the financial statements and related notes included elsewhere in this prospectus.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right"/>
              <w:ind w:right="197"/>
              <w:spacing w:after="0"/>
              <w:rPr>
                <w:sz w:val="20"/>
                <w:szCs w:val="20"/>
                <w:color w:val="auto"/>
              </w:rPr>
            </w:pPr>
            <w:r>
              <w:rPr>
                <w:rFonts w:ascii="Arial" w:cs="Arial" w:eastAsia="Arial" w:hAnsi="Arial"/>
                <w:sz w:val="13"/>
                <w:szCs w:val="13"/>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 except per share amounts)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2016</w:t>
            </w:r>
          </w:p>
        </w:tc>
      </w:tr>
      <w:tr>
        <w:trPr>
          <w:trHeight w:val="21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7"/>
              </w:rPr>
              <w:t>Consolidated Statements of Earnings (Loss) Data:</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4"/>
        </w:trPr>
        <w:tc>
          <w:tcPr>
            <w:tcW w:w="400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2,778</w:t>
            </w:r>
          </w:p>
        </w:tc>
        <w:tc>
          <w:tcPr>
            <w:tcW w:w="80" w:type="dxa"/>
            <w:vAlign w:val="bottom"/>
          </w:tcPr>
          <w:p>
            <w:pPr>
              <w:spacing w:after="0"/>
              <w:rPr>
                <w:sz w:val="19"/>
                <w:szCs w:val="19"/>
                <w:color w:val="auto"/>
              </w:rPr>
            </w:pP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2,714</w:t>
            </w:r>
          </w:p>
        </w:tc>
        <w:tc>
          <w:tcPr>
            <w:tcW w:w="5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2,333</w:t>
            </w:r>
          </w:p>
        </w:tc>
        <w:tc>
          <w:tcPr>
            <w:tcW w:w="8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1,947</w:t>
            </w:r>
          </w:p>
        </w:tc>
        <w:tc>
          <w:tcPr>
            <w:tcW w:w="80" w:type="dxa"/>
            <w:vAlign w:val="bottom"/>
          </w:tcPr>
          <w:p>
            <w:pPr>
              <w:spacing w:after="0"/>
              <w:rPr>
                <w:sz w:val="19"/>
                <w:szCs w:val="19"/>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8"/>
              <w:spacing w:after="0"/>
              <w:rPr>
                <w:sz w:val="20"/>
                <w:szCs w:val="20"/>
                <w:color w:val="auto"/>
              </w:rPr>
            </w:pPr>
            <w:r>
              <w:rPr>
                <w:rFonts w:ascii="Arial" w:cs="Arial" w:eastAsia="Arial" w:hAnsi="Arial"/>
                <w:sz w:val="17"/>
                <w:szCs w:val="17"/>
                <w:color w:val="auto"/>
              </w:rPr>
              <w:t>1,753</w:t>
            </w:r>
          </w:p>
        </w:tc>
      </w:tr>
      <w:tr>
        <w:trPr>
          <w:trHeight w:val="25"/>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181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3</w:t>
            </w:r>
          </w:p>
        </w:tc>
      </w:tr>
      <w:tr>
        <w:trPr>
          <w:trHeight w:val="217"/>
        </w:trPr>
        <w:tc>
          <w:tcPr>
            <w:tcW w:w="4000" w:type="dxa"/>
            <w:vAlign w:val="bottom"/>
          </w:tcPr>
          <w:p>
            <w:pPr>
              <w:ind w:left="20"/>
              <w:spacing w:after="0"/>
              <w:rPr>
                <w:sz w:val="20"/>
                <w:szCs w:val="20"/>
                <w:color w:val="auto"/>
              </w:rPr>
            </w:pPr>
            <w:r>
              <w:rPr>
                <w:rFonts w:ascii="Arial" w:cs="Arial" w:eastAsia="Arial" w:hAnsi="Arial"/>
                <w:sz w:val="17"/>
                <w:szCs w:val="17"/>
                <w:color w:val="auto"/>
              </w:rPr>
              <w:t>Net earnings (loss)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75</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98"/>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98"/>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8"/>
              <w:spacing w:after="0"/>
              <w:rPr>
                <w:sz w:val="20"/>
                <w:szCs w:val="20"/>
                <w:color w:val="auto"/>
              </w:rPr>
            </w:pPr>
            <w:r>
              <w:rPr>
                <w:rFonts w:ascii="Arial" w:cs="Arial" w:eastAsia="Arial" w:hAnsi="Arial"/>
                <w:sz w:val="17"/>
                <w:szCs w:val="17"/>
                <w:color w:val="auto"/>
              </w:rPr>
              <w:t>(162)</w:t>
            </w:r>
          </w:p>
        </w:tc>
      </w:tr>
      <w:tr>
        <w:trPr>
          <w:trHeight w:val="25"/>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Net earnings (loss) per share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0.59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(0.07)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(0.63)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(1.12)</w:t>
            </w:r>
          </w:p>
        </w:tc>
      </w:tr>
      <w:tr>
        <w:trPr>
          <w:trHeight w:val="224"/>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61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79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52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51</w:t>
            </w:r>
          </w:p>
        </w:tc>
      </w:tr>
      <w:tr>
        <w:trPr>
          <w:trHeight w:val="224"/>
        </w:trPr>
        <w:tc>
          <w:tcPr>
            <w:tcW w:w="40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2,956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2,888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2,429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2,431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8"/>
              <w:spacing w:after="0"/>
              <w:rPr>
                <w:sz w:val="20"/>
                <w:szCs w:val="20"/>
                <w:color w:val="auto"/>
              </w:rPr>
            </w:pPr>
            <w:r>
              <w:rPr>
                <w:rFonts w:ascii="Arial" w:cs="Arial" w:eastAsia="Arial" w:hAnsi="Arial"/>
                <w:sz w:val="17"/>
                <w:szCs w:val="17"/>
                <w:color w:val="auto"/>
              </w:rPr>
              <w:t>2,320</w:t>
            </w:r>
          </w:p>
        </w:tc>
      </w:tr>
      <w:tr>
        <w:trPr>
          <w:trHeight w:val="25"/>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552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577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1,175</w:t>
            </w:r>
          </w:p>
        </w:tc>
      </w:tr>
      <w:tr>
        <w:trPr>
          <w:trHeight w:val="224"/>
        </w:trPr>
        <w:tc>
          <w:tcPr>
            <w:tcW w:w="4000" w:type="dxa"/>
            <w:vAlign w:val="bottom"/>
          </w:tcPr>
          <w:p>
            <w:pPr>
              <w:ind w:left="20"/>
              <w:spacing w:after="0"/>
              <w:rPr>
                <w:sz w:val="20"/>
                <w:szCs w:val="20"/>
                <w:color w:val="auto"/>
              </w:rPr>
            </w:pPr>
            <w:r>
              <w:rPr>
                <w:rFonts w:ascii="Arial" w:cs="Arial" w:eastAsia="Arial" w:hAnsi="Arial"/>
                <w:sz w:val="17"/>
                <w:szCs w:val="17"/>
                <w:color w:val="auto"/>
              </w:rPr>
              <w:t>Total shareholder's equity</w:t>
            </w:r>
          </w:p>
        </w:tc>
        <w:tc>
          <w:tcPr>
            <w:tcW w:w="3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1,427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956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972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8"/>
              <w:spacing w:after="0"/>
              <w:rPr>
                <w:sz w:val="20"/>
                <w:szCs w:val="20"/>
                <w:color w:val="auto"/>
              </w:rPr>
            </w:pPr>
            <w:r>
              <w:rPr>
                <w:rFonts w:ascii="Arial" w:cs="Arial" w:eastAsia="Arial" w:hAnsi="Arial"/>
                <w:sz w:val="17"/>
                <w:szCs w:val="17"/>
                <w:color w:val="auto"/>
              </w:rPr>
              <w:t>341</w:t>
            </w:r>
          </w:p>
        </w:tc>
      </w:tr>
      <w:tr>
        <w:trPr>
          <w:trHeight w:val="25"/>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Cash Flows Data:</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4"/>
        </w:trPr>
        <w:tc>
          <w:tcPr>
            <w:tcW w:w="400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8"/>
              <w:spacing w:after="0"/>
              <w:rPr>
                <w:sz w:val="20"/>
                <w:szCs w:val="20"/>
                <w:color w:val="auto"/>
              </w:rPr>
            </w:pPr>
            <w:r>
              <w:rPr>
                <w:rFonts w:ascii="Arial" w:cs="Arial" w:eastAsia="Arial" w:hAnsi="Arial"/>
                <w:sz w:val="17"/>
                <w:szCs w:val="17"/>
                <w:color w:val="auto"/>
              </w:rPr>
              <w:t>12</w:t>
            </w:r>
          </w:p>
        </w:tc>
      </w:tr>
      <w:tr>
        <w:trPr>
          <w:trHeight w:val="25"/>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Financial Data:</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49"/>
        </w:trPr>
        <w:tc>
          <w:tcPr>
            <w:tcW w:w="400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1"/>
                <w:szCs w:val="21"/>
                <w:color w:val="auto"/>
                <w:vertAlign w:val="superscript"/>
              </w:rPr>
              <w:t>(2)</w:t>
            </w:r>
          </w:p>
        </w:tc>
        <w:tc>
          <w:tcPr>
            <w:tcW w:w="320" w:type="dxa"/>
            <w:vAlign w:val="bottom"/>
          </w:tcPr>
          <w:p>
            <w:pPr>
              <w:spacing w:after="0"/>
              <w:rPr>
                <w:sz w:val="21"/>
                <w:szCs w:val="21"/>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187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181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38"/>
              <w:spacing w:after="0"/>
              <w:rPr>
                <w:sz w:val="20"/>
                <w:szCs w:val="20"/>
                <w:color w:val="auto"/>
              </w:rPr>
            </w:pPr>
            <w:r>
              <w:rPr>
                <w:rFonts w:ascii="Arial" w:cs="Arial" w:eastAsia="Arial" w:hAnsi="Arial"/>
                <w:sz w:val="17"/>
                <w:szCs w:val="17"/>
                <w:color w:val="auto"/>
              </w:rPr>
              <w:t>153</w:t>
            </w:r>
          </w:p>
        </w:tc>
      </w:tr>
      <w:tr>
        <w:trPr>
          <w:trHeight w:val="24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Margin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8.0 %</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8.7 %</w:t>
            </w:r>
          </w:p>
        </w:tc>
      </w:tr>
      <w:tr>
        <w:trPr>
          <w:trHeight w:val="249"/>
        </w:trPr>
        <w:tc>
          <w:tcPr>
            <w:tcW w:w="4000" w:type="dxa"/>
            <w:vAlign w:val="bottom"/>
          </w:tcPr>
          <w:p>
            <w:pPr>
              <w:ind w:left="20"/>
              <w:spacing w:after="0"/>
              <w:rPr>
                <w:sz w:val="20"/>
                <w:szCs w:val="20"/>
                <w:color w:val="auto"/>
              </w:rPr>
            </w:pPr>
            <w:r>
              <w:rPr>
                <w:rFonts w:ascii="Arial" w:cs="Arial" w:eastAsia="Arial" w:hAnsi="Arial"/>
                <w:sz w:val="17"/>
                <w:szCs w:val="17"/>
                <w:color w:val="auto"/>
              </w:rPr>
              <w:t>Free cash flow</w:t>
            </w:r>
            <w:r>
              <w:rPr>
                <w:rFonts w:ascii="Arial" w:cs="Arial" w:eastAsia="Arial" w:hAnsi="Arial"/>
                <w:sz w:val="21"/>
                <w:szCs w:val="21"/>
                <w:color w:val="auto"/>
                <w:vertAlign w:val="superscript"/>
              </w:rPr>
              <w:t>(2)</w:t>
            </w:r>
          </w:p>
        </w:tc>
        <w:tc>
          <w:tcPr>
            <w:tcW w:w="320" w:type="dxa"/>
            <w:vAlign w:val="bottom"/>
          </w:tcPr>
          <w:p>
            <w:pPr>
              <w:spacing w:after="0"/>
              <w:rPr>
                <w:sz w:val="21"/>
                <w:szCs w:val="21"/>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8"/>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8"/>
              <w:spacing w:after="0"/>
              <w:rPr>
                <w:sz w:val="20"/>
                <w:szCs w:val="20"/>
                <w:color w:val="auto"/>
              </w:rPr>
            </w:pPr>
            <w:r>
              <w:rPr>
                <w:rFonts w:ascii="Arial" w:cs="Arial" w:eastAsia="Arial" w:hAnsi="Arial"/>
                <w:sz w:val="17"/>
                <w:szCs w:val="17"/>
                <w:color w:val="auto"/>
              </w:rPr>
              <w:t>(10)</w:t>
            </w:r>
          </w:p>
        </w:tc>
      </w:tr>
      <w:tr>
        <w:trPr>
          <w:trHeight w:val="24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Backlog</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3,291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2,844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2,684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2,078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2,147</w:t>
            </w:r>
          </w:p>
        </w:tc>
      </w:tr>
      <w:tr>
        <w:trPr>
          <w:trHeight w:val="176"/>
        </w:trPr>
        <w:tc>
          <w:tcPr>
            <w:tcW w:w="4000" w:type="dxa"/>
            <w:vAlign w:val="bottom"/>
          </w:tcPr>
          <w:p>
            <w:pPr>
              <w:spacing w:after="0"/>
              <w:rPr>
                <w:sz w:val="20"/>
                <w:szCs w:val="20"/>
                <w:color w:val="auto"/>
              </w:rPr>
            </w:pPr>
            <w:r>
              <w:rPr>
                <w:rFonts w:ascii="Arial" w:cs="Arial" w:eastAsia="Arial" w:hAnsi="Arial"/>
                <w:sz w:val="15"/>
                <w:szCs w:val="15"/>
                <w:color w:val="auto"/>
              </w:rPr>
              <w:t>________________</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ind w:left="300" w:hanging="300"/>
        <w:spacing w:after="0"/>
        <w:tabs>
          <w:tab w:leader="none" w:pos="3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Gives effect to a 1,450,000-for-1 forward stock split on our common stock effected on February 25, 2021.</w:t>
      </w:r>
    </w:p>
    <w:p>
      <w:pPr>
        <w:spacing w:after="0" w:line="1" w:lineRule="exact"/>
        <w:rPr>
          <w:rFonts w:ascii="Arial" w:cs="Arial" w:eastAsia="Arial" w:hAnsi="Arial"/>
          <w:sz w:val="15"/>
          <w:szCs w:val="15"/>
          <w:color w:val="auto"/>
        </w:rPr>
      </w:pPr>
    </w:p>
    <w:p>
      <w:pPr>
        <w:ind w:left="300" w:hanging="300"/>
        <w:spacing w:after="0" w:line="244" w:lineRule="auto"/>
        <w:tabs>
          <w:tab w:leader="none" w:pos="296"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Adjusted EBITDA, Adjusted EBITDA Margin and free cash flow are non-GAAP measures. Refer to “Management’s Discussion and Analysis of Financial Condition and Results of Operations—Key Financial and Operating Measures—Non-GAAP Financial Measures” for definitions and additional discussion of management’s use of non-GAAP measures as supplemental financial measures. Adjusted EBITDA, Adjusted EBITDA Margin and free cash flow may not be comparable to similarly titled non-GAAP measures of other companies as other companies may have calculated the measures differently. The reconciliations of net earnings (loss) to Adjusted EBITDA and net cash provided by operating activities to free cash flow are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1440" w:right="339" w:bottom="1440" w:gutter="0" w:footer="0" w:header="0"/>
        </w:sectPr>
      </w:pPr>
    </w:p>
    <w:bookmarkStart w:id="70" w:name="page71"/>
    <w:bookmarkEnd w:id="70"/>
    <w:p>
      <w:pPr>
        <w:spacing w:after="0" w:line="46" w:lineRule="exact"/>
        <w:rPr>
          <w:sz w:val="20"/>
          <w:szCs w:val="20"/>
          <w:color w:val="auto"/>
        </w:rPr>
      </w:pPr>
    </w:p>
    <w:p>
      <w:pPr>
        <w:ind w:left="300" w:right="280" w:hanging="300"/>
        <w:spacing w:after="0" w:line="251" w:lineRule="auto"/>
        <w:tabs>
          <w:tab w:leader="none" w:pos="296"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Refer to “Management’s Discussion and Analysis of Financial Condition and Results of Operations—Key Financial and Operating Measures” for the definition and additional discussion of management’s use of backlog as a key operating and financial measure.</w:t>
      </w:r>
    </w:p>
    <w:p>
      <w:pPr>
        <w:spacing w:after="0" w:line="134"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The reconciliation between Net earnings (loss) and Adjusted EBITDA is shown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157"/>
              <w:spacing w:after="0"/>
              <w:rPr>
                <w:sz w:val="20"/>
                <w:szCs w:val="20"/>
                <w:color w:val="auto"/>
              </w:rPr>
            </w:pPr>
            <w:r>
              <w:rPr>
                <w:rFonts w:ascii="Arial" w:cs="Arial" w:eastAsia="Arial" w:hAnsi="Arial"/>
                <w:sz w:val="13"/>
                <w:szCs w:val="13"/>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92"/>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2016</w:t>
            </w:r>
          </w:p>
        </w:tc>
      </w:tr>
      <w:tr>
        <w:trPr>
          <w:trHeight w:val="22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 (loss)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49"/>
        </w:trPr>
        <w:tc>
          <w:tcPr>
            <w:tcW w:w="4340" w:type="dxa"/>
            <w:vAlign w:val="bottom"/>
          </w:tcPr>
          <w:p>
            <w:pPr>
              <w:ind w:left="20"/>
              <w:spacing w:after="0"/>
              <w:rPr>
                <w:sz w:val="20"/>
                <w:szCs w:val="20"/>
                <w:color w:val="auto"/>
              </w:rPr>
            </w:pPr>
            <w:r>
              <w:rPr>
                <w:rFonts w:ascii="Arial" w:cs="Arial" w:eastAsia="Arial" w:hAnsi="Arial"/>
                <w:sz w:val="17"/>
                <w:szCs w:val="17"/>
                <w:color w:val="auto"/>
              </w:rPr>
              <w:t>Income tax provision (benefit)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49"/>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49"/>
        </w:trPr>
        <w:tc>
          <w:tcPr>
            <w:tcW w:w="434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49"/>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costs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24"/>
        </w:trPr>
        <w:tc>
          <w:tcPr>
            <w:tcW w:w="43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5"/>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Transaction costs related to this offering</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4340" w:type="dxa"/>
            <w:vAlign w:val="bottom"/>
          </w:tcPr>
          <w:p>
            <w:pPr>
              <w:ind w:left="20"/>
              <w:spacing w:after="0"/>
              <w:rPr>
                <w:sz w:val="20"/>
                <w:szCs w:val="20"/>
                <w:color w:val="auto"/>
              </w:rPr>
            </w:pPr>
            <w:r>
              <w:rPr>
                <w:rFonts w:ascii="Arial" w:cs="Arial" w:eastAsia="Arial" w:hAnsi="Arial"/>
                <w:sz w:val="17"/>
                <w:szCs w:val="17"/>
                <w:color w:val="auto"/>
              </w:rPr>
              <w:t>Acquisition and disposition related costs</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exchange</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4"/>
        </w:trPr>
        <w:tc>
          <w:tcPr>
            <w:tcW w:w="4340" w:type="dxa"/>
            <w:vAlign w:val="bottom"/>
          </w:tcPr>
          <w:p>
            <w:pPr>
              <w:ind w:left="20"/>
              <w:spacing w:after="0"/>
              <w:rPr>
                <w:sz w:val="20"/>
                <w:szCs w:val="20"/>
                <w:color w:val="auto"/>
              </w:rPr>
            </w:pPr>
            <w:r>
              <w:rPr>
                <w:rFonts w:ascii="Arial" w:cs="Arial" w:eastAsia="Arial" w:hAnsi="Arial"/>
                <w:sz w:val="17"/>
                <w:szCs w:val="17"/>
                <w:color w:val="auto"/>
              </w:rPr>
              <w:t>COVID-19 response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Non-service pension expense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49"/>
        </w:trPr>
        <w:tc>
          <w:tcPr>
            <w:tcW w:w="4340" w:type="dxa"/>
            <w:vAlign w:val="bottom"/>
          </w:tcPr>
          <w:p>
            <w:pPr>
              <w:ind w:left="20"/>
              <w:spacing w:after="0"/>
              <w:rPr>
                <w:sz w:val="20"/>
                <w:szCs w:val="20"/>
                <w:color w:val="auto"/>
              </w:rPr>
            </w:pPr>
            <w:r>
              <w:rPr>
                <w:rFonts w:ascii="Arial" w:cs="Arial" w:eastAsia="Arial" w:hAnsi="Arial"/>
                <w:sz w:val="17"/>
                <w:szCs w:val="17"/>
                <w:color w:val="auto"/>
              </w:rPr>
              <w:t>Other one-time non-operational events</w:t>
            </w:r>
            <w:r>
              <w:rPr>
                <w:rFonts w:ascii="Arial" w:cs="Arial" w:eastAsia="Arial" w:hAnsi="Arial"/>
                <w:sz w:val="21"/>
                <w:szCs w:val="21"/>
                <w:color w:val="auto"/>
                <w:vertAlign w:val="superscript"/>
              </w:rPr>
              <w:t>(1)</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49"/>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________________</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1" w:lineRule="exact"/>
        <w:rPr>
          <w:sz w:val="20"/>
          <w:szCs w:val="20"/>
          <w:color w:val="auto"/>
        </w:rPr>
      </w:pPr>
    </w:p>
    <w:p>
      <w:pPr>
        <w:ind w:left="300" w:right="640" w:hanging="300"/>
        <w:spacing w:after="0" w:line="251" w:lineRule="auto"/>
        <w:tabs>
          <w:tab w:leader="none" w:pos="296" w:val="left"/>
        </w:tabs>
        <w:numPr>
          <w:ilvl w:val="0"/>
          <w:numId w:val="43"/>
        </w:numPr>
        <w:rPr>
          <w:rFonts w:ascii="Arial" w:cs="Arial" w:eastAsia="Arial" w:hAnsi="Arial"/>
          <w:sz w:val="15"/>
          <w:szCs w:val="15"/>
          <w:color w:val="auto"/>
        </w:rPr>
      </w:pPr>
      <w:r>
        <w:rPr>
          <w:rFonts w:ascii="Arial" w:cs="Arial" w:eastAsia="Arial" w:hAnsi="Arial"/>
          <w:sz w:val="15"/>
          <w:szCs w:val="15"/>
          <w:color w:val="auto"/>
        </w:rPr>
        <w:t>Other one-time non-operational events for the year ended December 31, 2016 consists of a $64 million non-cash goodwill impairment charge in our Network Computing &amp; Communication segment and a $26 million loss on the disposal of a business.</w:t>
      </w:r>
    </w:p>
    <w:p>
      <w:pPr>
        <w:spacing w:after="0" w:line="134"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The reconciliation between Net cash provided by operating activities and Free cash flow is shown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157"/>
              <w:spacing w:after="0"/>
              <w:rPr>
                <w:sz w:val="20"/>
                <w:szCs w:val="20"/>
                <w:color w:val="auto"/>
              </w:rPr>
            </w:pPr>
            <w:r>
              <w:rPr>
                <w:rFonts w:ascii="Arial" w:cs="Arial" w:eastAsia="Arial" w:hAnsi="Arial"/>
                <w:sz w:val="13"/>
                <w:szCs w:val="13"/>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92"/>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2016</w:t>
            </w:r>
          </w:p>
        </w:tc>
      </w:tr>
      <w:tr>
        <w:trPr>
          <w:trHeight w:val="246"/>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center"/>
              <w:ind w:left="620"/>
              <w:spacing w:after="0"/>
              <w:rPr>
                <w:sz w:val="20"/>
                <w:szCs w:val="20"/>
                <w:color w:val="auto"/>
              </w:rPr>
            </w:pPr>
            <w:r>
              <w:rPr>
                <w:rFonts w:ascii="Arial" w:cs="Arial" w:eastAsia="Arial" w:hAnsi="Arial"/>
                <w:sz w:val="17"/>
                <w:szCs w:val="17"/>
                <w:color w:val="auto"/>
                <w:w w:val="94"/>
              </w:rPr>
              <w:t>12</w:t>
            </w:r>
          </w:p>
        </w:tc>
      </w:tr>
      <w:tr>
        <w:trPr>
          <w:trHeight w:val="249"/>
        </w:trPr>
        <w:tc>
          <w:tcPr>
            <w:tcW w:w="434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center"/>
              <w:ind w:left="580"/>
              <w:spacing w:after="0"/>
              <w:rPr>
                <w:sz w:val="20"/>
                <w:szCs w:val="20"/>
                <w:color w:val="auto"/>
              </w:rPr>
            </w:pPr>
            <w:r>
              <w:rPr>
                <w:rFonts w:ascii="Arial" w:cs="Arial" w:eastAsia="Arial" w:hAnsi="Arial"/>
                <w:sz w:val="17"/>
                <w:szCs w:val="17"/>
                <w:color w:val="auto"/>
                <w:w w:val="99"/>
              </w:rPr>
              <w:t>(32)</w:t>
            </w:r>
          </w:p>
        </w:tc>
      </w:tr>
      <w:tr>
        <w:trPr>
          <w:trHeight w:val="249"/>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 of assets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left="620"/>
              <w:spacing w:after="0"/>
              <w:rPr>
                <w:sz w:val="20"/>
                <w:szCs w:val="20"/>
                <w:color w:val="auto"/>
              </w:rPr>
            </w:pPr>
            <w:r>
              <w:rPr>
                <w:rFonts w:ascii="Arial" w:cs="Arial" w:eastAsia="Arial" w:hAnsi="Arial"/>
                <w:sz w:val="17"/>
                <w:szCs w:val="17"/>
                <w:color w:val="auto"/>
                <w:w w:val="94"/>
              </w:rPr>
              <w:t>10</w:t>
            </w:r>
          </w:p>
        </w:tc>
      </w:tr>
      <w:tr>
        <w:trPr>
          <w:trHeight w:val="249"/>
        </w:trPr>
        <w:tc>
          <w:tcPr>
            <w:tcW w:w="4340" w:type="dxa"/>
            <w:vAlign w:val="bottom"/>
          </w:tcPr>
          <w:p>
            <w:pPr>
              <w:ind w:left="20"/>
              <w:spacing w:after="0"/>
              <w:rPr>
                <w:sz w:val="20"/>
                <w:szCs w:val="20"/>
                <w:color w:val="auto"/>
              </w:rPr>
            </w:pPr>
            <w:r>
              <w:rPr>
                <w:rFonts w:ascii="Arial" w:cs="Arial" w:eastAsia="Arial" w:hAnsi="Arial"/>
                <w:sz w:val="17"/>
                <w:szCs w:val="17"/>
                <w:color w:val="auto"/>
              </w:rPr>
              <w:t>Free cash flow</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110</w:t>
            </w: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tcPr>
          <w:p>
            <w:pPr>
              <w:jc w:val="center"/>
              <w:ind w:left="580"/>
              <w:spacing w:after="0"/>
              <w:rPr>
                <w:sz w:val="20"/>
                <w:szCs w:val="20"/>
                <w:color w:val="auto"/>
              </w:rPr>
            </w:pPr>
            <w:r>
              <w:rPr>
                <w:rFonts w:ascii="Arial" w:cs="Arial" w:eastAsia="Arial" w:hAnsi="Arial"/>
                <w:sz w:val="17"/>
                <w:szCs w:val="17"/>
                <w:color w:val="auto"/>
                <w:w w:val="99"/>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173"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The following unaudited pro forma consolidated financial information of DRS consists of the unaudited pro forma consolidated statement of earnings for the year ended December 31, 2020 and an unaudited pro forma consolidated balance sheet as of December 31, 2020, which have been derived from our historical consolidated financial statements included elsewhere in this information statement.</w:t>
      </w:r>
    </w:p>
    <w:p>
      <w:pPr>
        <w:spacing w:after="0" w:line="143" w:lineRule="exact"/>
        <w:rPr>
          <w:sz w:val="20"/>
          <w:szCs w:val="20"/>
          <w:color w:val="auto"/>
        </w:rPr>
      </w:pPr>
    </w:p>
    <w:p>
      <w:pPr>
        <w:jc w:val="both"/>
        <w:ind w:right="220" w:firstLine="299"/>
        <w:spacing w:after="0" w:line="247" w:lineRule="auto"/>
        <w:rPr>
          <w:sz w:val="20"/>
          <w:szCs w:val="20"/>
          <w:color w:val="auto"/>
        </w:rPr>
      </w:pPr>
      <w:r>
        <w:rPr>
          <w:rFonts w:ascii="Arial" w:cs="Arial" w:eastAsia="Arial" w:hAnsi="Arial"/>
          <w:sz w:val="17"/>
          <w:szCs w:val="17"/>
          <w:color w:val="auto"/>
        </w:rPr>
        <w:t>The unaudited pro forma consolidated statement of earnings gives effect to the Pro Forma Transactions (as defined below) as if they occurred on January 1, 2020, the beginning of the most recently completed fiscal year. The unaudited pro forma consolidated balance sheet gives effect to the Pro Forma Transactions as if they occurred as of December 31, 2020, our latest balance sheet date.</w:t>
      </w:r>
    </w:p>
    <w:p>
      <w:pPr>
        <w:spacing w:after="0" w:line="14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 xml:space="preserve">The pro forma financial information has been prepared in accordance with Regulation S-X Article 11, Pro Forma Financial Information, as amended by the final rule, </w:t>
      </w:r>
      <w:r>
        <w:rPr>
          <w:rFonts w:ascii="Arial" w:cs="Arial" w:eastAsia="Arial" w:hAnsi="Arial"/>
          <w:sz w:val="17"/>
          <w:szCs w:val="17"/>
          <w:i w:val="1"/>
          <w:iCs w:val="1"/>
          <w:color w:val="auto"/>
        </w:rPr>
        <w:t>Release No.33-10786; Amendments to Financial Disclosures About Acquired and Disposed Businesses</w:t>
      </w:r>
      <w:r>
        <w:rPr>
          <w:rFonts w:ascii="Arial" w:cs="Arial" w:eastAsia="Arial" w:hAnsi="Arial"/>
          <w:sz w:val="17"/>
          <w:szCs w:val="17"/>
          <w:color w:val="auto"/>
        </w:rPr>
        <w:t>, as adopted by the U.S. Securities and Exchange Commission (the “SEC”) on May 21, 2020 (“Article 11”). The pro forma adjustments include transaction accounting adjustments that reflect the accounting for transactions in accordance with U.S. GAAP. The following unaudited pro forma consolidated financial information illustrates the effects of the following transactions (collectively, the “Pro Forma Transactions”):</w:t>
      </w:r>
    </w:p>
    <w:p>
      <w:pPr>
        <w:spacing w:after="0" w:line="147" w:lineRule="exact"/>
        <w:rPr>
          <w:sz w:val="20"/>
          <w:szCs w:val="20"/>
          <w:color w:val="auto"/>
        </w:rPr>
      </w:pPr>
    </w:p>
    <w:p>
      <w:pPr>
        <w:ind w:left="600" w:right="400" w:hanging="302"/>
        <w:spacing w:after="0" w:line="250" w:lineRule="auto"/>
        <w:tabs>
          <w:tab w:leader="none" w:pos="5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expected issuance of approximately $450 million of third-party debt (consisting of the Term A Loan and the Bridge Loan) at an expected weighted-average interest rate of 2.9%;</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expected repayment of all of our outstanding related-party borrowings;</w:t>
      </w:r>
    </w:p>
    <w:p>
      <w:pPr>
        <w:spacing w:after="0" w:line="152" w:lineRule="exact"/>
        <w:rPr>
          <w:rFonts w:ascii="Arial" w:cs="Arial" w:eastAsia="Arial" w:hAnsi="Arial"/>
          <w:sz w:val="17"/>
          <w:szCs w:val="17"/>
          <w:color w:val="auto"/>
        </w:rPr>
      </w:pPr>
    </w:p>
    <w:p>
      <w:pPr>
        <w:ind w:left="600" w:right="760" w:hanging="302"/>
        <w:spacing w:after="0" w:line="250" w:lineRule="auto"/>
        <w:tabs>
          <w:tab w:leader="none" w:pos="5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anticipated issuance of share-based awards upon the closing of this offering to certain individuals, including members of our senior management (“IPO Grants”); and</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transaction costs expected to be incurred as a result of the offering that are not yet reflected in the historical financial statements.</w:t>
      </w:r>
    </w:p>
    <w:p>
      <w:pPr>
        <w:spacing w:after="0" w:line="15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The unaudited pro forma consolidated financial information is for illustrative purposes only and does not purport to represent what DRS’s financial position and results of operations actually would have been had the offering and related transactions occurred on the dates indicated, or to project DRS’s financial performance for any future period. The unaudited pro forma consolidated financial information is based on information and assumptions which are described in the accompanying notes.</w:t>
      </w:r>
    </w:p>
    <w:p>
      <w:pPr>
        <w:spacing w:after="0" w:line="144" w:lineRule="exact"/>
        <w:rPr>
          <w:sz w:val="20"/>
          <w:szCs w:val="20"/>
          <w:color w:val="auto"/>
        </w:rPr>
      </w:pPr>
    </w:p>
    <w:p>
      <w:pPr>
        <w:ind w:right="120" w:firstLine="299"/>
        <w:spacing w:after="0" w:line="246" w:lineRule="auto"/>
        <w:rPr>
          <w:sz w:val="20"/>
          <w:szCs w:val="20"/>
          <w:color w:val="auto"/>
        </w:rPr>
      </w:pPr>
      <w:r>
        <w:rPr>
          <w:rFonts w:ascii="Arial" w:cs="Arial" w:eastAsia="Arial" w:hAnsi="Arial"/>
          <w:sz w:val="17"/>
          <w:szCs w:val="17"/>
          <w:color w:val="auto"/>
        </w:rPr>
        <w:t>The unaudited pro forma consolidated financial information and the related notes should be read in conjunction with “Risk Factors,” “Use of Proceeds,” “Capitalization,” “Selected Historical Consolidated Financial Data,” “Management’s Discussion and Analysis of Financial Condition and Results of Operations,” “Certain Relationships and Related Party Transactions” and our audited consolidated financial statements and the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00"/>
          </w:cols>
          <w:pgMar w:left="320" w:top="1440" w:right="379" w:bottom="1440" w:gutter="0" w:footer="0" w:header="0"/>
        </w:sectPr>
      </w:pPr>
    </w:p>
    <w:bookmarkStart w:id="72" w:name="page73"/>
    <w:bookmarkEnd w:id="72"/>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LEONARDO DRS,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 BALANCE SHEET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1"/>
              <w:spacing w:after="0"/>
              <w:rPr>
                <w:sz w:val="20"/>
                <w:szCs w:val="20"/>
                <w:color w:val="auto"/>
              </w:rPr>
            </w:pPr>
            <w:r>
              <w:rPr>
                <w:rFonts w:ascii="Arial" w:cs="Arial" w:eastAsia="Arial" w:hAnsi="Arial"/>
                <w:sz w:val="12"/>
                <w:szCs w:val="12"/>
                <w:b w:val="1"/>
                <w:bCs w:val="1"/>
                <w:color w:val="auto"/>
                <w:w w:val="94"/>
              </w:rPr>
              <w:t>Transaction</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31"/>
              <w:spacing w:after="0"/>
              <w:rPr>
                <w:sz w:val="20"/>
                <w:szCs w:val="20"/>
                <w:color w:val="auto"/>
              </w:rPr>
            </w:pPr>
            <w:r>
              <w:rPr>
                <w:rFonts w:ascii="Arial" w:cs="Arial" w:eastAsia="Arial" w:hAnsi="Arial"/>
                <w:sz w:val="12"/>
                <w:szCs w:val="12"/>
                <w:b w:val="1"/>
                <w:bCs w:val="1"/>
                <w:color w:val="auto"/>
                <w:w w:val="94"/>
              </w:rPr>
              <w:t>Other Transaction</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37"/>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91"/>
              <w:spacing w:after="0" w:line="137" w:lineRule="exact"/>
              <w:rPr>
                <w:sz w:val="20"/>
                <w:szCs w:val="20"/>
                <w:color w:val="auto"/>
              </w:rPr>
            </w:pPr>
            <w:r>
              <w:rPr>
                <w:rFonts w:ascii="Arial" w:cs="Arial" w:eastAsia="Arial" w:hAnsi="Arial"/>
                <w:sz w:val="12"/>
                <w:szCs w:val="12"/>
                <w:b w:val="1"/>
                <w:bCs w:val="1"/>
                <w:color w:val="auto"/>
                <w:w w:val="96"/>
              </w:rPr>
              <w:t>Accounting</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31"/>
              <w:spacing w:after="0" w:line="137" w:lineRule="exact"/>
              <w:rPr>
                <w:sz w:val="20"/>
                <w:szCs w:val="20"/>
                <w:color w:val="auto"/>
              </w:rPr>
            </w:pPr>
            <w:r>
              <w:rPr>
                <w:rFonts w:ascii="Arial" w:cs="Arial" w:eastAsia="Arial" w:hAnsi="Arial"/>
                <w:sz w:val="12"/>
                <w:szCs w:val="12"/>
                <w:b w:val="1"/>
                <w:bCs w:val="1"/>
                <w:color w:val="auto"/>
                <w:w w:val="93"/>
              </w:rPr>
              <w:t>Accounting</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53"/>
        </w:trPr>
        <w:tc>
          <w:tcPr>
            <w:tcW w:w="3560" w:type="dxa"/>
            <w:vAlign w:val="bottom"/>
          </w:tcPr>
          <w:p>
            <w:pPr>
              <w:ind w:left="20"/>
              <w:spacing w:after="0"/>
              <w:rPr>
                <w:sz w:val="20"/>
                <w:szCs w:val="20"/>
                <w:color w:val="auto"/>
              </w:rPr>
            </w:pPr>
            <w:r>
              <w:rPr>
                <w:rFonts w:ascii="Arial" w:cs="Arial" w:eastAsia="Arial" w:hAnsi="Arial"/>
                <w:sz w:val="12"/>
                <w:szCs w:val="12"/>
                <w:color w:val="auto"/>
              </w:rPr>
              <w:t>(Dollars in millions)</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Historical DRS</w:t>
            </w:r>
          </w:p>
        </w:tc>
        <w:tc>
          <w:tcPr>
            <w:tcW w:w="160" w:type="dxa"/>
            <w:vAlign w:val="bottom"/>
          </w:tcPr>
          <w:p>
            <w:pPr>
              <w:spacing w:after="0"/>
              <w:rPr>
                <w:sz w:val="13"/>
                <w:szCs w:val="13"/>
                <w:color w:val="auto"/>
              </w:rPr>
            </w:pPr>
          </w:p>
        </w:tc>
        <w:tc>
          <w:tcPr>
            <w:tcW w:w="1040" w:type="dxa"/>
            <w:vAlign w:val="bottom"/>
          </w:tcPr>
          <w:p>
            <w:pPr>
              <w:jc w:val="center"/>
              <w:ind w:right="111"/>
              <w:spacing w:after="0"/>
              <w:rPr>
                <w:sz w:val="20"/>
                <w:szCs w:val="20"/>
                <w:color w:val="auto"/>
              </w:rPr>
            </w:pPr>
            <w:r>
              <w:rPr>
                <w:rFonts w:ascii="Arial" w:cs="Arial" w:eastAsia="Arial" w:hAnsi="Arial"/>
                <w:sz w:val="12"/>
                <w:szCs w:val="12"/>
                <w:b w:val="1"/>
                <w:bCs w:val="1"/>
                <w:color w:val="auto"/>
                <w:w w:val="96"/>
              </w:rPr>
              <w:t>Adjustments</w:t>
            </w:r>
          </w:p>
        </w:tc>
        <w:tc>
          <w:tcPr>
            <w:tcW w:w="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Footnote Reference</w:t>
            </w:r>
          </w:p>
        </w:tc>
        <w:tc>
          <w:tcPr>
            <w:tcW w:w="100" w:type="dxa"/>
            <w:vAlign w:val="bottom"/>
          </w:tcPr>
          <w:p>
            <w:pPr>
              <w:spacing w:after="0"/>
              <w:rPr>
                <w:sz w:val="13"/>
                <w:szCs w:val="13"/>
                <w:color w:val="auto"/>
              </w:rPr>
            </w:pPr>
          </w:p>
        </w:tc>
        <w:tc>
          <w:tcPr>
            <w:tcW w:w="1120" w:type="dxa"/>
            <w:vAlign w:val="bottom"/>
          </w:tcPr>
          <w:p>
            <w:pPr>
              <w:jc w:val="center"/>
              <w:ind w:right="31"/>
              <w:spacing w:after="0"/>
              <w:rPr>
                <w:sz w:val="20"/>
                <w:szCs w:val="20"/>
                <w:color w:val="auto"/>
              </w:rPr>
            </w:pPr>
            <w:r>
              <w:rPr>
                <w:rFonts w:ascii="Arial" w:cs="Arial" w:eastAsia="Arial" w:hAnsi="Arial"/>
                <w:sz w:val="12"/>
                <w:szCs w:val="12"/>
                <w:b w:val="1"/>
                <w:bCs w:val="1"/>
                <w:color w:val="auto"/>
                <w:w w:val="96"/>
              </w:rPr>
              <w:t>Adjustments</w:t>
            </w:r>
          </w:p>
        </w:tc>
        <w:tc>
          <w:tcPr>
            <w:tcW w:w="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Footnote Reference</w:t>
            </w:r>
          </w:p>
        </w:tc>
        <w:tc>
          <w:tcPr>
            <w:tcW w:w="140" w:type="dxa"/>
            <w:vAlign w:val="bottom"/>
          </w:tcPr>
          <w:p>
            <w:pPr>
              <w:spacing w:after="0"/>
              <w:rPr>
                <w:sz w:val="13"/>
                <w:szCs w:val="13"/>
                <w:color w:val="auto"/>
              </w:rPr>
            </w:pPr>
          </w:p>
        </w:tc>
        <w:tc>
          <w:tcPr>
            <w:tcW w:w="1060" w:type="dxa"/>
            <w:vAlign w:val="bottom"/>
          </w:tcPr>
          <w:p>
            <w:pPr>
              <w:jc w:val="right"/>
              <w:ind w:right="90"/>
              <w:spacing w:after="0"/>
              <w:rPr>
                <w:sz w:val="20"/>
                <w:szCs w:val="20"/>
                <w:color w:val="auto"/>
              </w:rPr>
            </w:pPr>
            <w:r>
              <w:rPr>
                <w:rFonts w:ascii="Arial" w:cs="Arial" w:eastAsia="Arial" w:hAnsi="Arial"/>
                <w:sz w:val="12"/>
                <w:szCs w:val="12"/>
                <w:b w:val="1"/>
                <w:bCs w:val="1"/>
                <w:color w:val="auto"/>
                <w:w w:val="95"/>
              </w:rPr>
              <w:t>Pro Forma Total</w:t>
            </w:r>
          </w:p>
        </w:tc>
      </w:tr>
      <w:tr>
        <w:trPr>
          <w:trHeight w:val="28"/>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Current assets: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w:t>
            </w: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Related party note receivable</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4"/>
        </w:trPr>
        <w:tc>
          <w:tcPr>
            <w:tcW w:w="356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1,467</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Noncurrent assets:</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1,057</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noncurrent assets</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1,695</w:t>
            </w:r>
          </w:p>
        </w:tc>
      </w:tr>
      <w:tr>
        <w:trPr>
          <w:trHeight w:val="204"/>
        </w:trPr>
        <w:tc>
          <w:tcPr>
            <w:tcW w:w="35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3,162</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4"/>
        </w:trPr>
        <w:tc>
          <w:tcPr>
            <w:tcW w:w="3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Current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color w:val="auto"/>
              </w:rPr>
              <w:t>Short-term borrowings and current portion of long-term</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0"/>
        </w:trPr>
        <w:tc>
          <w:tcPr>
            <w:tcW w:w="3560" w:type="dxa"/>
            <w:vAlign w:val="bottom"/>
          </w:tcPr>
          <w:p>
            <w:pPr>
              <w:ind w:left="20"/>
              <w:spacing w:after="0"/>
              <w:rPr>
                <w:sz w:val="20"/>
                <w:szCs w:val="20"/>
                <w:color w:val="auto"/>
              </w:rPr>
            </w:pPr>
            <w:r>
              <w:rPr>
                <w:rFonts w:ascii="Arial" w:cs="Arial" w:eastAsia="Arial" w:hAnsi="Arial"/>
                <w:sz w:val="14"/>
                <w:szCs w:val="14"/>
                <w:color w:val="auto"/>
              </w:rPr>
              <w:t>debt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381</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Contract liabilities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184"/>
        </w:trPr>
        <w:tc>
          <w:tcPr>
            <w:tcW w:w="356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1,303</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Noncurrent liabilities:</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256</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and other postretirement benefit plan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noncurrent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Shareholder's equity:</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3"/>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$0.01 par value, 10,000,000 shares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authorized; none issued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color w:val="auto"/>
              </w:rPr>
              <w:t>Common stock, $0.01 par value: 300,000,000 shares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0"/>
        </w:trPr>
        <w:tc>
          <w:tcPr>
            <w:tcW w:w="3560" w:type="dxa"/>
            <w:vAlign w:val="bottom"/>
          </w:tcPr>
          <w:p>
            <w:pPr>
              <w:ind w:left="20"/>
              <w:spacing w:after="0"/>
              <w:rPr>
                <w:sz w:val="20"/>
                <w:szCs w:val="20"/>
                <w:color w:val="auto"/>
              </w:rPr>
            </w:pPr>
            <w:r>
              <w:rPr>
                <w:rFonts w:ascii="Arial" w:cs="Arial" w:eastAsia="Arial" w:hAnsi="Arial"/>
                <w:sz w:val="14"/>
                <w:szCs w:val="14"/>
                <w:color w:val="auto"/>
              </w:rPr>
              <w:t>authorized; 145,000,000 shares issued and outstanding</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r>
      <w:tr>
        <w:trPr>
          <w:trHeight w:val="191"/>
        </w:trPr>
        <w:tc>
          <w:tcPr>
            <w:tcW w:w="356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(d)</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(3,141)</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4"/>
        </w:trPr>
        <w:tc>
          <w:tcPr>
            <w:tcW w:w="3560" w:type="dxa"/>
            <w:vAlign w:val="bottom"/>
          </w:tcPr>
          <w:p>
            <w:pPr>
              <w:ind w:left="20"/>
              <w:spacing w:after="0"/>
              <w:rPr>
                <w:sz w:val="20"/>
                <w:szCs w:val="20"/>
                <w:color w:val="auto"/>
              </w:rPr>
            </w:pPr>
            <w:r>
              <w:rPr>
                <w:rFonts w:ascii="Arial" w:cs="Arial" w:eastAsia="Arial" w:hAnsi="Arial"/>
                <w:sz w:val="14"/>
                <w:szCs w:val="14"/>
                <w:color w:val="auto"/>
              </w:rPr>
              <w:t>Total shareholder's equity</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1,423</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LEONARDO DRS,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 STATEMENT OF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left="175"/>
              <w:spacing w:after="0"/>
              <w:rPr>
                <w:sz w:val="20"/>
                <w:szCs w:val="20"/>
                <w:color w:val="auto"/>
              </w:rPr>
            </w:pPr>
            <w:r>
              <w:rPr>
                <w:rFonts w:ascii="Arial" w:cs="Arial" w:eastAsia="Arial" w:hAnsi="Arial"/>
                <w:sz w:val="12"/>
                <w:szCs w:val="12"/>
                <w:b w:val="1"/>
                <w:bCs w:val="1"/>
                <w:color w:val="auto"/>
                <w:w w:val="96"/>
              </w:rPr>
              <w:t>Transaction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8"/>
              <w:spacing w:after="0"/>
              <w:rPr>
                <w:sz w:val="20"/>
                <w:szCs w:val="20"/>
                <w:color w:val="auto"/>
              </w:rPr>
            </w:pPr>
            <w:r>
              <w:rPr>
                <w:rFonts w:ascii="Arial" w:cs="Arial" w:eastAsia="Arial" w:hAnsi="Arial"/>
                <w:sz w:val="12"/>
                <w:szCs w:val="12"/>
                <w:b w:val="1"/>
                <w:bCs w:val="1"/>
                <w:color w:val="auto"/>
                <w:w w:val="96"/>
              </w:rPr>
              <w:t>Other Transaction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7"/>
        </w:trPr>
        <w:tc>
          <w:tcPr>
            <w:tcW w:w="3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left="155"/>
              <w:spacing w:after="0" w:line="137" w:lineRule="exact"/>
              <w:rPr>
                <w:sz w:val="20"/>
                <w:szCs w:val="20"/>
                <w:color w:val="auto"/>
              </w:rPr>
            </w:pPr>
            <w:r>
              <w:rPr>
                <w:rFonts w:ascii="Arial" w:cs="Arial" w:eastAsia="Arial" w:hAnsi="Arial"/>
                <w:sz w:val="12"/>
                <w:szCs w:val="12"/>
                <w:b w:val="1"/>
                <w:bCs w:val="1"/>
                <w:color w:val="auto"/>
                <w:w w:val="96"/>
              </w:rPr>
              <w:t>Accounting</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80"/>
              <w:spacing w:after="0" w:line="137" w:lineRule="exact"/>
              <w:rPr>
                <w:sz w:val="20"/>
                <w:szCs w:val="20"/>
                <w:color w:val="auto"/>
              </w:rPr>
            </w:pPr>
            <w:r>
              <w:rPr>
                <w:rFonts w:ascii="Arial" w:cs="Arial" w:eastAsia="Arial" w:hAnsi="Arial"/>
                <w:sz w:val="12"/>
                <w:szCs w:val="12"/>
                <w:b w:val="1"/>
                <w:bCs w:val="1"/>
                <w:color w:val="auto"/>
                <w:w w:val="93"/>
              </w:rPr>
              <w:t>Footnote</w:t>
            </w:r>
          </w:p>
        </w:tc>
        <w:tc>
          <w:tcPr>
            <w:tcW w:w="120" w:type="dxa"/>
            <w:vAlign w:val="bottom"/>
          </w:tcPr>
          <w:p>
            <w:pPr>
              <w:spacing w:after="0"/>
              <w:rPr>
                <w:sz w:val="11"/>
                <w:szCs w:val="11"/>
                <w:color w:val="auto"/>
              </w:rPr>
            </w:pPr>
          </w:p>
        </w:tc>
        <w:tc>
          <w:tcPr>
            <w:tcW w:w="1100" w:type="dxa"/>
            <w:vAlign w:val="bottom"/>
          </w:tcPr>
          <w:p>
            <w:pPr>
              <w:jc w:val="center"/>
              <w:ind w:right="28"/>
              <w:spacing w:after="0" w:line="137" w:lineRule="exact"/>
              <w:rPr>
                <w:sz w:val="20"/>
                <w:szCs w:val="20"/>
                <w:color w:val="auto"/>
              </w:rPr>
            </w:pPr>
            <w:r>
              <w:rPr>
                <w:rFonts w:ascii="Arial" w:cs="Arial" w:eastAsia="Arial" w:hAnsi="Arial"/>
                <w:sz w:val="12"/>
                <w:szCs w:val="12"/>
                <w:b w:val="1"/>
                <w:bCs w:val="1"/>
                <w:color w:val="auto"/>
                <w:w w:val="96"/>
              </w:rPr>
              <w:t>Accounting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jc w:val="right"/>
              <w:ind w:right="580"/>
              <w:spacing w:after="0" w:line="137" w:lineRule="exact"/>
              <w:rPr>
                <w:sz w:val="20"/>
                <w:szCs w:val="20"/>
                <w:color w:val="auto"/>
              </w:rPr>
            </w:pPr>
            <w:r>
              <w:rPr>
                <w:rFonts w:ascii="Arial" w:cs="Arial" w:eastAsia="Arial" w:hAnsi="Arial"/>
                <w:sz w:val="12"/>
                <w:szCs w:val="12"/>
                <w:b w:val="1"/>
                <w:bCs w:val="1"/>
                <w:color w:val="auto"/>
              </w:rPr>
              <w:t>Footnote</w:t>
            </w:r>
          </w:p>
        </w:tc>
        <w:tc>
          <w:tcPr>
            <w:tcW w:w="1240" w:type="dxa"/>
            <w:vAlign w:val="bottom"/>
          </w:tcPr>
          <w:p>
            <w:pPr>
              <w:spacing w:after="0"/>
              <w:rPr>
                <w:sz w:val="11"/>
                <w:szCs w:val="11"/>
                <w:color w:val="auto"/>
              </w:rPr>
            </w:pPr>
          </w:p>
        </w:tc>
      </w:tr>
      <w:tr>
        <w:trPr>
          <w:trHeight w:val="153"/>
        </w:trPr>
        <w:tc>
          <w:tcPr>
            <w:tcW w:w="3340" w:type="dxa"/>
            <w:vAlign w:val="bottom"/>
          </w:tcPr>
          <w:p>
            <w:pPr>
              <w:ind w:left="20"/>
              <w:spacing w:after="0"/>
              <w:rPr>
                <w:sz w:val="20"/>
                <w:szCs w:val="20"/>
                <w:color w:val="auto"/>
              </w:rPr>
            </w:pPr>
            <w:r>
              <w:rPr>
                <w:rFonts w:ascii="Arial" w:cs="Arial" w:eastAsia="Arial" w:hAnsi="Arial"/>
                <w:sz w:val="12"/>
                <w:szCs w:val="12"/>
                <w:color w:val="auto"/>
              </w:rPr>
              <w:t>(Dollars in millions, except per share amounts)</w:t>
            </w:r>
          </w:p>
        </w:tc>
        <w:tc>
          <w:tcPr>
            <w:tcW w:w="22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2"/>
                <w:szCs w:val="12"/>
                <w:b w:val="1"/>
                <w:bCs w:val="1"/>
                <w:color w:val="auto"/>
              </w:rPr>
              <w:t>Historical DRS</w:t>
            </w:r>
          </w:p>
        </w:tc>
        <w:tc>
          <w:tcPr>
            <w:tcW w:w="980" w:type="dxa"/>
            <w:vAlign w:val="bottom"/>
          </w:tcPr>
          <w:p>
            <w:pPr>
              <w:jc w:val="center"/>
              <w:ind w:left="175"/>
              <w:spacing w:after="0"/>
              <w:rPr>
                <w:sz w:val="20"/>
                <w:szCs w:val="20"/>
                <w:color w:val="auto"/>
              </w:rPr>
            </w:pPr>
            <w:r>
              <w:rPr>
                <w:rFonts w:ascii="Arial" w:cs="Arial" w:eastAsia="Arial" w:hAnsi="Arial"/>
                <w:sz w:val="12"/>
                <w:szCs w:val="12"/>
                <w:b w:val="1"/>
                <w:bCs w:val="1"/>
                <w:color w:val="auto"/>
                <w:w w:val="96"/>
              </w:rPr>
              <w:t>Adjustments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Reference</w:t>
            </w:r>
          </w:p>
        </w:tc>
        <w:tc>
          <w:tcPr>
            <w:tcW w:w="120" w:type="dxa"/>
            <w:vAlign w:val="bottom"/>
          </w:tcPr>
          <w:p>
            <w:pPr>
              <w:spacing w:after="0"/>
              <w:rPr>
                <w:sz w:val="13"/>
                <w:szCs w:val="13"/>
                <w:color w:val="auto"/>
              </w:rPr>
            </w:pPr>
          </w:p>
        </w:tc>
        <w:tc>
          <w:tcPr>
            <w:tcW w:w="1100" w:type="dxa"/>
            <w:vAlign w:val="bottom"/>
          </w:tcPr>
          <w:p>
            <w:pPr>
              <w:jc w:val="center"/>
              <w:ind w:right="28"/>
              <w:spacing w:after="0"/>
              <w:rPr>
                <w:sz w:val="20"/>
                <w:szCs w:val="20"/>
                <w:color w:val="auto"/>
              </w:rPr>
            </w:pPr>
            <w:r>
              <w:rPr>
                <w:rFonts w:ascii="Arial" w:cs="Arial" w:eastAsia="Arial" w:hAnsi="Arial"/>
                <w:sz w:val="12"/>
                <w:szCs w:val="12"/>
                <w:b w:val="1"/>
                <w:bCs w:val="1"/>
                <w:color w:val="auto"/>
                <w:w w:val="99"/>
              </w:rPr>
              <w:t>Adjustments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2"/>
                <w:szCs w:val="12"/>
                <w:b w:val="1"/>
                <w:bCs w:val="1"/>
                <w:color w:val="auto"/>
                <w:w w:val="99"/>
              </w:rPr>
              <w:t>Reference</w:t>
            </w:r>
          </w:p>
        </w:tc>
        <w:tc>
          <w:tcPr>
            <w:tcW w:w="1240" w:type="dxa"/>
            <w:vAlign w:val="bottom"/>
          </w:tcPr>
          <w:p>
            <w:pPr>
              <w:jc w:val="right"/>
              <w:ind w:right="206"/>
              <w:spacing w:after="0"/>
              <w:rPr>
                <w:sz w:val="20"/>
                <w:szCs w:val="20"/>
                <w:color w:val="auto"/>
              </w:rPr>
            </w:pPr>
            <w:r>
              <w:rPr>
                <w:rFonts w:ascii="Arial" w:cs="Arial" w:eastAsia="Arial" w:hAnsi="Arial"/>
                <w:sz w:val="12"/>
                <w:szCs w:val="12"/>
                <w:b w:val="1"/>
                <w:bCs w:val="1"/>
                <w:color w:val="auto"/>
              </w:rPr>
              <w:t>Pro Forma Total</w:t>
            </w:r>
          </w:p>
        </w:tc>
      </w:tr>
      <w:tr>
        <w:trPr>
          <w:trHeight w:val="28"/>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4"/>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5"/>
                <w:szCs w:val="15"/>
                <w:color w:val="auto"/>
              </w:rPr>
              <w:t>Products</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2,412</w:t>
            </w:r>
          </w:p>
        </w:tc>
        <w:tc>
          <w:tcPr>
            <w:tcW w:w="80" w:type="dxa"/>
            <w:vAlign w:val="bottom"/>
          </w:tcPr>
          <w:p>
            <w:pPr>
              <w:spacing w:after="0"/>
              <w:rPr>
                <w:sz w:val="18"/>
                <w:szCs w:val="18"/>
                <w:color w:val="auto"/>
              </w:rPr>
            </w:pPr>
          </w:p>
        </w:tc>
        <w:tc>
          <w:tcPr>
            <w:tcW w:w="980" w:type="dxa"/>
            <w:vAlign w:val="bottom"/>
          </w:tcPr>
          <w:p>
            <w:pPr>
              <w:jc w:val="right"/>
              <w:ind w:right="815"/>
              <w:spacing w:after="0"/>
              <w:rPr>
                <w:sz w:val="20"/>
                <w:szCs w:val="20"/>
                <w:color w:val="auto"/>
              </w:rPr>
            </w:pPr>
            <w:r>
              <w:rPr>
                <w:rFonts w:ascii="Arial" w:cs="Arial" w:eastAsia="Arial" w:hAnsi="Arial"/>
                <w:sz w:val="15"/>
                <w:szCs w:val="15"/>
                <w:color w:val="auto"/>
                <w:w w:val="95"/>
              </w:rPr>
              <w:t>$</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2,412</w:t>
            </w: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w:t>
            </w:r>
          </w:p>
        </w:tc>
      </w:tr>
      <w:tr>
        <w:trPr>
          <w:trHeight w:val="216"/>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revenues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2,778</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2,778</w:t>
            </w: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Cost of revenues: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5"/>
                <w:szCs w:val="15"/>
                <w:color w:val="auto"/>
              </w:rPr>
              <w:t>Products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(2,000)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(2,000)</w:t>
            </w: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w:t>
            </w:r>
          </w:p>
        </w:tc>
      </w:tr>
      <w:tr>
        <w:trPr>
          <w:trHeight w:val="216"/>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cost of revenues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(2,284)</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(2,284)</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w:t>
            </w:r>
          </w:p>
        </w:tc>
      </w:tr>
      <w:tr>
        <w:trPr>
          <w:trHeight w:val="215"/>
        </w:trPr>
        <w:tc>
          <w:tcPr>
            <w:tcW w:w="3340" w:type="dxa"/>
            <w:vAlign w:val="bottom"/>
          </w:tcPr>
          <w:p>
            <w:pPr>
              <w:ind w:left="20"/>
              <w:spacing w:after="0"/>
              <w:rPr>
                <w:sz w:val="20"/>
                <w:szCs w:val="20"/>
                <w:color w:val="auto"/>
              </w:rPr>
            </w:pPr>
            <w:r>
              <w:rPr>
                <w:rFonts w:ascii="Arial" w:cs="Arial" w:eastAsia="Arial" w:hAnsi="Arial"/>
                <w:sz w:val="15"/>
                <w:szCs w:val="15"/>
                <w:color w:val="auto"/>
              </w:rPr>
              <w:t>General and administrative expenses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(283)</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(f)</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(292)</w:t>
            </w: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216"/>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operating expenses, net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earnings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w:t>
            </w:r>
          </w:p>
        </w:tc>
      </w:tr>
      <w:tr>
        <w:trPr>
          <w:trHeight w:val="215"/>
        </w:trPr>
        <w:tc>
          <w:tcPr>
            <w:tcW w:w="33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w w:val="97"/>
              </w:rPr>
              <w:t>(g)</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net</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Earnings (loss) before taxes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provision (benefit)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(h)</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224"/>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Net earnings (loss)</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9"/>
                <w:szCs w:val="19"/>
                <w:color w:val="auto"/>
              </w:rPr>
            </w:pPr>
          </w:p>
        </w:tc>
        <w:tc>
          <w:tcPr>
            <w:tcW w:w="980" w:type="dxa"/>
            <w:vAlign w:val="bottom"/>
          </w:tcPr>
          <w:p>
            <w:pPr>
              <w:jc w:val="right"/>
              <w:ind w:right="815"/>
              <w:spacing w:after="0"/>
              <w:rPr>
                <w:sz w:val="20"/>
                <w:szCs w:val="20"/>
                <w:color w:val="auto"/>
              </w:rPr>
            </w:pPr>
            <w:r>
              <w:rPr>
                <w:rFonts w:ascii="Arial" w:cs="Arial" w:eastAsia="Arial" w:hAnsi="Arial"/>
                <w:sz w:val="15"/>
                <w:szCs w:val="15"/>
                <w:color w:val="auto"/>
                <w:w w:val="95"/>
              </w:rPr>
              <w:t>$</w:t>
            </w:r>
          </w:p>
        </w:tc>
        <w:tc>
          <w:tcPr>
            <w:tcW w:w="240" w:type="dxa"/>
            <w:vAlign w:val="bottom"/>
          </w:tcPr>
          <w:p>
            <w:pPr>
              <w:ind w:left="20"/>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107</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3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Net earnings per share of common stock</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earnings per share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0.74</w:t>
            </w:r>
          </w:p>
        </w:tc>
      </w:tr>
      <w:tr>
        <w:trPr>
          <w:trHeight w:val="221"/>
        </w:trPr>
        <w:tc>
          <w:tcPr>
            <w:tcW w:w="3340" w:type="dxa"/>
            <w:vAlign w:val="bottom"/>
          </w:tcPr>
          <w:p>
            <w:pPr>
              <w:ind w:left="20"/>
              <w:spacing w:after="0"/>
              <w:rPr>
                <w:sz w:val="20"/>
                <w:szCs w:val="20"/>
                <w:color w:val="auto"/>
              </w:rPr>
            </w:pPr>
            <w:r>
              <w:rPr>
                <w:rFonts w:ascii="Arial" w:cs="Arial" w:eastAsia="Arial" w:hAnsi="Arial"/>
                <w:sz w:val="15"/>
                <w:szCs w:val="15"/>
                <w:color w:val="auto"/>
              </w:rPr>
              <w:t>Diluted earnings per share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0.59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0.74</w:t>
            </w:r>
          </w:p>
        </w:tc>
      </w:tr>
      <w:tr>
        <w:trPr>
          <w:trHeight w:val="18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Weighted-average common shares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5"/>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outstanding:</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5"/>
                <w:szCs w:val="15"/>
                <w:color w:val="auto"/>
              </w:rPr>
              <w:t>Basic</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145,000,000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(i)</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145,000,000</w:t>
            </w: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145,000,000</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145,125,000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THE UNAUDITED PRO FORMA CONSOLIDATED FINANCIAL INFORMATION</w:t>
      </w:r>
    </w:p>
    <w:p>
      <w:pPr>
        <w:spacing w:after="0" w:line="173"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The unaudited pro forma consolidated financial information as of and for the year ended December 31, 2020 include the following adjustments: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Adjustments to Unaudited Pro Forma Consolidated Balance Sheet</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 Cash and Cash Equivalents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the pro forma adjustments to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6139815</wp:posOffset>
            </wp:positionH>
            <wp:positionV relativeFrom="paragraph">
              <wp:posOffset>113665</wp:posOffset>
            </wp:positionV>
            <wp:extent cx="1011555" cy="394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1555" cy="39497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ind w:right="43"/>
              <w:spacing w:after="0"/>
              <w:rPr>
                <w:sz w:val="20"/>
                <w:szCs w:val="20"/>
                <w:color w:val="auto"/>
              </w:rPr>
            </w:pPr>
            <w:r>
              <w:rPr>
                <w:rFonts w:ascii="Arial" w:cs="Arial" w:eastAsia="Arial" w:hAnsi="Arial"/>
                <w:sz w:val="13"/>
                <w:szCs w:val="13"/>
                <w:b w:val="1"/>
                <w:bCs w:val="1"/>
                <w:color w:val="auto"/>
              </w:rPr>
              <w:t>As of 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(Dollars in millions)</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Cash received from proceeds of the New Debt, as described in </w:t>
            </w:r>
            <w:r>
              <w:rPr>
                <w:rFonts w:ascii="Arial" w:cs="Arial" w:eastAsia="Arial" w:hAnsi="Arial"/>
                <w:sz w:val="21"/>
                <w:szCs w:val="21"/>
                <w:color w:val="auto"/>
                <w:vertAlign w:val="superscript"/>
              </w:rPr>
              <w:t>(c)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9660" w:type="dxa"/>
            <w:vAlign w:val="bottom"/>
          </w:tcPr>
          <w:p>
            <w:pPr>
              <w:ind w:left="20"/>
              <w:spacing w:after="0"/>
              <w:rPr>
                <w:sz w:val="20"/>
                <w:szCs w:val="20"/>
                <w:color w:val="auto"/>
              </w:rPr>
            </w:pPr>
            <w:r>
              <w:rPr>
                <w:rFonts w:ascii="Arial" w:cs="Arial" w:eastAsia="Arial" w:hAnsi="Arial"/>
                <w:sz w:val="17"/>
                <w:szCs w:val="17"/>
                <w:color w:val="auto"/>
              </w:rPr>
              <w:t xml:space="preserve">Cash paid for the New Debt financing transaction costs, as described in </w:t>
            </w:r>
            <w:r>
              <w:rPr>
                <w:rFonts w:ascii="Arial" w:cs="Arial" w:eastAsia="Arial" w:hAnsi="Arial"/>
                <w:sz w:val="21"/>
                <w:szCs w:val="21"/>
                <w:color w:val="auto"/>
                <w:vertAlign w:val="superscript"/>
              </w:rPr>
              <w:t>(c)</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Cash paid to settle related party borrowings, as described in </w:t>
            </w:r>
            <w:r>
              <w:rPr>
                <w:rFonts w:ascii="Arial" w:cs="Arial" w:eastAsia="Arial" w:hAnsi="Arial"/>
                <w:sz w:val="21"/>
                <w:szCs w:val="21"/>
                <w:color w:val="auto"/>
                <w:vertAlign w:val="superscript"/>
              </w:rPr>
              <w:t>(c)</w:t>
            </w: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9660" w:type="dxa"/>
            <w:vAlign w:val="bottom"/>
          </w:tcPr>
          <w:p>
            <w:pPr>
              <w:ind w:left="20"/>
              <w:spacing w:after="0"/>
              <w:rPr>
                <w:sz w:val="20"/>
                <w:szCs w:val="20"/>
                <w:color w:val="auto"/>
              </w:rPr>
            </w:pPr>
            <w:r>
              <w:rPr>
                <w:rFonts w:ascii="Arial" w:cs="Arial" w:eastAsia="Arial" w:hAnsi="Arial"/>
                <w:sz w:val="17"/>
                <w:szCs w:val="17"/>
                <w:color w:val="auto"/>
              </w:rPr>
              <w:t>Net adjustment related to the New Debt and repayment of related party borrowings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9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Cash paid for costs associated with the transaction, as described in </w:t>
            </w:r>
            <w:r>
              <w:rPr>
                <w:rFonts w:ascii="Arial" w:cs="Arial" w:eastAsia="Arial" w:hAnsi="Arial"/>
                <w:sz w:val="21"/>
                <w:szCs w:val="21"/>
                <w:color w:val="auto"/>
                <w:vertAlign w:val="superscript"/>
              </w:rPr>
              <w:t>(e)</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660" w:type="dxa"/>
            <w:vAlign w:val="bottom"/>
          </w:tcPr>
          <w:p>
            <w:pPr>
              <w:ind w:left="20"/>
              <w:spacing w:after="0"/>
              <w:rPr>
                <w:sz w:val="20"/>
                <w:szCs w:val="20"/>
                <w:color w:val="auto"/>
              </w:rPr>
            </w:pPr>
            <w:r>
              <w:rPr>
                <w:rFonts w:ascii="Arial" w:cs="Arial" w:eastAsia="Arial" w:hAnsi="Arial"/>
                <w:sz w:val="17"/>
                <w:szCs w:val="17"/>
                <w:color w:val="auto"/>
              </w:rPr>
              <w:t>Net adjustment to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60" w:type="dxa"/>
            <w:vAlign w:val="bottom"/>
            <w:vMerge w:val="restart"/>
          </w:tcPr>
          <w:p>
            <w:pPr>
              <w:ind w:left="300"/>
              <w:spacing w:after="0"/>
              <w:rPr>
                <w:sz w:val="20"/>
                <w:szCs w:val="20"/>
                <w:color w:val="auto"/>
              </w:rPr>
            </w:pPr>
            <w:r>
              <w:rPr>
                <w:rFonts w:ascii="Arial" w:cs="Arial" w:eastAsia="Arial" w:hAnsi="Arial"/>
                <w:sz w:val="17"/>
                <w:szCs w:val="17"/>
                <w:i w:val="1"/>
                <w:iCs w:val="1"/>
                <w:color w:val="auto"/>
              </w:rPr>
              <w:t>(b) Other Noncurrent Assets</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2"/>
        </w:trPr>
        <w:tc>
          <w:tcPr>
            <w:tcW w:w="9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660" w:type="dxa"/>
            <w:vAlign w:val="bottom"/>
          </w:tcPr>
          <w:p>
            <w:pPr>
              <w:ind w:left="300"/>
              <w:spacing w:after="0"/>
              <w:rPr>
                <w:sz w:val="20"/>
                <w:szCs w:val="20"/>
                <w:color w:val="auto"/>
              </w:rPr>
            </w:pPr>
            <w:r>
              <w:rPr>
                <w:rFonts w:ascii="Arial" w:cs="Arial" w:eastAsia="Arial" w:hAnsi="Arial"/>
                <w:sz w:val="17"/>
                <w:szCs w:val="17"/>
                <w:color w:val="auto"/>
              </w:rPr>
              <w:t>The following table presents the pro forma adjustments to Other noncurrent assets: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9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43"/>
              <w:spacing w:after="0"/>
              <w:rPr>
                <w:sz w:val="20"/>
                <w:szCs w:val="20"/>
                <w:color w:val="auto"/>
              </w:rPr>
            </w:pPr>
            <w:r>
              <w:rPr>
                <w:rFonts w:ascii="Arial" w:cs="Arial" w:eastAsia="Arial" w:hAnsi="Arial"/>
                <w:sz w:val="13"/>
                <w:szCs w:val="13"/>
                <w:b w:val="1"/>
                <w:bCs w:val="1"/>
                <w:color w:val="auto"/>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(Dollars in millions)</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Capitalization of Revolver commitment fees related to the New Debt (1)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660" w:type="dxa"/>
            <w:vAlign w:val="bottom"/>
          </w:tcPr>
          <w:p>
            <w:pPr>
              <w:ind w:left="20"/>
              <w:spacing w:after="0"/>
              <w:rPr>
                <w:sz w:val="20"/>
                <w:szCs w:val="20"/>
                <w:color w:val="auto"/>
              </w:rPr>
            </w:pPr>
            <w:r>
              <w:rPr>
                <w:rFonts w:ascii="Arial" w:cs="Arial" w:eastAsia="Arial" w:hAnsi="Arial"/>
                <w:sz w:val="17"/>
                <w:szCs w:val="17"/>
                <w:color w:val="auto"/>
              </w:rPr>
              <w:t>Net adjustment to other noncurrent assets</w:t>
            </w: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660" w:type="dxa"/>
            <w:vAlign w:val="bottom"/>
          </w:tcPr>
          <w:p>
            <w:pPr>
              <w:spacing w:after="0"/>
              <w:rPr>
                <w:sz w:val="20"/>
                <w:szCs w:val="20"/>
                <w:color w:val="auto"/>
              </w:rPr>
            </w:pPr>
            <w:r>
              <w:rPr>
                <w:rFonts w:ascii="Arial" w:cs="Arial" w:eastAsia="Arial" w:hAnsi="Arial"/>
                <w:sz w:val="15"/>
                <w:szCs w:val="15"/>
                <w:color w:val="auto"/>
              </w:rPr>
              <w:t>_____________</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-2489200</wp:posOffset>
            </wp:positionV>
            <wp:extent cx="7150735" cy="837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837565"/>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-671830</wp:posOffset>
            </wp:positionV>
            <wp:extent cx="1011555" cy="236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1555" cy="236855"/>
                    </a:xfrm>
                    <a:prstGeom prst="rect">
                      <a:avLst/>
                    </a:prstGeom>
                    <a:noFill/>
                  </pic:spPr>
                </pic:pic>
              </a:graphicData>
            </a:graphic>
          </wp:anchor>
        </w:drawing>
      </w:r>
    </w:p>
    <w:p>
      <w:pPr>
        <w:ind w:left="260" w:hanging="260"/>
        <w:spacing w:after="0"/>
        <w:tabs>
          <w:tab w:leader="none" w:pos="2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Estimated annual amortization of this balance is immaterial. Therefore, no pro forma adjustment has been made to the Pro Forma Statement of Earnings.</w:t>
      </w:r>
    </w:p>
    <w:p>
      <w:pPr>
        <w:spacing w:after="0" w:line="130" w:lineRule="exact"/>
        <w:rPr>
          <w:rFonts w:ascii="Arial" w:cs="Arial" w:eastAsia="Arial" w:hAnsi="Arial"/>
          <w:sz w:val="15"/>
          <w:szCs w:val="15"/>
          <w:color w:val="auto"/>
        </w:rPr>
      </w:pPr>
    </w:p>
    <w:p>
      <w:pPr>
        <w:ind w:left="540" w:hanging="242"/>
        <w:spacing w:after="0"/>
        <w:tabs>
          <w:tab w:leader="none" w:pos="540" w:val="left"/>
        </w:tabs>
        <w:numPr>
          <w:ilvl w:val="1"/>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Incurrence of Third-Party Indebtedness and Repayment of Related Party Borrowings</w:t>
      </w:r>
    </w:p>
    <w:p>
      <w:pPr>
        <w:spacing w:after="0" w:line="171" w:lineRule="exact"/>
        <w:rPr>
          <w:sz w:val="20"/>
          <w:szCs w:val="20"/>
          <w:color w:val="auto"/>
        </w:rPr>
      </w:pPr>
    </w:p>
    <w:p>
      <w:pPr>
        <w:ind w:right="20" w:firstLine="299"/>
        <w:spacing w:after="0" w:line="259" w:lineRule="auto"/>
        <w:rPr>
          <w:sz w:val="20"/>
          <w:szCs w:val="20"/>
          <w:color w:val="auto"/>
        </w:rPr>
      </w:pPr>
      <w:r>
        <w:rPr>
          <w:rFonts w:ascii="Arial" w:cs="Arial" w:eastAsia="Arial" w:hAnsi="Arial"/>
          <w:sz w:val="16"/>
          <w:szCs w:val="16"/>
          <w:color w:val="auto"/>
        </w:rPr>
        <w:t>In connection with this offering, we expect to repay our related-party borrowings of $237 million in full and enter into financing arrangements providing for the issuance of $450 million of third-party debt, as described in the section “Recapitalization.” This adjustment reflects the repayment of the related party debt and the incurrence of third-party indebtedness. An adjustment to the unaudited pro forma consolidated balance sheet as of December 31,</w:t>
      </w:r>
    </w:p>
    <w:p>
      <w:pPr>
        <w:spacing w:after="0" w:line="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2020 has been made to reflect the incurrence of $450 million indebtedness consisting of (i) $100 million of Term A debt at a rate of LIBOR plus 2.25% (the “Term A Loan”) and (ii) a bridge loan in an aggregate principal amount of $350 million with an annual average interest rate of 2.9% following this offering (the “Bridge Loan,” and together with the Term A Loan, our “New Debt”), of which we will retain approximately $208 million in cash, with the remainder to be used to repay $237 million of related party borrowings and $5 million in estimated fees to establish the New Debt including access to the $200 million revolving credit facility. The Bridge Loan is classified as current debt based on its term of one year. We believe these transactions are probable as the material terms have been agreed, although there is no assurance as to the completion of these transactions. Such transactions are conditioned on the consummation of this offering. The Company expects to repay the Bridge Loan with the net proceeds from the issuance of unsecured senior notes in an aggregate principal amount of $350 million with an estimated maturity of five to eight years following this offering. Any such unsecured senior notes would be offered pursuant to a separate offering memorandum and nothing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60"/>
          </w:cols>
          <w:pgMar w:left="320" w:top="1440" w:right="319" w:bottom="1440" w:gutter="0" w:footer="0" w:header="0"/>
        </w:sectPr>
      </w:pPr>
    </w:p>
    <w:bookmarkStart w:id="75" w:name="page76"/>
    <w:bookmarkEnd w:id="75"/>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contained in this prospectus shall constitute an offer to sell or solicitation of an offer to buy such unsecured senior notes.</w:t>
      </w:r>
    </w:p>
    <w:p>
      <w:pPr>
        <w:spacing w:after="0" w:line="153" w:lineRule="exact"/>
        <w:rPr>
          <w:sz w:val="20"/>
          <w:szCs w:val="20"/>
          <w:color w:val="auto"/>
        </w:rPr>
      </w:pPr>
    </w:p>
    <w:p>
      <w:pPr>
        <w:jc w:val="both"/>
        <w:ind w:right="180" w:firstLine="299"/>
        <w:spacing w:after="0" w:line="247" w:lineRule="auto"/>
        <w:rPr>
          <w:sz w:val="20"/>
          <w:szCs w:val="20"/>
          <w:color w:val="auto"/>
        </w:rPr>
      </w:pPr>
      <w:r>
        <w:rPr>
          <w:rFonts w:ascii="Arial" w:cs="Arial" w:eastAsia="Arial" w:hAnsi="Arial"/>
          <w:sz w:val="17"/>
          <w:szCs w:val="17"/>
          <w:color w:val="auto"/>
        </w:rPr>
        <w:t>A sensitivity analysis on the interest expense has been performed to assess the effect that a hypothetical 0.125% change in the interest rate would have on the Term A and Bridge Loan debt. A 0.125% change in interest rates would cause a corresponding increase or decrease to interest expense of approximately $0.8 million for the year ended December 31, 2020.</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the pro forma adjustments to the current portion of long-term debt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6139180</wp:posOffset>
            </wp:positionH>
            <wp:positionV relativeFrom="paragraph">
              <wp:posOffset>113665</wp:posOffset>
            </wp:positionV>
            <wp:extent cx="1011555" cy="236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1555" cy="2368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ind w:right="81"/>
              <w:spacing w:after="0"/>
              <w:rPr>
                <w:sz w:val="20"/>
                <w:szCs w:val="20"/>
                <w:color w:val="auto"/>
              </w:rPr>
            </w:pPr>
            <w:r>
              <w:rPr>
                <w:rFonts w:ascii="Arial" w:cs="Arial" w:eastAsia="Arial" w:hAnsi="Arial"/>
                <w:sz w:val="13"/>
                <w:szCs w:val="13"/>
                <w:b w:val="1"/>
                <w:bCs w:val="1"/>
                <w:color w:val="auto"/>
              </w:rPr>
              <w:t>As of December 31,</w:t>
            </w:r>
          </w:p>
        </w:tc>
        <w:tc>
          <w:tcPr>
            <w:tcW w:w="20" w:type="dxa"/>
            <w:vAlign w:val="bottom"/>
          </w:tcPr>
          <w:p>
            <w:pPr>
              <w:spacing w:after="0"/>
              <w:rPr>
                <w:sz w:val="13"/>
                <w:szCs w:val="13"/>
                <w:color w:val="auto"/>
              </w:rPr>
            </w:pPr>
          </w:p>
        </w:tc>
      </w:tr>
      <w:tr>
        <w:trPr>
          <w:trHeight w:val="181"/>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(Dollars in millions)</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214"/>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borrowings and current portion of long-term debt:</w:t>
            </w: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9660" w:type="dxa"/>
            <w:vAlign w:val="bottom"/>
          </w:tcPr>
          <w:p>
            <w:pPr>
              <w:ind w:left="20"/>
              <w:spacing w:after="0"/>
              <w:rPr>
                <w:sz w:val="20"/>
                <w:szCs w:val="20"/>
                <w:color w:val="auto"/>
              </w:rPr>
            </w:pPr>
            <w:r>
              <w:rPr>
                <w:rFonts w:ascii="Arial" w:cs="Arial" w:eastAsia="Arial" w:hAnsi="Arial"/>
                <w:sz w:val="17"/>
                <w:szCs w:val="17"/>
                <w:color w:val="auto"/>
              </w:rPr>
              <w:t>Incurrence of debt under the New Debt, net of deferred financing fees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348</w:t>
            </w:r>
          </w:p>
        </w:tc>
        <w:tc>
          <w:tcPr>
            <w:tcW w:w="20" w:type="dxa"/>
            <w:vAlign w:val="bottom"/>
          </w:tcPr>
          <w:p>
            <w:pPr>
              <w:spacing w:after="0"/>
              <w:rPr>
                <w:sz w:val="20"/>
                <w:szCs w:val="20"/>
                <w:color w:val="auto"/>
              </w:rPr>
            </w:pPr>
          </w:p>
        </w:tc>
      </w:tr>
      <w:tr>
        <w:trPr>
          <w:trHeight w:val="25"/>
        </w:trPr>
        <w:tc>
          <w:tcPr>
            <w:tcW w:w="9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Extinguishment of the related party borrowings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22"/>
                <w:szCs w:val="22"/>
                <w:color w:val="auto"/>
              </w:rPr>
            </w:pPr>
          </w:p>
        </w:tc>
      </w:tr>
      <w:tr>
        <w:trPr>
          <w:trHeight w:val="217"/>
        </w:trPr>
        <w:tc>
          <w:tcPr>
            <w:tcW w:w="9660" w:type="dxa"/>
            <w:vAlign w:val="bottom"/>
          </w:tcPr>
          <w:p>
            <w:pPr>
              <w:ind w:left="20"/>
              <w:spacing w:after="0"/>
              <w:rPr>
                <w:sz w:val="20"/>
                <w:szCs w:val="20"/>
                <w:color w:val="auto"/>
              </w:rPr>
            </w:pPr>
            <w:r>
              <w:rPr>
                <w:rFonts w:ascii="Arial" w:cs="Arial" w:eastAsia="Arial" w:hAnsi="Arial"/>
                <w:sz w:val="17"/>
                <w:szCs w:val="17"/>
                <w:b w:val="1"/>
                <w:bCs w:val="1"/>
                <w:color w:val="auto"/>
              </w:rPr>
              <w:t>Net adjustment to short-term borrowings and current portion of long-term debt</w:t>
            </w: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20" w:type="dxa"/>
            <w:vAlign w:val="bottom"/>
            <w:tcBorders>
              <w:top w:val="single" w:sz="8" w:color="auto"/>
            </w:tcBorders>
          </w:tcPr>
          <w:p>
            <w:pPr>
              <w:spacing w:after="0"/>
              <w:rPr>
                <w:sz w:val="18"/>
                <w:szCs w:val="18"/>
                <w:color w:val="auto"/>
              </w:rPr>
            </w:pPr>
          </w:p>
        </w:tc>
      </w:tr>
      <w:tr>
        <w:trPr>
          <w:trHeight w:val="25"/>
        </w:trPr>
        <w:tc>
          <w:tcPr>
            <w:tcW w:w="9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4"/>
        </w:trPr>
        <w:tc>
          <w:tcPr>
            <w:tcW w:w="9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9660" w:type="dxa"/>
            <w:vAlign w:val="bottom"/>
          </w:tcPr>
          <w:p>
            <w:pPr>
              <w:ind w:left="20"/>
              <w:spacing w:after="0"/>
              <w:rPr>
                <w:sz w:val="20"/>
                <w:szCs w:val="20"/>
                <w:color w:val="auto"/>
              </w:rPr>
            </w:pPr>
            <w:r>
              <w:rPr>
                <w:rFonts w:ascii="Arial" w:cs="Arial" w:eastAsia="Arial" w:hAnsi="Arial"/>
                <w:sz w:val="17"/>
                <w:szCs w:val="17"/>
                <w:color w:val="auto"/>
              </w:rPr>
              <w:t>Incurrence of debt under the New Debt, net of deferred financing fees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99</w:t>
            </w:r>
          </w:p>
        </w:tc>
        <w:tc>
          <w:tcPr>
            <w:tcW w:w="20" w:type="dxa"/>
            <w:vAlign w:val="bottom"/>
          </w:tcPr>
          <w:p>
            <w:pPr>
              <w:spacing w:after="0"/>
              <w:rPr>
                <w:sz w:val="20"/>
                <w:szCs w:val="20"/>
                <w:color w:val="auto"/>
              </w:rPr>
            </w:pPr>
          </w:p>
        </w:tc>
      </w:tr>
      <w:tr>
        <w:trPr>
          <w:trHeight w:val="25"/>
        </w:trPr>
        <w:tc>
          <w:tcPr>
            <w:tcW w:w="9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Extinguishment of the related party borrowings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20" w:type="dxa"/>
            <w:vAlign w:val="bottom"/>
          </w:tcPr>
          <w:p>
            <w:pPr>
              <w:spacing w:after="0"/>
              <w:rPr>
                <w:sz w:val="22"/>
                <w:szCs w:val="22"/>
                <w:color w:val="auto"/>
              </w:rPr>
            </w:pPr>
          </w:p>
        </w:tc>
      </w:tr>
      <w:tr>
        <w:trPr>
          <w:trHeight w:val="217"/>
        </w:trPr>
        <w:tc>
          <w:tcPr>
            <w:tcW w:w="9660" w:type="dxa"/>
            <w:vAlign w:val="bottom"/>
          </w:tcPr>
          <w:p>
            <w:pPr>
              <w:ind w:left="20"/>
              <w:spacing w:after="0"/>
              <w:rPr>
                <w:sz w:val="20"/>
                <w:szCs w:val="20"/>
                <w:color w:val="auto"/>
              </w:rPr>
            </w:pPr>
            <w:r>
              <w:rPr>
                <w:rFonts w:ascii="Arial" w:cs="Arial" w:eastAsia="Arial" w:hAnsi="Arial"/>
                <w:sz w:val="17"/>
                <w:szCs w:val="17"/>
                <w:b w:val="1"/>
                <w:bCs w:val="1"/>
                <w:color w:val="auto"/>
              </w:rPr>
              <w:t>Net adjustment to long-term debt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20" w:type="dxa"/>
            <w:vAlign w:val="bottom"/>
            <w:tcBorders>
              <w:top w:val="single" w:sz="8" w:color="auto"/>
            </w:tcBorders>
          </w:tcPr>
          <w:p>
            <w:pPr>
              <w:spacing w:after="0"/>
              <w:rPr>
                <w:sz w:val="18"/>
                <w:szCs w:val="18"/>
                <w:color w:val="auto"/>
              </w:rPr>
            </w:pPr>
          </w:p>
        </w:tc>
      </w:tr>
      <w:tr>
        <w:trPr>
          <w:trHeight w:val="25"/>
        </w:trPr>
        <w:tc>
          <w:tcPr>
            <w:tcW w:w="9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-528955</wp:posOffset>
            </wp:positionV>
            <wp:extent cx="7150735" cy="339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339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-1397635</wp:posOffset>
            </wp:positionV>
            <wp:extent cx="7150735" cy="497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497840"/>
                    </a:xfrm>
                    <a:prstGeom prst="rect">
                      <a:avLst/>
                    </a:prstGeom>
                    <a:noFill/>
                  </pic:spPr>
                </pic:pic>
              </a:graphicData>
            </a:graphic>
          </wp:anchor>
        </w:drawing>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(d) Changes in Equity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the adjustments to our equity after giving effect to the Pro Forma Transactions as of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Additional paid-in</w:t>
            </w:r>
          </w:p>
        </w:tc>
        <w:tc>
          <w:tcPr>
            <w:tcW w:w="12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1"/>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(Dollars in millions)</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rPr>
              <w:t>comprehensive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rPr>
              <w:t>Accumulated Deficit</w:t>
            </w:r>
          </w:p>
        </w:tc>
      </w:tr>
      <w:tr>
        <w:trPr>
          <w:trHeight w:val="246"/>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Transaction Costs, as described in </w:t>
            </w:r>
            <w:r>
              <w:rPr>
                <w:rFonts w:ascii="Arial" w:cs="Arial" w:eastAsia="Arial" w:hAnsi="Arial"/>
                <w:sz w:val="21"/>
                <w:szCs w:val="21"/>
                <w:color w:val="auto"/>
                <w:vertAlign w:val="superscript"/>
              </w:rPr>
              <w:t>(e)</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7"/>
        </w:trPr>
        <w:tc>
          <w:tcPr>
            <w:tcW w:w="4780" w:type="dxa"/>
            <w:vAlign w:val="bottom"/>
          </w:tcPr>
          <w:p>
            <w:pPr>
              <w:ind w:left="20"/>
              <w:spacing w:after="0"/>
              <w:rPr>
                <w:sz w:val="20"/>
                <w:szCs w:val="20"/>
                <w:color w:val="auto"/>
              </w:rPr>
            </w:pPr>
            <w:r>
              <w:rPr>
                <w:rFonts w:ascii="Arial" w:cs="Arial" w:eastAsia="Arial" w:hAnsi="Arial"/>
                <w:sz w:val="17"/>
                <w:szCs w:val="17"/>
                <w:color w:val="auto"/>
              </w:rPr>
              <w:t>Net adjustment</w:t>
            </w: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
        </w:trPr>
        <w:tc>
          <w:tcPr>
            <w:tcW w:w="4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Adjustments to Unaudited Pro Forma Consolidated Statement of Earnings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 Transaction Costs</w:t>
      </w:r>
    </w:p>
    <w:p>
      <w:pPr>
        <w:spacing w:after="0" w:line="171" w:lineRule="exact"/>
        <w:rPr>
          <w:sz w:val="20"/>
          <w:szCs w:val="20"/>
          <w:color w:val="auto"/>
        </w:rPr>
      </w:pPr>
    </w:p>
    <w:p>
      <w:pPr>
        <w:ind w:right="400" w:firstLine="299"/>
        <w:spacing w:after="0" w:line="247" w:lineRule="auto"/>
        <w:rPr>
          <w:sz w:val="20"/>
          <w:szCs w:val="20"/>
          <w:color w:val="auto"/>
        </w:rPr>
      </w:pPr>
      <w:r>
        <w:rPr>
          <w:rFonts w:ascii="Arial" w:cs="Arial" w:eastAsia="Arial" w:hAnsi="Arial"/>
          <w:sz w:val="17"/>
          <w:szCs w:val="17"/>
          <w:color w:val="auto"/>
        </w:rPr>
        <w:t>Represents an adjustment to include additional transaction costs of $4 million, which are expected to be incurred in connection with this offering. Total transaction costs recorded in the historical statement of earnings were $9 million for the year ended December 31, 2020. An adjustment of $4 million was also made to increase accumulated deficit as described in (d) above.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 Restricted stock unit awards—Founders Awards</w:t>
      </w:r>
    </w:p>
    <w:p>
      <w:pPr>
        <w:spacing w:after="0" w:line="171"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Adjustments have been made related to the proposed grant of equity awards to certain of our employees in connection with the consummation of this offering. The awards are classified as an equity-settled stock-based payment arrangement and will cliff vest on the second anniversary of the grant date. This adjustment reflects the recognition of costs related to the first year of the requisite service period which resulted in an increase in general and administrative expenses of $5 million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60"/>
          </w:cols>
          <w:pgMar w:left="320" w:top="1440" w:right="319" w:bottom="1440" w:gutter="0" w:footer="0" w:header="0"/>
        </w:sectPr>
      </w:pPr>
    </w:p>
    <w:bookmarkStart w:id="76" w:name="page77"/>
    <w:bookmarkEnd w:id="76"/>
    <w:p>
      <w:pPr>
        <w:spacing w:after="0" w:line="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(g) Interest Expense</w:t>
      </w:r>
    </w:p>
    <w:p>
      <w:pPr>
        <w:spacing w:after="0" w:line="171"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The following table presents the pro forma adjustments to interest expense associated with the pro forma adjustments to short-term and long-term debt described above in note (c). In addition, the interest expense associated with the New Debt below, includes $5 million related to the historical usage of the Company’s related party revolving credit facility that would’ve been incurred based on the interest rate applicable to the new $200 million revolving credit facility with third parties. An adjustment has been made to also eliminate the interest expense related to our related party borrowings as if they had been settled on January 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 ended December</w:t>
            </w:r>
          </w:p>
        </w:tc>
        <w:tc>
          <w:tcPr>
            <w:tcW w:w="20" w:type="dxa"/>
            <w:vAlign w:val="bottom"/>
          </w:tcPr>
          <w:p>
            <w:pPr>
              <w:spacing w:after="0"/>
              <w:rPr>
                <w:sz w:val="13"/>
                <w:szCs w:val="13"/>
                <w:color w:val="auto"/>
              </w:rPr>
            </w:pPr>
          </w:p>
        </w:tc>
      </w:tr>
      <w:tr>
        <w:trPr>
          <w:trHeight w:val="181"/>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(Dollars in millions)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31, 2020</w:t>
            </w:r>
          </w:p>
        </w:tc>
        <w:tc>
          <w:tcPr>
            <w:tcW w:w="20" w:type="dxa"/>
            <w:vAlign w:val="bottom"/>
          </w:tcPr>
          <w:p>
            <w:pPr>
              <w:spacing w:after="0"/>
              <w:rPr>
                <w:sz w:val="15"/>
                <w:szCs w:val="15"/>
                <w:color w:val="auto"/>
              </w:rPr>
            </w:pPr>
          </w:p>
        </w:tc>
      </w:tr>
      <w:tr>
        <w:trPr>
          <w:trHeight w:val="246"/>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Interest expense, New Debt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21"/>
                <w:szCs w:val="21"/>
                <w:color w:val="auto"/>
              </w:rPr>
            </w:pPr>
          </w:p>
        </w:tc>
      </w:tr>
      <w:tr>
        <w:trPr>
          <w:trHeight w:val="261"/>
        </w:trPr>
        <w:tc>
          <w:tcPr>
            <w:tcW w:w="9660" w:type="dxa"/>
            <w:vAlign w:val="bottom"/>
          </w:tcPr>
          <w:p>
            <w:pPr>
              <w:ind w:left="20"/>
              <w:spacing w:after="0"/>
              <w:rPr>
                <w:sz w:val="20"/>
                <w:szCs w:val="20"/>
                <w:color w:val="auto"/>
              </w:rPr>
            </w:pPr>
            <w:r>
              <w:rPr>
                <w:rFonts w:ascii="Arial" w:cs="Arial" w:eastAsia="Arial" w:hAnsi="Arial"/>
                <w:sz w:val="17"/>
                <w:szCs w:val="17"/>
                <w:color w:val="auto"/>
              </w:rPr>
              <w:t xml:space="preserve">Incremental amortization of deferred financing transaction costs, New Debt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2"/>
                <w:szCs w:val="22"/>
                <w:color w:val="auto"/>
              </w:rPr>
            </w:pPr>
          </w:p>
        </w:tc>
      </w:tr>
      <w:tr>
        <w:trPr>
          <w:trHeight w:val="261"/>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Elimination of interest expense, loans from related parties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0" w:type="dxa"/>
            <w:vAlign w:val="bottom"/>
            <w:tcBorders>
              <w:bottom w:val="single" w:sz="8" w:color="auto"/>
            </w:tcBorders>
          </w:tcPr>
          <w:p>
            <w:pPr>
              <w:spacing w:after="0"/>
              <w:rPr>
                <w:sz w:val="22"/>
                <w:szCs w:val="22"/>
                <w:color w:val="auto"/>
              </w:rPr>
            </w:pPr>
          </w:p>
        </w:tc>
      </w:tr>
      <w:tr>
        <w:trPr>
          <w:trHeight w:val="217"/>
        </w:trPr>
        <w:tc>
          <w:tcPr>
            <w:tcW w:w="9660" w:type="dxa"/>
            <w:vAlign w:val="bottom"/>
          </w:tcPr>
          <w:p>
            <w:pPr>
              <w:ind w:left="20"/>
              <w:spacing w:after="0"/>
              <w:rPr>
                <w:sz w:val="20"/>
                <w:szCs w:val="20"/>
                <w:color w:val="auto"/>
              </w:rPr>
            </w:pPr>
            <w:r>
              <w:rPr>
                <w:rFonts w:ascii="Arial" w:cs="Arial" w:eastAsia="Arial" w:hAnsi="Arial"/>
                <w:sz w:val="17"/>
                <w:szCs w:val="17"/>
                <w:color w:val="auto"/>
              </w:rPr>
              <w:t>Net adjustment to interest expense</w:t>
            </w:r>
          </w:p>
        </w:tc>
        <w:tc>
          <w:tcPr>
            <w:tcW w:w="320" w:type="dxa"/>
            <w:vAlign w:val="bottom"/>
          </w:tcPr>
          <w:p>
            <w:pPr>
              <w:jc w:val="right"/>
              <w:ind w:right="123"/>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6139815</wp:posOffset>
            </wp:positionH>
            <wp:positionV relativeFrom="paragraph">
              <wp:posOffset>15875</wp:posOffset>
            </wp:positionV>
            <wp:extent cx="10033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7620"/>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39370</wp:posOffset>
            </wp:positionV>
            <wp:extent cx="10033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-647700</wp:posOffset>
            </wp:positionV>
            <wp:extent cx="7150735" cy="505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50546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ind w:left="300" w:hanging="300"/>
        <w:spacing w:after="0"/>
        <w:tabs>
          <w:tab w:leader="none" w:pos="3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an adjustment to recognize the interest expense related to the New Debt incurred.</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an increase related to the amortization of deferred financing fees related to the New Debt incurred.</w:t>
      </w:r>
    </w:p>
    <w:p>
      <w:pPr>
        <w:spacing w:after="0" w:line="1" w:lineRule="exact"/>
        <w:rPr>
          <w:rFonts w:ascii="Arial" w:cs="Arial" w:eastAsia="Arial" w:hAnsi="Arial"/>
          <w:sz w:val="15"/>
          <w:szCs w:val="15"/>
          <w:color w:val="auto"/>
        </w:rPr>
      </w:pPr>
    </w:p>
    <w:p>
      <w:pPr>
        <w:ind w:left="300" w:right="180" w:hanging="300"/>
        <w:spacing w:after="0" w:line="251" w:lineRule="auto"/>
        <w:tabs>
          <w:tab w:leader="none" w:pos="296"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an adjustment to eliminate the historical interest expense for the settlement of loans from related parties, including interest expense attributable to $300 million of loans from related parties that were forgiven as of December 31, 2020 and accounted for as a capital transaction in contemplation of this offering.</w:t>
      </w:r>
    </w:p>
    <w:p>
      <w:pPr>
        <w:spacing w:after="0" w:line="116"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i w:val="1"/>
          <w:iCs w:val="1"/>
          <w:color w:val="auto"/>
        </w:rPr>
        <w:t>(h) Resulting Tax Effects</w:t>
      </w:r>
    </w:p>
    <w:p>
      <w:pPr>
        <w:spacing w:after="0" w:line="171" w:lineRule="exact"/>
        <w:rPr>
          <w:sz w:val="20"/>
          <w:szCs w:val="20"/>
          <w:color w:val="auto"/>
        </w:rPr>
      </w:pPr>
    </w:p>
    <w:p>
      <w:pPr>
        <w:jc w:val="center"/>
        <w:ind w:right="220"/>
        <w:spacing w:after="0" w:line="280" w:lineRule="auto"/>
        <w:rPr>
          <w:sz w:val="20"/>
          <w:szCs w:val="20"/>
          <w:color w:val="auto"/>
        </w:rPr>
      </w:pPr>
      <w:r>
        <w:rPr>
          <w:rFonts w:ascii="Arial" w:cs="Arial" w:eastAsia="Arial" w:hAnsi="Arial"/>
          <w:sz w:val="16"/>
          <w:szCs w:val="16"/>
          <w:color w:val="auto"/>
        </w:rPr>
        <w:t>Adjustments to the Unaudited Pro Forma Consolidated Statement of Earnings have been made to reflect the income tax expense for the items described in (e), (f) and (g), calculated at a blended effective tax rate of 28%, which incorporates the nondeductible nature of IPO related expenditures.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 Earnings Per Share</w:t>
      </w:r>
    </w:p>
    <w:p>
      <w:pPr>
        <w:spacing w:after="0" w:line="171" w:lineRule="exact"/>
        <w:rPr>
          <w:sz w:val="20"/>
          <w:szCs w:val="20"/>
          <w:color w:val="auto"/>
        </w:rPr>
      </w:pPr>
    </w:p>
    <w:p>
      <w:pPr>
        <w:ind w:right="260" w:firstLine="299"/>
        <w:spacing w:after="0" w:line="247" w:lineRule="auto"/>
        <w:rPr>
          <w:sz w:val="20"/>
          <w:szCs w:val="20"/>
          <w:color w:val="auto"/>
        </w:rPr>
      </w:pPr>
      <w:r>
        <w:rPr>
          <w:rFonts w:ascii="Arial" w:cs="Arial" w:eastAsia="Arial" w:hAnsi="Arial"/>
          <w:sz w:val="17"/>
          <w:szCs w:val="17"/>
          <w:color w:val="auto"/>
        </w:rPr>
        <w:t>The unaudited pro forma consolidated basic and diluted earnings per share calculations are based on the consolidated basic and diluted weighted average shares of DRS, and reflect the potentially dilutive impact of the IPO Grants issued at closing of this offering that vest over a two-year period commencing from the closing date of this offering.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 Ended December</w:t>
            </w:r>
          </w:p>
        </w:tc>
      </w:tr>
      <w:tr>
        <w:trPr>
          <w:trHeight w:val="181"/>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(Dollars in millions, except per share amounts)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31, 2020</w:t>
            </w:r>
          </w:p>
        </w:tc>
      </w:tr>
      <w:tr>
        <w:trPr>
          <w:trHeight w:val="22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net earnings</w:t>
            </w: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Historical weighted-average number of common shares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145,000,000</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Diluted</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145,000,000</w:t>
            </w:r>
          </w:p>
        </w:tc>
      </w:tr>
      <w:tr>
        <w:trPr>
          <w:trHeight w:val="25"/>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Potentially dilutive impact of common shares issued as part of the IPO Grants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125,000</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Pro forma weighted-average number of common shares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145,000,000</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Diluted</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145,125,000</w:t>
            </w:r>
          </w:p>
        </w:tc>
      </w:tr>
      <w:tr>
        <w:trPr>
          <w:trHeight w:val="25"/>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net earnings per common share</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21"/>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0.74</w:t>
            </w:r>
          </w:p>
        </w:tc>
      </w:tr>
      <w:tr>
        <w:trPr>
          <w:trHeight w:val="25"/>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0.74</w:t>
            </w:r>
          </w:p>
        </w:tc>
      </w:tr>
      <w:tr>
        <w:trPr>
          <w:trHeight w:val="25"/>
        </w:trPr>
        <w:tc>
          <w:tcPr>
            <w:tcW w:w="9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60"/>
          </w:cols>
          <w:pgMar w:left="320" w:top="1440" w:right="319" w:bottom="1440" w:gutter="0" w:footer="0" w:header="0"/>
        </w:sectPr>
      </w:pPr>
    </w:p>
    <w:bookmarkStart w:id="77" w:name="page78"/>
    <w:bookmarkEnd w:id="77"/>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Non-recurring Costs</w:t>
      </w:r>
    </w:p>
    <w:p>
      <w:pPr>
        <w:spacing w:after="0" w:line="173"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color w:val="auto"/>
        </w:rPr>
        <w:t>The unaudited pro forma consolidated statement of earnings includes certain non-recurring items including, among other things, costs related to legal, accounting and other professional fees totaling approximately $13 million that we do not expect to recur in the next 12 months. Additionally the Company will incur additional expenditures to operate as an independent company; however, we have operated principally independently prior to this offering under our existing operating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920"/>
          </w:cols>
          <w:pgMar w:left="320" w:top="1440" w:right="65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55" w:lineRule="exact"/>
        <w:rPr>
          <w:sz w:val="20"/>
          <w:szCs w:val="20"/>
          <w:color w:val="auto"/>
        </w:rPr>
      </w:pPr>
    </w:p>
    <w:p>
      <w:pPr>
        <w:ind w:firstLine="299"/>
        <w:spacing w:after="0" w:line="272" w:lineRule="auto"/>
        <w:rPr>
          <w:sz w:val="20"/>
          <w:szCs w:val="20"/>
          <w:color w:val="auto"/>
        </w:rPr>
      </w:pPr>
      <w:r>
        <w:rPr>
          <w:rFonts w:ascii="Arial" w:cs="Arial" w:eastAsia="Arial" w:hAnsi="Arial"/>
          <w:sz w:val="17"/>
          <w:szCs w:val="17"/>
          <w:i w:val="1"/>
          <w:iCs w:val="1"/>
          <w:color w:val="auto"/>
        </w:rPr>
        <w:t>You should read this discussion together with “Selected Historical Consolidated Financial Data” and our consolidated financial statements and related notes thereto included elsewhere in this prospectus.</w:t>
      </w:r>
    </w:p>
    <w:p>
      <w:pPr>
        <w:spacing w:after="0" w:line="104" w:lineRule="exact"/>
        <w:rPr>
          <w:sz w:val="20"/>
          <w:szCs w:val="20"/>
          <w:color w:val="auto"/>
        </w:rPr>
      </w:pPr>
    </w:p>
    <w:p>
      <w:pPr>
        <w:ind w:right="260" w:firstLine="299"/>
        <w:spacing w:after="0" w:line="253" w:lineRule="auto"/>
        <w:rPr>
          <w:sz w:val="20"/>
          <w:szCs w:val="20"/>
          <w:color w:val="auto"/>
        </w:rPr>
      </w:pPr>
      <w:r>
        <w:rPr>
          <w:rFonts w:ascii="Arial" w:cs="Arial" w:eastAsia="Arial" w:hAnsi="Arial"/>
          <w:sz w:val="17"/>
          <w:szCs w:val="17"/>
          <w:i w:val="1"/>
          <w:iCs w:val="1"/>
          <w:color w:val="auto"/>
        </w:rPr>
        <w:t>This discussion and other parts of this prospectus include forward-looking statements such as those relating to our plans, objectives, expectations and beliefs, which involve risks, uncertainties and assumptions. These forward-looking statements are subject to numerous risks and uncertainties, including, but not limited to, the risks and uncertainties described in “Risk Factors” and “Special Note Regarding Forward-Looking Statements and Information.” Actual results may differ materially from those contained in any forward-looking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 and Considerations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General</w:t>
      </w:r>
    </w:p>
    <w:p>
      <w:pPr>
        <w:spacing w:after="0" w:line="173"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We are a leading provider of defense products and technologies that are used across land, air, sea, space and cyber domains. Our diverse array of defense systems and solutions is offered to all branches of the U.S. military, major aerospace and defense prime contractors, government intelligence agencies and international military customers for deployment on a wide range of military platforms. We focus our capabilities in areas of critical importance to the U.S. military within three segments, Advanced Sensor Technologies, Network Computing &amp; Communications and Integrated Mission Systems. Our revenue, earnings and cash flows are generated by a combination of developing, manufacturing and servicing advanced technology solutions that are designed to address mission critical challenges for the defense industry.</w:t>
      </w:r>
    </w:p>
    <w:p>
      <w:pPr>
        <w:spacing w:after="0" w:line="147"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Our overall strategy is to be a balanced and diversified company, less vulnerable to any one budgetary platform or service decision with a specific focus on establishing strong technical and market positions in areas of priority for the Department of Defense (“DoD”). The DoD is our largest customer and, for the years ended December 31, 2020 and 2019, both years accounted for approximately 84% and 89%, respectively, of our business as an end-user, with revenues principally derived directly or indirectly from contracts with the U.S. Army and U.S. Navy, which represented 43% and 32%, and 40% and 36%, respectively, of our total revenues for the years ended December 31, 2020 and 2019. We use our technical capabilities, customer relationships and product quality to drive our financial performance, evidenced by a 12% CAGR in revenue from the year ended December 31, 2016 through the year ended December 31, 2020, which drove our annual revenue to $2.8 billion for the year ended December 31, 2020. During the same period, net earnings (loss) improved by $ 247 million to $85 million, our operating earnings grew $178 million to $181 million, and our Adjusted EBITDA grew $115 million to $268 million (CAGR of 15%). Adjusted EBITDA is a non-GAAP measure, see “—Key Financial and Operating Measures—Non-GAAP Financial Measures” below for a reconciliation of Adjusted EBITDA to net earnings.</w:t>
      </w:r>
    </w:p>
    <w:p>
      <w:pPr>
        <w:spacing w:after="0" w:line="145" w:lineRule="exact"/>
        <w:rPr>
          <w:sz w:val="20"/>
          <w:szCs w:val="20"/>
          <w:color w:val="auto"/>
        </w:rPr>
      </w:pPr>
    </w:p>
    <w:p>
      <w:pPr>
        <w:ind w:right="20" w:firstLine="299"/>
        <w:spacing w:after="0" w:line="250" w:lineRule="auto"/>
        <w:rPr>
          <w:sz w:val="20"/>
          <w:szCs w:val="20"/>
          <w:color w:val="auto"/>
        </w:rPr>
      </w:pPr>
      <w:r>
        <w:rPr>
          <w:rFonts w:ascii="Arial" w:cs="Arial" w:eastAsia="Arial" w:hAnsi="Arial"/>
          <w:sz w:val="17"/>
          <w:szCs w:val="17"/>
          <w:color w:val="auto"/>
        </w:rPr>
        <w:t>Our operations and reporting are structured into the following three technology driven segments based on the capabilities and solutions offered to our customers:</w:t>
      </w:r>
    </w:p>
    <w:p>
      <w:pPr>
        <w:spacing w:after="0" w:line="122" w:lineRule="exact"/>
        <w:rPr>
          <w:sz w:val="20"/>
          <w:szCs w:val="20"/>
          <w:color w:val="auto"/>
        </w:rPr>
      </w:pPr>
    </w:p>
    <w:p>
      <w:pPr>
        <w:ind w:left="300"/>
        <w:spacing w:after="0" w:line="249" w:lineRule="auto"/>
        <w:rPr>
          <w:sz w:val="20"/>
          <w:szCs w:val="20"/>
          <w:color w:val="auto"/>
        </w:rPr>
      </w:pPr>
      <w:r>
        <w:rPr>
          <w:rFonts w:ascii="Arial" w:cs="Arial" w:eastAsia="Arial" w:hAnsi="Arial"/>
          <w:sz w:val="17"/>
          <w:szCs w:val="17"/>
          <w:i w:val="1"/>
          <w:iCs w:val="1"/>
          <w:color w:val="auto"/>
        </w:rPr>
        <w:t>Advanced Sensor Technologies (“AST”)</w:t>
      </w:r>
      <w:r>
        <w:rPr>
          <w:rFonts w:ascii="Arial" w:cs="Arial" w:eastAsia="Arial" w:hAnsi="Arial"/>
          <w:sz w:val="17"/>
          <w:szCs w:val="17"/>
          <w:color w:val="auto"/>
        </w:rPr>
        <w:t>: Our Advanced Sensor Technologies segment provides world-class electro-optical sensor technologies, laser</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EW systems and intelligence and surveillance solutions to U.S. military and intelligence community customers. We are a leading provider of ground vehicle targeting and surveillance sensors, including electro-optical and advanced detection systems. We are also a leading provider of soldier sensor systems in high priority modernization areas such as infrared imaging and precision targeting systems. Our infrared focal plane array foundry is recognized as a leading provider of high performance and small sized cryogenically cooled and uncooled detector arrays. We are also a leading and world-recognized provider of aircraft training instrumentation equipment and high-performance radio frequency receivers and transceivers for U.S. and international customers. Our quantum cascade laser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313" w:right="339" w:bottom="1440" w:gutter="0" w:footer="0" w:header="0"/>
        </w:sectPr>
      </w:pPr>
    </w:p>
    <w:bookmarkStart w:id="79" w:name="page80"/>
    <w:bookmarkEnd w:id="79"/>
    <w:p>
      <w:pPr>
        <w:spacing w:after="0" w:line="43" w:lineRule="exact"/>
        <w:rPr>
          <w:sz w:val="20"/>
          <w:szCs w:val="20"/>
          <w:color w:val="auto"/>
        </w:rPr>
      </w:pPr>
    </w:p>
    <w:p>
      <w:pPr>
        <w:ind w:left="300" w:right="20"/>
        <w:spacing w:after="0" w:line="250" w:lineRule="auto"/>
        <w:rPr>
          <w:sz w:val="20"/>
          <w:szCs w:val="20"/>
          <w:color w:val="auto"/>
        </w:rPr>
      </w:pPr>
      <w:r>
        <w:rPr>
          <w:rFonts w:ascii="Arial" w:cs="Arial" w:eastAsia="Arial" w:hAnsi="Arial"/>
          <w:sz w:val="17"/>
          <w:szCs w:val="17"/>
          <w:color w:val="auto"/>
        </w:rPr>
        <w:t>technology has promising military and commercial medical applications. Collectively, these sensor technologies provide our warfighters with a distinct battlefield advantage.</w:t>
      </w:r>
    </w:p>
    <w:p>
      <w:pPr>
        <w:spacing w:after="0" w:line="122" w:lineRule="exact"/>
        <w:rPr>
          <w:sz w:val="20"/>
          <w:szCs w:val="20"/>
          <w:color w:val="auto"/>
        </w:rPr>
      </w:pPr>
    </w:p>
    <w:p>
      <w:pPr>
        <w:ind w:left="300" w:right="20"/>
        <w:spacing w:after="0" w:line="233" w:lineRule="auto"/>
        <w:rPr>
          <w:sz w:val="20"/>
          <w:szCs w:val="20"/>
          <w:color w:val="auto"/>
        </w:rPr>
      </w:pPr>
      <w:r>
        <w:rPr>
          <w:rFonts w:ascii="Arial" w:cs="Arial" w:eastAsia="Arial" w:hAnsi="Arial"/>
          <w:sz w:val="17"/>
          <w:szCs w:val="17"/>
          <w:i w:val="1"/>
          <w:iCs w:val="1"/>
          <w:color w:val="auto"/>
        </w:rPr>
        <w:t>Network Computing &amp; Communications (“NC&amp;C”)</w:t>
      </w:r>
      <w:r>
        <w:rPr>
          <w:rFonts w:ascii="Arial" w:cs="Arial" w:eastAsia="Arial" w:hAnsi="Arial"/>
          <w:sz w:val="17"/>
          <w:szCs w:val="17"/>
          <w:color w:val="auto"/>
        </w:rPr>
        <w:t>: Our Network Computing &amp; Communications segment provides advanced defense electronics</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across warfare domains. Our technologies and products are used on legacy and new military platforms, end-to-end network communication systems, network services and cyber solutions. We are a leading provider of ruggedized computing equipment, having provided advanced tactical computing units for ground combat vehicles and command post operations for more than two decades. During this period we have delivered more than 125,000 units. For the U.S. Navy and its allies, we provide naval computing infrastructure, network and data distribution, radar and rugged naval control systems, which are present on naval surface and subsurface combatant vessels. Across the full spectrum of our network computing capabilities, we have leadership positions at both the product and sub-systems levels. Our global communications network is a worldwide network of terrestrial and satellite bandwidth that ensures our customers’ data is secure and reliable. As a result of this capability, we are positioned as one of the leading providers of secured satellite communications to the U.S. military.</w:t>
      </w:r>
    </w:p>
    <w:p>
      <w:pPr>
        <w:spacing w:after="0" w:line="121" w:lineRule="exact"/>
        <w:rPr>
          <w:sz w:val="20"/>
          <w:szCs w:val="20"/>
          <w:color w:val="auto"/>
        </w:rPr>
      </w:pPr>
    </w:p>
    <w:p>
      <w:pPr>
        <w:ind w:left="300" w:right="80"/>
        <w:spacing w:after="0" w:line="264" w:lineRule="auto"/>
        <w:rPr>
          <w:sz w:val="20"/>
          <w:szCs w:val="20"/>
          <w:color w:val="auto"/>
        </w:rPr>
      </w:pPr>
      <w:r>
        <w:rPr>
          <w:rFonts w:ascii="Arial" w:cs="Arial" w:eastAsia="Arial" w:hAnsi="Arial"/>
          <w:sz w:val="16"/>
          <w:szCs w:val="16"/>
          <w:i w:val="1"/>
          <w:iCs w:val="1"/>
          <w:color w:val="auto"/>
        </w:rPr>
        <w:t xml:space="preserve">Integrated Mission Systems (“IMS”): </w:t>
      </w:r>
      <w:r>
        <w:rPr>
          <w:rFonts w:ascii="Arial" w:cs="Arial" w:eastAsia="Arial" w:hAnsi="Arial"/>
          <w:sz w:val="16"/>
          <w:szCs w:val="16"/>
          <w:color w:val="auto"/>
        </w:rPr>
        <w:t>Our Integrated Mission Systems segment provides critical force protection, vehicle integration, transportation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In 2018, we were awarded the Expedited Active Protection System program by bringing the TROPHY™ Active Protection System (“APS”) to the U.S. market, making us the leading U.S. provider of active protection systems for the U.S. Army. We were also awarded the Initial Maneuver Short-Range Air Defense (“IM-SHORAD”) Mission Equipment Package Program for the U.S. Army that year, culminating an 18-month cycle from development to customer delivery. We have military transportation and logistics offerings and ground vehicle integration capabilities to support U.S. forces in a wide range of operational environments.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Focus on Customer and Execution</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DRS and its employees focus on our end-customers – the men and women of the armed forces in the U.S. and its allies. We seek to provide high-quality equipment and services to support their mission success. We strive for excellence in everything we do, in every job in our Company, in order to satisfy our customers’ needs embedded in our contractual commitments. We seek to ensure that we learn from every lesson experienced in our Company and insist that these lessons affect all elements of our businesses. This approach permeates through the Company with a focus on continuous improvement at every level.</w:t>
      </w:r>
    </w:p>
    <w:p>
      <w:pPr>
        <w:spacing w:after="0" w:line="147" w:lineRule="exact"/>
        <w:rPr>
          <w:sz w:val="20"/>
          <w:szCs w:val="20"/>
          <w:color w:val="auto"/>
        </w:rPr>
      </w:pPr>
    </w:p>
    <w:p>
      <w:pPr>
        <w:ind w:firstLine="299"/>
        <w:spacing w:after="0" w:line="266" w:lineRule="auto"/>
        <w:rPr>
          <w:sz w:val="20"/>
          <w:szCs w:val="20"/>
          <w:color w:val="auto"/>
        </w:rPr>
      </w:pPr>
      <w:r>
        <w:rPr>
          <w:rFonts w:ascii="Arial" w:cs="Arial" w:eastAsia="Arial" w:hAnsi="Arial"/>
          <w:sz w:val="16"/>
          <w:szCs w:val="16"/>
          <w:color w:val="auto"/>
        </w:rPr>
        <w:t>Part of this learning has resulted in institutionalizing our continuous improvement process through our APEX program. The APEX program’s goal is to strive for continuous improvement through unification of our business practices, tools and metrics, ongoing employee training and innovation. We believe that excellence is not a destination, but by constantly challenging ourselves to be better, we will improve, and ultimately approach excellence. We challenge ourselves to exceed our customers’ expectations and we partner with them to work to ensure that our execution meets their needs.</w:t>
      </w:r>
    </w:p>
    <w:p>
      <w:pPr>
        <w:spacing w:after="0" w:line="130"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Continuous improvement, through the APEX program also allows us to improve our efficiency, which contributes to increased margins, helps us to remain competitive and allows us to make strategic investments, all while maintaining our focus on customer satisfaction. In these elements, our goals are aligned with those of our customers. We are humbled by the dedication and sacrifice that our ultimate customers have made to serve and we work to perform for them with excellence in everything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Impacts of COVID-19 On Our Business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Since the emergence of the novel coronavirus known as COVID-19, DRS has responded to ensure business continuity and we believe our innovative culture has enabled us to perform in difficult circumstances. DRS has been deemed an essential business due to our mission to provide products and services to the military. Our COVID-19 plan focuses on three factors: keeping our employees and their families safe; mitigating risk associated with interruption of suppliers’ materials; and maintaining our commitment to our customers. This response included maximizing work from home, physical separation of the remaining employees into small zones, frequent CEO level communications to employees, intra-shift sanitization of facilities, Company-paid healthcare leave and quarantining of zones where a concern of exposure arises. We remain committed to the safety and health of our employees while ensuring continuity of our operations.</w:t>
      </w:r>
    </w:p>
    <w:p>
      <w:pPr>
        <w:spacing w:after="0" w:line="146"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The proactive management to mitigate the impact of COVID-19 has enabled our business to remain operational. However, we incurred $12 million of expenditures from March 1, 2020 through December 31, 2020 to ensure a safe work environment for our employees. These costs include paid leave, personal protective equipment and other cleaning measures, facility filtration systems and social and physical distancing efforts, including the use of zones and subzones for manufacturing facilities. Costs to combat the COVID-19 pandemic have been excluded from our Adjusted EBITDA results. See “—Key Financial and Operating Measures—Non-GAAP Financial Measures.”</w:t>
      </w:r>
    </w:p>
    <w:p>
      <w:pPr>
        <w:spacing w:after="0" w:line="147"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Despite the increase in expenditures, DRS did offset a portion of the cash impacts of our COVID-19 response through COVID-19 related stimulus including allowable deferral of social security payroll tax payments to 2021 and 2022 and pension related contributions to 2021. This largely offset increases in our working capital levels due to COVID-19 impacts on certain programs driven by delays stemming from restrictions in customer test facility access and supplier delays. Additionally, we benefited from the DoD decision to increase the rate for certain progress payments from 80% to 90% for costs incurred and work performed on relevant contracts as a response to COVID-19. We believe these actions should continue to mitigate some COVID-19 related negative impacts to our operating cash flows. To date, DRS has not issued any material contractual request for equitable adjustments attributed to COVID-19 related expenditures discussed above and pursuant to the Section 3610 of the CARES Act.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Business Environment</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Revenues derived directly, as a prime contractor, or indirectly, as a subcontractor, from contracts with the U.S. government represented 84%, 89% and 86% of our total revenues for the years ended December 31, 2020, 2019 and 2018, respectively. Our U.S. government sales are highly concentrated within our DoD customers, which made up the overwhelming majority of our U.S. government revenue for the year ended December 31, 2020 and are principally derived directly or indirectly from contracts with the U.S. Army and U.S. Navy, which represented 43% and 32%, respectively, of our total revenues for the year ended December 31, 2020 . Therefore, our revenue is highly correlated to changes in U.S. government spending levels, especially within the DoD.</w:t>
      </w:r>
    </w:p>
    <w:p>
      <w:pPr>
        <w:spacing w:after="0" w:line="147" w:lineRule="exact"/>
        <w:rPr>
          <w:sz w:val="20"/>
          <w:szCs w:val="20"/>
          <w:color w:val="auto"/>
        </w:rPr>
      </w:pPr>
    </w:p>
    <w:p>
      <w:pPr>
        <w:ind w:right="140" w:firstLine="299"/>
        <w:spacing w:after="0" w:line="247" w:lineRule="auto"/>
        <w:rPr>
          <w:sz w:val="20"/>
          <w:szCs w:val="20"/>
          <w:color w:val="auto"/>
        </w:rPr>
      </w:pPr>
      <w:r>
        <w:rPr>
          <w:rFonts w:ascii="Arial" w:cs="Arial" w:eastAsia="Arial" w:hAnsi="Arial"/>
          <w:sz w:val="17"/>
          <w:szCs w:val="17"/>
          <w:color w:val="auto"/>
        </w:rPr>
        <w:t>Fiscal year 2020 began with the U.S. government responding to the on-going COVID-19 global pandemic. To address the COVID-19 pandemic, the federal government passed four different coronavirus stimulus bills in 2020 totaling nearly $3 trillion that were designed to help stimulate the economy and provide relief to the American people.</w:t>
      </w:r>
    </w:p>
    <w:p>
      <w:pPr>
        <w:spacing w:after="0" w:line="143" w:lineRule="exact"/>
        <w:rPr>
          <w:sz w:val="20"/>
          <w:szCs w:val="20"/>
          <w:color w:val="auto"/>
        </w:rPr>
      </w:pPr>
    </w:p>
    <w:p>
      <w:pPr>
        <w:jc w:val="both"/>
        <w:ind w:right="160" w:firstLine="299"/>
        <w:spacing w:after="0" w:line="245" w:lineRule="auto"/>
        <w:rPr>
          <w:sz w:val="20"/>
          <w:szCs w:val="20"/>
          <w:color w:val="auto"/>
        </w:rPr>
      </w:pPr>
      <w:r>
        <w:rPr>
          <w:rFonts w:ascii="Arial" w:cs="Arial" w:eastAsia="Arial" w:hAnsi="Arial"/>
          <w:sz w:val="17"/>
          <w:szCs w:val="17"/>
          <w:color w:val="222222"/>
        </w:rPr>
        <w:t>In addition to COVID-19 response legislation, Congress alleviated the need for a long-term continuing resolution to fund the federal government by passing both the fiscal year 2021 National Defense Authorization Act (“NDAA”) and accompanying Consolidated Appropriations Act. The NDAA passed both the House and Senate became law on January 1, 2021. The bill includes $740.5 billion total for national defense discretionary programs, including $130.6 billion for procurement of advanced weapons systems, an increase of $1.9 billion relative to the prior administration’s request, and $106.2 billion for research development test and evaluation, an increase of $475.5 million relative to the prior administration’s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440" w:right="339" w:bottom="1440" w:gutter="0" w:footer="0" w:header="0"/>
        </w:sectPr>
      </w:pPr>
    </w:p>
    <w:bookmarkStart w:id="81" w:name="page82"/>
    <w:bookmarkEnd w:id="81"/>
    <w:p>
      <w:pPr>
        <w:spacing w:after="0" w:line="43"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222222"/>
        </w:rPr>
        <w:t>request. The companion $1.4 trillion fiscal year 2021 Consolidated Appropriations Act, which currently funds the federal government, passed Congress on December 21, 2020 and was signed into law on December 27, 2020. The bill includes $695.9 billion for various defense accounts and $68.7 billion for the Overseas Contingency Operations fund and largely tracks with the policy priorities set forth in the NDAA.</w:t>
      </w:r>
    </w:p>
    <w:p>
      <w:pPr>
        <w:spacing w:after="0" w:line="143" w:lineRule="exact"/>
        <w:rPr>
          <w:sz w:val="20"/>
          <w:szCs w:val="20"/>
          <w:color w:val="auto"/>
        </w:rPr>
      </w:pPr>
    </w:p>
    <w:p>
      <w:pPr>
        <w:ind w:right="100" w:firstLine="299"/>
        <w:spacing w:after="0" w:line="270" w:lineRule="auto"/>
        <w:rPr>
          <w:sz w:val="20"/>
          <w:szCs w:val="20"/>
          <w:color w:val="auto"/>
        </w:rPr>
      </w:pPr>
      <w:r>
        <w:rPr>
          <w:rFonts w:ascii="Arial" w:cs="Arial" w:eastAsia="Arial" w:hAnsi="Arial"/>
          <w:sz w:val="16"/>
          <w:szCs w:val="16"/>
          <w:color w:val="222222"/>
        </w:rPr>
        <w:t>When the COVID-19 pandemic began, we were designated as an essential business in each of the jurisdictions in which we operate and we worked to ensure continuity of our operations to meet our contractual obligations and we remained at an approximately 98% staffing level throughout the year. Our people have risen to the challenge and performed with distinction during this time period, and as a result our performance has been strong.</w:t>
      </w:r>
    </w:p>
    <w:p>
      <w:pPr>
        <w:spacing w:after="0" w:line="126" w:lineRule="exact"/>
        <w:rPr>
          <w:sz w:val="20"/>
          <w:szCs w:val="20"/>
          <w:color w:val="auto"/>
        </w:rPr>
      </w:pPr>
    </w:p>
    <w:p>
      <w:pPr>
        <w:ind w:right="300" w:firstLine="299"/>
        <w:spacing w:after="0" w:line="270" w:lineRule="auto"/>
        <w:rPr>
          <w:sz w:val="20"/>
          <w:szCs w:val="20"/>
          <w:color w:val="auto"/>
        </w:rPr>
      </w:pPr>
      <w:r>
        <w:rPr>
          <w:rFonts w:ascii="Arial" w:cs="Arial" w:eastAsia="Arial" w:hAnsi="Arial"/>
          <w:sz w:val="16"/>
          <w:szCs w:val="16"/>
          <w:color w:val="222222"/>
        </w:rPr>
        <w:t>Future DoD budgets and spending levels are determined by a number of factors beyond our control, including changes to U.S. government procurement policies, current and future domestic and international budget conditions, presidential and congressional priorities and changing national security and defense requirements but we believe the applications of our technology aligns well with the modernization priorities of the DoD.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and Operating Measures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Overview</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measure our business using both key financial and operating data including key performance indicators (“KPIs”) and non-GAAP financial measures and use the following metrics to manage our business, monitor results of operations and ensure proper allocation of capital: (i) Revenue, (ii) Bookings, (iii) Backlog, (iv) Adjusted EBITDA, (v) Adjusted EBITDA Margin, (vi) Adjusted Earnings Per Share (“EPS”), (vii) Leverage Ratio, and (viii) Free Cash Flow. We believe that these financial performance metrics represent the primary drivers of value enhancement, balancing both short and long-term indicators of increased shareholder value. These are the metrics we use to measure our results and evaluate our business and related contract performance. See “—Results from Operations” for further detail.</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Financial and Operating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6"/>
          </w:tcPr>
          <w:p>
            <w:pPr>
              <w:jc w:val="right"/>
              <w:ind w:right="137"/>
              <w:spacing w:after="0"/>
              <w:rPr>
                <w:sz w:val="20"/>
                <w:szCs w:val="20"/>
                <w:color w:val="auto"/>
              </w:rPr>
            </w:pPr>
            <w:r>
              <w:rPr>
                <w:rFonts w:ascii="Arial" w:cs="Arial" w:eastAsia="Arial" w:hAnsi="Arial"/>
                <w:sz w:val="13"/>
                <w:szCs w:val="13"/>
                <w:b w:val="1"/>
                <w:bCs w:val="1"/>
                <w:color w:val="auto"/>
              </w:rPr>
              <w:t>Year Ended Year Ended December 31,</w:t>
            </w:r>
          </w:p>
        </w:tc>
        <w:tc>
          <w:tcPr>
            <w:tcW w:w="1200" w:type="dxa"/>
            <w:vAlign w:val="bottom"/>
            <w:tcBorders>
              <w:bottom w:val="single" w:sz="8" w:color="auto"/>
            </w:tcBorders>
          </w:tcPr>
          <w:p>
            <w:pPr>
              <w:spacing w:after="0"/>
              <w:rPr>
                <w:sz w:val="15"/>
                <w:szCs w:val="15"/>
                <w:color w:val="auto"/>
              </w:rPr>
            </w:pPr>
          </w:p>
        </w:tc>
      </w:tr>
      <w:tr>
        <w:trPr>
          <w:trHeight w:val="192"/>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 except per share amounts)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3"/>
                <w:szCs w:val="13"/>
                <w:b w:val="1"/>
                <w:bCs w:val="1"/>
                <w:color w:val="auto"/>
              </w:rPr>
              <w:t>2018</w:t>
            </w:r>
          </w:p>
        </w:tc>
      </w:tr>
      <w:tr>
        <w:trPr>
          <w:trHeight w:val="226"/>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2,778</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2,714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2,333</w:t>
            </w:r>
          </w:p>
        </w:tc>
      </w:tr>
      <w:tr>
        <w:trPr>
          <w:trHeight w:val="224"/>
        </w:trPr>
        <w:tc>
          <w:tcPr>
            <w:tcW w:w="6000" w:type="dxa"/>
            <w:vAlign w:val="bottom"/>
          </w:tcPr>
          <w:p>
            <w:pPr>
              <w:ind w:left="20"/>
              <w:spacing w:after="0"/>
              <w:rPr>
                <w:sz w:val="20"/>
                <w:szCs w:val="20"/>
                <w:color w:val="auto"/>
              </w:rPr>
            </w:pPr>
            <w:r>
              <w:rPr>
                <w:rFonts w:ascii="Arial" w:cs="Arial" w:eastAsia="Arial" w:hAnsi="Arial"/>
                <w:sz w:val="17"/>
                <w:szCs w:val="17"/>
                <w:color w:val="auto"/>
              </w:rPr>
              <w:t>Bookings</w:t>
            </w:r>
          </w:p>
        </w:tc>
        <w:tc>
          <w:tcPr>
            <w:tcW w:w="4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7"/>
                <w:szCs w:val="17"/>
                <w:color w:val="auto"/>
              </w:rPr>
              <w:t>3,055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7"/>
                <w:szCs w:val="17"/>
                <w:color w:val="auto"/>
              </w:rPr>
              <w:t>2,923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2,879</w:t>
            </w:r>
          </w:p>
        </w:tc>
      </w:tr>
      <w:tr>
        <w:trPr>
          <w:trHeight w:val="25"/>
        </w:trPr>
        <w:tc>
          <w:tcPr>
            <w:tcW w:w="6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3,291</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2,844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2,684</w:t>
            </w:r>
          </w:p>
        </w:tc>
      </w:tr>
      <w:tr>
        <w:trPr>
          <w:trHeight w:val="224"/>
        </w:trPr>
        <w:tc>
          <w:tcPr>
            <w:tcW w:w="6000" w:type="dxa"/>
            <w:vAlign w:val="bottom"/>
          </w:tcPr>
          <w:p>
            <w:pPr>
              <w:ind w:left="20"/>
              <w:spacing w:after="0"/>
              <w:rPr>
                <w:sz w:val="20"/>
                <w:szCs w:val="20"/>
                <w:color w:val="auto"/>
              </w:rPr>
            </w:pPr>
            <w:r>
              <w:rPr>
                <w:rFonts w:ascii="Arial" w:cs="Arial" w:eastAsia="Arial" w:hAnsi="Arial"/>
                <w:sz w:val="17"/>
                <w:szCs w:val="17"/>
                <w:color w:val="auto"/>
              </w:rPr>
              <w:t>Estimated potential remaining contract value</w:t>
            </w:r>
          </w:p>
        </w:tc>
        <w:tc>
          <w:tcPr>
            <w:tcW w:w="4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7"/>
                <w:szCs w:val="17"/>
                <w:color w:val="auto"/>
              </w:rPr>
              <w:t>7,981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7"/>
                <w:szCs w:val="17"/>
                <w:color w:val="auto"/>
              </w:rPr>
              <w:t>8,198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8,054</w:t>
            </w:r>
          </w:p>
        </w:tc>
      </w:tr>
      <w:tr>
        <w:trPr>
          <w:trHeight w:val="25"/>
        </w:trPr>
        <w:tc>
          <w:tcPr>
            <w:tcW w:w="6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268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234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187</w:t>
            </w:r>
          </w:p>
        </w:tc>
      </w:tr>
      <w:tr>
        <w:trPr>
          <w:trHeight w:val="249"/>
        </w:trPr>
        <w:tc>
          <w:tcPr>
            <w:tcW w:w="6000" w:type="dxa"/>
            <w:vAlign w:val="bottom"/>
          </w:tcPr>
          <w:p>
            <w:pPr>
              <w:ind w:left="20"/>
              <w:spacing w:after="0"/>
              <w:rPr>
                <w:sz w:val="20"/>
                <w:szCs w:val="20"/>
                <w:color w:val="auto"/>
              </w:rPr>
            </w:pPr>
            <w:r>
              <w:rPr>
                <w:rFonts w:ascii="Arial" w:cs="Arial" w:eastAsia="Arial" w:hAnsi="Arial"/>
                <w:sz w:val="17"/>
                <w:szCs w:val="17"/>
                <w:color w:val="auto"/>
              </w:rPr>
              <w:t>Adjusted EBITDA Margin</w:t>
            </w:r>
            <w:r>
              <w:rPr>
                <w:rFonts w:ascii="Arial" w:cs="Arial" w:eastAsia="Arial" w:hAnsi="Arial"/>
                <w:sz w:val="21"/>
                <w:szCs w:val="21"/>
                <w:color w:val="auto"/>
                <w:vertAlign w:val="superscript"/>
              </w:rPr>
              <w:t>(1)</w:t>
            </w:r>
          </w:p>
        </w:tc>
        <w:tc>
          <w:tcPr>
            <w:tcW w:w="400" w:type="dxa"/>
            <w:vAlign w:val="bottom"/>
          </w:tcPr>
          <w:p>
            <w:pPr>
              <w:spacing w:after="0"/>
              <w:rPr>
                <w:sz w:val="21"/>
                <w:szCs w:val="21"/>
                <w:color w:val="auto"/>
              </w:rPr>
            </w:pPr>
          </w:p>
        </w:tc>
        <w:tc>
          <w:tcPr>
            <w:tcW w:w="1280" w:type="dxa"/>
            <w:vAlign w:val="bottom"/>
          </w:tcPr>
          <w:p>
            <w:pPr>
              <w:ind w:left="820"/>
              <w:spacing w:after="0"/>
              <w:rPr>
                <w:sz w:val="20"/>
                <w:szCs w:val="20"/>
                <w:color w:val="auto"/>
              </w:rPr>
            </w:pPr>
            <w:r>
              <w:rPr>
                <w:rFonts w:ascii="Arial" w:cs="Arial" w:eastAsia="Arial" w:hAnsi="Arial"/>
                <w:sz w:val="17"/>
                <w:szCs w:val="17"/>
                <w:color w:val="auto"/>
              </w:rPr>
              <w:t>9.6 %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8.6 %</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8.0 %</w:t>
            </w:r>
          </w:p>
        </w:tc>
      </w:tr>
      <w:tr>
        <w:trPr>
          <w:trHeight w:val="249"/>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EPS</w:t>
            </w:r>
            <w:r>
              <w:rPr>
                <w:rFonts w:ascii="Arial" w:cs="Arial" w:eastAsia="Arial" w:hAnsi="Arial"/>
                <w:sz w:val="21"/>
                <w:szCs w:val="21"/>
                <w:color w:val="auto"/>
                <w:vertAlign w:val="superscript"/>
              </w:rPr>
              <w:t>(1)(2)</w:t>
            </w: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0.73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0.52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(0.07)</w:t>
            </w:r>
          </w:p>
        </w:tc>
      </w:tr>
      <w:tr>
        <w:trPr>
          <w:trHeight w:val="249"/>
        </w:trPr>
        <w:tc>
          <w:tcPr>
            <w:tcW w:w="6000" w:type="dxa"/>
            <w:vAlign w:val="bottom"/>
          </w:tcPr>
          <w:p>
            <w:pPr>
              <w:ind w:left="20"/>
              <w:spacing w:after="0"/>
              <w:rPr>
                <w:sz w:val="20"/>
                <w:szCs w:val="20"/>
                <w:color w:val="auto"/>
              </w:rPr>
            </w:pPr>
            <w:r>
              <w:rPr>
                <w:rFonts w:ascii="Arial" w:cs="Arial" w:eastAsia="Arial" w:hAnsi="Arial"/>
                <w:sz w:val="17"/>
                <w:szCs w:val="17"/>
                <w:color w:val="auto"/>
              </w:rPr>
              <w:t>Leverage Ratio</w:t>
            </w:r>
            <w:r>
              <w:rPr>
                <w:rFonts w:ascii="Arial" w:cs="Arial" w:eastAsia="Arial" w:hAnsi="Arial"/>
                <w:sz w:val="21"/>
                <w:szCs w:val="21"/>
                <w:color w:val="auto"/>
                <w:vertAlign w:val="superscript"/>
              </w:rPr>
              <w:t>(1)</w:t>
            </w:r>
          </w:p>
        </w:tc>
        <w:tc>
          <w:tcPr>
            <w:tcW w:w="400" w:type="dxa"/>
            <w:vAlign w:val="bottom"/>
          </w:tcPr>
          <w:p>
            <w:pPr>
              <w:spacing w:after="0"/>
              <w:rPr>
                <w:sz w:val="21"/>
                <w:szCs w:val="21"/>
                <w:color w:val="auto"/>
              </w:rPr>
            </w:pPr>
          </w:p>
        </w:tc>
        <w:tc>
          <w:tcPr>
            <w:tcW w:w="1360" w:type="dxa"/>
            <w:vAlign w:val="bottom"/>
            <w:gridSpan w:val="2"/>
          </w:tcPr>
          <w:p>
            <w:pPr>
              <w:ind w:left="820"/>
              <w:spacing w:after="0"/>
              <w:rPr>
                <w:sz w:val="20"/>
                <w:szCs w:val="20"/>
                <w:color w:val="auto"/>
              </w:rPr>
            </w:pPr>
            <w:r>
              <w:rPr>
                <w:rFonts w:ascii="Arial" w:cs="Arial" w:eastAsia="Arial" w:hAnsi="Arial"/>
                <w:sz w:val="17"/>
                <w:szCs w:val="17"/>
                <w:color w:val="auto"/>
              </w:rPr>
              <w:t>0.9 x</w:t>
            </w:r>
          </w:p>
        </w:tc>
        <w:tc>
          <w:tcPr>
            <w:tcW w:w="40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2.3x</w:t>
            </w:r>
          </w:p>
        </w:tc>
        <w:tc>
          <w:tcPr>
            <w:tcW w:w="4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3.0x</w:t>
            </w:r>
          </w:p>
        </w:tc>
      </w:tr>
      <w:tr>
        <w:trPr>
          <w:trHeight w:val="249"/>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74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65</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6" w:lineRule="exact"/>
        <w:rPr>
          <w:sz w:val="20"/>
          <w:szCs w:val="20"/>
          <w:color w:val="auto"/>
        </w:rPr>
      </w:pPr>
    </w:p>
    <w:p>
      <w:pPr>
        <w:ind w:left="300" w:right="300" w:hanging="300"/>
        <w:spacing w:after="0" w:line="244" w:lineRule="auto"/>
        <w:tabs>
          <w:tab w:leader="none" w:pos="296"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Note on non-GAAP financial measures: Throughout the discussion of our results of operations we use non-GAAP financial measures including Adjusted EBITDA, Adjusted EBITDA Margin, Adjusted EPS, Leverage Ratio and Free Cash Flow, as measures of our overall performance. Definitions and reconciliations of these measures to the most directly comparable financial measure calculated and presented in accordance with U.S. GAAP are included below.</w:t>
      </w:r>
    </w:p>
    <w:p>
      <w:pPr>
        <w:spacing w:after="0" w:line="1" w:lineRule="exact"/>
        <w:rPr>
          <w:rFonts w:ascii="Arial" w:cs="Arial" w:eastAsia="Arial" w:hAnsi="Arial"/>
          <w:sz w:val="15"/>
          <w:szCs w:val="15"/>
          <w:color w:val="auto"/>
        </w:rPr>
      </w:pPr>
    </w:p>
    <w:p>
      <w:pPr>
        <w:ind w:left="280" w:hanging="280"/>
        <w:spacing w:after="0" w:line="229" w:lineRule="auto"/>
        <w:tabs>
          <w:tab w:leader="none" w:pos="280" w:val="left"/>
        </w:tabs>
        <w:numPr>
          <w:ilvl w:val="0"/>
          <w:numId w:val="47"/>
        </w:numPr>
        <w:rPr>
          <w:rFonts w:ascii="Arial" w:cs="Arial" w:eastAsia="Arial" w:hAnsi="Arial"/>
          <w:sz w:val="17"/>
          <w:szCs w:val="17"/>
          <w:color w:val="auto"/>
        </w:rPr>
      </w:pPr>
      <w:r>
        <w:rPr>
          <w:rFonts w:ascii="Arial" w:cs="Arial" w:eastAsia="Arial" w:hAnsi="Arial"/>
          <w:sz w:val="15"/>
          <w:szCs w:val="15"/>
          <w:color w:val="auto"/>
        </w:rPr>
        <w:t>Gives effect to a 1,450,000-for-1 forward stock split on our common stock effected on February 25, 2021.</w:t>
      </w:r>
    </w:p>
    <w:p>
      <w:pPr>
        <w:spacing w:after="0" w:line="136" w:lineRule="exact"/>
        <w:rPr>
          <w:sz w:val="20"/>
          <w:szCs w:val="20"/>
          <w:color w:val="auto"/>
        </w:rPr>
      </w:pPr>
    </w:p>
    <w:p>
      <w:pPr>
        <w:ind w:right="440" w:firstLine="299"/>
        <w:spacing w:after="0" w:line="272" w:lineRule="auto"/>
        <w:rPr>
          <w:sz w:val="20"/>
          <w:szCs w:val="20"/>
          <w:color w:val="auto"/>
        </w:rPr>
      </w:pPr>
      <w:r>
        <w:rPr>
          <w:rFonts w:ascii="Arial" w:cs="Arial" w:eastAsia="Arial" w:hAnsi="Arial"/>
          <w:sz w:val="17"/>
          <w:szCs w:val="17"/>
          <w:i w:val="1"/>
          <w:iCs w:val="1"/>
          <w:color w:val="auto"/>
        </w:rPr>
        <w:t xml:space="preserve">Bookings - </w:t>
      </w:r>
      <w:r>
        <w:rPr>
          <w:rFonts w:ascii="Arial" w:cs="Arial" w:eastAsia="Arial" w:hAnsi="Arial"/>
          <w:sz w:val="17"/>
          <w:szCs w:val="17"/>
          <w:color w:val="auto"/>
        </w:rPr>
        <w:t>We define bookings as the total value of contract awards received from the U.S. government for which it has appropriated funds and</w:t>
      </w:r>
      <w:r>
        <w:rPr>
          <w:rFonts w:ascii="Arial" w:cs="Arial" w:eastAsia="Arial" w:hAnsi="Arial"/>
          <w:sz w:val="17"/>
          <w:szCs w:val="17"/>
          <w:i w:val="1"/>
          <w:iCs w:val="1"/>
          <w:color w:val="auto"/>
        </w:rPr>
        <w:t xml:space="preserve"> </w:t>
      </w:r>
      <w:r>
        <w:rPr>
          <w:rFonts w:ascii="Arial" w:cs="Arial" w:eastAsia="Arial" w:hAnsi="Arial"/>
          <w:sz w:val="17"/>
          <w:szCs w:val="17"/>
          <w:color w:val="auto"/>
        </w:rPr>
        <w:t>legally obligated such funds to the Company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1440" w:right="339" w:bottom="1440" w:gutter="0" w:footer="0" w:header="0"/>
        </w:sectPr>
      </w:pPr>
    </w:p>
    <w:bookmarkStart w:id="82" w:name="page83"/>
    <w:bookmarkEnd w:id="82"/>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 contract or purchase order, plus the value of contract awards and orders received from customers other than the U.S. government.</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 We define Backlog to include the following components:</w:t>
      </w:r>
    </w:p>
    <w:p>
      <w:pPr>
        <w:spacing w:after="0" w:line="171" w:lineRule="exact"/>
        <w:rPr>
          <w:sz w:val="20"/>
          <w:szCs w:val="20"/>
          <w:color w:val="auto"/>
        </w:rPr>
      </w:pPr>
    </w:p>
    <w:p>
      <w:pPr>
        <w:ind w:left="600" w:right="540" w:hanging="302"/>
        <w:spacing w:after="0" w:line="250" w:lineRule="auto"/>
        <w:tabs>
          <w:tab w:leader="none" w:pos="591" w:val="left"/>
        </w:tabs>
        <w:numPr>
          <w:ilvl w:val="0"/>
          <w:numId w:val="48"/>
        </w:numPr>
        <w:rPr>
          <w:rFonts w:ascii="Arial" w:cs="Arial" w:eastAsia="Arial" w:hAnsi="Arial"/>
          <w:sz w:val="17"/>
          <w:szCs w:val="17"/>
          <w:color w:val="auto"/>
        </w:rPr>
      </w:pPr>
      <w:r>
        <w:rPr>
          <w:rFonts w:ascii="Arial" w:cs="Arial" w:eastAsia="Arial" w:hAnsi="Arial"/>
          <w:sz w:val="17"/>
          <w:szCs w:val="17"/>
          <w:color w:val="auto"/>
        </w:rPr>
        <w:t>Funded - Funded backlog represents the revenue value of orders for services under existing contracts for which funding is appropriated or otherwise authorized less revenue previously recognized on these contracts.</w:t>
      </w:r>
    </w:p>
    <w:p>
      <w:pPr>
        <w:spacing w:after="0" w:line="140" w:lineRule="exact"/>
        <w:rPr>
          <w:rFonts w:ascii="Arial" w:cs="Arial" w:eastAsia="Arial" w:hAnsi="Arial"/>
          <w:sz w:val="17"/>
          <w:szCs w:val="17"/>
          <w:color w:val="auto"/>
        </w:rPr>
      </w:pPr>
    </w:p>
    <w:p>
      <w:pPr>
        <w:ind w:left="600" w:right="240" w:hanging="302"/>
        <w:spacing w:after="0" w:line="250" w:lineRule="auto"/>
        <w:tabs>
          <w:tab w:leader="none" w:pos="591"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22" w:lineRule="exact"/>
        <w:rPr>
          <w:sz w:val="20"/>
          <w:szCs w:val="20"/>
          <w:color w:val="auto"/>
        </w:rPr>
      </w:pPr>
    </w:p>
    <w:p>
      <w:pPr>
        <w:ind w:right="580" w:firstLine="299"/>
        <w:spacing w:after="0" w:line="281" w:lineRule="auto"/>
        <w:rPr>
          <w:sz w:val="20"/>
          <w:szCs w:val="20"/>
          <w:color w:val="auto"/>
        </w:rPr>
      </w:pPr>
      <w:r>
        <w:rPr>
          <w:rFonts w:ascii="Arial" w:cs="Arial" w:eastAsia="Arial" w:hAnsi="Arial"/>
          <w:sz w:val="16"/>
          <w:szCs w:val="16"/>
          <w:i w:val="1"/>
          <w:iCs w:val="1"/>
          <w:color w:val="auto"/>
        </w:rPr>
        <w:t xml:space="preserve">Estimated Potential Remaining Contract Value - </w:t>
      </w:r>
      <w:r>
        <w:rPr>
          <w:rFonts w:ascii="Arial" w:cs="Arial" w:eastAsia="Arial" w:hAnsi="Arial"/>
          <w:sz w:val="16"/>
          <w:szCs w:val="16"/>
          <w:color w:val="auto"/>
        </w:rPr>
        <w:t>In addition to backlog, we also evaluate estimated potential remaining contract value,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unexercised options associated with existing firm contracts and other contract commitments where items are visible in the DoD budget estimates and are void of competitive risks, including options on IDIQ type contracts and follow-on orders with existing customers.</w:t>
      </w:r>
    </w:p>
    <w:p>
      <w:pPr>
        <w:spacing w:after="0" w:line="100" w:lineRule="exact"/>
        <w:rPr>
          <w:sz w:val="20"/>
          <w:szCs w:val="20"/>
          <w:color w:val="auto"/>
        </w:rPr>
      </w:pPr>
    </w:p>
    <w:p>
      <w:pPr>
        <w:ind w:right="220" w:firstLine="299"/>
        <w:spacing w:after="0" w:line="272" w:lineRule="auto"/>
        <w:rPr>
          <w:sz w:val="20"/>
          <w:szCs w:val="20"/>
          <w:color w:val="auto"/>
        </w:rPr>
      </w:pPr>
      <w:r>
        <w:rPr>
          <w:rFonts w:ascii="Arial" w:cs="Arial" w:eastAsia="Arial" w:hAnsi="Arial"/>
          <w:sz w:val="17"/>
          <w:szCs w:val="17"/>
          <w:i w:val="1"/>
          <w:iCs w:val="1"/>
          <w:color w:val="auto"/>
        </w:rPr>
        <w:t xml:space="preserve">Total Estimated Remaining Contract Value - </w:t>
      </w:r>
      <w:r>
        <w:rPr>
          <w:rFonts w:ascii="Arial" w:cs="Arial" w:eastAsia="Arial" w:hAnsi="Arial"/>
          <w:sz w:val="17"/>
          <w:szCs w:val="17"/>
          <w:color w:val="auto"/>
        </w:rPr>
        <w:t>Estimated potential remaining contract value together with backlog represents total estimated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value remaining to be realized in revenue.</w:t>
      </w:r>
    </w:p>
    <w:p>
      <w:pPr>
        <w:spacing w:after="0" w:line="122" w:lineRule="exact"/>
        <w:rPr>
          <w:sz w:val="20"/>
          <w:szCs w:val="20"/>
          <w:color w:val="auto"/>
        </w:rPr>
      </w:pPr>
    </w:p>
    <w:p>
      <w:pPr>
        <w:ind w:right="480" w:firstLine="299"/>
        <w:spacing w:after="0" w:line="250" w:lineRule="auto"/>
        <w:rPr>
          <w:sz w:val="20"/>
          <w:szCs w:val="20"/>
          <w:color w:val="auto"/>
        </w:rPr>
      </w:pPr>
      <w:r>
        <w:rPr>
          <w:rFonts w:ascii="Arial" w:cs="Arial" w:eastAsia="Arial" w:hAnsi="Arial"/>
          <w:sz w:val="17"/>
          <w:szCs w:val="17"/>
          <w:color w:val="auto"/>
        </w:rPr>
        <w:t>The following table summarizes the value of our backlog, estimated potential remaining contract value and total estimated contract value at the respective dates presented:</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Backlog: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9"/>
        </w:trPr>
        <w:tc>
          <w:tcPr>
            <w:tcW w:w="6340" w:type="dxa"/>
            <w:vAlign w:val="bottom"/>
          </w:tcPr>
          <w:p>
            <w:pPr>
              <w:ind w:left="220"/>
              <w:spacing w:after="0"/>
              <w:rPr>
                <w:sz w:val="20"/>
                <w:szCs w:val="20"/>
                <w:color w:val="auto"/>
              </w:rPr>
            </w:pPr>
            <w:r>
              <w:rPr>
                <w:rFonts w:ascii="Arial" w:cs="Arial" w:eastAsia="Arial" w:hAnsi="Arial"/>
                <w:sz w:val="17"/>
                <w:szCs w:val="17"/>
                <w:color w:val="auto"/>
              </w:rPr>
              <w:t>Funded</w:t>
            </w:r>
            <w:r>
              <w:rPr>
                <w:rFonts w:ascii="Arial" w:cs="Arial" w:eastAsia="Arial" w:hAnsi="Arial"/>
                <w:sz w:val="21"/>
                <w:szCs w:val="21"/>
                <w:color w:val="auto"/>
                <w:vertAlign w:val="superscript"/>
              </w:rPr>
              <w:t>(1)</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2,847</w:t>
            </w:r>
          </w:p>
        </w:tc>
        <w:tc>
          <w:tcPr>
            <w:tcW w:w="8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2,547</w:t>
            </w:r>
          </w:p>
        </w:tc>
        <w:tc>
          <w:tcPr>
            <w:tcW w:w="80" w:type="dxa"/>
            <w:vAlign w:val="bottom"/>
          </w:tcPr>
          <w:p>
            <w:pPr>
              <w:spacing w:after="0"/>
              <w:rPr>
                <w:sz w:val="21"/>
                <w:szCs w:val="21"/>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2,338</w:t>
            </w:r>
          </w:p>
        </w:tc>
      </w:tr>
      <w:tr>
        <w:trPr>
          <w:trHeight w:val="249"/>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Unfunded</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r>
      <w:tr>
        <w:trPr>
          <w:trHeight w:val="241"/>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backlog</w:t>
            </w:r>
            <w:r>
              <w:rPr>
                <w:rFonts w:ascii="Arial" w:cs="Arial" w:eastAsia="Arial" w:hAnsi="Arial"/>
                <w:sz w:val="21"/>
                <w:szCs w:val="21"/>
                <w:color w:val="auto"/>
                <w:vertAlign w:val="superscript"/>
              </w:rPr>
              <w:t>(1)</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3,291</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2,684</w:t>
            </w:r>
          </w:p>
        </w:tc>
      </w:tr>
      <w:tr>
        <w:trPr>
          <w:trHeight w:val="24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Estimated potential remaining contract value</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8,198</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8,054</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 estimated remaining contract value</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11,272</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11,042</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10,738</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ind w:left="300" w:right="120" w:hanging="300"/>
        <w:spacing w:after="0" w:line="247" w:lineRule="auto"/>
        <w:tabs>
          <w:tab w:leader="none" w:pos="296" w:val="left"/>
        </w:tabs>
        <w:numPr>
          <w:ilvl w:val="0"/>
          <w:numId w:val="49"/>
        </w:numPr>
        <w:rPr>
          <w:rFonts w:ascii="Arial" w:cs="Arial" w:eastAsia="Arial" w:hAnsi="Arial"/>
          <w:sz w:val="15"/>
          <w:szCs w:val="15"/>
          <w:color w:val="auto"/>
        </w:rPr>
      </w:pPr>
      <w:r>
        <w:rPr>
          <w:rFonts w:ascii="Arial" w:cs="Arial" w:eastAsia="Arial" w:hAnsi="Arial"/>
          <w:sz w:val="15"/>
          <w:szCs w:val="15"/>
          <w:color w:val="auto"/>
        </w:rPr>
        <w:t>See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116"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Non-GAAP Financial Measures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believe the non-GAAP financial measures presented in this prospectus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U.S.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40"/>
          </w:cols>
          <w:pgMar w:left="320" w:top="1440" w:right="339" w:bottom="1440" w:gutter="0" w:footer="0" w:header="0"/>
        </w:sectPr>
      </w:pPr>
    </w:p>
    <w:bookmarkStart w:id="83" w:name="page84"/>
    <w:bookmarkEnd w:id="83"/>
    <w:p>
      <w:pPr>
        <w:spacing w:after="0" w:line="4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define these non-GAAP financial measures as:</w:t>
      </w:r>
    </w:p>
    <w:p>
      <w:pPr>
        <w:spacing w:after="0" w:line="135"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i w:val="1"/>
          <w:iCs w:val="1"/>
          <w:color w:val="auto"/>
        </w:rPr>
        <w:t xml:space="preserve">Adjusted EBITDA and Adjusted EBITDA Margin </w:t>
      </w:r>
      <w:r>
        <w:rPr>
          <w:rFonts w:ascii="Arial" w:cs="Arial" w:eastAsia="Arial" w:hAnsi="Arial"/>
          <w:sz w:val="16"/>
          <w:szCs w:val="16"/>
          <w:color w:val="auto"/>
        </w:rPr>
        <w:t>- We define Adjusted EBITDA as our net earnings before income taxes, amortization of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depreciation, restructuring costs, interest, transaction costs related to this offering, acquisition and divestiture related expenses, foreign exchange, COVID-19 response costs, non-service pension expenditures and other one-time non-operational events. Adjusted EBITDA Margin is calculated by dividing Adjusted EBITDA by revenue. Adjusted EBITDA and Adjusted EBITDA Margin are not measures calculated in accordance with U.S. GAAP, and they should not be considered an alternative to any financial measures that were calculated under U.S. GAAP. Adjusted EBITDA and Adjusted EBITDA Margin are used to facilitate a comparison of the ordinary, ongoing and customary course of our operations on a consistent basis from period to period and provide an additional understanding of factors and trends affecting our business. Adjusted EBITDA and Adjusted EBITDA Margin are driven by changes in volume, performance, contract mix and general and administrative expenses and investment levels. Performance, as used in this definition, refers to changes in profitability and is primarily based on adjustments to estimates at completion on individual contracts. These adjustments result from increases or decreases to the estimated value of the contract, the estimated costs to complete the contract, or both. These measures therefore assist management and our board and may be useful to investors in comparing our operating performance consistently over time as they remove the impact of our capital structure, asset base and items outside the control of the management team and expenses that do not relate to our core operations. Adjusted EBITDA and Adjusted EBITDA Margin may not be comparable to similarly titled non-GAAP measures used by other companies as other companies may have calculated the measures differently. The reconciliation of Adjusted EBITDA to net earnings (loss) is provided below:</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Consolidated Entity Adjusted EBITDA Reconciliation: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2018</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 (loss)</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460" w:type="dxa"/>
            <w:vAlign w:val="bottom"/>
            <w:tcBorders>
              <w:bottom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Income tax provision (benefit)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intangibles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Restructuring costs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Transaction costs related to this offering</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Foreign exchange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COVID-19 response costs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Non-service pension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one-time non-operational events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w:t>
            </w:r>
          </w:p>
        </w:tc>
      </w:tr>
      <w:tr>
        <w:trPr>
          <w:trHeight w:val="20"/>
        </w:trPr>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160" w:firstLine="299"/>
        <w:spacing w:after="0" w:line="258" w:lineRule="auto"/>
        <w:rPr>
          <w:sz w:val="20"/>
          <w:szCs w:val="20"/>
          <w:color w:val="auto"/>
        </w:rPr>
      </w:pPr>
      <w:r>
        <w:rPr>
          <w:rFonts w:ascii="Arial" w:cs="Arial" w:eastAsia="Arial" w:hAnsi="Arial"/>
          <w:sz w:val="17"/>
          <w:szCs w:val="17"/>
          <w:i w:val="1"/>
          <w:iCs w:val="1"/>
          <w:color w:val="auto"/>
        </w:rPr>
        <w:t xml:space="preserve">Adjusted EPS </w:t>
      </w:r>
      <w:r>
        <w:rPr>
          <w:rFonts w:ascii="Arial" w:cs="Arial" w:eastAsia="Arial" w:hAnsi="Arial"/>
          <w:sz w:val="17"/>
          <w:szCs w:val="17"/>
          <w:color w:val="auto"/>
        </w:rPr>
        <w:t>– We calculate Adjusted EPS by excluding transaction costs related to this offering, acquisition and divestiture related expenses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COVID-19 response costs from our net earnings (loss) to arrive at Adjusted EPS. We believe that Adjusted EPS allows investors to effectively compare our 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1440" w:right="339" w:bottom="1440" w:gutter="0" w:footer="0" w:header="0"/>
        </w:sectPr>
      </w:pPr>
    </w:p>
    <w:bookmarkStart w:id="84" w:name="page85"/>
    <w:bookmarkEnd w:id="84"/>
    <w:p>
      <w:pPr>
        <w:spacing w:after="0" w:line="4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performance from period to period by excluding items that are not indicative of, or are unrelated to, results from our ongoing business operations such as our capital structure, significant non-cash expenses, the impacts of financing decisions on earnings, and items incurred outside the ordinary, ongoing and customary course of our business. Adjusted EPS has limitations as an analytical tool and does not represent, and should not be considered an alternative to basic or diluted EPS as determined in accordance with U.S. GAAP. The reconciliation of Adjusted EPS to U.S. GAAP EPS is shown below:</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Consolidated Entity Reconciliation of Adjusted EPS: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 except per share amounts)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 (loss)</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460" w:type="dxa"/>
            <w:vAlign w:val="bottom"/>
            <w:tcBorders>
              <w:bottom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Transaction costs related to this offering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COVID-19 response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color w:val="auto"/>
              </w:rPr>
              <w:t>Adjusted net earnings (loss)</w:t>
            </w: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9"/>
        </w:trPr>
        <w:tc>
          <w:tcPr>
            <w:tcW w:w="6340" w:type="dxa"/>
            <w:vAlign w:val="bottom"/>
            <w:shd w:val="clear" w:color="auto" w:fill="CCEEFF"/>
          </w:tcPr>
          <w:p>
            <w:pPr>
              <w:ind w:left="20"/>
              <w:spacing w:after="0" w:line="239" w:lineRule="exact"/>
              <w:rPr>
                <w:sz w:val="20"/>
                <w:szCs w:val="20"/>
                <w:color w:val="auto"/>
              </w:rPr>
            </w:pPr>
            <w:r>
              <w:rPr>
                <w:rFonts w:ascii="Arial" w:cs="Arial" w:eastAsia="Arial" w:hAnsi="Arial"/>
                <w:sz w:val="17"/>
                <w:szCs w:val="17"/>
                <w:color w:val="auto"/>
              </w:rPr>
              <w:t xml:space="preserve">Adjusted EPS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0.73</w:t>
            </w: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(1)  Gives effect to a 1,450,000-for-1 forward stock split on our common stock effected on February 25, 2021.</w:t>
      </w:r>
    </w:p>
    <w:p>
      <w:pPr>
        <w:spacing w:after="0" w:line="354" w:lineRule="exact"/>
        <w:rPr>
          <w:sz w:val="20"/>
          <w:szCs w:val="20"/>
          <w:color w:val="auto"/>
        </w:rPr>
      </w:pPr>
    </w:p>
    <w:p>
      <w:pPr>
        <w:ind w:right="600" w:firstLine="299"/>
        <w:spacing w:after="0" w:line="272" w:lineRule="auto"/>
        <w:rPr>
          <w:sz w:val="20"/>
          <w:szCs w:val="20"/>
          <w:color w:val="auto"/>
        </w:rPr>
      </w:pPr>
      <w:r>
        <w:rPr>
          <w:rFonts w:ascii="Arial" w:cs="Arial" w:eastAsia="Arial" w:hAnsi="Arial"/>
          <w:sz w:val="17"/>
          <w:szCs w:val="17"/>
          <w:i w:val="1"/>
          <w:iCs w:val="1"/>
          <w:color w:val="auto"/>
        </w:rPr>
        <w:t xml:space="preserve">Leverage Ratio </w:t>
      </w:r>
      <w:r>
        <w:rPr>
          <w:rFonts w:ascii="Arial" w:cs="Arial" w:eastAsia="Arial" w:hAnsi="Arial"/>
          <w:sz w:val="17"/>
          <w:szCs w:val="17"/>
          <w:color w:val="auto"/>
        </w:rPr>
        <w:t>- We define our leverage ratio as total net debt divided by Adjusted EBITDA. Net debt includes debt related to financing lease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net of balance sheet cash and cash equivalents and related party note receivables.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provides the calculation of the Leverage Ratio as of December 31, 2020, 2019 and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Year End December 31,</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92"/>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2018</w:t>
            </w:r>
          </w:p>
        </w:tc>
      </w:tr>
      <w:tr>
        <w:trPr>
          <w:trHeight w:val="22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656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552</w:t>
            </w:r>
          </w:p>
        </w:tc>
      </w:tr>
      <w:tr>
        <w:trPr>
          <w:trHeight w:val="224"/>
        </w:trPr>
        <w:tc>
          <w:tcPr>
            <w:tcW w:w="6220" w:type="dxa"/>
            <w:vAlign w:val="bottom"/>
          </w:tcPr>
          <w:p>
            <w:pPr>
              <w:ind w:left="20"/>
              <w:spacing w:after="0"/>
              <w:rPr>
                <w:sz w:val="20"/>
                <w:szCs w:val="20"/>
                <w:color w:val="auto"/>
              </w:rPr>
            </w:pPr>
            <w:r>
              <w:rPr>
                <w:rFonts w:ascii="Arial" w:cs="Arial" w:eastAsia="Arial" w:hAnsi="Arial"/>
                <w:sz w:val="17"/>
                <w:szCs w:val="17"/>
                <w:color w:val="auto"/>
              </w:rPr>
              <w:t>Short-term borrowings and current portion of long-term debt</w:t>
            </w:r>
          </w:p>
        </w:tc>
        <w:tc>
          <w:tcPr>
            <w:tcW w:w="38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7"/>
                <w:szCs w:val="17"/>
                <w:color w:val="auto"/>
              </w:rPr>
              <w:t>87</w:t>
            </w:r>
          </w:p>
        </w:tc>
      </w:tr>
      <w:tr>
        <w:trPr>
          <w:trHeight w:val="25"/>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(61)</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(79)</w:t>
            </w:r>
          </w:p>
        </w:tc>
      </w:tr>
      <w:tr>
        <w:trPr>
          <w:trHeight w:val="224"/>
        </w:trPr>
        <w:tc>
          <w:tcPr>
            <w:tcW w:w="6220" w:type="dxa"/>
            <w:vAlign w:val="bottom"/>
          </w:tcPr>
          <w:p>
            <w:pPr>
              <w:ind w:left="20"/>
              <w:spacing w:after="0"/>
              <w:rPr>
                <w:sz w:val="20"/>
                <w:szCs w:val="20"/>
                <w:color w:val="auto"/>
              </w:rPr>
            </w:pPr>
            <w:r>
              <w:rPr>
                <w:rFonts w:ascii="Arial" w:cs="Arial" w:eastAsia="Arial" w:hAnsi="Arial"/>
                <w:sz w:val="17"/>
                <w:szCs w:val="17"/>
                <w:color w:val="auto"/>
              </w:rPr>
              <w:t>Related party note receivable</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5"/>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debt</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251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560</w:t>
            </w:r>
          </w:p>
        </w:tc>
      </w:tr>
      <w:tr>
        <w:trPr>
          <w:trHeight w:val="217"/>
        </w:trPr>
        <w:tc>
          <w:tcPr>
            <w:tcW w:w="62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8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ind w:right="201"/>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7"/>
                <w:szCs w:val="17"/>
                <w:color w:val="auto"/>
              </w:rPr>
              <w:t>187</w:t>
            </w:r>
          </w:p>
        </w:tc>
      </w:tr>
      <w:tr>
        <w:trPr>
          <w:trHeight w:val="25"/>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9"/>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Leverage Ratio</w:t>
            </w:r>
          </w:p>
        </w:tc>
        <w:tc>
          <w:tcPr>
            <w:tcW w:w="3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0.9 x</w:t>
            </w:r>
          </w:p>
        </w:tc>
        <w:tc>
          <w:tcPr>
            <w:tcW w:w="4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2.3 x</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x</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right="300" w:firstLine="299"/>
        <w:spacing w:after="0" w:line="272" w:lineRule="auto"/>
        <w:rPr>
          <w:sz w:val="20"/>
          <w:szCs w:val="20"/>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 We define free cash flow as the sum of the cash flows provided by operating activities and the cash flows provided by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activities pertaining to capital expenditures and proceeds generated from the sale of assets.</w:t>
      </w:r>
    </w:p>
    <w:p>
      <w:pPr>
        <w:spacing w:after="0" w:line="122"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believe that free cash flow provides management and investors with an important measure of our ability to generate cash on a normalized basis. Free cash flow also provides insight into our flexibility to allocate capital and pursue opportunities that may enhance shareholder value. We believe that while expenditures and dispositions of property plant and equipment will fluctuate period to period, we seek to ensure that we have adequate capital on hand to maintain ongoing operations and enable growth of the business. Additionally, free cash flow is of limited usefulness, in that it does not represent residual cash flows available for discretionary expenditures, due to the fact the measures do not deduct the payments required for debt service and other contractual obligations or payments. The reconciliation between free cash flow and net cash provided by operating activities (the most comparable U.S. GAAP measure)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Consolidated Entity Reconciliation of Free Cash Flow: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460" w:type="dxa"/>
            <w:vAlign w:val="bottom"/>
            <w:tcBorders>
              <w:bottom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sales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color w:val="auto"/>
              </w:rPr>
              <w:t>Free cash flow</w:t>
            </w: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0"/>
        </w:trPr>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Impacting Our Performance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U.S. Government Spending and Federal Budget Uncertainty</w:t>
      </w:r>
    </w:p>
    <w:p>
      <w:pPr>
        <w:spacing w:after="0" w:line="173" w:lineRule="exact"/>
        <w:rPr>
          <w:sz w:val="20"/>
          <w:szCs w:val="20"/>
          <w:color w:val="auto"/>
        </w:rPr>
      </w:pPr>
    </w:p>
    <w:p>
      <w:pPr>
        <w:ind w:firstLine="299"/>
        <w:spacing w:after="0" w:line="262" w:lineRule="auto"/>
        <w:rPr>
          <w:sz w:val="20"/>
          <w:szCs w:val="20"/>
          <w:color w:val="auto"/>
        </w:rPr>
      </w:pPr>
      <w:r>
        <w:rPr>
          <w:rFonts w:ascii="Arial" w:cs="Arial" w:eastAsia="Arial" w:hAnsi="Arial"/>
          <w:sz w:val="16"/>
          <w:szCs w:val="16"/>
          <w:color w:val="auto"/>
        </w:rPr>
        <w:t>Changes in the volume and relative mix of U.S. government spending as well as areas of spending growth could impact our business and results of operations. In particular, our results can be affected by shifts in strategies and priorities on homeland security, intelligence, defense-related programs, infrastructure and urbanization and continued increased spending on technology and innovation, including cybersecurity, artificial intelligence, connected communities and physical infrastructure. Cost-cutting and efficiency initiatives, current and future budget restrictions, spending cuts and other efforts to reduce government spending and shifts in overall priorities (for example, in response to the COVID-19 pandemic)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maintain access and schedules for government testing or deploy our staff to customer locations or facilities as a result of such disruptions.</w:t>
      </w:r>
    </w:p>
    <w:p>
      <w:pPr>
        <w:spacing w:after="0" w:line="134" w:lineRule="exact"/>
        <w:rPr>
          <w:sz w:val="20"/>
          <w:szCs w:val="20"/>
          <w:color w:val="auto"/>
        </w:rPr>
      </w:pPr>
    </w:p>
    <w:p>
      <w:pPr>
        <w:ind w:right="20" w:firstLine="299"/>
        <w:spacing w:after="0" w:line="244" w:lineRule="auto"/>
        <w:rPr>
          <w:sz w:val="20"/>
          <w:szCs w:val="20"/>
          <w:color w:val="auto"/>
        </w:rPr>
      </w:pPr>
      <w:r>
        <w:rPr>
          <w:rFonts w:ascii="Arial" w:cs="Arial" w:eastAsia="Arial" w:hAnsi="Arial"/>
          <w:sz w:val="17"/>
          <w:szCs w:val="17"/>
          <w:color w:val="auto"/>
        </w:rPr>
        <w:t>There is also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including as a result of legislative actions in response to the COVID-19 pandemic,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 See “Risk Factors—Risks Related to Our Business—Significant delays or reductions in appropriations for our programs and changes in U.S. government priorities and spending levels more broadly may negatively impact our business and could have a material adverse impact on our business, financial condition and results of operations” and “Risk Factors—Risks Related to Our Business— The COVID-19 pandemic and related impacts have had and are likely to continue to have an adverse impact on our business, financial condition and results of operations.” Please see also “—Business Overview and Considerations—Business Environment” for further details on U.S. government spending’s impact on our business.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Operational Performance on Contracts</w:t>
      </w:r>
    </w:p>
    <w:p>
      <w:pPr>
        <w:spacing w:after="0" w:line="173"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Revenue, earnings (margin) and the timing of our cash flows depend on our ability to perform on our contracts. When agreeing to contractual terms, our management team makes assumptions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40"/>
          </w:cols>
          <w:pgMar w:left="320" w:top="1440" w:right="339" w:bottom="1440" w:gutter="0" w:footer="0" w:header="0"/>
        </w:sectPr>
      </w:pPr>
    </w:p>
    <w:bookmarkStart w:id="86" w:name="page87"/>
    <w:bookmarkEnd w:id="86"/>
    <w:p>
      <w:pPr>
        <w:spacing w:after="0" w:line="43" w:lineRule="exact"/>
        <w:rPr>
          <w:sz w:val="20"/>
          <w:szCs w:val="20"/>
          <w:color w:val="auto"/>
        </w:rPr>
      </w:pPr>
    </w:p>
    <w:p>
      <w:pPr>
        <w:ind w:right="720"/>
        <w:spacing w:after="0" w:line="250" w:lineRule="auto"/>
        <w:rPr>
          <w:sz w:val="20"/>
          <w:szCs w:val="20"/>
          <w:color w:val="auto"/>
        </w:rPr>
      </w:pPr>
      <w:r>
        <w:rPr>
          <w:rFonts w:ascii="Arial" w:cs="Arial" w:eastAsia="Arial" w:hAnsi="Arial"/>
          <w:sz w:val="17"/>
          <w:szCs w:val="17"/>
          <w:color w:val="auto"/>
        </w:rPr>
        <w:t>projections about future conditions and events. The accounting for our contracts and programs requires assumptions and estimates about these conditions and events. These projections and estimates assess:</w:t>
      </w:r>
    </w:p>
    <w:p>
      <w:pPr>
        <w:spacing w:after="0" w:line="140" w:lineRule="exact"/>
        <w:rPr>
          <w:sz w:val="20"/>
          <w:szCs w:val="20"/>
          <w:color w:val="auto"/>
        </w:rPr>
      </w:pPr>
    </w:p>
    <w:p>
      <w:pPr>
        <w:ind w:left="600" w:hanging="302"/>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productivity and availability of labor;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allocation of indirect costs to labor and material costs incurred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complexity of the work to be performed;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 and availability of materials and components;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schedule requirements.</w:t>
      </w:r>
    </w:p>
    <w:p>
      <w:pPr>
        <w:spacing w:after="0" w:line="153" w:lineRule="exact"/>
        <w:rPr>
          <w:sz w:val="20"/>
          <w:szCs w:val="20"/>
          <w:color w:val="auto"/>
        </w:rPr>
      </w:pPr>
    </w:p>
    <w:p>
      <w:pPr>
        <w:ind w:right="140" w:firstLine="299"/>
        <w:spacing w:after="0" w:line="250" w:lineRule="auto"/>
        <w:rPr>
          <w:sz w:val="20"/>
          <w:szCs w:val="20"/>
          <w:color w:val="auto"/>
        </w:rPr>
      </w:pPr>
      <w:r>
        <w:rPr>
          <w:rFonts w:ascii="Arial" w:cs="Arial" w:eastAsia="Arial" w:hAnsi="Arial"/>
          <w:sz w:val="17"/>
          <w:szCs w:val="17"/>
          <w:color w:val="auto"/>
        </w:rPr>
        <w:t>If there is a significant change in one or more of these circumstances, estimates or assumptions, or if the risks under our contracts are not managed adequately, the profitability of contracts could be adversely affected. This could affect earnings and margin materially.</w:t>
      </w:r>
    </w:p>
    <w:p>
      <w:pPr>
        <w:spacing w:after="0" w:line="140" w:lineRule="exact"/>
        <w:rPr>
          <w:sz w:val="20"/>
          <w:szCs w:val="20"/>
          <w:color w:val="auto"/>
        </w:rPr>
      </w:pPr>
    </w:p>
    <w:p>
      <w:pPr>
        <w:ind w:right="140" w:firstLine="299"/>
        <w:spacing w:after="0" w:line="246" w:lineRule="auto"/>
        <w:rPr>
          <w:sz w:val="20"/>
          <w:szCs w:val="20"/>
          <w:color w:val="auto"/>
        </w:rPr>
      </w:pPr>
      <w:r>
        <w:rPr>
          <w:rFonts w:ascii="Arial" w:cs="Arial" w:eastAsia="Arial" w:hAnsi="Arial"/>
          <w:sz w:val="17"/>
          <w:szCs w:val="17"/>
          <w:color w:val="auto"/>
        </w:rPr>
        <w:t>In particular, profitability can fluctuate predicated on the type of contract awarded. Typically fixed-price development programs on complex systems represent a higher risk profile to complete on-budget. To the extent our fixed-price development efforts create a larger portion of our revenue output, this may result in reduced operating margins given the higher risk profile. The following represents the impact that changing certain of our estimates, particularly those regarding our fixed-price development programs, would have had have on our revenues: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Impact of Change in Estimates on our Revenue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125095</wp:posOffset>
            </wp:positionV>
            <wp:extent cx="762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 cy="13462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92"/>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6"/>
                <w:szCs w:val="16"/>
                <w:color w:val="auto"/>
              </w:rPr>
            </w:pPr>
          </w:p>
        </w:tc>
      </w:tr>
      <w:tr>
        <w:trPr>
          <w:trHeight w:val="22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9"/>
                <w:szCs w:val="19"/>
                <w:color w:val="auto"/>
              </w:rPr>
            </w:pPr>
          </w:p>
        </w:tc>
      </w:tr>
      <w:tr>
        <w:trPr>
          <w:trHeight w:val="224"/>
        </w:trPr>
        <w:tc>
          <w:tcPr>
            <w:tcW w:w="6100" w:type="dxa"/>
            <w:vAlign w:val="bottom"/>
          </w:tcPr>
          <w:p>
            <w:pPr>
              <w:ind w:left="20"/>
              <w:spacing w:after="0"/>
              <w:rPr>
                <w:sz w:val="20"/>
                <w:szCs w:val="20"/>
                <w:color w:val="auto"/>
              </w:rPr>
            </w:pPr>
            <w:r>
              <w:rPr>
                <w:rFonts w:ascii="Arial" w:cs="Arial" w:eastAsia="Arial" w:hAnsi="Arial"/>
                <w:sz w:val="17"/>
                <w:szCs w:val="17"/>
                <w:color w:val="auto"/>
              </w:rPr>
              <w:t>Total % of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1 %</w:t>
            </w:r>
          </w:p>
        </w:tc>
        <w:tc>
          <w:tcPr>
            <w:tcW w:w="20" w:type="dxa"/>
            <w:vAlign w:val="bottom"/>
          </w:tcPr>
          <w:p>
            <w:pPr>
              <w:spacing w:after="0"/>
              <w:rPr>
                <w:sz w:val="19"/>
                <w:szCs w:val="19"/>
                <w:color w:val="auto"/>
              </w:rPr>
            </w:pPr>
          </w:p>
        </w:tc>
      </w:tr>
    </w:tbl>
    <w:p>
      <w:pPr>
        <w:spacing w:after="0" w:line="173"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Additionally, the timing of our cash flows is impacted by the timing of achievement of billable milestones on contracts. Historically, this has resulted and could continue to result in fluctuations in working capital levels and quarterly free cash flow results. As a result of such quarterly fluctuations in free cash flow results, we believe that quarter-to-quarter comparisons of our results of operations may not necessarily be meaningful and should not be relied upon as indicators of future performance.</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Regulations</w:t>
      </w:r>
    </w:p>
    <w:p>
      <w:pPr>
        <w:spacing w:after="0" w:line="173" w:lineRule="exact"/>
        <w:rPr>
          <w:sz w:val="20"/>
          <w:szCs w:val="20"/>
          <w:color w:val="auto"/>
        </w:rPr>
      </w:pPr>
    </w:p>
    <w:p>
      <w:pPr>
        <w:ind w:right="240" w:firstLine="299"/>
        <w:spacing w:after="0" w:line="245" w:lineRule="auto"/>
        <w:rPr>
          <w:sz w:val="20"/>
          <w:szCs w:val="20"/>
          <w:color w:val="auto"/>
        </w:rPr>
      </w:pPr>
      <w:r>
        <w:rPr>
          <w:rFonts w:ascii="Arial" w:cs="Arial" w:eastAsia="Arial" w:hAnsi="Arial"/>
          <w:sz w:val="17"/>
          <w:szCs w:val="17"/>
          <w:color w:val="auto"/>
        </w:rPr>
        <w:t>Increased audit, review, investigation and general scrutiny by U.S.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DoD and the United States intelligence community, including those related to cybersecurity, could impact our ability to perform in the markets we serve.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International Sales</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International revenue, including foreign military sales, foreign military financing, and direct commercial sales, accounted for approximately 8%, 4% and 6% of our revenue for the years ended December 31, 2020, 2019 and 2018, respectively. Since our focus is primarily with the DoD and our investments are focused as such, we anticipate that international sales will continue to account for a similar percentage of revenue in the future. We remain subject to the spending levels, pace and priorities of the U.S. government as well as international governments and commercial customers, and to general economic conditions that could adversely affect us, our customers and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60"/>
          </w:cols>
          <w:pgMar w:left="320" w:top="1440" w:right="319" w:bottom="1440" w:gutter="0" w:footer="0" w:header="0"/>
        </w:sectPr>
      </w:pPr>
    </w:p>
    <w:bookmarkStart w:id="87" w:name="page88"/>
    <w:bookmarkEnd w:id="87"/>
    <w:p>
      <w:pPr>
        <w:spacing w:after="0" w:line="43" w:lineRule="exact"/>
        <w:rPr>
          <w:sz w:val="20"/>
          <w:szCs w:val="20"/>
          <w:color w:val="auto"/>
        </w:rPr>
      </w:pPr>
    </w:p>
    <w:p>
      <w:pPr>
        <w:ind w:right="140" w:firstLine="299"/>
        <w:spacing w:after="0" w:line="270" w:lineRule="auto"/>
        <w:rPr>
          <w:sz w:val="20"/>
          <w:szCs w:val="20"/>
          <w:color w:val="auto"/>
        </w:rPr>
      </w:pPr>
      <w:r>
        <w:rPr>
          <w:rFonts w:ascii="Arial" w:cs="Arial" w:eastAsia="Arial" w:hAnsi="Arial"/>
          <w:sz w:val="16"/>
          <w:szCs w:val="16"/>
          <w:color w:val="auto"/>
        </w:rPr>
        <w:t>Additionally,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the years ended December 31, 2020, 2019 and 2018.</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Acquisitions</w:t>
      </w:r>
    </w:p>
    <w:p>
      <w:pPr>
        <w:spacing w:after="0" w:line="173" w:lineRule="exact"/>
        <w:rPr>
          <w:sz w:val="20"/>
          <w:szCs w:val="20"/>
          <w:color w:val="auto"/>
        </w:rPr>
      </w:pPr>
    </w:p>
    <w:p>
      <w:pPr>
        <w:ind w:right="40" w:firstLine="299"/>
        <w:spacing w:after="0" w:line="247" w:lineRule="auto"/>
        <w:rPr>
          <w:sz w:val="20"/>
          <w:szCs w:val="20"/>
          <w:color w:val="auto"/>
        </w:rPr>
      </w:pPr>
      <w:r>
        <w:rPr>
          <w:rFonts w:ascii="Arial" w:cs="Arial" w:eastAsia="Arial" w:hAnsi="Arial"/>
          <w:sz w:val="17"/>
          <w:szCs w:val="17"/>
          <w:color w:val="auto"/>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Operations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w:t>
      </w:r>
    </w:p>
    <w:p>
      <w:pPr>
        <w:spacing w:after="0" w:line="173" w:lineRule="exact"/>
        <w:rPr>
          <w:sz w:val="20"/>
          <w:szCs w:val="20"/>
          <w:color w:val="auto"/>
        </w:rPr>
      </w:pPr>
    </w:p>
    <w:p>
      <w:pPr>
        <w:ind w:right="60" w:firstLine="299"/>
        <w:spacing w:after="0" w:line="263" w:lineRule="auto"/>
        <w:rPr>
          <w:sz w:val="20"/>
          <w:szCs w:val="20"/>
          <w:color w:val="auto"/>
        </w:rPr>
      </w:pPr>
      <w:r>
        <w:rPr>
          <w:rFonts w:ascii="Arial" w:cs="Arial" w:eastAsia="Arial" w:hAnsi="Arial"/>
          <w:sz w:val="16"/>
          <w:szCs w:val="16"/>
          <w:color w:val="auto"/>
        </w:rPr>
        <w:t>Revenue consists primarily of product related revenue, generating 87% ,82% and 78% of our total revenues for the periods ended December 31, 2020, 2019 and 2018, respectively. The remaining revenue is generated from service related contracts. Additionally, 87%, 86% and 82% of our revenue generation for December 31, 2020, 2019 and 2018, respectively, is derived from firm-fixed priced contracts. For a firm-fixed price contract, customers agree to pay a fixed amount, negotiated in advance, for a specified scope of work. Revenue on fixed price contracts is generally recognized over time using costs incurred to date relative to total estimated costs at completion to measure progress toward satisfying our performance obligations. Incurred costs represent work performed that corresponds with and thereby best depicts the transfer of control to the customer.</w:t>
      </w:r>
    </w:p>
    <w:p>
      <w:pPr>
        <w:spacing w:after="0" w:line="134"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Under flexibly priced contracts, which consists of 13%,14% and 18% of our total revenues for December 31, 2020, 2019 and 2018, respectively, we are reimbursed for allowable or otherwise defined total costs (defined as cost of revenues plus allowable general and administrative expenses) incurred, plus a fee. The contracts may also include incentives for various performance criteria, including quality, timeliness, cost-effectiveness or other factors. In addition, costs are generally subject to review by clients and regulatory audit agencies, and such reviews could result in costs being disputed as non-reimbursable under the terms of the contract. Revenue for flexibly priced contracts are generally recognized as services are performed and are contractually billable.</w:t>
      </w:r>
    </w:p>
    <w:p>
      <w:pPr>
        <w:spacing w:after="0" w:line="147" w:lineRule="exact"/>
        <w:rPr>
          <w:sz w:val="20"/>
          <w:szCs w:val="20"/>
          <w:color w:val="auto"/>
        </w:rPr>
      </w:pPr>
    </w:p>
    <w:p>
      <w:pPr>
        <w:ind w:right="920" w:firstLine="299"/>
        <w:spacing w:after="0" w:line="250" w:lineRule="auto"/>
        <w:rPr>
          <w:sz w:val="20"/>
          <w:szCs w:val="20"/>
          <w:color w:val="auto"/>
        </w:rPr>
      </w:pPr>
      <w:r>
        <w:rPr>
          <w:rFonts w:ascii="Arial" w:cs="Arial" w:eastAsia="Arial" w:hAnsi="Arial"/>
          <w:sz w:val="17"/>
          <w:szCs w:val="17"/>
          <w:color w:val="auto"/>
        </w:rPr>
        <w:t>Please refer to “—Critical Accounting Policies and Estimates” and “Note 2: Revenue from Contracts with Customers” in the Notes to our Consolidated Financial Statements.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73"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benefits, operating supplies, depreciation and amortization, occupancy costs, and purchasing, receiving, inspection costs and inbound freight costs.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General and administrative expenses include general and administrative expenses not included within cost of revenues such as salaries, wages and fringe benefits, facility costs and other costs related to these indirect functions. Additionally, general and administrative expenses include internal research and development costs as well as expenditures related to bid and proposal efforts. We expect general and administrative expenses will be impacted by the costs associated with being a publicly-traded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160"/>
          </w:cols>
          <w:pgMar w:left="320" w:top="1440" w:right="419" w:bottom="1440" w:gutter="0" w:footer="0" w:header="0"/>
        </w:sectPr>
      </w:pPr>
    </w:p>
    <w:bookmarkStart w:id="88" w:name="page89"/>
    <w:bookmarkEnd w:id="88"/>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from Operations</w:t>
      </w:r>
    </w:p>
    <w:p>
      <w:pPr>
        <w:spacing w:after="0" w:line="173" w:lineRule="exact"/>
        <w:rPr>
          <w:sz w:val="20"/>
          <w:szCs w:val="20"/>
          <w:color w:val="auto"/>
        </w:rPr>
      </w:pPr>
    </w:p>
    <w:p>
      <w:pPr>
        <w:ind w:right="180" w:firstLine="299"/>
        <w:spacing w:after="0" w:line="264" w:lineRule="auto"/>
        <w:rPr>
          <w:sz w:val="20"/>
          <w:szCs w:val="20"/>
          <w:color w:val="auto"/>
        </w:rPr>
      </w:pPr>
      <w:r>
        <w:rPr>
          <w:rFonts w:ascii="Arial" w:cs="Arial" w:eastAsia="Arial" w:hAnsi="Arial"/>
          <w:sz w:val="16"/>
          <w:szCs w:val="16"/>
          <w:color w:val="auto"/>
        </w:rPr>
        <w:t>The following discussion of operating results is intended to help the reader understand the results of operations and financial condition of the Company, as well as individual segments, for the year ended December 31, 2020 as compared to the year ended December 31, 2019, and for the year ended December 31, 2019 compared to December 31, 2018. Given the nature of our business, we believe revenue and earnings from operations are most relevant to an understanding of our performance at a business and segment level. Our operating cycle is lengthy and involves various types of production contracts and varying delivery schedules. Accordingly, operating results in a particular year may not be indicative of future operating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80" w:type="dxa"/>
            <w:vAlign w:val="bottom"/>
            <w:gridSpan w:val="5"/>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4"/>
          </w:tcPr>
          <w:p>
            <w:pPr>
              <w:ind w:left="400"/>
              <w:spacing w:after="0"/>
              <w:rPr>
                <w:sz w:val="20"/>
                <w:szCs w:val="20"/>
                <w:color w:val="auto"/>
              </w:rPr>
            </w:pPr>
            <w:r>
              <w:rPr>
                <w:rFonts w:ascii="Arial" w:cs="Arial" w:eastAsia="Arial" w:hAnsi="Arial"/>
                <w:sz w:val="13"/>
                <w:szCs w:val="13"/>
                <w:b w:val="1"/>
                <w:bCs w:val="1"/>
                <w:color w:val="auto"/>
              </w:rPr>
              <w:t>2020 vs. 2019 Variance</w:t>
            </w:r>
          </w:p>
        </w:tc>
        <w:tc>
          <w:tcPr>
            <w:tcW w:w="2260" w:type="dxa"/>
            <w:vAlign w:val="bottom"/>
            <w:gridSpan w:val="3"/>
          </w:tcPr>
          <w:p>
            <w:pPr>
              <w:jc w:val="right"/>
              <w:ind w:right="318"/>
              <w:spacing w:after="0"/>
              <w:rPr>
                <w:sz w:val="20"/>
                <w:szCs w:val="20"/>
                <w:color w:val="auto"/>
              </w:rPr>
            </w:pPr>
            <w:r>
              <w:rPr>
                <w:rFonts w:ascii="Arial" w:cs="Arial" w:eastAsia="Arial" w:hAnsi="Arial"/>
                <w:sz w:val="13"/>
                <w:szCs w:val="13"/>
                <w:b w:val="1"/>
                <w:bCs w:val="1"/>
                <w:color w:val="auto"/>
              </w:rPr>
              <w:t>2019 vs. 2018 Variance</w:t>
            </w:r>
          </w:p>
        </w:tc>
        <w:tc>
          <w:tcPr>
            <w:tcW w:w="0" w:type="dxa"/>
            <w:vAlign w:val="bottom"/>
          </w:tcPr>
          <w:p>
            <w:pPr>
              <w:spacing w:after="0"/>
              <w:rPr>
                <w:sz w:val="1"/>
                <w:szCs w:val="1"/>
                <w:color w:val="auto"/>
              </w:rPr>
            </w:pPr>
          </w:p>
        </w:tc>
      </w:tr>
      <w:tr>
        <w:trPr>
          <w:trHeight w:val="18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940" w:type="dxa"/>
            <w:vAlign w:val="bottom"/>
            <w:tcBorders>
              <w:bottom w:val="single" w:sz="8" w:color="auto"/>
            </w:tcBorders>
          </w:tcPr>
          <w:p>
            <w:pPr>
              <w:jc w:val="center"/>
              <w:ind w:left="118"/>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1"/>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940" w:type="dxa"/>
            <w:vAlign w:val="bottom"/>
            <w:tcBorders>
              <w:bottom w:val="single" w:sz="8" w:color="CCEEFF"/>
            </w:tcBorders>
            <w:shd w:val="clear" w:color="auto" w:fill="CCEEFF"/>
          </w:tcPr>
          <w:p>
            <w:pPr>
              <w:jc w:val="center"/>
              <w:ind w:left="118"/>
              <w:spacing w:after="0"/>
              <w:rPr>
                <w:sz w:val="20"/>
                <w:szCs w:val="20"/>
                <w:color w:val="auto"/>
              </w:rPr>
            </w:pPr>
            <w:r>
              <w:rPr>
                <w:rFonts w:ascii="Arial" w:cs="Arial" w:eastAsia="Arial" w:hAnsi="Arial"/>
                <w:sz w:val="17"/>
                <w:szCs w:val="17"/>
                <w:color w:val="auto"/>
                <w:w w:val="96"/>
              </w:rPr>
              <w:t>$2,778</w:t>
            </w:r>
          </w:p>
        </w:tc>
        <w:tc>
          <w:tcPr>
            <w:tcW w:w="1440" w:type="dxa"/>
            <w:vAlign w:val="bottom"/>
            <w:tcBorders>
              <w:bottom w:val="single" w:sz="8" w:color="CCEEFF"/>
            </w:tcBorders>
            <w:gridSpan w:val="3"/>
            <w:shd w:val="clear" w:color="auto" w:fill="CCEEFF"/>
          </w:tcPr>
          <w:p>
            <w:pPr>
              <w:jc w:val="center"/>
              <w:ind w:left="218"/>
              <w:spacing w:after="0"/>
              <w:rPr>
                <w:sz w:val="20"/>
                <w:szCs w:val="20"/>
                <w:color w:val="auto"/>
              </w:rPr>
            </w:pPr>
            <w:r>
              <w:rPr>
                <w:rFonts w:ascii="Arial" w:cs="Arial" w:eastAsia="Arial" w:hAnsi="Arial"/>
                <w:sz w:val="17"/>
                <w:szCs w:val="17"/>
                <w:color w:val="auto"/>
                <w:w w:val="96"/>
              </w:rPr>
              <w:t>$2,714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ind w:right="158"/>
              <w:spacing w:after="0"/>
              <w:rPr>
                <w:sz w:val="20"/>
                <w:szCs w:val="20"/>
                <w:color w:val="auto"/>
              </w:rPr>
            </w:pPr>
            <w:r>
              <w:rPr>
                <w:rFonts w:ascii="Arial" w:cs="Arial" w:eastAsia="Arial" w:hAnsi="Arial"/>
                <w:sz w:val="17"/>
                <w:szCs w:val="17"/>
                <w:color w:val="auto"/>
                <w:w w:val="99"/>
              </w:rPr>
              <w:t>$2,333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2.4%</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$381</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16.3%</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7"/>
                <w:szCs w:val="17"/>
                <w:color w:val="auto"/>
              </w:rPr>
              <w:t>Total cost of revenues</w:t>
            </w:r>
          </w:p>
        </w:tc>
        <w:tc>
          <w:tcPr>
            <w:tcW w:w="940" w:type="dxa"/>
            <w:vAlign w:val="bottom"/>
          </w:tcPr>
          <w:p>
            <w:pPr>
              <w:jc w:val="center"/>
              <w:ind w:left="138"/>
              <w:spacing w:after="0"/>
              <w:rPr>
                <w:sz w:val="20"/>
                <w:szCs w:val="20"/>
                <w:color w:val="auto"/>
              </w:rPr>
            </w:pPr>
            <w:r>
              <w:rPr>
                <w:rFonts w:ascii="Arial" w:cs="Arial" w:eastAsia="Arial" w:hAnsi="Arial"/>
                <w:sz w:val="17"/>
                <w:szCs w:val="17"/>
                <w:color w:val="auto"/>
                <w:w w:val="96"/>
              </w:rPr>
              <w:t>(2,284)</w:t>
            </w:r>
          </w:p>
        </w:tc>
        <w:tc>
          <w:tcPr>
            <w:tcW w:w="1440" w:type="dxa"/>
            <w:vAlign w:val="bottom"/>
            <w:gridSpan w:val="3"/>
          </w:tcPr>
          <w:p>
            <w:pPr>
              <w:jc w:val="center"/>
              <w:ind w:left="198"/>
              <w:spacing w:after="0"/>
              <w:rPr>
                <w:sz w:val="20"/>
                <w:szCs w:val="20"/>
                <w:color w:val="auto"/>
              </w:rPr>
            </w:pPr>
            <w:r>
              <w:rPr>
                <w:rFonts w:ascii="Arial" w:cs="Arial" w:eastAsia="Arial" w:hAnsi="Arial"/>
                <w:sz w:val="17"/>
                <w:szCs w:val="17"/>
                <w:color w:val="auto"/>
                <w:w w:val="96"/>
              </w:rPr>
              <w:t>(2,255)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right="158"/>
              <w:spacing w:after="0"/>
              <w:rPr>
                <w:sz w:val="20"/>
                <w:szCs w:val="20"/>
                <w:color w:val="auto"/>
              </w:rPr>
            </w:pPr>
            <w:r>
              <w:rPr>
                <w:rFonts w:ascii="Arial" w:cs="Arial" w:eastAsia="Arial" w:hAnsi="Arial"/>
                <w:sz w:val="17"/>
                <w:szCs w:val="17"/>
                <w:color w:val="auto"/>
                <w:w w:val="96"/>
              </w:rPr>
              <w:t>(1,919)</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9"/>
              </w:rPr>
              <w:t>(29)</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1.3%</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(336)</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17.5%</w:t>
            </w:r>
          </w:p>
        </w:tc>
        <w:tc>
          <w:tcPr>
            <w:tcW w:w="0" w:type="dxa"/>
            <w:vAlign w:val="bottom"/>
          </w:tcPr>
          <w:p>
            <w:pPr>
              <w:spacing w:after="0"/>
              <w:rPr>
                <w:sz w:val="1"/>
                <w:szCs w:val="1"/>
                <w:color w:val="auto"/>
              </w:rPr>
            </w:pPr>
          </w:p>
        </w:tc>
      </w:tr>
      <w:tr>
        <w:trPr>
          <w:trHeight w:val="25"/>
        </w:trPr>
        <w:tc>
          <w:tcPr>
            <w:tcW w:w="2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940" w:type="dxa"/>
            <w:vAlign w:val="bottom"/>
            <w:tcBorders>
              <w:bottom w:val="single" w:sz="8" w:color="CCEEFF"/>
            </w:tcBorders>
            <w:shd w:val="clear" w:color="auto" w:fill="CCEEFF"/>
          </w:tcPr>
          <w:p>
            <w:pPr>
              <w:jc w:val="center"/>
              <w:ind w:left="118"/>
              <w:spacing w:after="0"/>
              <w:rPr>
                <w:sz w:val="20"/>
                <w:szCs w:val="20"/>
                <w:color w:val="auto"/>
              </w:rPr>
            </w:pPr>
            <w:r>
              <w:rPr>
                <w:rFonts w:ascii="Arial" w:cs="Arial" w:eastAsia="Arial" w:hAnsi="Arial"/>
                <w:sz w:val="17"/>
                <w:szCs w:val="17"/>
                <w:color w:val="auto"/>
              </w:rPr>
              <w:t>$494</w:t>
            </w:r>
          </w:p>
        </w:tc>
        <w:tc>
          <w:tcPr>
            <w:tcW w:w="1440" w:type="dxa"/>
            <w:vAlign w:val="bottom"/>
            <w:tcBorders>
              <w:bottom w:val="single" w:sz="8" w:color="CCEEFF"/>
            </w:tcBorders>
            <w:gridSpan w:val="3"/>
            <w:shd w:val="clear" w:color="auto" w:fill="CCEEFF"/>
          </w:tcPr>
          <w:p>
            <w:pPr>
              <w:jc w:val="center"/>
              <w:ind w:left="198"/>
              <w:spacing w:after="0"/>
              <w:rPr>
                <w:sz w:val="20"/>
                <w:szCs w:val="20"/>
                <w:color w:val="auto"/>
              </w:rPr>
            </w:pPr>
            <w:r>
              <w:rPr>
                <w:rFonts w:ascii="Arial" w:cs="Arial" w:eastAsia="Arial" w:hAnsi="Arial"/>
                <w:sz w:val="17"/>
                <w:szCs w:val="17"/>
                <w:color w:val="auto"/>
                <w:w w:val="95"/>
              </w:rPr>
              <w:t>$459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ind w:right="158"/>
              <w:spacing w:after="0"/>
              <w:rPr>
                <w:sz w:val="20"/>
                <w:szCs w:val="20"/>
                <w:color w:val="auto"/>
              </w:rPr>
            </w:pPr>
            <w:r>
              <w:rPr>
                <w:rFonts w:ascii="Arial" w:cs="Arial" w:eastAsia="Arial" w:hAnsi="Arial"/>
                <w:sz w:val="17"/>
                <w:szCs w:val="17"/>
                <w:color w:val="auto"/>
                <w:w w:val="95"/>
              </w:rPr>
              <w:t>$414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7.6%</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$45</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10.9%</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940" w:type="dxa"/>
            <w:vAlign w:val="bottom"/>
          </w:tcPr>
          <w:p>
            <w:pPr>
              <w:jc w:val="center"/>
              <w:ind w:left="118"/>
              <w:spacing w:after="0"/>
              <w:rPr>
                <w:sz w:val="20"/>
                <w:szCs w:val="20"/>
                <w:color w:val="auto"/>
              </w:rPr>
            </w:pPr>
            <w:r>
              <w:rPr>
                <w:rFonts w:ascii="Arial" w:cs="Arial" w:eastAsia="Arial" w:hAnsi="Arial"/>
                <w:sz w:val="17"/>
                <w:szCs w:val="17"/>
                <w:color w:val="auto"/>
                <w:w w:val="95"/>
              </w:rPr>
              <w:t>17.8%</w:t>
            </w:r>
          </w:p>
        </w:tc>
        <w:tc>
          <w:tcPr>
            <w:tcW w:w="1440" w:type="dxa"/>
            <w:vAlign w:val="bottom"/>
            <w:gridSpan w:val="3"/>
          </w:tcPr>
          <w:p>
            <w:pPr>
              <w:jc w:val="center"/>
              <w:ind w:left="218"/>
              <w:spacing w:after="0"/>
              <w:rPr>
                <w:sz w:val="20"/>
                <w:szCs w:val="20"/>
                <w:color w:val="auto"/>
              </w:rPr>
            </w:pPr>
            <w:r>
              <w:rPr>
                <w:rFonts w:ascii="Arial" w:cs="Arial" w:eastAsia="Arial" w:hAnsi="Arial"/>
                <w:sz w:val="17"/>
                <w:szCs w:val="17"/>
                <w:color w:val="auto"/>
                <w:w w:val="95"/>
              </w:rPr>
              <w:t>16.9%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right="158"/>
              <w:spacing w:after="0"/>
              <w:rPr>
                <w:sz w:val="20"/>
                <w:szCs w:val="20"/>
                <w:color w:val="auto"/>
              </w:rPr>
            </w:pPr>
            <w:r>
              <w:rPr>
                <w:rFonts w:ascii="Arial" w:cs="Arial" w:eastAsia="Arial" w:hAnsi="Arial"/>
                <w:sz w:val="17"/>
                <w:szCs w:val="17"/>
                <w:color w:val="auto"/>
                <w:w w:val="99"/>
              </w:rPr>
              <w:t>17.7%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7"/>
              </w:rPr>
              <w:t>0.9%</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5.1%</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(0.8)%</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(4.7)%</w:t>
            </w: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940" w:type="dxa"/>
            <w:vAlign w:val="bottom"/>
            <w:tcBorders>
              <w:bottom w:val="single" w:sz="8" w:color="CCEEFF"/>
            </w:tcBorders>
            <w:shd w:val="clear" w:color="auto" w:fill="CCEEFF"/>
          </w:tcPr>
          <w:p>
            <w:pPr>
              <w:jc w:val="center"/>
              <w:ind w:left="118"/>
              <w:spacing w:after="0"/>
              <w:rPr>
                <w:sz w:val="20"/>
                <w:szCs w:val="20"/>
                <w:color w:val="auto"/>
              </w:rPr>
            </w:pPr>
            <w:r>
              <w:rPr>
                <w:rFonts w:ascii="Arial" w:cs="Arial" w:eastAsia="Arial" w:hAnsi="Arial"/>
                <w:sz w:val="17"/>
                <w:szCs w:val="17"/>
                <w:color w:val="auto"/>
                <w:w w:val="95"/>
              </w:rPr>
              <w:t>(283)</w:t>
            </w:r>
          </w:p>
        </w:tc>
        <w:tc>
          <w:tcPr>
            <w:tcW w:w="1440" w:type="dxa"/>
            <w:vAlign w:val="bottom"/>
            <w:tcBorders>
              <w:bottom w:val="single" w:sz="8" w:color="CCEEFF"/>
            </w:tcBorders>
            <w:gridSpan w:val="3"/>
            <w:shd w:val="clear" w:color="auto" w:fill="CCEEFF"/>
          </w:tcPr>
          <w:p>
            <w:pPr>
              <w:jc w:val="center"/>
              <w:ind w:left="218"/>
              <w:spacing w:after="0"/>
              <w:rPr>
                <w:sz w:val="20"/>
                <w:szCs w:val="20"/>
                <w:color w:val="auto"/>
              </w:rPr>
            </w:pPr>
            <w:r>
              <w:rPr>
                <w:rFonts w:ascii="Arial" w:cs="Arial" w:eastAsia="Arial" w:hAnsi="Arial"/>
                <w:sz w:val="17"/>
                <w:szCs w:val="17"/>
                <w:color w:val="auto"/>
                <w:w w:val="95"/>
              </w:rPr>
              <w:t>(277)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ind w:right="158"/>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(6)</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2.2%</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3.4%</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7"/>
                <w:szCs w:val="17"/>
                <w:color w:val="auto"/>
              </w:rPr>
              <w:t>Amortization of intangibles</w:t>
            </w:r>
          </w:p>
        </w:tc>
        <w:tc>
          <w:tcPr>
            <w:tcW w:w="940" w:type="dxa"/>
            <w:vAlign w:val="bottom"/>
          </w:tcPr>
          <w:p>
            <w:pPr>
              <w:jc w:val="center"/>
              <w:ind w:left="138"/>
              <w:spacing w:after="0"/>
              <w:rPr>
                <w:sz w:val="20"/>
                <w:szCs w:val="20"/>
                <w:color w:val="auto"/>
              </w:rPr>
            </w:pPr>
            <w:r>
              <w:rPr>
                <w:rFonts w:ascii="Arial" w:cs="Arial" w:eastAsia="Arial" w:hAnsi="Arial"/>
                <w:sz w:val="17"/>
                <w:szCs w:val="17"/>
                <w:color w:val="auto"/>
                <w:w w:val="96"/>
              </w:rPr>
              <w:t>(9)</w:t>
            </w:r>
          </w:p>
        </w:tc>
        <w:tc>
          <w:tcPr>
            <w:tcW w:w="1440" w:type="dxa"/>
            <w:vAlign w:val="bottom"/>
            <w:gridSpan w:val="3"/>
          </w:tcPr>
          <w:p>
            <w:pPr>
              <w:jc w:val="center"/>
              <w:ind w:left="198"/>
              <w:spacing w:after="0"/>
              <w:rPr>
                <w:sz w:val="20"/>
                <w:szCs w:val="20"/>
                <w:color w:val="auto"/>
              </w:rPr>
            </w:pPr>
            <w:r>
              <w:rPr>
                <w:rFonts w:ascii="Arial" w:cs="Arial" w:eastAsia="Arial" w:hAnsi="Arial"/>
                <w:sz w:val="17"/>
                <w:szCs w:val="17"/>
                <w:color w:val="auto"/>
                <w:w w:val="96"/>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right="158"/>
              <w:spacing w:after="0"/>
              <w:rPr>
                <w:sz w:val="20"/>
                <w:szCs w:val="20"/>
                <w:color w:val="auto"/>
              </w:rPr>
            </w:pPr>
            <w:r>
              <w:rPr>
                <w:rFonts w:ascii="Arial" w:cs="Arial" w:eastAsia="Arial" w:hAnsi="Arial"/>
                <w:sz w:val="17"/>
                <w:szCs w:val="17"/>
                <w:color w:val="auto"/>
                <w:w w:val="92"/>
              </w:rPr>
              <w:t>(93)</w:t>
            </w:r>
          </w:p>
        </w:tc>
        <w:tc>
          <w:tcPr>
            <w:tcW w:w="10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w:t>
            </w:r>
          </w:p>
        </w:tc>
        <w:tc>
          <w:tcPr>
            <w:tcW w:w="1080" w:type="dxa"/>
            <w:vAlign w:val="bottom"/>
          </w:tcPr>
          <w:p>
            <w:pPr>
              <w:jc w:val="center"/>
              <w:spacing w:after="0"/>
              <w:rPr>
                <w:sz w:val="20"/>
                <w:szCs w:val="20"/>
                <w:color w:val="auto"/>
              </w:rPr>
            </w:pPr>
            <w:r>
              <w:rPr>
                <w:rFonts w:ascii="Arial" w:cs="Arial" w:eastAsia="Arial" w:hAnsi="Arial"/>
                <w:sz w:val="17"/>
                <w:szCs w:val="17"/>
                <w:color w:val="auto"/>
                <w:w w:val="94"/>
              </w:rPr>
              <w:t>84</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(90.3)%</w:t>
            </w: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operating expenses, net</w:t>
            </w:r>
          </w:p>
        </w:tc>
        <w:tc>
          <w:tcPr>
            <w:tcW w:w="940" w:type="dxa"/>
            <w:vAlign w:val="bottom"/>
            <w:tcBorders>
              <w:bottom w:val="single" w:sz="8" w:color="CCEEFF"/>
            </w:tcBorders>
            <w:shd w:val="clear" w:color="auto" w:fill="CCEEFF"/>
          </w:tcPr>
          <w:p>
            <w:pPr>
              <w:jc w:val="center"/>
              <w:ind w:left="118"/>
              <w:spacing w:after="0"/>
              <w:rPr>
                <w:sz w:val="20"/>
                <w:szCs w:val="20"/>
                <w:color w:val="auto"/>
              </w:rPr>
            </w:pPr>
            <w:r>
              <w:rPr>
                <w:rFonts w:ascii="Arial" w:cs="Arial" w:eastAsia="Arial" w:hAnsi="Arial"/>
                <w:sz w:val="17"/>
                <w:szCs w:val="17"/>
                <w:color w:val="auto"/>
                <w:w w:val="99"/>
              </w:rPr>
              <w:t>(21)</w:t>
            </w:r>
          </w:p>
        </w:tc>
        <w:tc>
          <w:tcPr>
            <w:tcW w:w="1440" w:type="dxa"/>
            <w:vAlign w:val="bottom"/>
            <w:tcBorders>
              <w:bottom w:val="single" w:sz="8" w:color="CCEEFF"/>
            </w:tcBorders>
            <w:gridSpan w:val="3"/>
            <w:shd w:val="clear" w:color="auto" w:fill="CCEEFF"/>
          </w:tcPr>
          <w:p>
            <w:pPr>
              <w:jc w:val="center"/>
              <w:ind w:left="218"/>
              <w:spacing w:after="0"/>
              <w:rPr>
                <w:sz w:val="20"/>
                <w:szCs w:val="20"/>
                <w:color w:val="auto"/>
              </w:rPr>
            </w:pPr>
            <w:r>
              <w:rPr>
                <w:rFonts w:ascii="Arial" w:cs="Arial" w:eastAsia="Arial" w:hAnsi="Arial"/>
                <w:sz w:val="17"/>
                <w:szCs w:val="17"/>
                <w:color w:val="auto"/>
                <w:w w:val="99"/>
              </w:rPr>
              <w:t>(10)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158"/>
              <w:spacing w:after="0"/>
              <w:rPr>
                <w:sz w:val="20"/>
                <w:szCs w:val="20"/>
                <w:color w:val="auto"/>
              </w:rPr>
            </w:pPr>
            <w:r>
              <w:rPr>
                <w:rFonts w:ascii="Arial" w:cs="Arial" w:eastAsia="Arial" w:hAnsi="Arial"/>
                <w:sz w:val="17"/>
                <w:szCs w:val="17"/>
                <w:color w:val="auto"/>
                <w:w w:val="96"/>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110.0%</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25.0%</w:t>
            </w:r>
          </w:p>
        </w:tc>
        <w:tc>
          <w:tcPr>
            <w:tcW w:w="0" w:type="dxa"/>
            <w:vAlign w:val="bottom"/>
          </w:tcPr>
          <w:p>
            <w:pPr>
              <w:spacing w:after="0"/>
              <w:rPr>
                <w:sz w:val="1"/>
                <w:szCs w:val="1"/>
                <w:color w:val="auto"/>
              </w:rPr>
            </w:pPr>
          </w:p>
        </w:tc>
      </w:tr>
      <w:tr>
        <w:trPr>
          <w:trHeight w:val="217"/>
        </w:trPr>
        <w:tc>
          <w:tcPr>
            <w:tcW w:w="2960" w:type="dxa"/>
            <w:vAlign w:val="bottom"/>
          </w:tcPr>
          <w:p>
            <w:pPr>
              <w:ind w:left="20"/>
              <w:spacing w:after="0"/>
              <w:rPr>
                <w:sz w:val="20"/>
                <w:szCs w:val="20"/>
                <w:color w:val="auto"/>
              </w:rPr>
            </w:pPr>
            <w:r>
              <w:rPr>
                <w:rFonts w:ascii="Arial" w:cs="Arial" w:eastAsia="Arial" w:hAnsi="Arial"/>
                <w:sz w:val="17"/>
                <w:szCs w:val="17"/>
                <w:color w:val="auto"/>
              </w:rPr>
              <w:t>Operating earnings</w:t>
            </w:r>
          </w:p>
        </w:tc>
        <w:tc>
          <w:tcPr>
            <w:tcW w:w="940" w:type="dxa"/>
            <w:vAlign w:val="bottom"/>
            <w:tcBorders>
              <w:top w:val="single" w:sz="8" w:color="auto"/>
            </w:tcBorders>
          </w:tcPr>
          <w:p>
            <w:pPr>
              <w:jc w:val="center"/>
              <w:ind w:left="118"/>
              <w:spacing w:after="0"/>
              <w:rPr>
                <w:sz w:val="20"/>
                <w:szCs w:val="20"/>
                <w:color w:val="auto"/>
              </w:rPr>
            </w:pPr>
            <w:r>
              <w:rPr>
                <w:rFonts w:ascii="Arial" w:cs="Arial" w:eastAsia="Arial" w:hAnsi="Arial"/>
                <w:sz w:val="17"/>
                <w:szCs w:val="17"/>
                <w:color w:val="auto"/>
              </w:rPr>
              <w:t>$181</w:t>
            </w: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$163</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158"/>
              <w:spacing w:after="0"/>
              <w:rPr>
                <w:sz w:val="20"/>
                <w:szCs w:val="20"/>
                <w:color w:val="auto"/>
              </w:rPr>
            </w:pPr>
            <w:r>
              <w:rPr>
                <w:rFonts w:ascii="Arial" w:cs="Arial" w:eastAsia="Arial" w:hAnsi="Arial"/>
                <w:sz w:val="17"/>
                <w:szCs w:val="17"/>
                <w:color w:val="auto"/>
                <w:w w:val="98"/>
              </w:rPr>
              <w:t>$45</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18</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11.0%</w:t>
            </w:r>
          </w:p>
        </w:tc>
        <w:tc>
          <w:tcPr>
            <w:tcW w:w="8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$118</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7"/>
              </w:rPr>
              <w:t>262.2%</w:t>
            </w: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940" w:type="dxa"/>
            <w:vAlign w:val="bottom"/>
            <w:tcBorders>
              <w:bottom w:val="single" w:sz="8" w:color="CCEEFF"/>
            </w:tcBorders>
            <w:shd w:val="clear" w:color="auto" w:fill="CCEEFF"/>
          </w:tcPr>
          <w:p>
            <w:pPr>
              <w:jc w:val="center"/>
              <w:ind w:left="118"/>
              <w:spacing w:after="0"/>
              <w:rPr>
                <w:sz w:val="20"/>
                <w:szCs w:val="20"/>
                <w:color w:val="auto"/>
              </w:rPr>
            </w:pPr>
            <w:r>
              <w:rPr>
                <w:rFonts w:ascii="Arial" w:cs="Arial" w:eastAsia="Arial" w:hAnsi="Arial"/>
                <w:sz w:val="17"/>
                <w:szCs w:val="17"/>
                <w:color w:val="auto"/>
                <w:w w:val="99"/>
              </w:rPr>
              <w:t>(64)</w:t>
            </w:r>
          </w:p>
        </w:tc>
        <w:tc>
          <w:tcPr>
            <w:tcW w:w="1440" w:type="dxa"/>
            <w:vAlign w:val="bottom"/>
            <w:tcBorders>
              <w:bottom w:val="single" w:sz="8" w:color="CCEEFF"/>
            </w:tcBorders>
            <w:gridSpan w:val="3"/>
            <w:shd w:val="clear" w:color="auto" w:fill="CCEEFF"/>
          </w:tcPr>
          <w:p>
            <w:pPr>
              <w:jc w:val="center"/>
              <w:ind w:left="218"/>
              <w:spacing w:after="0"/>
              <w:rPr>
                <w:sz w:val="20"/>
                <w:szCs w:val="20"/>
                <w:color w:val="auto"/>
              </w:rPr>
            </w:pPr>
            <w:r>
              <w:rPr>
                <w:rFonts w:ascii="Arial" w:cs="Arial" w:eastAsia="Arial" w:hAnsi="Arial"/>
                <w:sz w:val="17"/>
                <w:szCs w:val="17"/>
                <w:color w:val="auto"/>
                <w:w w:val="99"/>
              </w:rPr>
              <w:t>(65)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ind w:right="158"/>
              <w:spacing w:after="0"/>
              <w:rPr>
                <w:sz w:val="20"/>
                <w:szCs w:val="20"/>
                <w:color w:val="auto"/>
              </w:rPr>
            </w:pPr>
            <w:r>
              <w:rPr>
                <w:rFonts w:ascii="Arial" w:cs="Arial" w:eastAsia="Arial" w:hAnsi="Arial"/>
                <w:sz w:val="17"/>
                <w:szCs w:val="17"/>
                <w:color w:val="auto"/>
                <w:w w:val="92"/>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(1.5)%</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(7)</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12.1%</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7"/>
                <w:szCs w:val="17"/>
                <w:color w:val="auto"/>
              </w:rPr>
              <w:t>Other, net</w:t>
            </w:r>
          </w:p>
        </w:tc>
        <w:tc>
          <w:tcPr>
            <w:tcW w:w="940" w:type="dxa"/>
            <w:vAlign w:val="bottom"/>
          </w:tcPr>
          <w:p>
            <w:pPr>
              <w:jc w:val="center"/>
              <w:ind w:left="138"/>
              <w:spacing w:after="0"/>
              <w:rPr>
                <w:sz w:val="20"/>
                <w:szCs w:val="20"/>
                <w:color w:val="auto"/>
              </w:rPr>
            </w:pPr>
            <w:r>
              <w:rPr>
                <w:rFonts w:ascii="Arial" w:cs="Arial" w:eastAsia="Arial" w:hAnsi="Arial"/>
                <w:sz w:val="17"/>
                <w:szCs w:val="17"/>
                <w:color w:val="auto"/>
                <w:w w:val="96"/>
              </w:rPr>
              <w:t>(5)</w:t>
            </w:r>
          </w:p>
        </w:tc>
        <w:tc>
          <w:tcPr>
            <w:tcW w:w="1440" w:type="dxa"/>
            <w:vAlign w:val="bottom"/>
            <w:gridSpan w:val="3"/>
          </w:tcPr>
          <w:p>
            <w:pPr>
              <w:jc w:val="center"/>
              <w:ind w:left="198"/>
              <w:spacing w:after="0"/>
              <w:rPr>
                <w:sz w:val="20"/>
                <w:szCs w:val="20"/>
                <w:color w:val="auto"/>
              </w:rPr>
            </w:pPr>
            <w:r>
              <w:rPr>
                <w:rFonts w:ascii="Arial" w:cs="Arial" w:eastAsia="Arial" w:hAnsi="Arial"/>
                <w:sz w:val="17"/>
                <w:szCs w:val="17"/>
                <w:color w:val="auto"/>
                <w:w w:val="96"/>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right="158"/>
              <w:spacing w:after="0"/>
              <w:rPr>
                <w:sz w:val="20"/>
                <w:szCs w:val="20"/>
                <w:color w:val="auto"/>
              </w:rPr>
            </w:pPr>
            <w:r>
              <w:rPr>
                <w:rFonts w:ascii="Arial" w:cs="Arial" w:eastAsia="Arial" w:hAnsi="Arial"/>
                <w:sz w:val="17"/>
                <w:szCs w:val="17"/>
                <w:color w:val="auto"/>
                <w:w w:val="96"/>
              </w:rPr>
              <w:t>(4)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6"/>
              </w:rPr>
              <w:t>(2)</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66.7%</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(25.0)%</w:t>
            </w:r>
          </w:p>
        </w:tc>
        <w:tc>
          <w:tcPr>
            <w:tcW w:w="0" w:type="dxa"/>
            <w:vAlign w:val="bottom"/>
          </w:tcPr>
          <w:p>
            <w:pPr>
              <w:spacing w:after="0"/>
              <w:rPr>
                <w:sz w:val="1"/>
                <w:szCs w:val="1"/>
                <w:color w:val="auto"/>
              </w:rPr>
            </w:pPr>
          </w:p>
        </w:tc>
      </w:tr>
      <w:tr>
        <w:trPr>
          <w:trHeight w:val="25"/>
        </w:trPr>
        <w:tc>
          <w:tcPr>
            <w:tcW w:w="2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(loss) before taxes</w:t>
            </w:r>
          </w:p>
        </w:tc>
        <w:tc>
          <w:tcPr>
            <w:tcW w:w="940" w:type="dxa"/>
            <w:vAlign w:val="bottom"/>
            <w:tcBorders>
              <w:bottom w:val="single" w:sz="8" w:color="CCEEFF"/>
            </w:tcBorders>
            <w:shd w:val="clear" w:color="auto" w:fill="CCEEFF"/>
          </w:tcPr>
          <w:p>
            <w:pPr>
              <w:jc w:val="center"/>
              <w:ind w:left="118"/>
              <w:spacing w:after="0"/>
              <w:rPr>
                <w:sz w:val="20"/>
                <w:szCs w:val="20"/>
                <w:color w:val="auto"/>
              </w:rPr>
            </w:pPr>
            <w:r>
              <w:rPr>
                <w:rFonts w:ascii="Arial" w:cs="Arial" w:eastAsia="Arial" w:hAnsi="Arial"/>
                <w:sz w:val="17"/>
                <w:szCs w:val="17"/>
                <w:color w:val="auto"/>
              </w:rPr>
              <w:t>$112</w:t>
            </w:r>
          </w:p>
        </w:tc>
        <w:tc>
          <w:tcPr>
            <w:tcW w:w="1440" w:type="dxa"/>
            <w:vAlign w:val="bottom"/>
            <w:tcBorders>
              <w:bottom w:val="single" w:sz="8" w:color="CCEEFF"/>
            </w:tcBorders>
            <w:gridSpan w:val="3"/>
            <w:shd w:val="clear" w:color="auto" w:fill="CCEEFF"/>
          </w:tcPr>
          <w:p>
            <w:pPr>
              <w:jc w:val="center"/>
              <w:ind w:left="198"/>
              <w:spacing w:after="0"/>
              <w:rPr>
                <w:sz w:val="20"/>
                <w:szCs w:val="20"/>
                <w:color w:val="auto"/>
              </w:rPr>
            </w:pPr>
            <w:r>
              <w:rPr>
                <w:rFonts w:ascii="Arial" w:cs="Arial" w:eastAsia="Arial" w:hAnsi="Arial"/>
                <w:sz w:val="17"/>
                <w:szCs w:val="17"/>
                <w:color w:val="auto"/>
                <w:w w:val="98"/>
              </w:rPr>
              <w:t>$95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ind w:right="158"/>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17.9%</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18"/>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7"/>
                <w:szCs w:val="17"/>
                <w:color w:val="auto"/>
              </w:rPr>
              <w:t>Income tax provision (benefit)</w:t>
            </w:r>
          </w:p>
        </w:tc>
        <w:tc>
          <w:tcPr>
            <w:tcW w:w="940" w:type="dxa"/>
            <w:vAlign w:val="bottom"/>
          </w:tcPr>
          <w:p>
            <w:pPr>
              <w:jc w:val="center"/>
              <w:ind w:left="118"/>
              <w:spacing w:after="0"/>
              <w:rPr>
                <w:sz w:val="20"/>
                <w:szCs w:val="20"/>
                <w:color w:val="auto"/>
              </w:rPr>
            </w:pPr>
            <w:r>
              <w:rPr>
                <w:rFonts w:ascii="Arial" w:cs="Arial" w:eastAsia="Arial" w:hAnsi="Arial"/>
                <w:sz w:val="17"/>
                <w:szCs w:val="17"/>
                <w:color w:val="auto"/>
                <w:w w:val="94"/>
              </w:rPr>
              <w:t>27</w:t>
            </w:r>
          </w:p>
        </w:tc>
        <w:tc>
          <w:tcPr>
            <w:tcW w:w="1440" w:type="dxa"/>
            <w:vAlign w:val="bottom"/>
            <w:gridSpan w:val="3"/>
          </w:tcPr>
          <w:p>
            <w:pPr>
              <w:jc w:val="center"/>
              <w:ind w:left="218"/>
              <w:spacing w:after="0"/>
              <w:rPr>
                <w:sz w:val="20"/>
                <w:szCs w:val="20"/>
                <w:color w:val="auto"/>
              </w:rPr>
            </w:pPr>
            <w:r>
              <w:rPr>
                <w:rFonts w:ascii="Arial" w:cs="Arial" w:eastAsia="Arial" w:hAnsi="Arial"/>
                <w:sz w:val="17"/>
                <w:szCs w:val="17"/>
                <w:color w:val="auto"/>
                <w:w w:val="94"/>
              </w:rPr>
              <w:t>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right="158"/>
              <w:spacing w:after="0"/>
              <w:rPr>
                <w:sz w:val="20"/>
                <w:szCs w:val="20"/>
                <w:color w:val="auto"/>
              </w:rPr>
            </w:pPr>
            <w:r>
              <w:rPr>
                <w:rFonts w:ascii="Arial" w:cs="Arial" w:eastAsia="Arial" w:hAnsi="Arial"/>
                <w:sz w:val="17"/>
                <w:szCs w:val="17"/>
                <w:color w:val="auto"/>
                <w:w w:val="96"/>
              </w:rPr>
              <w:t>(7)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35.0%</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4"/>
              </w:rPr>
              <w:t>27</w:t>
            </w:r>
          </w:p>
        </w:tc>
        <w:tc>
          <w:tcPr>
            <w:tcW w:w="100" w:type="dxa"/>
            <w:vAlign w:val="bottom"/>
          </w:tcPr>
          <w:p>
            <w:pPr>
              <w:spacing w:after="0"/>
              <w:rPr>
                <w:sz w:val="19"/>
                <w:szCs w:val="19"/>
                <w:color w:val="auto"/>
              </w:rPr>
            </w:pPr>
          </w:p>
        </w:tc>
        <w:tc>
          <w:tcPr>
            <w:tcW w:w="1080" w:type="dxa"/>
            <w:vAlign w:val="bottom"/>
          </w:tcPr>
          <w:p>
            <w:pPr>
              <w:jc w:val="right"/>
              <w:ind w:right="318"/>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5"/>
        </w:trPr>
        <w:tc>
          <w:tcPr>
            <w:tcW w:w="2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(loss)</w:t>
            </w:r>
          </w:p>
        </w:tc>
        <w:tc>
          <w:tcPr>
            <w:tcW w:w="940" w:type="dxa"/>
            <w:vAlign w:val="bottom"/>
            <w:shd w:val="clear" w:color="auto" w:fill="CCEEFF"/>
          </w:tcPr>
          <w:p>
            <w:pPr>
              <w:jc w:val="center"/>
              <w:ind w:left="138"/>
              <w:spacing w:after="0"/>
              <w:rPr>
                <w:sz w:val="20"/>
                <w:szCs w:val="20"/>
                <w:color w:val="auto"/>
              </w:rPr>
            </w:pPr>
            <w:r>
              <w:rPr>
                <w:rFonts w:ascii="Arial" w:cs="Arial" w:eastAsia="Arial" w:hAnsi="Arial"/>
                <w:sz w:val="17"/>
                <w:szCs w:val="17"/>
                <w:color w:val="auto"/>
                <w:w w:val="98"/>
              </w:rPr>
              <w:t>$85</w:t>
            </w:r>
          </w:p>
        </w:tc>
        <w:tc>
          <w:tcPr>
            <w:tcW w:w="1440" w:type="dxa"/>
            <w:vAlign w:val="bottom"/>
            <w:gridSpan w:val="3"/>
            <w:shd w:val="clear" w:color="auto" w:fill="CCEEFF"/>
          </w:tcPr>
          <w:p>
            <w:pPr>
              <w:jc w:val="center"/>
              <w:ind w:left="198"/>
              <w:spacing w:after="0"/>
              <w:rPr>
                <w:sz w:val="20"/>
                <w:szCs w:val="20"/>
                <w:color w:val="auto"/>
              </w:rPr>
            </w:pPr>
            <w:r>
              <w:rPr>
                <w:rFonts w:ascii="Arial" w:cs="Arial" w:eastAsia="Arial" w:hAnsi="Arial"/>
                <w:sz w:val="17"/>
                <w:szCs w:val="17"/>
                <w:color w:val="auto"/>
                <w:w w:val="98"/>
              </w:rPr>
              <w:t>$75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center"/>
              <w:ind w:right="158"/>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13.3%</w:t>
            </w: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$85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Shares outstanding</w:t>
            </w:r>
            <w:r>
              <w:rPr>
                <w:rFonts w:ascii="Arial" w:cs="Arial" w:eastAsia="Arial" w:hAnsi="Arial"/>
                <w:sz w:val="21"/>
                <w:szCs w:val="21"/>
                <w:color w:val="auto"/>
                <w:vertAlign w:val="superscript"/>
              </w:rPr>
              <w:t>(1)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60" w:type="dxa"/>
            <w:vAlign w:val="bottom"/>
            <w:vMerge w:val="continue"/>
          </w:tcPr>
          <w:p>
            <w:pPr>
              <w:spacing w:after="0"/>
              <w:rPr>
                <w:sz w:val="19"/>
                <w:szCs w:val="19"/>
                <w:color w:val="auto"/>
              </w:rPr>
            </w:pPr>
          </w:p>
        </w:tc>
        <w:tc>
          <w:tcPr>
            <w:tcW w:w="940" w:type="dxa"/>
            <w:vAlign w:val="bottom"/>
          </w:tcPr>
          <w:p>
            <w:pPr>
              <w:jc w:val="center"/>
              <w:ind w:left="138"/>
              <w:spacing w:after="0"/>
              <w:rPr>
                <w:sz w:val="20"/>
                <w:szCs w:val="20"/>
                <w:color w:val="auto"/>
              </w:rPr>
            </w:pPr>
            <w:r>
              <w:rPr>
                <w:rFonts w:ascii="Arial" w:cs="Arial" w:eastAsia="Arial" w:hAnsi="Arial"/>
                <w:sz w:val="17"/>
                <w:szCs w:val="17"/>
                <w:color w:val="auto"/>
                <w:w w:val="98"/>
              </w:rPr>
              <w:t>145</w:t>
            </w:r>
          </w:p>
        </w:tc>
        <w:tc>
          <w:tcPr>
            <w:tcW w:w="1440" w:type="dxa"/>
            <w:vAlign w:val="bottom"/>
            <w:gridSpan w:val="3"/>
          </w:tcPr>
          <w:p>
            <w:pPr>
              <w:jc w:val="center"/>
              <w:ind w:left="198"/>
              <w:spacing w:after="0"/>
              <w:rPr>
                <w:sz w:val="20"/>
                <w:szCs w:val="20"/>
                <w:color w:val="auto"/>
              </w:rPr>
            </w:pPr>
            <w:r>
              <w:rPr>
                <w:rFonts w:ascii="Arial" w:cs="Arial" w:eastAsia="Arial" w:hAnsi="Arial"/>
                <w:sz w:val="17"/>
                <w:szCs w:val="17"/>
                <w:color w:val="auto"/>
                <w:w w:val="98"/>
              </w:rPr>
              <w:t>145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right="158"/>
              <w:spacing w:after="0"/>
              <w:rPr>
                <w:sz w:val="20"/>
                <w:szCs w:val="20"/>
                <w:color w:val="auto"/>
              </w:rPr>
            </w:pPr>
            <w:r>
              <w:rPr>
                <w:rFonts w:ascii="Arial" w:cs="Arial" w:eastAsia="Arial" w:hAnsi="Arial"/>
                <w:sz w:val="17"/>
                <w:szCs w:val="17"/>
                <w:color w:val="auto"/>
                <w:w w:val="98"/>
              </w:rPr>
              <w:t>145</w:t>
            </w:r>
          </w:p>
        </w:tc>
        <w:tc>
          <w:tcPr>
            <w:tcW w:w="10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w:t>
            </w:r>
          </w:p>
        </w:tc>
        <w:tc>
          <w:tcPr>
            <w:tcW w:w="116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w:t>
            </w: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4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EPS</w:t>
            </w:r>
            <w:r>
              <w:rPr>
                <w:rFonts w:ascii="Arial" w:cs="Arial" w:eastAsia="Arial" w:hAnsi="Arial"/>
                <w:sz w:val="21"/>
                <w:szCs w:val="21"/>
                <w:color w:val="auto"/>
                <w:vertAlign w:val="superscript"/>
              </w:rPr>
              <w:t>(1)</w:t>
            </w:r>
          </w:p>
        </w:tc>
        <w:tc>
          <w:tcPr>
            <w:tcW w:w="94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w w:val="98"/>
              </w:rPr>
              <w:t>$0.59</w:t>
            </w:r>
          </w:p>
        </w:tc>
        <w:tc>
          <w:tcPr>
            <w:tcW w:w="1440" w:type="dxa"/>
            <w:vAlign w:val="bottom"/>
            <w:gridSpan w:val="3"/>
            <w:shd w:val="clear" w:color="auto" w:fill="CCEEFF"/>
          </w:tcPr>
          <w:p>
            <w:pPr>
              <w:jc w:val="center"/>
              <w:ind w:left="218"/>
              <w:spacing w:after="0"/>
              <w:rPr>
                <w:sz w:val="20"/>
                <w:szCs w:val="20"/>
                <w:color w:val="auto"/>
              </w:rPr>
            </w:pPr>
            <w:r>
              <w:rPr>
                <w:rFonts w:ascii="Arial" w:cs="Arial" w:eastAsia="Arial" w:hAnsi="Arial"/>
                <w:sz w:val="17"/>
                <w:szCs w:val="17"/>
                <w:color w:val="auto"/>
                <w:w w:val="98"/>
              </w:rPr>
              <w:t>$0.52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right="158"/>
              <w:spacing w:after="0"/>
              <w:rPr>
                <w:sz w:val="20"/>
                <w:szCs w:val="20"/>
                <w:color w:val="auto"/>
              </w:rPr>
            </w:pPr>
            <w:r>
              <w:rPr>
                <w:rFonts w:ascii="Arial" w:cs="Arial" w:eastAsia="Arial" w:hAnsi="Arial"/>
                <w:sz w:val="17"/>
                <w:szCs w:val="17"/>
                <w:color w:val="auto"/>
                <w:w w:val="96"/>
              </w:rPr>
              <w:t>$(0.07)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$0.07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13.3%</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$0.59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49"/>
        </w:trPr>
        <w:tc>
          <w:tcPr>
            <w:tcW w:w="2960" w:type="dxa"/>
            <w:vAlign w:val="bottom"/>
          </w:tcPr>
          <w:p>
            <w:pPr>
              <w:ind w:left="20"/>
              <w:spacing w:after="0"/>
              <w:rPr>
                <w:sz w:val="20"/>
                <w:szCs w:val="20"/>
                <w:color w:val="auto"/>
              </w:rPr>
            </w:pPr>
            <w:r>
              <w:rPr>
                <w:rFonts w:ascii="Arial" w:cs="Arial" w:eastAsia="Arial" w:hAnsi="Arial"/>
                <w:sz w:val="17"/>
                <w:szCs w:val="17"/>
                <w:color w:val="auto"/>
              </w:rPr>
              <w:t>Diluted EPS</w:t>
            </w:r>
            <w:r>
              <w:rPr>
                <w:rFonts w:ascii="Arial" w:cs="Arial" w:eastAsia="Arial" w:hAnsi="Arial"/>
                <w:sz w:val="21"/>
                <w:szCs w:val="21"/>
                <w:color w:val="auto"/>
                <w:vertAlign w:val="superscript"/>
              </w:rPr>
              <w:t>(1)</w:t>
            </w:r>
          </w:p>
        </w:tc>
        <w:tc>
          <w:tcPr>
            <w:tcW w:w="940" w:type="dxa"/>
            <w:vAlign w:val="bottom"/>
          </w:tcPr>
          <w:p>
            <w:pPr>
              <w:jc w:val="center"/>
              <w:ind w:left="118"/>
              <w:spacing w:after="0"/>
              <w:rPr>
                <w:sz w:val="20"/>
                <w:szCs w:val="20"/>
                <w:color w:val="auto"/>
              </w:rPr>
            </w:pPr>
            <w:r>
              <w:rPr>
                <w:rFonts w:ascii="Arial" w:cs="Arial" w:eastAsia="Arial" w:hAnsi="Arial"/>
                <w:sz w:val="17"/>
                <w:szCs w:val="17"/>
                <w:color w:val="auto"/>
                <w:w w:val="98"/>
              </w:rPr>
              <w:t>$0.59</w:t>
            </w:r>
          </w:p>
        </w:tc>
        <w:tc>
          <w:tcPr>
            <w:tcW w:w="1440" w:type="dxa"/>
            <w:vAlign w:val="bottom"/>
            <w:gridSpan w:val="3"/>
          </w:tcPr>
          <w:p>
            <w:pPr>
              <w:jc w:val="center"/>
              <w:ind w:left="218"/>
              <w:spacing w:after="0"/>
              <w:rPr>
                <w:sz w:val="20"/>
                <w:szCs w:val="20"/>
                <w:color w:val="auto"/>
              </w:rPr>
            </w:pPr>
            <w:r>
              <w:rPr>
                <w:rFonts w:ascii="Arial" w:cs="Arial" w:eastAsia="Arial" w:hAnsi="Arial"/>
                <w:sz w:val="17"/>
                <w:szCs w:val="17"/>
                <w:color w:val="auto"/>
                <w:w w:val="98"/>
              </w:rPr>
              <w:t>$0.52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58"/>
              <w:spacing w:after="0"/>
              <w:rPr>
                <w:sz w:val="20"/>
                <w:szCs w:val="20"/>
                <w:color w:val="auto"/>
              </w:rPr>
            </w:pPr>
            <w:r>
              <w:rPr>
                <w:rFonts w:ascii="Arial" w:cs="Arial" w:eastAsia="Arial" w:hAnsi="Arial"/>
                <w:sz w:val="17"/>
                <w:szCs w:val="17"/>
                <w:color w:val="auto"/>
                <w:w w:val="96"/>
              </w:rPr>
              <w:t>$(0.07)</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8"/>
              </w:rPr>
              <w:t>$0.07</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13.3%</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$0.59</w:t>
            </w:r>
          </w:p>
        </w:tc>
        <w:tc>
          <w:tcPr>
            <w:tcW w:w="100" w:type="dxa"/>
            <w:vAlign w:val="bottom"/>
          </w:tcPr>
          <w:p>
            <w:pPr>
              <w:spacing w:after="0"/>
              <w:rPr>
                <w:sz w:val="21"/>
                <w:szCs w:val="21"/>
                <w:color w:val="auto"/>
              </w:rPr>
            </w:pPr>
          </w:p>
        </w:tc>
        <w:tc>
          <w:tcPr>
            <w:tcW w:w="1080" w:type="dxa"/>
            <w:vAlign w:val="bottom"/>
          </w:tcPr>
          <w:p>
            <w:pPr>
              <w:jc w:val="right"/>
              <w:ind w:right="318"/>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4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Adjusted EPS </w:t>
            </w:r>
            <w:r>
              <w:rPr>
                <w:rFonts w:ascii="Arial" w:cs="Arial" w:eastAsia="Arial" w:hAnsi="Arial"/>
                <w:sz w:val="21"/>
                <w:szCs w:val="21"/>
                <w:color w:val="auto"/>
                <w:vertAlign w:val="superscript"/>
              </w:rPr>
              <w:t>(1)(2)</w:t>
            </w:r>
          </w:p>
        </w:tc>
        <w:tc>
          <w:tcPr>
            <w:tcW w:w="94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w w:val="98"/>
              </w:rPr>
              <w:t>$0.73</w:t>
            </w:r>
          </w:p>
        </w:tc>
        <w:tc>
          <w:tcPr>
            <w:tcW w:w="1440" w:type="dxa"/>
            <w:vAlign w:val="bottom"/>
            <w:gridSpan w:val="3"/>
            <w:shd w:val="clear" w:color="auto" w:fill="CCEEFF"/>
          </w:tcPr>
          <w:p>
            <w:pPr>
              <w:jc w:val="center"/>
              <w:ind w:left="218"/>
              <w:spacing w:after="0"/>
              <w:rPr>
                <w:sz w:val="20"/>
                <w:szCs w:val="20"/>
                <w:color w:val="auto"/>
              </w:rPr>
            </w:pPr>
            <w:r>
              <w:rPr>
                <w:rFonts w:ascii="Arial" w:cs="Arial" w:eastAsia="Arial" w:hAnsi="Arial"/>
                <w:sz w:val="17"/>
                <w:szCs w:val="17"/>
                <w:color w:val="auto"/>
                <w:w w:val="98"/>
              </w:rPr>
              <w:t>$0.52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right="158"/>
              <w:spacing w:after="0"/>
              <w:rPr>
                <w:sz w:val="20"/>
                <w:szCs w:val="20"/>
                <w:color w:val="auto"/>
              </w:rPr>
            </w:pPr>
            <w:r>
              <w:rPr>
                <w:rFonts w:ascii="Arial" w:cs="Arial" w:eastAsia="Arial" w:hAnsi="Arial"/>
                <w:sz w:val="17"/>
                <w:szCs w:val="17"/>
                <w:color w:val="auto"/>
                <w:w w:val="96"/>
              </w:rPr>
              <w:t>$(0.07)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$0.21</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41.3%</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$0.59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49"/>
        </w:trPr>
        <w:tc>
          <w:tcPr>
            <w:tcW w:w="296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1"/>
                <w:szCs w:val="21"/>
                <w:color w:val="auto"/>
                <w:vertAlign w:val="superscript"/>
              </w:rPr>
              <w:t>(2)</w:t>
            </w:r>
          </w:p>
        </w:tc>
        <w:tc>
          <w:tcPr>
            <w:tcW w:w="940" w:type="dxa"/>
            <w:vAlign w:val="bottom"/>
          </w:tcPr>
          <w:p>
            <w:pPr>
              <w:jc w:val="center"/>
              <w:ind w:left="118"/>
              <w:spacing w:after="0"/>
              <w:rPr>
                <w:sz w:val="20"/>
                <w:szCs w:val="20"/>
                <w:color w:val="auto"/>
              </w:rPr>
            </w:pPr>
            <w:r>
              <w:rPr>
                <w:rFonts w:ascii="Arial" w:cs="Arial" w:eastAsia="Arial" w:hAnsi="Arial"/>
                <w:sz w:val="17"/>
                <w:szCs w:val="17"/>
                <w:color w:val="auto"/>
              </w:rPr>
              <w:t>$268</w:t>
            </w:r>
          </w:p>
        </w:tc>
        <w:tc>
          <w:tcPr>
            <w:tcW w:w="1440" w:type="dxa"/>
            <w:vAlign w:val="bottom"/>
            <w:gridSpan w:val="3"/>
          </w:tcPr>
          <w:p>
            <w:pPr>
              <w:jc w:val="center"/>
              <w:ind w:left="198"/>
              <w:spacing w:after="0"/>
              <w:rPr>
                <w:sz w:val="20"/>
                <w:szCs w:val="20"/>
                <w:color w:val="auto"/>
              </w:rPr>
            </w:pPr>
            <w:r>
              <w:rPr>
                <w:rFonts w:ascii="Arial" w:cs="Arial" w:eastAsia="Arial" w:hAnsi="Arial"/>
                <w:sz w:val="17"/>
                <w:szCs w:val="17"/>
                <w:color w:val="auto"/>
                <w:w w:val="98"/>
              </w:rPr>
              <w:t>234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58"/>
              <w:spacing w:after="0"/>
              <w:rPr>
                <w:sz w:val="20"/>
                <w:szCs w:val="20"/>
                <w:color w:val="auto"/>
              </w:rPr>
            </w:pPr>
            <w:r>
              <w:rPr>
                <w:rFonts w:ascii="Arial" w:cs="Arial" w:eastAsia="Arial" w:hAnsi="Arial"/>
                <w:sz w:val="17"/>
                <w:szCs w:val="17"/>
                <w:color w:val="auto"/>
                <w:w w:val="98"/>
              </w:rPr>
              <w:t>187</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34</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14.5%</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25.1%</w:t>
            </w:r>
          </w:p>
        </w:tc>
        <w:tc>
          <w:tcPr>
            <w:tcW w:w="0" w:type="dxa"/>
            <w:vAlign w:val="bottom"/>
          </w:tcPr>
          <w:p>
            <w:pPr>
              <w:spacing w:after="0"/>
              <w:rPr>
                <w:sz w:val="1"/>
                <w:szCs w:val="1"/>
                <w:color w:val="auto"/>
              </w:rPr>
            </w:pPr>
          </w:p>
        </w:tc>
      </w:tr>
      <w:tr>
        <w:trPr>
          <w:trHeight w:val="24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Margin</w:t>
            </w:r>
            <w:r>
              <w:rPr>
                <w:rFonts w:ascii="Arial" w:cs="Arial" w:eastAsia="Arial" w:hAnsi="Arial"/>
                <w:sz w:val="21"/>
                <w:szCs w:val="21"/>
                <w:color w:val="auto"/>
                <w:vertAlign w:val="superscript"/>
              </w:rPr>
              <w:t>(2)</w:t>
            </w:r>
          </w:p>
        </w:tc>
        <w:tc>
          <w:tcPr>
            <w:tcW w:w="94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w w:val="97"/>
              </w:rPr>
              <w:t>9.6%</w:t>
            </w:r>
          </w:p>
        </w:tc>
        <w:tc>
          <w:tcPr>
            <w:tcW w:w="1440" w:type="dxa"/>
            <w:vAlign w:val="bottom"/>
            <w:gridSpan w:val="3"/>
            <w:shd w:val="clear" w:color="auto" w:fill="CCEEFF"/>
          </w:tcPr>
          <w:p>
            <w:pPr>
              <w:jc w:val="center"/>
              <w:ind w:left="218"/>
              <w:spacing w:after="0"/>
              <w:rPr>
                <w:sz w:val="20"/>
                <w:szCs w:val="20"/>
                <w:color w:val="auto"/>
              </w:rPr>
            </w:pPr>
            <w:r>
              <w:rPr>
                <w:rFonts w:ascii="Arial" w:cs="Arial" w:eastAsia="Arial" w:hAnsi="Arial"/>
                <w:sz w:val="17"/>
                <w:szCs w:val="17"/>
                <w:color w:val="auto"/>
                <w:w w:val="97"/>
              </w:rPr>
              <w:t>8.6%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right="178"/>
              <w:spacing w:after="0"/>
              <w:rPr>
                <w:sz w:val="20"/>
                <w:szCs w:val="20"/>
                <w:color w:val="auto"/>
              </w:rPr>
            </w:pPr>
            <w:r>
              <w:rPr>
                <w:rFonts w:ascii="Arial" w:cs="Arial" w:eastAsia="Arial" w:hAnsi="Arial"/>
                <w:sz w:val="17"/>
                <w:szCs w:val="17"/>
                <w:color w:val="auto"/>
                <w:w w:val="97"/>
              </w:rPr>
              <w:t>8.0%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1.0%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11.9%</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0.6%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7.6%</w:t>
            </w:r>
          </w:p>
        </w:tc>
        <w:tc>
          <w:tcPr>
            <w:tcW w:w="0" w:type="dxa"/>
            <w:vAlign w:val="bottom"/>
          </w:tcPr>
          <w:p>
            <w:pPr>
              <w:spacing w:after="0"/>
              <w:rPr>
                <w:sz w:val="1"/>
                <w:szCs w:val="1"/>
                <w:color w:val="auto"/>
              </w:rPr>
            </w:pPr>
          </w:p>
        </w:tc>
      </w:tr>
      <w:tr>
        <w:trPr>
          <w:trHeight w:val="249"/>
        </w:trPr>
        <w:tc>
          <w:tcPr>
            <w:tcW w:w="2960" w:type="dxa"/>
            <w:vAlign w:val="bottom"/>
          </w:tcPr>
          <w:p>
            <w:pPr>
              <w:ind w:left="20"/>
              <w:spacing w:after="0"/>
              <w:rPr>
                <w:sz w:val="20"/>
                <w:szCs w:val="20"/>
                <w:color w:val="auto"/>
              </w:rPr>
            </w:pPr>
            <w:r>
              <w:rPr>
                <w:rFonts w:ascii="Arial" w:cs="Arial" w:eastAsia="Arial" w:hAnsi="Arial"/>
                <w:sz w:val="17"/>
                <w:szCs w:val="17"/>
                <w:color w:val="auto"/>
              </w:rPr>
              <w:t>Backlog</w:t>
            </w:r>
            <w:r>
              <w:rPr>
                <w:rFonts w:ascii="Arial" w:cs="Arial" w:eastAsia="Arial" w:hAnsi="Arial"/>
                <w:sz w:val="21"/>
                <w:szCs w:val="21"/>
                <w:color w:val="auto"/>
                <w:vertAlign w:val="superscript"/>
              </w:rPr>
              <w:t>(2)</w:t>
            </w:r>
          </w:p>
        </w:tc>
        <w:tc>
          <w:tcPr>
            <w:tcW w:w="940" w:type="dxa"/>
            <w:vAlign w:val="bottom"/>
          </w:tcPr>
          <w:p>
            <w:pPr>
              <w:jc w:val="center"/>
              <w:ind w:left="118"/>
              <w:spacing w:after="0"/>
              <w:rPr>
                <w:sz w:val="20"/>
                <w:szCs w:val="20"/>
                <w:color w:val="auto"/>
              </w:rPr>
            </w:pPr>
            <w:r>
              <w:rPr>
                <w:rFonts w:ascii="Arial" w:cs="Arial" w:eastAsia="Arial" w:hAnsi="Arial"/>
                <w:sz w:val="17"/>
                <w:szCs w:val="17"/>
                <w:color w:val="auto"/>
                <w:w w:val="96"/>
              </w:rPr>
              <w:t>$3,291</w:t>
            </w:r>
          </w:p>
        </w:tc>
        <w:tc>
          <w:tcPr>
            <w:tcW w:w="1440" w:type="dxa"/>
            <w:vAlign w:val="bottom"/>
            <w:gridSpan w:val="3"/>
          </w:tcPr>
          <w:p>
            <w:pPr>
              <w:jc w:val="center"/>
              <w:ind w:left="218"/>
              <w:spacing w:after="0"/>
              <w:rPr>
                <w:sz w:val="20"/>
                <w:szCs w:val="20"/>
                <w:color w:val="auto"/>
              </w:rPr>
            </w:pPr>
            <w:r>
              <w:rPr>
                <w:rFonts w:ascii="Arial" w:cs="Arial" w:eastAsia="Arial" w:hAnsi="Arial"/>
                <w:sz w:val="17"/>
                <w:szCs w:val="17"/>
                <w:color w:val="auto"/>
                <w:w w:val="98"/>
              </w:rPr>
              <w:t>2,844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78"/>
              <w:spacing w:after="0"/>
              <w:rPr>
                <w:sz w:val="20"/>
                <w:szCs w:val="20"/>
                <w:color w:val="auto"/>
              </w:rPr>
            </w:pPr>
            <w:r>
              <w:rPr>
                <w:rFonts w:ascii="Arial" w:cs="Arial" w:eastAsia="Arial" w:hAnsi="Arial"/>
                <w:sz w:val="17"/>
                <w:szCs w:val="17"/>
                <w:color w:val="auto"/>
                <w:w w:val="98"/>
              </w:rPr>
              <w:t>2,684</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8"/>
              </w:rPr>
              <w:t>447</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15.7%</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160</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6.0%</w:t>
            </w: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Estimated potential remaining contract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160"/>
              <w:spacing w:after="0" w:line="234" w:lineRule="exact"/>
              <w:rPr>
                <w:sz w:val="20"/>
                <w:szCs w:val="20"/>
                <w:color w:val="auto"/>
              </w:rPr>
            </w:pPr>
            <w:r>
              <w:rPr>
                <w:rFonts w:ascii="Arial" w:cs="Arial" w:eastAsia="Arial" w:hAnsi="Arial"/>
                <w:sz w:val="17"/>
                <w:szCs w:val="17"/>
                <w:color w:val="auto"/>
              </w:rPr>
              <w:t>value</w:t>
            </w:r>
            <w:r>
              <w:rPr>
                <w:rFonts w:ascii="Arial" w:cs="Arial" w:eastAsia="Arial" w:hAnsi="Arial"/>
                <w:sz w:val="21"/>
                <w:szCs w:val="21"/>
                <w:color w:val="auto"/>
                <w:vertAlign w:val="superscript"/>
              </w:rPr>
              <w:t>(3)</w:t>
            </w:r>
          </w:p>
        </w:tc>
        <w:tc>
          <w:tcPr>
            <w:tcW w:w="94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w w:val="98"/>
              </w:rPr>
              <w:t>7,981</w:t>
            </w:r>
          </w:p>
        </w:tc>
        <w:tc>
          <w:tcPr>
            <w:tcW w:w="1440" w:type="dxa"/>
            <w:vAlign w:val="bottom"/>
            <w:gridSpan w:val="3"/>
            <w:shd w:val="clear" w:color="auto" w:fill="CCEEFF"/>
          </w:tcPr>
          <w:p>
            <w:pPr>
              <w:jc w:val="center"/>
              <w:ind w:left="218"/>
              <w:spacing w:after="0"/>
              <w:rPr>
                <w:sz w:val="20"/>
                <w:szCs w:val="20"/>
                <w:color w:val="auto"/>
              </w:rPr>
            </w:pPr>
            <w:r>
              <w:rPr>
                <w:rFonts w:ascii="Arial" w:cs="Arial" w:eastAsia="Arial" w:hAnsi="Arial"/>
                <w:sz w:val="17"/>
                <w:szCs w:val="17"/>
                <w:color w:val="auto"/>
                <w:w w:val="98"/>
              </w:rPr>
              <w:t>8,198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right="178"/>
              <w:spacing w:after="0"/>
              <w:rPr>
                <w:sz w:val="20"/>
                <w:szCs w:val="20"/>
                <w:color w:val="auto"/>
              </w:rPr>
            </w:pPr>
            <w:r>
              <w:rPr>
                <w:rFonts w:ascii="Arial" w:cs="Arial" w:eastAsia="Arial" w:hAnsi="Arial"/>
                <w:sz w:val="17"/>
                <w:szCs w:val="17"/>
                <w:color w:val="auto"/>
                <w:w w:val="98"/>
              </w:rPr>
              <w:t>8,054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(217)</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(2.6)%</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144</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1.8%</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7"/>
                <w:szCs w:val="17"/>
                <w:color w:val="auto"/>
              </w:rPr>
              <w:t>Total net debt</w:t>
            </w:r>
          </w:p>
        </w:tc>
        <w:tc>
          <w:tcPr>
            <w:tcW w:w="940" w:type="dxa"/>
            <w:vAlign w:val="bottom"/>
          </w:tcPr>
          <w:p>
            <w:pPr>
              <w:jc w:val="center"/>
              <w:ind w:left="138"/>
              <w:spacing w:after="0"/>
              <w:rPr>
                <w:sz w:val="20"/>
                <w:szCs w:val="20"/>
                <w:color w:val="auto"/>
              </w:rPr>
            </w:pPr>
            <w:r>
              <w:rPr>
                <w:rFonts w:ascii="Arial" w:cs="Arial" w:eastAsia="Arial" w:hAnsi="Arial"/>
                <w:sz w:val="17"/>
                <w:szCs w:val="17"/>
                <w:color w:val="auto"/>
                <w:w w:val="98"/>
              </w:rPr>
              <w:t>251</w:t>
            </w:r>
          </w:p>
        </w:tc>
        <w:tc>
          <w:tcPr>
            <w:tcW w:w="1440" w:type="dxa"/>
            <w:vAlign w:val="bottom"/>
            <w:gridSpan w:val="3"/>
          </w:tcPr>
          <w:p>
            <w:pPr>
              <w:jc w:val="center"/>
              <w:ind w:left="198"/>
              <w:spacing w:after="0"/>
              <w:rPr>
                <w:sz w:val="20"/>
                <w:szCs w:val="20"/>
                <w:color w:val="auto"/>
              </w:rPr>
            </w:pPr>
            <w:r>
              <w:rPr>
                <w:rFonts w:ascii="Arial" w:cs="Arial" w:eastAsia="Arial" w:hAnsi="Arial"/>
                <w:sz w:val="17"/>
                <w:szCs w:val="17"/>
                <w:color w:val="auto"/>
                <w:w w:val="98"/>
              </w:rPr>
              <w:t>527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right="158"/>
              <w:spacing w:after="0"/>
              <w:rPr>
                <w:sz w:val="20"/>
                <w:szCs w:val="20"/>
                <w:color w:val="auto"/>
              </w:rPr>
            </w:pPr>
            <w:r>
              <w:rPr>
                <w:rFonts w:ascii="Arial" w:cs="Arial" w:eastAsia="Arial" w:hAnsi="Arial"/>
                <w:sz w:val="17"/>
                <w:szCs w:val="17"/>
                <w:color w:val="auto"/>
                <w:w w:val="98"/>
              </w:rPr>
              <w:t>560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5"/>
              </w:rPr>
              <w:t>(276)</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(52.4)%</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(33)</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(5.9)%</w:t>
            </w: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Leverage Ratio</w:t>
            </w:r>
            <w:r>
              <w:rPr>
                <w:rFonts w:ascii="Arial" w:cs="Arial" w:eastAsia="Arial" w:hAnsi="Arial"/>
                <w:sz w:val="21"/>
                <w:szCs w:val="21"/>
                <w:color w:val="auto"/>
                <w:vertAlign w:val="superscript"/>
              </w:rPr>
              <w:t>(2)</w:t>
            </w:r>
          </w:p>
        </w:tc>
        <w:tc>
          <w:tcPr>
            <w:tcW w:w="940" w:type="dxa"/>
            <w:vAlign w:val="bottom"/>
            <w:shd w:val="clear" w:color="auto" w:fill="CCEEFF"/>
          </w:tcPr>
          <w:p>
            <w:pPr>
              <w:jc w:val="center"/>
              <w:ind w:left="138"/>
              <w:spacing w:after="0"/>
              <w:rPr>
                <w:sz w:val="20"/>
                <w:szCs w:val="20"/>
                <w:color w:val="auto"/>
              </w:rPr>
            </w:pPr>
            <w:r>
              <w:rPr>
                <w:rFonts w:ascii="Arial" w:cs="Arial" w:eastAsia="Arial" w:hAnsi="Arial"/>
                <w:sz w:val="17"/>
                <w:szCs w:val="17"/>
                <w:color w:val="auto"/>
                <w:w w:val="99"/>
              </w:rPr>
              <w:t>0.9x</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7"/>
                <w:szCs w:val="17"/>
                <w:color w:val="auto"/>
                <w:w w:val="99"/>
              </w:rPr>
              <w:t>2.3x</w:t>
            </w:r>
          </w:p>
        </w:tc>
        <w:tc>
          <w:tcPr>
            <w:tcW w:w="98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w w:val="99"/>
              </w:rPr>
              <w:t>3.0x</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6"/>
              </w:rPr>
              <w:t>(1.4x)</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(62.2)%</w:t>
            </w: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6"/>
              </w:rPr>
              <w:t>(0.7x)</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(23.4)%</w:t>
            </w:r>
          </w:p>
        </w:tc>
        <w:tc>
          <w:tcPr>
            <w:tcW w:w="0" w:type="dxa"/>
            <w:vAlign w:val="bottom"/>
          </w:tcPr>
          <w:p>
            <w:pPr>
              <w:spacing w:after="0"/>
              <w:rPr>
                <w:sz w:val="1"/>
                <w:szCs w:val="1"/>
                <w:color w:val="auto"/>
              </w:rPr>
            </w:pPr>
          </w:p>
        </w:tc>
      </w:tr>
      <w:tr>
        <w:trPr>
          <w:trHeight w:val="249"/>
        </w:trPr>
        <w:tc>
          <w:tcPr>
            <w:tcW w:w="2960" w:type="dxa"/>
            <w:vAlign w:val="bottom"/>
          </w:tcPr>
          <w:p>
            <w:pPr>
              <w:ind w:left="20"/>
              <w:spacing w:after="0"/>
              <w:rPr>
                <w:sz w:val="20"/>
                <w:szCs w:val="20"/>
                <w:color w:val="auto"/>
              </w:rPr>
            </w:pPr>
            <w:r>
              <w:rPr>
                <w:rFonts w:ascii="Arial" w:cs="Arial" w:eastAsia="Arial" w:hAnsi="Arial"/>
                <w:sz w:val="17"/>
                <w:szCs w:val="17"/>
                <w:color w:val="auto"/>
              </w:rPr>
              <w:t>Bookings</w:t>
            </w:r>
            <w:r>
              <w:rPr>
                <w:rFonts w:ascii="Arial" w:cs="Arial" w:eastAsia="Arial" w:hAnsi="Arial"/>
                <w:sz w:val="21"/>
                <w:szCs w:val="21"/>
                <w:color w:val="auto"/>
                <w:vertAlign w:val="superscript"/>
              </w:rPr>
              <w:t>(2)</w:t>
            </w:r>
          </w:p>
        </w:tc>
        <w:tc>
          <w:tcPr>
            <w:tcW w:w="940" w:type="dxa"/>
            <w:vAlign w:val="bottom"/>
          </w:tcPr>
          <w:p>
            <w:pPr>
              <w:jc w:val="center"/>
              <w:ind w:left="118"/>
              <w:spacing w:after="0"/>
              <w:rPr>
                <w:sz w:val="20"/>
                <w:szCs w:val="20"/>
                <w:color w:val="auto"/>
              </w:rPr>
            </w:pPr>
            <w:r>
              <w:rPr>
                <w:rFonts w:ascii="Arial" w:cs="Arial" w:eastAsia="Arial" w:hAnsi="Arial"/>
                <w:sz w:val="17"/>
                <w:szCs w:val="17"/>
                <w:color w:val="auto"/>
                <w:w w:val="98"/>
              </w:rPr>
              <w:t>3,055</w:t>
            </w:r>
          </w:p>
        </w:tc>
        <w:tc>
          <w:tcPr>
            <w:tcW w:w="1440" w:type="dxa"/>
            <w:vAlign w:val="bottom"/>
            <w:gridSpan w:val="3"/>
          </w:tcPr>
          <w:p>
            <w:pPr>
              <w:jc w:val="center"/>
              <w:ind w:left="218"/>
              <w:spacing w:after="0"/>
              <w:rPr>
                <w:sz w:val="20"/>
                <w:szCs w:val="20"/>
                <w:color w:val="auto"/>
              </w:rPr>
            </w:pPr>
            <w:r>
              <w:rPr>
                <w:rFonts w:ascii="Arial" w:cs="Arial" w:eastAsia="Arial" w:hAnsi="Arial"/>
                <w:sz w:val="17"/>
                <w:szCs w:val="17"/>
                <w:color w:val="auto"/>
                <w:w w:val="98"/>
              </w:rPr>
              <w:t>2,923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78"/>
              <w:spacing w:after="0"/>
              <w:rPr>
                <w:sz w:val="20"/>
                <w:szCs w:val="20"/>
                <w:color w:val="auto"/>
              </w:rPr>
            </w:pPr>
            <w:r>
              <w:rPr>
                <w:rFonts w:ascii="Arial" w:cs="Arial" w:eastAsia="Arial" w:hAnsi="Arial"/>
                <w:sz w:val="17"/>
                <w:szCs w:val="17"/>
                <w:color w:val="auto"/>
                <w:w w:val="98"/>
              </w:rPr>
              <w:t>2,879</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8"/>
              </w:rPr>
              <w:t>132</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4.5%</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4"/>
              </w:rPr>
              <w:t>44</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1.5%</w:t>
            </w:r>
          </w:p>
        </w:tc>
        <w:tc>
          <w:tcPr>
            <w:tcW w:w="0" w:type="dxa"/>
            <w:vAlign w:val="bottom"/>
          </w:tcPr>
          <w:p>
            <w:pPr>
              <w:spacing w:after="0"/>
              <w:rPr>
                <w:sz w:val="1"/>
                <w:szCs w:val="1"/>
                <w:color w:val="auto"/>
              </w:rPr>
            </w:pPr>
          </w:p>
        </w:tc>
      </w:tr>
      <w:tr>
        <w:trPr>
          <w:trHeight w:val="24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r>
              <w:rPr>
                <w:rFonts w:ascii="Arial" w:cs="Arial" w:eastAsia="Arial" w:hAnsi="Arial"/>
                <w:sz w:val="21"/>
                <w:szCs w:val="21"/>
                <w:color w:val="auto"/>
                <w:vertAlign w:val="superscript"/>
              </w:rPr>
              <w:t>(2)</w:t>
            </w:r>
          </w:p>
        </w:tc>
        <w:tc>
          <w:tcPr>
            <w:tcW w:w="940" w:type="dxa"/>
            <w:vAlign w:val="bottom"/>
            <w:shd w:val="clear" w:color="auto" w:fill="CCEEFF"/>
          </w:tcPr>
          <w:p>
            <w:pPr>
              <w:jc w:val="center"/>
              <w:ind w:left="138"/>
              <w:spacing w:after="0"/>
              <w:rPr>
                <w:sz w:val="20"/>
                <w:szCs w:val="20"/>
                <w:color w:val="auto"/>
              </w:rPr>
            </w:pPr>
            <w:r>
              <w:rPr>
                <w:rFonts w:ascii="Arial" w:cs="Arial" w:eastAsia="Arial" w:hAnsi="Arial"/>
                <w:sz w:val="17"/>
                <w:szCs w:val="17"/>
                <w:color w:val="auto"/>
                <w:w w:val="98"/>
              </w:rPr>
              <w:t>$74</w:t>
            </w:r>
          </w:p>
        </w:tc>
        <w:tc>
          <w:tcPr>
            <w:tcW w:w="1440" w:type="dxa"/>
            <w:vAlign w:val="bottom"/>
            <w:gridSpan w:val="3"/>
            <w:shd w:val="clear" w:color="auto" w:fill="CCEEFF"/>
          </w:tcPr>
          <w:p>
            <w:pPr>
              <w:jc w:val="center"/>
              <w:ind w:left="198"/>
              <w:spacing w:after="0"/>
              <w:rPr>
                <w:sz w:val="20"/>
                <w:szCs w:val="20"/>
                <w:color w:val="auto"/>
              </w:rPr>
            </w:pPr>
            <w:r>
              <w:rPr>
                <w:rFonts w:ascii="Arial" w:cs="Arial" w:eastAsia="Arial" w:hAnsi="Arial"/>
                <w:sz w:val="17"/>
                <w:szCs w:val="17"/>
                <w:color w:val="auto"/>
                <w:w w:val="95"/>
              </w:rPr>
              <w:t>$110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right="158"/>
              <w:spacing w:after="0"/>
              <w:rPr>
                <w:sz w:val="20"/>
                <w:szCs w:val="20"/>
                <w:color w:val="auto"/>
              </w:rPr>
            </w:pPr>
            <w:r>
              <w:rPr>
                <w:rFonts w:ascii="Arial" w:cs="Arial" w:eastAsia="Arial" w:hAnsi="Arial"/>
                <w:sz w:val="17"/>
                <w:szCs w:val="17"/>
                <w:color w:val="auto"/>
                <w:w w:val="98"/>
              </w:rPr>
              <w:t>$65</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(32.7)%</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$45</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69.2%</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NM- percentage change not meaningful</w:t>
      </w:r>
    </w:p>
    <w:p>
      <w:pPr>
        <w:spacing w:after="0" w:line="2" w:lineRule="exact"/>
        <w:rPr>
          <w:sz w:val="20"/>
          <w:szCs w:val="20"/>
          <w:color w:val="auto"/>
        </w:rPr>
      </w:pPr>
    </w:p>
    <w:p>
      <w:pPr>
        <w:ind w:left="300" w:hanging="300"/>
        <w:spacing w:after="0"/>
        <w:tabs>
          <w:tab w:leader="none" w:pos="3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Gives effect to a 1,450,000-for-1 forward stock split on our common stock effected on February 25, 2021.</w:t>
      </w:r>
    </w:p>
    <w:p>
      <w:pPr>
        <w:spacing w:after="0" w:line="1" w:lineRule="exact"/>
        <w:rPr>
          <w:rFonts w:ascii="Arial" w:cs="Arial" w:eastAsia="Arial" w:hAnsi="Arial"/>
          <w:sz w:val="15"/>
          <w:szCs w:val="15"/>
          <w:color w:val="auto"/>
        </w:rPr>
      </w:pPr>
    </w:p>
    <w:p>
      <w:pPr>
        <w:ind w:left="300" w:right="240" w:hanging="300"/>
        <w:spacing w:after="0" w:line="251" w:lineRule="auto"/>
        <w:tabs>
          <w:tab w:leader="none" w:pos="296"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See “—Non-GAAP Financial Measures” above for definitions of these measures. Adjusted EPS, Adjusted EBITDA, Adjusted EBITDA Margin, Leverage Ratio, and free cash flow are non-GAAP measures. See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1440" w:right="339" w:bottom="1440" w:gutter="0" w:footer="0" w:header="0"/>
        </w:sectPr>
      </w:pPr>
    </w:p>
    <w:bookmarkStart w:id="89" w:name="page90"/>
    <w:bookmarkEnd w:id="89"/>
    <w:p>
      <w:pPr>
        <w:spacing w:after="0" w:line="46" w:lineRule="exact"/>
        <w:rPr>
          <w:sz w:val="20"/>
          <w:szCs w:val="20"/>
          <w:color w:val="auto"/>
        </w:rPr>
      </w:pPr>
    </w:p>
    <w:p>
      <w:pPr>
        <w:ind w:left="300" w:right="140"/>
        <w:spacing w:after="0" w:line="242" w:lineRule="auto"/>
        <w:rPr>
          <w:sz w:val="20"/>
          <w:szCs w:val="20"/>
          <w:color w:val="auto"/>
        </w:rPr>
      </w:pPr>
      <w:r>
        <w:rPr>
          <w:rFonts w:ascii="Arial" w:cs="Arial" w:eastAsia="Arial" w:hAnsi="Arial"/>
          <w:sz w:val="15"/>
          <w:szCs w:val="15"/>
          <w:color w:val="auto"/>
        </w:rPr>
        <w:t>Financial and Operating Measures—Non-GAAP Financial Measures” above for reconciliations of these measures to the most directly comparable financial measure calculated and presented in accordance with U.S. GAAP.</w:t>
      </w:r>
    </w:p>
    <w:p>
      <w:pPr>
        <w:spacing w:after="0" w:line="1" w:lineRule="exact"/>
        <w:rPr>
          <w:sz w:val="20"/>
          <w:szCs w:val="20"/>
          <w:color w:val="auto"/>
        </w:rPr>
      </w:pPr>
    </w:p>
    <w:p>
      <w:pPr>
        <w:ind w:left="300" w:right="120" w:hanging="300"/>
        <w:spacing w:after="0" w:line="247" w:lineRule="auto"/>
        <w:tabs>
          <w:tab w:leader="none" w:pos="296" w:val="left"/>
        </w:tabs>
        <w:numPr>
          <w:ilvl w:val="0"/>
          <w:numId w:val="52"/>
        </w:numPr>
        <w:rPr>
          <w:rFonts w:ascii="Arial" w:cs="Arial" w:eastAsia="Arial" w:hAnsi="Arial"/>
          <w:sz w:val="15"/>
          <w:szCs w:val="15"/>
          <w:color w:val="auto"/>
        </w:rPr>
      </w:pPr>
      <w:r>
        <w:rPr>
          <w:rFonts w:ascii="Arial" w:cs="Arial" w:eastAsia="Arial" w:hAnsi="Arial"/>
          <w:sz w:val="15"/>
          <w:szCs w:val="15"/>
          <w:color w:val="auto"/>
        </w:rPr>
        <w:t>See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2020 Compared to the Years Ended December 31, 2019 and 2018</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Year Ended December 31, 2020 Compared With Year Ended December 31, 2019</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Our operating results for the year ended December 31, 2020 are highlighted by another successful year of revenue growth and margin expansion despite COVID-19 related operational challenges throughout the year. Revenue of $2,778 million for the year ended December 31, 2020 represented year over year growth of $ 64 million (2.4%) while our operating earnings and net earnings grew $18 million (11.0%) and $10 million (13.3%) from the year ended December 31, 2019, respectively. Along with our net earnings expansion, Adjusted EBITDA, one of our key operational evaluation metrics, increased $34 million, or 14.5%, from the prior year to $268 million, representing our second straight year of double digit Adjusted EBITDA annual growth. The Adjusted EBITDA growth drove Adjusted EBITDA margins to 9.6%, a 1.0% increase from 2019. For more detailed operational explanations, please see financial analysis below.</w:t>
      </w:r>
    </w:p>
    <w:p>
      <w:pPr>
        <w:spacing w:after="0" w:line="146"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In addition, our diversified, balanced portfolio supported by foundational programs with strong, visible backlog aligned in areas of, in our view, growing importance within the DoD budget priorities, resulted in $11.3 billion of total estimated remaining contract value as of December 31, 2020. Our total estimated remaining contract value consists of backlog of $3.3 billion and potential remaining contract value of $ 8.0 billion, driven by our awards and positions on existing platforms. Our recent awards include supporting Counter Unmanned Aircraft Systems (“CUAS”) efforts with the U.S. Army and continued success in receiving next generation Force Protection and Dismounted Soldier Sensing programs with both the U.S. Army and U.S. Navy at our AST segment. Our positions include providing propulsion systems components on the Columbia-class submarine at our IMS segment and our legacy positions on our Mounted Family of Computer Systems (“MFoCS”) and Global Access Network programs at our NC&amp;C segment. We believe these programs will support continued revenue and margin growth as programs transition from development efforts to production, continuing our trend of earnings growth and margin expansion.</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Year Ended December 31, 2019 Compared With Year Ended December 31, 2018</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For the year ended December 31, 2019 we realized the impact of our cost-effective solutions, strong customer relationships and ability to remain nimble and quick-to-market when it comes to addressing current and future customer needs. During the year we demonstrated the benefit of our flexibility with awards on various urgent operational needs programs across each of our segments, highlighted by a production ramp on our active protection system (“APS”) program within our IMS segment. These programs illustrate our ability to rapidly deploy complex solutions to solve our customers’ evolving requirements. Such ability coupled with our diverse existing installed base of product offerings resulted in revenue of $2,714 million for the year ended December 31, 2019 representing year over year growth of $381 million, or 16.3%, compared to December 31, 2018.</w:t>
      </w:r>
    </w:p>
    <w:p>
      <w:pPr>
        <w:spacing w:after="0" w:line="147"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Double digit revenue growth, along with new bookings exceeding revenue, and a robust backlog of $2.844 million as of year ended December 31, 2019, created a foundation for continued revenue growth. Our profit growth continued to expand in excess of our revenue, driving an operating earnings increase of 262.2% to $ 163 million in 2019 from our 2018 results of $45 million. The operating earnings growth is attributed to expanding revenue and the associated contribution margin coupled with a reduction in acquired asset amortization. The reduction in acquired asset amortization in 2019 compared to 2018 is a result of the completion of amortization of the intangible assets established when US Holding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4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DRS in 2008, resulting in a year-over-year reduction in amortization expense of $84 million. The increase in revenue was partially offset by an increase in general and administrative expenses of 3.4% driven by compliance and quality infrastructure expansion to support the revenue growth. Offsetting the general and administrative expenditure increase was a reduction in bid and proposal expenditures on a jet aircraft training program within our AST segment of $24 million. As a consequence, net earnings improved to $75 million for the year ended December 31, 2019 from a loss of $10 million for the year ended December 31, 2018. Adjusted EBITDA and Adjusted EBITDA Margin, our key financial operating metrics, also improved in line with these results. Adjusted EBITDA increased by 25.1% to $234 million from $ 187 million and Adjusted EBITDA Margin increased by 60 basis points to 8.6% from year ended December 31, 2019. The increase in 2019 was primarily related to the aforementioned jet aircraft training program pursuit, offset in part by additional costs incurred on development programs at our IMS segment.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0" w:firstLine="299"/>
        <w:spacing w:after="0" w:line="244" w:lineRule="auto"/>
        <w:rPr>
          <w:sz w:val="20"/>
          <w:szCs w:val="20"/>
          <w:color w:val="auto"/>
        </w:rPr>
      </w:pPr>
      <w:r>
        <w:rPr>
          <w:rFonts w:ascii="Arial" w:cs="Arial" w:eastAsia="Arial" w:hAnsi="Arial"/>
          <w:sz w:val="17"/>
          <w:szCs w:val="17"/>
          <w:color w:val="auto"/>
        </w:rPr>
        <w:t>Revenue increased by $64 million, or 2.4%, to $2,778 million for year ended December 31, 2020 from $2,714 million for year ended December 31, 2019. The revenue growth in 2020 was primarily due to an increase of $159 million at our AST segment, driven by programs transitioning from development to production and increased deliveries in our Dismounted Soldier Sensing and Targeting Systems programs, resulting in a $109 million increase as compared to the prior year. Additionally our AST segment also realized annual revenue expansion through progress on our recently awarded program to provide electric control systems for the U.S. Navy’s shipboard launch system ($22 million) and pilot training programs ($29 million). At our IMS segment, our continued market penetration on CUAS opportunities drove $28 million of incremental revenue during 2020 as compared to 2019. In addition, our recently awarded programs to provide power solutions on the CVN 80/81 carriers and logistics support equipment to the Israel Ministry of Defense contributed revenue of $14 million and $13 million, respectively. However, despite this success, our IMS revenue growth was more than offset by a decline of $160 million compared to 2019 attributable to accelerated deliveries of our TROPHY™ APS program in the prior year. At our NC&amp;C segment we had continued progress in our Satellite &amp; Network Communications programs and ruggedized maintenance support hardware programs contributed $28 million and $29 million, respectively, of incremental revenue as compared to 2019. These contributions were partially offset in certain naval common network services equipment programs in which we made strategic decisions to allocate capital in what we believe are more profitable opportunities.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For the year ended December 31, 2019 revenue increased by $381 million, or 16.3%, to $2,714 million as compared to 2018. Revenue growth was primarily due to the rapid development and sale of desired capabilities within our IMS segment, highlighted by the APS and our CUAS programs. The APS and CUAS programs generated revenue growth of $245 million and $29 million, respectively, to support urgent operational needs as compared to 2018. Additionally, revenue in our AST segment revenue increased $56 million as a result of the production award for the next generation weapon sight program. Our NC&amp;C Segment also experienced revenue growth as compared to 2018, including a $ 40 million increase attributed to a newly awarded radar manufacturing program. However, the increases in NC&amp;C revenue as compared to 2018 were partially offset by decreases as a result of the production transition on our MFoCS ruggedized computing program as we migrated from our mature full rate production contract to our newly awarded five-year indefinite delivery, indefinite quantity contract modernizing the system capability and cyber protection. The new MFoCS program required achievement of certain certifications prior to progressing into full rate production, which resulted in a decline in program revenues by $52 million as compared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20"/>
          </w:cols>
          <w:pgMar w:left="320" w:top="1440" w:right="359" w:bottom="1440" w:gutter="0" w:footer="0" w:header="0"/>
        </w:sectPr>
      </w:pPr>
    </w:p>
    <w:bookmarkStart w:id="91" w:name="page92"/>
    <w:bookmarkEnd w:id="91"/>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 xml:space="preserve">Cost of revenues increased $29 million, or 1.3%, from $2,255 million to $2,284 million for the year ended December 31, 2020, primarily due to increased revenue as described above. The cost of revenues growth was favorably offset by improved program mix, with our higher profit segment, AST, driving the year over year revenue expansion as noted above. Please see “—Review of Operating Segments” below for further discussion. The favorable impact of program mix was partially offset by changes in estimates to complete certain development related programs at our IMS segment of $46 million and at our NC&amp;C segment of $19 million; see </w:t>
      </w:r>
      <w:r>
        <w:rPr>
          <w:rFonts w:ascii="Arial" w:cs="Arial" w:eastAsia="Arial" w:hAnsi="Arial"/>
          <w:sz w:val="17"/>
          <w:szCs w:val="17"/>
          <w:i w:val="1"/>
          <w:iCs w:val="1"/>
          <w:color w:val="auto"/>
        </w:rPr>
        <w:t>Note 2: Revenue from Contracts with Customers</w:t>
      </w:r>
      <w:r>
        <w:rPr>
          <w:rFonts w:ascii="Arial" w:cs="Arial" w:eastAsia="Arial" w:hAnsi="Arial"/>
          <w:sz w:val="17"/>
          <w:szCs w:val="17"/>
          <w:color w:val="auto"/>
        </w:rPr>
        <w:t xml:space="preserve"> for further detail.</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160" w:firstLine="299"/>
        <w:spacing w:after="0" w:line="266" w:lineRule="auto"/>
        <w:rPr>
          <w:sz w:val="20"/>
          <w:szCs w:val="20"/>
          <w:color w:val="auto"/>
        </w:rPr>
      </w:pPr>
      <w:r>
        <w:rPr>
          <w:rFonts w:ascii="Arial" w:cs="Arial" w:eastAsia="Arial" w:hAnsi="Arial"/>
          <w:sz w:val="16"/>
          <w:szCs w:val="16"/>
          <w:color w:val="auto"/>
        </w:rPr>
        <w:t>For the year ended December 31, 2019 cost of revenue increased by $336 million, or 17.5%, from $1,919 million for the year ended December 31, 2018 to $2,255 million, driven primarily by the 16.3% increase in revenue described above. The increase in cost of revenues was further impacted by increased costs realized on certain fixed-price development efforts at our IMS segment primarily related to our on-the-move surveillance program for an international customer of $9 million and to certain newly awarded transportation and logistics programs totaling $8 million.</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Gross Profit</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Gross profit increased $35 million, or 7.6%, from $459 million for the year ended December 31, 2019 to $494 million for the year ended December 31, 2020, primarily driven by revenue growth and favorable program mix as noted above, offset by the charges realized on development type programs at our IMS segment of $47 million and a reduction in the estimated amount of variable consideration related to certain claims on electronics programs with the U.S. Navy totaling $11 million.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160" w:firstLine="299"/>
        <w:spacing w:after="0" w:line="247" w:lineRule="auto"/>
        <w:rPr>
          <w:sz w:val="20"/>
          <w:szCs w:val="20"/>
          <w:color w:val="auto"/>
        </w:rPr>
      </w:pPr>
      <w:r>
        <w:rPr>
          <w:rFonts w:ascii="Arial" w:cs="Arial" w:eastAsia="Arial" w:hAnsi="Arial"/>
          <w:sz w:val="17"/>
          <w:szCs w:val="17"/>
          <w:color w:val="auto"/>
        </w:rPr>
        <w:t>Gross profit increased $45 million, or 10.9%, from $414 million for the year ended December 31, 2018 to $459 million for the year ended December 31, 2019, primarily driven by year over year revenue growth, partially offset by the impact of cost growth on certain design programs within our IMS segment noted above.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60" w:firstLine="299"/>
        <w:spacing w:after="0" w:line="266" w:lineRule="auto"/>
        <w:rPr>
          <w:sz w:val="20"/>
          <w:szCs w:val="20"/>
          <w:color w:val="auto"/>
        </w:rPr>
      </w:pPr>
      <w:r>
        <w:rPr>
          <w:rFonts w:ascii="Arial" w:cs="Arial" w:eastAsia="Arial" w:hAnsi="Arial"/>
          <w:sz w:val="16"/>
          <w:szCs w:val="16"/>
          <w:color w:val="auto"/>
        </w:rPr>
        <w:t>General and administrative expenses increased by $6 million, or 2.2%, from $277 million for the year ended December 31, 2019 to $283 million for the year ended December 31, 2020, resulting from increases in discretionary investment of $9 million for both Independent Research and Development (IR&amp;D) and Bid and Proposal (B&amp;P) costs, as well as $9 million in expenses related to our planned initial public offering. These costs were partially offset by reductions in corporate, employee medical and travel expenditures related to certain of the impacts of COVID-19 on our business.</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140" w:firstLine="299"/>
        <w:spacing w:after="0" w:line="250" w:lineRule="auto"/>
        <w:rPr>
          <w:sz w:val="20"/>
          <w:szCs w:val="20"/>
          <w:color w:val="auto"/>
        </w:rPr>
      </w:pPr>
      <w:r>
        <w:rPr>
          <w:rFonts w:ascii="Arial" w:cs="Arial" w:eastAsia="Arial" w:hAnsi="Arial"/>
          <w:sz w:val="17"/>
          <w:szCs w:val="17"/>
          <w:color w:val="auto"/>
        </w:rPr>
        <w:t>General and administrative expenses increased $9 million, or 3.4%, from $268 million for the year ended December 31, 2018 to $277 million for the year ended December 31, 2019, primarily as a result of:</w:t>
      </w:r>
    </w:p>
    <w:p>
      <w:pPr>
        <w:spacing w:after="0" w:line="140" w:lineRule="exact"/>
        <w:rPr>
          <w:sz w:val="20"/>
          <w:szCs w:val="20"/>
          <w:color w:val="auto"/>
        </w:rPr>
      </w:pPr>
    </w:p>
    <w:p>
      <w:pPr>
        <w:ind w:left="600" w:hanging="302"/>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$20 million increase in compliance costs and quality infrastructure to support our expanding revenue;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85</w:t>
      </w:r>
    </w:p>
    <w:p>
      <w:pPr>
        <w:sectPr>
          <w:pgSz w:w="11900" w:h="16838" w:orient="portrait"/>
          <w:cols w:equalWidth="0" w:num="1">
            <w:col w:w="11240"/>
          </w:cols>
          <w:pgMar w:left="320" w:top="1440" w:right="339" w:bottom="1440" w:gutter="0" w:footer="0" w:header="0"/>
        </w:sectPr>
      </w:pPr>
    </w:p>
    <w:bookmarkStart w:id="92" w:name="page93"/>
    <w:bookmarkEnd w:id="92"/>
    <w:p>
      <w:pPr>
        <w:spacing w:after="0" w:line="43" w:lineRule="exact"/>
        <w:rPr>
          <w:sz w:val="20"/>
          <w:szCs w:val="20"/>
          <w:color w:val="auto"/>
        </w:rPr>
      </w:pPr>
    </w:p>
    <w:p>
      <w:pPr>
        <w:ind w:left="600" w:hanging="302"/>
        <w:spacing w:after="0"/>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$4 million increase in costs related to the relocation of certain facilities; and</w:t>
      </w:r>
    </w:p>
    <w:p>
      <w:pPr>
        <w:spacing w:after="0" w:line="152" w:lineRule="exact"/>
        <w:rPr>
          <w:rFonts w:ascii="Arial" w:cs="Arial" w:eastAsia="Arial" w:hAnsi="Arial"/>
          <w:sz w:val="17"/>
          <w:szCs w:val="17"/>
          <w:color w:val="auto"/>
        </w:rPr>
      </w:pPr>
    </w:p>
    <w:p>
      <w:pPr>
        <w:ind w:left="600" w:right="20" w:hanging="302"/>
        <w:spacing w:after="0" w:line="250" w:lineRule="auto"/>
        <w:tabs>
          <w:tab w:leader="none" w:pos="596" w:val="left"/>
        </w:tabs>
        <w:numPr>
          <w:ilvl w:val="0"/>
          <w:numId w:val="54"/>
        </w:numPr>
        <w:rPr>
          <w:rFonts w:ascii="Arial" w:cs="Arial" w:eastAsia="Arial" w:hAnsi="Arial"/>
          <w:sz w:val="17"/>
          <w:szCs w:val="17"/>
          <w:color w:val="auto"/>
        </w:rPr>
      </w:pPr>
      <w:r>
        <w:rPr>
          <w:rFonts w:ascii="Arial" w:cs="Arial" w:eastAsia="Arial" w:hAnsi="Arial"/>
          <w:sz w:val="17"/>
          <w:szCs w:val="17"/>
          <w:color w:val="auto"/>
        </w:rPr>
        <w:t>$5 million increase in bid proposal and internal research and development expenditures ($2 million and $3 million, respectively) to promote future growth opportunities.</w:t>
      </w:r>
    </w:p>
    <w:p>
      <w:pPr>
        <w:spacing w:after="0" w:line="140" w:lineRule="exact"/>
        <w:rPr>
          <w:sz w:val="20"/>
          <w:szCs w:val="20"/>
          <w:color w:val="auto"/>
        </w:rPr>
      </w:pPr>
    </w:p>
    <w:p>
      <w:pPr>
        <w:ind w:right="580" w:firstLine="299"/>
        <w:spacing w:after="0" w:line="250" w:lineRule="auto"/>
        <w:rPr>
          <w:sz w:val="20"/>
          <w:szCs w:val="20"/>
          <w:color w:val="auto"/>
        </w:rPr>
      </w:pPr>
      <w:r>
        <w:rPr>
          <w:rFonts w:ascii="Arial" w:cs="Arial" w:eastAsia="Arial" w:hAnsi="Arial"/>
          <w:sz w:val="17"/>
          <w:szCs w:val="17"/>
          <w:color w:val="auto"/>
        </w:rPr>
        <w:t>This cost growth was largely offset by a reduction in proposal expenditures of $24 million on an aircraft training jet program pursuit in our AST segment that did not recur in 2019.</w:t>
      </w:r>
    </w:p>
    <w:p>
      <w:pPr>
        <w:spacing w:after="0" w:line="140" w:lineRule="exact"/>
        <w:rPr>
          <w:sz w:val="20"/>
          <w:szCs w:val="20"/>
          <w:color w:val="auto"/>
        </w:rPr>
      </w:pPr>
    </w:p>
    <w:p>
      <w:pPr>
        <w:ind w:right="80" w:firstLine="299"/>
        <w:spacing w:after="0" w:line="250" w:lineRule="auto"/>
        <w:rPr>
          <w:sz w:val="20"/>
          <w:szCs w:val="20"/>
          <w:color w:val="auto"/>
        </w:rPr>
      </w:pPr>
      <w:r>
        <w:rPr>
          <w:rFonts w:ascii="Arial" w:cs="Arial" w:eastAsia="Arial" w:hAnsi="Arial"/>
          <w:sz w:val="17"/>
          <w:szCs w:val="17"/>
          <w:color w:val="auto"/>
        </w:rPr>
        <w:t>Despite the increase in general and administrative expenses, our general and administrative expenses as a percentage of revenue decreased 1.3%, from 11.5% to 10.2%, contributing to our overall margin expansion.</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Other Operating Expenses, Net</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Other operating expenses increased by $11 million to $21 million for the year ended December 31, 2020 from $10 million for the year ended December 31, 2019, mainly due to costs incurred in response to impacts of the COVID-19 pandemic. In total we incurred $12 million of expenditures from March 1, 2020 through December 31, 2020 to ensure a safe work environment for our employees. These costs included paid leave, personal protective equipment and other cleaning measures, facility filtration systems and social and physical distancing efforts, including the use of zones and subzones for manufacturing facilities. Please see “—Business Overview and Considerations—Impacts of COVID-19 On Our Business” for further details on COVID-19 impact on our business.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Other operating expenses increased $2 million from $8 million for the year ended December 31, 2018 to $10 million for the year ended December 31, 2019, as a result of facility consolidation efforts implemented within our IMS segment.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Amortization of Intangibles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Amortization of intangibles for the year ended December 31, 2020 of $9 million were consistent with the year ended December 31, 2019.</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jc w:val="both"/>
        <w:ind w:right="60" w:firstLine="299"/>
        <w:spacing w:after="0" w:line="266" w:lineRule="auto"/>
        <w:rPr>
          <w:sz w:val="20"/>
          <w:szCs w:val="20"/>
          <w:color w:val="auto"/>
        </w:rPr>
      </w:pPr>
      <w:r>
        <w:rPr>
          <w:rFonts w:ascii="Arial" w:cs="Arial" w:eastAsia="Arial" w:hAnsi="Arial"/>
          <w:sz w:val="16"/>
          <w:szCs w:val="16"/>
          <w:color w:val="auto"/>
        </w:rPr>
        <w:t>For the year ended December 31, 2019, amortization of Intangibles decreased $84 million, or 90.3%, from $93 million for the year ended December 31, 2018 to $9 million for the year ended December 31, 2019, related to the completion of the amortization of the intangible asset recorded in connection with the 2008 acquisition of DRS by US Holding in December 2018. The remaining intangible asset amortization is primarily attributed to our intangibles assets recorded in connection with our 2017 acquisition of Daylight Solutions Inc. (“Daylight Solutions”), which operates within our AST segment.</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Operating Earnings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Operating earnings increased by $18 million to $181 million, or 11.0%, for the year ended December 31, 2020 from $163 million for the year ended December 31, 2019, driven by the increased revenue output and related contribution margin resulting from our AST segment financial contributions noted above, offset by the aforementioned changes in estimates to complete at our IMS and NC&amp;C segments, which led to an increase in general and administrative expenses and other operating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Operating earnings increased by $118 million, or 262.2%, from $45 million for the year ended December 31, 2018 to $163 million for the year ended December 31, 2019, primarily attributable to increased gross profit driven by higher revenue within our IMS segment as well as a reduction in the amortization of acquired intangibles.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20" w:firstLine="299"/>
        <w:spacing w:after="0" w:line="247" w:lineRule="auto"/>
        <w:rPr>
          <w:sz w:val="20"/>
          <w:szCs w:val="20"/>
          <w:color w:val="auto"/>
        </w:rPr>
      </w:pPr>
      <w:r>
        <w:rPr>
          <w:rFonts w:ascii="Arial" w:cs="Arial" w:eastAsia="Arial" w:hAnsi="Arial"/>
          <w:sz w:val="17"/>
          <w:szCs w:val="17"/>
          <w:color w:val="auto"/>
        </w:rPr>
        <w:t>Interest expense decreased by $ 1 million to $64 million for year end December 31, 2020 from $65 million for the year ended December 31, 2019. The reduction in annual interest was attributed to the lower interest rates on our variable rate borrowings. The weighted average interest rate on our revolving credit facility was 4.36% in 2020 compared to 5.93% in 2019.</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60" w:firstLine="299"/>
        <w:spacing w:after="0" w:line="270" w:lineRule="auto"/>
        <w:rPr>
          <w:sz w:val="20"/>
          <w:szCs w:val="20"/>
          <w:color w:val="auto"/>
        </w:rPr>
      </w:pPr>
      <w:r>
        <w:rPr>
          <w:rFonts w:ascii="Arial" w:cs="Arial" w:eastAsia="Arial" w:hAnsi="Arial"/>
          <w:sz w:val="16"/>
          <w:szCs w:val="16"/>
          <w:color w:val="auto"/>
        </w:rPr>
        <w:t>Interest expense increased by $7 million, or 12.1%, from $58 million for the year ended December 31, 2018 to $65 million for the year ended December 31, 2019, primarily driven by the commencement of certain financing leases to enhance our capacity within our NC&amp;C and IMS segments as well as an increase in revolver borrowings to fund increases in working capital requirements, predominately on fixed price development programs.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Other, Net</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80" w:firstLine="299"/>
        <w:spacing w:after="0" w:line="250" w:lineRule="auto"/>
        <w:rPr>
          <w:sz w:val="20"/>
          <w:szCs w:val="20"/>
          <w:color w:val="auto"/>
        </w:rPr>
      </w:pPr>
      <w:r>
        <w:rPr>
          <w:rFonts w:ascii="Arial" w:cs="Arial" w:eastAsia="Arial" w:hAnsi="Arial"/>
          <w:sz w:val="17"/>
          <w:szCs w:val="17"/>
          <w:color w:val="auto"/>
        </w:rPr>
        <w:t>Other, net increased to $5 million for the year ended December 31, 2020 from $3 million for the year ended December 31, 2019. This was primarily related to a loss of the termination on one of our international defined benefit pension plans.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was no meaningful change from the year ended December 31, 2019 to the year ended December 31, 2018.</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Earnings (Loss) Before Taxes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180" w:firstLine="299"/>
        <w:spacing w:after="0" w:line="247" w:lineRule="auto"/>
        <w:rPr>
          <w:sz w:val="20"/>
          <w:szCs w:val="20"/>
          <w:color w:val="auto"/>
        </w:rPr>
      </w:pPr>
      <w:r>
        <w:rPr>
          <w:rFonts w:ascii="Arial" w:cs="Arial" w:eastAsia="Arial" w:hAnsi="Arial"/>
          <w:sz w:val="17"/>
          <w:szCs w:val="17"/>
          <w:color w:val="auto"/>
        </w:rPr>
        <w:t>Earnings (loss) before taxes increased by $17 million to $112 million for the year ended December 31, 2020 from $95 million for the year ended December 31, 2019. This was primarily due to increased operating earnings of $18 million, the reduction of $1 million in interest expenditures offset in part by the $3 million increase of other, net costs as described above.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In year ended December 31, 2019 earning before taxes increased by $ 112 million from a loss of $17 million for the year ended December 31, 2018 to earnings of $95 million for the year ended December 31, 2019, primarily due to increased revenue and related gross profit, coupled with the reduction of amortization of acquired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140"/>
          </w:cols>
          <w:pgMar w:left="320" w:top="1440" w:right="439" w:bottom="1440" w:gutter="0" w:footer="0" w:header="0"/>
        </w:sectPr>
      </w:pPr>
    </w:p>
    <w:bookmarkStart w:id="94" w:name="page95"/>
    <w:bookmarkEnd w:id="94"/>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Income Tax Provision (Benefit)</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80" w:firstLine="299"/>
        <w:spacing w:after="0" w:line="246" w:lineRule="auto"/>
        <w:rPr>
          <w:sz w:val="20"/>
          <w:szCs w:val="20"/>
          <w:color w:val="auto"/>
        </w:rPr>
      </w:pPr>
      <w:r>
        <w:rPr>
          <w:rFonts w:ascii="Arial" w:cs="Arial" w:eastAsia="Arial" w:hAnsi="Arial"/>
          <w:sz w:val="17"/>
          <w:szCs w:val="17"/>
          <w:color w:val="auto"/>
        </w:rPr>
        <w:t>Income tax provision (benefit) increased by $7 million to $27 million for the year ended December 31, 2020 from $20 million for the year ended December 31, 2019. This was primarily due to an increase in earnings before taxes. Our effective tax rate for 2020 was 23.9% compared to 21.1% in 2019. The increase in the effective tax rate is primarily attributable to non-deductible costs in connection with our planned initial public offering of $9 million incurred during 2020.</w:t>
      </w:r>
    </w:p>
    <w:p>
      <w:pPr>
        <w:spacing w:after="0" w:line="144" w:lineRule="exact"/>
        <w:rPr>
          <w:sz w:val="20"/>
          <w:szCs w:val="20"/>
          <w:color w:val="auto"/>
        </w:rPr>
      </w:pPr>
    </w:p>
    <w:p>
      <w:pPr>
        <w:ind w:right="60" w:firstLine="299"/>
        <w:spacing w:after="0" w:line="250" w:lineRule="auto"/>
        <w:rPr>
          <w:sz w:val="20"/>
          <w:szCs w:val="20"/>
          <w:color w:val="auto"/>
        </w:rPr>
      </w:pPr>
      <w:r>
        <w:rPr>
          <w:rFonts w:ascii="Arial" w:cs="Arial" w:eastAsia="Arial" w:hAnsi="Arial"/>
          <w:sz w:val="17"/>
          <w:szCs w:val="17"/>
          <w:color w:val="auto"/>
        </w:rPr>
        <w:t>As of December 31, 2020 the Company had $131 million of Federal net operating loss carryforwards and $22 million of net tax credit carry-forwards that can be utilized to reduce approximately $50 million of future tax liabilities prior to their expiration commencing in 2025.</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60" w:firstLine="299"/>
        <w:spacing w:after="0" w:line="247" w:lineRule="auto"/>
        <w:rPr>
          <w:sz w:val="20"/>
          <w:szCs w:val="20"/>
          <w:color w:val="auto"/>
        </w:rPr>
      </w:pPr>
      <w:r>
        <w:rPr>
          <w:rFonts w:ascii="Arial" w:cs="Arial" w:eastAsia="Arial" w:hAnsi="Arial"/>
          <w:sz w:val="17"/>
          <w:szCs w:val="17"/>
          <w:color w:val="auto"/>
        </w:rPr>
        <w:t>The income tax provision (benefit) increased by $27 million from an income tax benefit of $7 million for the year ended December 31, 2018 to an income tax provision of $20 million for the year ended December 31, 2019 due to our loss before taxes in 2018 as compared to earnings before taxes in 2019. Our effective tax rate for 2019 was 21.1% compared to 41.2% in 2018, driven by our earnings (loss) before tax realized in 2018.</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Earnings (Loss)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100" w:firstLine="299"/>
        <w:spacing w:after="0" w:line="280" w:lineRule="auto"/>
        <w:rPr>
          <w:sz w:val="20"/>
          <w:szCs w:val="20"/>
          <w:color w:val="auto"/>
        </w:rPr>
      </w:pPr>
      <w:r>
        <w:rPr>
          <w:rFonts w:ascii="Arial" w:cs="Arial" w:eastAsia="Arial" w:hAnsi="Arial"/>
          <w:sz w:val="16"/>
          <w:szCs w:val="16"/>
          <w:color w:val="auto"/>
        </w:rPr>
        <w:t>Net earnings (loss) increased by $10 million to $ 85 million for the year ended December 31, 2020 when compared to the year ended December 31, 2019. This was driven by increased earnings before taxes of $17 million offset by increased in income tax benefit of $7 million as described above.</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jc w:val="both"/>
        <w:ind w:right="580" w:firstLine="299"/>
        <w:spacing w:after="0" w:line="247" w:lineRule="auto"/>
        <w:rPr>
          <w:sz w:val="20"/>
          <w:szCs w:val="20"/>
          <w:color w:val="auto"/>
        </w:rPr>
      </w:pPr>
      <w:r>
        <w:rPr>
          <w:rFonts w:ascii="Arial" w:cs="Arial" w:eastAsia="Arial" w:hAnsi="Arial"/>
          <w:sz w:val="17"/>
          <w:szCs w:val="17"/>
          <w:color w:val="auto"/>
        </w:rPr>
        <w:t>In year ended December, 31, 2019 net earnings increased by $85 million from a loss of $10 million for the year ended December 31, 2018 to earnings of $75 million for the year ended December 31, 2019, primarily due to the increase in revenue and decrease in amortization of acquired intangibles in 2019 as compared to 2018 described above.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Basic and Diluted EPS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300" w:firstLine="299"/>
        <w:spacing w:after="0" w:line="246" w:lineRule="auto"/>
        <w:rPr>
          <w:sz w:val="20"/>
          <w:szCs w:val="20"/>
          <w:color w:val="auto"/>
        </w:rPr>
      </w:pPr>
      <w:r>
        <w:rPr>
          <w:rFonts w:ascii="Arial" w:cs="Arial" w:eastAsia="Arial" w:hAnsi="Arial"/>
          <w:sz w:val="17"/>
          <w:szCs w:val="17"/>
          <w:color w:val="auto"/>
        </w:rPr>
        <w:t>For the year ended December 31, 2020, there were no changes in the number of basic and diluted shares. No equity awards were issued during such year. As of December 31, 2020 and 2019, there were 145,000,000 shares of common stock outstanding (after giving effect to a 1,450,000-for-1 forward stock split on our common stock effected on February 25, 2021), resulting in a basic and diluted EPS of $0.59 and $0.52 per share, respectively. The increase in EPS is attributed to the net earnings growth described above.</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firstLine="299"/>
        <w:spacing w:after="0" w:line="259" w:lineRule="auto"/>
        <w:rPr>
          <w:sz w:val="20"/>
          <w:szCs w:val="20"/>
          <w:color w:val="auto"/>
        </w:rPr>
      </w:pPr>
      <w:r>
        <w:rPr>
          <w:rFonts w:ascii="Arial" w:cs="Arial" w:eastAsia="Arial" w:hAnsi="Arial"/>
          <w:sz w:val="16"/>
          <w:szCs w:val="16"/>
          <w:color w:val="auto"/>
        </w:rPr>
        <w:t>For the years ended December 31, 2019 and 2018, there were no changes in the number of basic and diluted shares. No equity awards were issued during such years. As of December 31, 2019 and 2018, there were 145,000,000 shares of common stock outstanding (after giving 1,450,000-for-</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1 forward stock split on our common stock effected on February 25, 2021), resulting in a basic and diluted EPS of $0.52 and a loss of $0.07 per share, respectively. The improvement in EPS from the loss in 2018 is attributed to the net earnings growth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180"/>
          </w:cols>
          <w:pgMar w:left="320" w:top="1440" w:right="399" w:bottom="1440" w:gutter="0" w:footer="0" w:header="0"/>
        </w:sectPr>
      </w:pPr>
    </w:p>
    <w:bookmarkStart w:id="95" w:name="page96"/>
    <w:bookmarkEnd w:id="95"/>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500" w:firstLine="299"/>
        <w:spacing w:after="0" w:line="250" w:lineRule="auto"/>
        <w:rPr>
          <w:sz w:val="20"/>
          <w:szCs w:val="20"/>
          <w:color w:val="auto"/>
        </w:rPr>
      </w:pPr>
      <w:r>
        <w:rPr>
          <w:rFonts w:ascii="Arial" w:cs="Arial" w:eastAsia="Arial" w:hAnsi="Arial"/>
          <w:sz w:val="17"/>
          <w:szCs w:val="17"/>
          <w:color w:val="auto"/>
        </w:rPr>
        <w:t>Adjusted EBITDA increased $34 million, or 14.5%, from $234 million for the year ended December 31, 2019 to $268 million for the year ended December 31, 2020, primarily due to the increased gross profit contribution attributed to revenue growth and favorable revenue mix.</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100" w:firstLine="299"/>
        <w:spacing w:after="0" w:line="247" w:lineRule="auto"/>
        <w:rPr>
          <w:sz w:val="20"/>
          <w:szCs w:val="20"/>
          <w:color w:val="auto"/>
        </w:rPr>
      </w:pPr>
      <w:r>
        <w:rPr>
          <w:rFonts w:ascii="Arial" w:cs="Arial" w:eastAsia="Arial" w:hAnsi="Arial"/>
          <w:sz w:val="17"/>
          <w:szCs w:val="17"/>
          <w:color w:val="auto"/>
        </w:rPr>
        <w:t>For year ended December 31, 2019, Adjusted EBITDA increased $47 million, or 25.1%, from $187 million for the year ended December 31, 2018 to $234 million for the year ended December 31, 2019, primarily due to revenue growth offset in part by increased costs expected on fixed-priced development programs within our IMS sector and an increase in general and administrative expenses.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Adjusted EBITDA Margin</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620" w:firstLine="299"/>
        <w:spacing w:after="0" w:line="250" w:lineRule="auto"/>
        <w:rPr>
          <w:sz w:val="20"/>
          <w:szCs w:val="20"/>
          <w:color w:val="auto"/>
        </w:rPr>
      </w:pPr>
      <w:r>
        <w:rPr>
          <w:rFonts w:ascii="Arial" w:cs="Arial" w:eastAsia="Arial" w:hAnsi="Arial"/>
          <w:sz w:val="17"/>
          <w:szCs w:val="17"/>
          <w:color w:val="auto"/>
        </w:rPr>
        <w:t>Adjusted EBITDA Margin increased from 8.6% for the year ended December 31, 2019 to 9.6% for year ended December 31, 2020. This was primarily due to gross margin expansion attributable to favorable mix from increased revenues from our higher margin AST segment.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60" w:firstLine="299"/>
        <w:spacing w:after="0" w:line="247" w:lineRule="auto"/>
        <w:rPr>
          <w:sz w:val="20"/>
          <w:szCs w:val="20"/>
          <w:color w:val="auto"/>
        </w:rPr>
      </w:pPr>
      <w:r>
        <w:rPr>
          <w:rFonts w:ascii="Arial" w:cs="Arial" w:eastAsia="Arial" w:hAnsi="Arial"/>
          <w:sz w:val="17"/>
          <w:szCs w:val="17"/>
          <w:color w:val="auto"/>
        </w:rPr>
        <w:t>Adjusted EBITDA Margin increased from 8.0% for the year ended December 31, 2018 to 8.6% for the year ended December 31, 2019, primarily due to improved performance from revenue growth outpacing growth in our general and administrative expenses, offset in part by cost growth on certain of our development programs described above.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Adjusted EPS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320" w:firstLine="299"/>
        <w:spacing w:after="0" w:line="259" w:lineRule="auto"/>
        <w:rPr>
          <w:sz w:val="20"/>
          <w:szCs w:val="20"/>
          <w:color w:val="auto"/>
        </w:rPr>
      </w:pPr>
      <w:r>
        <w:rPr>
          <w:rFonts w:ascii="Arial" w:cs="Arial" w:eastAsia="Arial" w:hAnsi="Arial"/>
          <w:sz w:val="16"/>
          <w:szCs w:val="16"/>
          <w:color w:val="auto"/>
        </w:rPr>
        <w:t>For the year ended December 31, 2020, there were no changes in the number of basic and diluted shares. No equity awards were issued during such year. As of December 31, 2020 and 2019, there were 145,000,000 shares of common stock outstanding (after giving effect to a 1,450,000-for-</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1 forward stock split on our common stock effected on February 25, 2021), resulting in adjusted EPS of $0.73 and $0.52 per share, respectively. The increase in EPS is attributed to the net earnings growth noted above as well as COVID-19 response expenses and IPO related expenditures incurred in 2020.</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320" w:firstLine="299"/>
        <w:spacing w:after="0" w:line="259" w:lineRule="auto"/>
        <w:rPr>
          <w:sz w:val="20"/>
          <w:szCs w:val="20"/>
          <w:color w:val="auto"/>
        </w:rPr>
      </w:pPr>
      <w:r>
        <w:rPr>
          <w:rFonts w:ascii="Arial" w:cs="Arial" w:eastAsia="Arial" w:hAnsi="Arial"/>
          <w:sz w:val="16"/>
          <w:szCs w:val="16"/>
          <w:color w:val="auto"/>
        </w:rPr>
        <w:t>For the year ended December 31, 2019, there were no changes in the number of basic and diluted shares. No equity awards were issued during such year. As of December 31, 2019 and 2018, there were 145,000,000 shares of common stock outstanding (after giving effect to a 1,450,000-for-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 forward stock split on our common stock effected on February 25, 2021), resulting in adjusted EPS of $0.52 and a loss per share of $0.07, respectively.</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Backlog</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80" w:firstLine="299"/>
        <w:spacing w:after="0" w:line="247" w:lineRule="auto"/>
        <w:rPr>
          <w:sz w:val="20"/>
          <w:szCs w:val="20"/>
          <w:color w:val="auto"/>
        </w:rPr>
      </w:pPr>
      <w:r>
        <w:rPr>
          <w:rFonts w:ascii="Arial" w:cs="Arial" w:eastAsia="Arial" w:hAnsi="Arial"/>
          <w:sz w:val="17"/>
          <w:szCs w:val="17"/>
          <w:color w:val="auto"/>
        </w:rPr>
        <w:t>Backlog increased by $ 447 million, or 15.7%, from $2,844 million as of December 31, 2019 to $3,291 million as of December 31, 2020. The backlog increase was driven by our IMS segment, primarily attributed to the receipt of multi-year funding awards received on our naval power and propulsion programs. Please see “—Review of Operating Segments” below for a detailed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00"/>
          </w:cols>
          <w:pgMar w:left="320" w:top="1440" w:right="379" w:bottom="1440" w:gutter="0" w:footer="0" w:header="0"/>
        </w:sectPr>
      </w:pPr>
    </w:p>
    <w:bookmarkStart w:id="96" w:name="page97"/>
    <w:bookmarkEnd w:id="96"/>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Backlog increased by $160 million, or 6.0%, from $2,684 million as of December 31, 2018 to $2,844 million as of December 31, 2019 due to our bookings exceeding our revenue recognized during the year, driving an increase in our funded backlog of $209 million. The backlog increase was driven by our AST and NC&amp;C segments as detailed in our analysis of our reportable segments below. These increases were offset by a decrease in unfunded backlog of $49 million, primarily due to additional funding allocation on our Columbia-class submarine program within our IMS segment.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Estimated Potential Remaining Contract Value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Estimated potential remaining contract value of $7,981 million as of December 31, 2020 declined by $217 million, or 2.6%, as compared to December 31, 2019. This decrease was due to the receipt of incremental funding on legacy programs including active protection systems ($275 million), Satellite &amp; Network Communications programs ($97 million) and ruggedized computing hardware ($107 million). These reductions were offset by the receipt of long-term contracts that will be incrementally funded including CUAS programs ($170 million) and naval computing and displays awards ($114 million).</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The estimated potential remaining contract value increased $144 million to $8,198 million as of December 31, 2019 as compared to December 31, 2018. The increase was attributed to a contract award to provide at least five years of technology upgrades on Naval Submarines totaling $700 million and a MFoCS support contract received to facilitate hardware installation capabilities totaling $ 233 million. These increases were partially offset by incremental funding received on certain of our long-term IDIQ and follow-on programs, totaling $254 million, $384 million and $150 million for AST, NC&amp;C and IMS segments, respectively.</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Leverage Ratio</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0" w:firstLine="299"/>
        <w:spacing w:after="0" w:line="246" w:lineRule="auto"/>
        <w:rPr>
          <w:sz w:val="20"/>
          <w:szCs w:val="20"/>
          <w:color w:val="auto"/>
        </w:rPr>
      </w:pPr>
      <w:r>
        <w:rPr>
          <w:rFonts w:ascii="Arial" w:cs="Arial" w:eastAsia="Arial" w:hAnsi="Arial"/>
          <w:sz w:val="17"/>
          <w:szCs w:val="17"/>
          <w:color w:val="auto"/>
        </w:rPr>
        <w:t>For year ended December 31, 2020, our leverage ratio decreased to 0.9x from 2.3x for the year ended December 31, 2019. This was driven by improved Adjusted EBITDA of $34 million as compared to 2019 and the reduction in our net debt of $276 million as compared to the prior year. The net debt reduction was a result of the forgiveness of $300 million related party debt by US Holding and the repayment of certain related party debt obligations of $65 million, partially offset by the commencement of certain long-term finance leases and other financing obligations of $83 million.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For the year ended December 31, 2019, our leverage ratio decreased to 2.3x from 3.0x for the year ended December 31, 2018. The decrease can be attributed to an increase in Adjusted EBITDA of $47 million in 2019 as compared to 2018 as well as a decrease in our net debt of $ 33 million from December 31, 2018 as compared to December 31, 2019. Net debt declined as a result of improved cash flows and the issuance of a related party note receivable of $100 million. These reductions in net debt were partially offset by an increase in finance lease obligations related to commencement of facility leases at our NC&amp;C and IMS segments.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Bookings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40" w:firstLine="299"/>
        <w:spacing w:after="0" w:line="250" w:lineRule="auto"/>
        <w:rPr>
          <w:sz w:val="20"/>
          <w:szCs w:val="20"/>
          <w:color w:val="auto"/>
        </w:rPr>
      </w:pPr>
      <w:r>
        <w:rPr>
          <w:rFonts w:ascii="Arial" w:cs="Arial" w:eastAsia="Arial" w:hAnsi="Arial"/>
          <w:sz w:val="17"/>
          <w:szCs w:val="17"/>
          <w:color w:val="auto"/>
        </w:rPr>
        <w:t>Bookings increased to $3,055 million, or 4.5%, for the year ended December 31, 2020 from $2,923 million for the year ended December 31, 2019. The increase was driven by significant awards in our 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40"/>
          </w:cols>
          <w:pgMar w:left="320" w:top="1440" w:right="339" w:bottom="1440" w:gutter="0" w:footer="0" w:header="0"/>
        </w:sectPr>
      </w:pPr>
    </w:p>
    <w:bookmarkStart w:id="97" w:name="page98"/>
    <w:bookmarkEnd w:id="97"/>
    <w:p>
      <w:pPr>
        <w:spacing w:after="0" w:line="4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segment including the receipt of multi-year funding awards received on our naval power and propulsion programs to support the CVN 80/81 carriers program ($212 million). Additionally, our AST segment received production awards for next generation Dismounted Soldier Sensing and Airborne Force Protection programs generating $30 million and $40 million of incremental bookings, respectively. This was offset by the significant TROPHY™ APS award received in 2019 ($195 million) that did not recur in 2020.</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100" w:firstLine="299"/>
        <w:spacing w:after="0" w:line="247" w:lineRule="auto"/>
        <w:rPr>
          <w:sz w:val="20"/>
          <w:szCs w:val="20"/>
          <w:color w:val="auto"/>
        </w:rPr>
      </w:pPr>
      <w:r>
        <w:rPr>
          <w:rFonts w:ascii="Arial" w:cs="Arial" w:eastAsia="Arial" w:hAnsi="Arial"/>
          <w:sz w:val="17"/>
          <w:szCs w:val="17"/>
          <w:color w:val="auto"/>
        </w:rPr>
        <w:t>Bookings increased by $44 million, or 1.5%, to $2,923 million for the year ended December 31, 2019 from $ 2,879 million for the year ended December 31, 2018, primarily due to the enhanced scope received on our Columbia-class submarine programs at our IMS segment, largely offset by a reduction in bookings related to certain competitive C4I U.S. Navy network hardware programs.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Free cash flow</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Free cash flow decreased by $36 million, or 32.7%, to $74 million for the year ended December 31, 2020 from $110 million for the year ended December 31, 2019. This was primarily attributable to increases in operating working capital relating to timing and the ongoing transition of development programs to production.</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240" w:firstLine="299"/>
        <w:spacing w:after="0" w:line="246" w:lineRule="auto"/>
        <w:rPr>
          <w:sz w:val="20"/>
          <w:szCs w:val="20"/>
          <w:color w:val="auto"/>
        </w:rPr>
      </w:pPr>
      <w:r>
        <w:rPr>
          <w:rFonts w:ascii="Arial" w:cs="Arial" w:eastAsia="Arial" w:hAnsi="Arial"/>
          <w:sz w:val="17"/>
          <w:szCs w:val="17"/>
          <w:color w:val="auto"/>
        </w:rPr>
        <w:t>Free cash flow increased by $45 million to $110 million for the year ended December 31, 2019 from $65 million for the year ended December 31, 2018. The increase can be attributed to the increase in net earnings and Adjusted EBITDA as compared to 2018 as well as an increase in accounts payable to mitigate the impacts of increases in working capital on certain design programs for which we had not yet achieved billing milestones as of year-end.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of Operating Segments</w:t>
      </w:r>
    </w:p>
    <w:p>
      <w:pPr>
        <w:spacing w:after="0" w:line="173" w:lineRule="exact"/>
        <w:rPr>
          <w:sz w:val="20"/>
          <w:szCs w:val="20"/>
          <w:color w:val="auto"/>
        </w:rPr>
      </w:pPr>
    </w:p>
    <w:p>
      <w:pPr>
        <w:ind w:right="20" w:firstLine="299"/>
        <w:spacing w:after="0" w:line="250" w:lineRule="auto"/>
        <w:rPr>
          <w:sz w:val="20"/>
          <w:szCs w:val="20"/>
          <w:color w:val="auto"/>
        </w:rPr>
      </w:pPr>
      <w:r>
        <w:rPr>
          <w:rFonts w:ascii="Arial" w:cs="Arial" w:eastAsia="Arial" w:hAnsi="Arial"/>
          <w:sz w:val="17"/>
          <w:szCs w:val="17"/>
          <w:color w:val="auto"/>
        </w:rPr>
        <w:t>The following is a discussion of operating results for each of our operating segments. We have elected to use Revenue, Adjusted EBITDA, Adjusted EBITDA Margin, Bookings and Backlog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140"/>
          </w:cols>
          <w:pgMar w:left="320" w:top="1440" w:right="439" w:bottom="1440" w:gutter="0" w:footer="0" w:header="0"/>
        </w:sectPr>
      </w:pPr>
    </w:p>
    <w:bookmarkStart w:id="98" w:name="page99"/>
    <w:bookmarkEnd w:id="98"/>
    <w:p>
      <w:pPr>
        <w:spacing w:after="0" w:line="25" w:lineRule="exact"/>
        <w:rPr>
          <w:sz w:val="20"/>
          <w:szCs w:val="20"/>
          <w:color w:val="auto"/>
        </w:rPr>
      </w:pPr>
    </w:p>
    <w:p>
      <w:pPr>
        <w:ind w:right="2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detailed information on our segment performance. Additional information regarding our segments can be found in </w:t>
      </w:r>
      <w:hyperlink w:anchor="page240">
        <w:r>
          <w:rPr>
            <w:rFonts w:ascii="Arial" w:cs="Arial" w:eastAsia="Arial" w:hAnsi="Arial"/>
            <w:sz w:val="17"/>
            <w:szCs w:val="17"/>
            <w:i w:val="1"/>
            <w:iCs w:val="1"/>
            <w:color w:val="auto"/>
          </w:rPr>
          <w:t>Note 17: Segment information</w:t>
        </w:r>
        <w:r>
          <w:rPr>
            <w:rFonts w:ascii="Arial" w:cs="Arial" w:eastAsia="Arial" w:hAnsi="Arial"/>
            <w:sz w:val="17"/>
            <w:szCs w:val="17"/>
            <w:color w:val="auto"/>
          </w:rPr>
          <w:t xml:space="preserve"> </w:t>
        </w:r>
      </w:hyperlink>
      <w:r>
        <w:rPr>
          <w:rFonts w:ascii="Arial" w:cs="Arial" w:eastAsia="Arial" w:hAnsi="Arial"/>
          <w:sz w:val="17"/>
          <w:szCs w:val="17"/>
          <w:color w:val="auto"/>
        </w:rPr>
        <w:t>within the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6"/>
          </w:tcPr>
          <w:p>
            <w:pPr>
              <w:jc w:val="right"/>
              <w:ind w:right="114"/>
              <w:spacing w:after="0"/>
              <w:rPr>
                <w:sz w:val="20"/>
                <w:szCs w:val="20"/>
                <w:color w:val="auto"/>
              </w:rPr>
            </w:pPr>
            <w:r>
              <w:rPr>
                <w:rFonts w:ascii="Arial" w:cs="Arial" w:eastAsia="Arial" w:hAnsi="Arial"/>
                <w:sz w:val="12"/>
                <w:szCs w:val="12"/>
                <w:b w:val="1"/>
                <w:bCs w:val="1"/>
                <w:color w:val="auto"/>
              </w:rPr>
              <w:t>Year Ended December 31,</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vMerge w:val="restart"/>
          </w:tcPr>
          <w:p>
            <w:pPr>
              <w:jc w:val="right"/>
              <w:ind w:right="54"/>
              <w:spacing w:after="0"/>
              <w:rPr>
                <w:sz w:val="20"/>
                <w:szCs w:val="20"/>
                <w:color w:val="auto"/>
              </w:rPr>
            </w:pPr>
            <w:r>
              <w:rPr>
                <w:rFonts w:ascii="Arial" w:cs="Arial" w:eastAsia="Arial" w:hAnsi="Arial"/>
                <w:sz w:val="12"/>
                <w:szCs w:val="12"/>
                <w:b w:val="1"/>
                <w:bCs w:val="1"/>
                <w:color w:val="auto"/>
              </w:rPr>
              <w:t>2020 vs. 2019</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2019 vs. 2018</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860" w:type="dxa"/>
            <w:vAlign w:val="bottom"/>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260" w:type="dxa"/>
            <w:vAlign w:val="bottom"/>
          </w:tcPr>
          <w:p>
            <w:pPr>
              <w:spacing w:after="0"/>
              <w:rPr>
                <w:sz w:val="13"/>
                <w:szCs w:val="13"/>
                <w:color w:val="auto"/>
              </w:rPr>
            </w:pPr>
          </w:p>
        </w:tc>
        <w:tc>
          <w:tcPr>
            <w:tcW w:w="840" w:type="dxa"/>
            <w:vAlign w:val="bottom"/>
          </w:tcPr>
          <w:p>
            <w:pPr>
              <w:jc w:val="right"/>
              <w:ind w:right="35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5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54"/>
              <w:spacing w:after="0"/>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194"/>
              <w:spacing w:after="0"/>
              <w:rPr>
                <w:sz w:val="20"/>
                <w:szCs w:val="20"/>
                <w:color w:val="auto"/>
              </w:rPr>
            </w:pPr>
            <w:r>
              <w:rPr>
                <w:rFonts w:ascii="Arial" w:cs="Arial" w:eastAsia="Arial" w:hAnsi="Arial"/>
                <w:sz w:val="12"/>
                <w:szCs w:val="12"/>
                <w:b w:val="1"/>
                <w:bCs w:val="1"/>
                <w:color w:val="auto"/>
              </w:rPr>
              <w:t>Variance</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jc w:val="right"/>
              <w:ind w:right="214"/>
              <w:spacing w:after="0"/>
              <w:rPr>
                <w:sz w:val="20"/>
                <w:szCs w:val="20"/>
                <w:color w:val="auto"/>
              </w:rPr>
            </w:pPr>
            <w:r>
              <w:rPr>
                <w:rFonts w:ascii="Arial" w:cs="Arial" w:eastAsia="Arial" w:hAnsi="Arial"/>
                <w:sz w:val="12"/>
                <w:szCs w:val="12"/>
                <w:b w:val="1"/>
                <w:bCs w:val="1"/>
                <w:color w:val="auto"/>
              </w:rPr>
              <w:t>Variance</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Revenue: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60" w:type="dxa"/>
            <w:vAlign w:val="bottom"/>
          </w:tcPr>
          <w:p>
            <w:pPr>
              <w:ind w:left="160"/>
              <w:spacing w:after="0"/>
              <w:rPr>
                <w:sz w:val="20"/>
                <w:szCs w:val="20"/>
                <w:color w:val="auto"/>
              </w:rPr>
            </w:pPr>
            <w:r>
              <w:rPr>
                <w:rFonts w:ascii="Arial" w:cs="Arial" w:eastAsia="Arial" w:hAnsi="Arial"/>
                <w:sz w:val="13"/>
                <w:szCs w:val="13"/>
                <w:color w:val="auto"/>
              </w:rPr>
              <w:t>AST</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6"/>
                <w:szCs w:val="16"/>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16"/>
                <w:szCs w:val="16"/>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659</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674"/>
              <w:spacing w:after="0"/>
              <w:rPr>
                <w:sz w:val="20"/>
                <w:szCs w:val="20"/>
                <w:color w:val="auto"/>
              </w:rPr>
            </w:pPr>
            <w:r>
              <w:rPr>
                <w:rFonts w:ascii="Arial" w:cs="Arial" w:eastAsia="Arial" w:hAnsi="Arial"/>
                <w:sz w:val="13"/>
                <w:szCs w:val="13"/>
                <w:color w:val="auto"/>
              </w:rPr>
              <w:t>159</w:t>
            </w:r>
          </w:p>
        </w:tc>
        <w:tc>
          <w:tcPr>
            <w:tcW w:w="500" w:type="dxa"/>
            <w:vAlign w:val="bottom"/>
          </w:tcPr>
          <w:p>
            <w:pPr>
              <w:jc w:val="right"/>
              <w:spacing w:after="0"/>
              <w:rPr>
                <w:sz w:val="20"/>
                <w:szCs w:val="20"/>
                <w:color w:val="auto"/>
              </w:rPr>
            </w:pPr>
            <w:r>
              <w:rPr>
                <w:rFonts w:ascii="Arial" w:cs="Arial" w:eastAsia="Arial" w:hAnsi="Arial"/>
                <w:sz w:val="13"/>
                <w:szCs w:val="13"/>
                <w:color w:val="auto"/>
              </w:rPr>
              <w:t>20.3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122</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18.5 %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NC&amp;C</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1,111</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634"/>
              <w:spacing w:after="0"/>
              <w:rPr>
                <w:sz w:val="20"/>
                <w:szCs w:val="20"/>
                <w:color w:val="auto"/>
              </w:rPr>
            </w:pPr>
            <w:r>
              <w:rPr>
                <w:rFonts w:ascii="Arial" w:cs="Arial" w:eastAsia="Arial" w:hAnsi="Arial"/>
                <w:sz w:val="13"/>
                <w:szCs w:val="13"/>
                <w:color w:val="auto"/>
              </w:rPr>
              <w:t>(27)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54"/>
              <w:spacing w:after="0"/>
              <w:rPr>
                <w:sz w:val="20"/>
                <w:szCs w:val="20"/>
                <w:color w:val="auto"/>
              </w:rPr>
            </w:pPr>
            <w:r>
              <w:rPr>
                <w:rFonts w:ascii="Arial" w:cs="Arial" w:eastAsia="Arial" w:hAnsi="Arial"/>
                <w:sz w:val="13"/>
                <w:szCs w:val="13"/>
                <w:color w:val="auto"/>
              </w:rPr>
              <w:t>(57)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194"/>
        </w:trPr>
        <w:tc>
          <w:tcPr>
            <w:tcW w:w="2860" w:type="dxa"/>
            <w:vAlign w:val="bottom"/>
          </w:tcPr>
          <w:p>
            <w:pPr>
              <w:ind w:left="160"/>
              <w:spacing w:after="0"/>
              <w:rPr>
                <w:sz w:val="20"/>
                <w:szCs w:val="20"/>
                <w:color w:val="auto"/>
              </w:rPr>
            </w:pPr>
            <w:r>
              <w:rPr>
                <w:rFonts w:ascii="Arial" w:cs="Arial" w:eastAsia="Arial" w:hAnsi="Arial"/>
                <w:sz w:val="13"/>
                <w:szCs w:val="13"/>
                <w:color w:val="auto"/>
              </w:rPr>
              <w:t>IMS</w:t>
            </w:r>
          </w:p>
        </w:tc>
        <w:tc>
          <w:tcPr>
            <w:tcW w:w="260" w:type="dxa"/>
            <w:vAlign w:val="bottom"/>
          </w:tcPr>
          <w:p>
            <w:pPr>
              <w:spacing w:after="0"/>
              <w:rPr>
                <w:sz w:val="16"/>
                <w:szCs w:val="16"/>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917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610</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634"/>
              <w:spacing w:after="0"/>
              <w:rPr>
                <w:sz w:val="20"/>
                <w:szCs w:val="20"/>
                <w:color w:val="auto"/>
              </w:rPr>
            </w:pPr>
            <w:r>
              <w:rPr>
                <w:rFonts w:ascii="Arial" w:cs="Arial" w:eastAsia="Arial" w:hAnsi="Arial"/>
                <w:sz w:val="13"/>
                <w:szCs w:val="13"/>
                <w:color w:val="auto"/>
              </w:rPr>
              <w:t>(83)</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(9.1)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307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50.3 %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Corporate &amp; Eliminations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(41.9) %</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(21.3 %)</w:t>
            </w:r>
          </w:p>
        </w:tc>
        <w:tc>
          <w:tcPr>
            <w:tcW w:w="0" w:type="dxa"/>
            <w:vAlign w:val="bottom"/>
          </w:tcPr>
          <w:p>
            <w:pPr>
              <w:spacing w:after="0"/>
              <w:rPr>
                <w:sz w:val="1"/>
                <w:szCs w:val="1"/>
                <w:color w:val="auto"/>
              </w:rPr>
            </w:pPr>
          </w:p>
        </w:tc>
      </w:tr>
      <w:tr>
        <w:trPr>
          <w:trHeight w:val="194"/>
        </w:trPr>
        <w:tc>
          <w:tcPr>
            <w:tcW w:w="2860" w:type="dxa"/>
            <w:vAlign w:val="bottom"/>
          </w:tcPr>
          <w:p>
            <w:pPr>
              <w:ind w:left="220"/>
              <w:spacing w:after="0"/>
              <w:rPr>
                <w:sz w:val="20"/>
                <w:szCs w:val="20"/>
                <w:color w:val="auto"/>
              </w:rPr>
            </w:pPr>
            <w:r>
              <w:rPr>
                <w:rFonts w:ascii="Arial" w:cs="Arial" w:eastAsia="Arial" w:hAnsi="Arial"/>
                <w:sz w:val="13"/>
                <w:szCs w:val="13"/>
                <w:color w:val="auto"/>
              </w:rPr>
              <w:t>Total revenue</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2,778</w:t>
            </w:r>
          </w:p>
        </w:tc>
        <w:tc>
          <w:tcPr>
            <w:tcW w:w="100" w:type="dxa"/>
            <w:vAlign w:val="bottom"/>
          </w:tcPr>
          <w:p>
            <w:pPr>
              <w:spacing w:after="0"/>
              <w:rPr>
                <w:sz w:val="16"/>
                <w:szCs w:val="16"/>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2,714</w:t>
            </w:r>
          </w:p>
        </w:tc>
        <w:tc>
          <w:tcPr>
            <w:tcW w:w="100" w:type="dxa"/>
            <w:vAlign w:val="bottom"/>
          </w:tcPr>
          <w:p>
            <w:pPr>
              <w:spacing w:after="0"/>
              <w:rPr>
                <w:sz w:val="16"/>
                <w:szCs w:val="16"/>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2,333</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674"/>
              <w:spacing w:after="0"/>
              <w:rPr>
                <w:sz w:val="20"/>
                <w:szCs w:val="20"/>
                <w:color w:val="auto"/>
              </w:rPr>
            </w:pPr>
            <w:r>
              <w:rPr>
                <w:rFonts w:ascii="Arial" w:cs="Arial" w:eastAsia="Arial" w:hAnsi="Arial"/>
                <w:sz w:val="13"/>
                <w:szCs w:val="13"/>
                <w:color w:val="auto"/>
              </w:rPr>
              <w:t>64</w:t>
            </w:r>
          </w:p>
        </w:tc>
        <w:tc>
          <w:tcPr>
            <w:tcW w:w="500" w:type="dxa"/>
            <w:vAlign w:val="bottom"/>
          </w:tcPr>
          <w:p>
            <w:pPr>
              <w:jc w:val="right"/>
              <w:spacing w:after="0"/>
              <w:rPr>
                <w:sz w:val="20"/>
                <w:szCs w:val="20"/>
                <w:color w:val="auto"/>
              </w:rPr>
            </w:pPr>
            <w:r>
              <w:rPr>
                <w:rFonts w:ascii="Arial" w:cs="Arial" w:eastAsia="Arial" w:hAnsi="Arial"/>
                <w:sz w:val="13"/>
                <w:szCs w:val="13"/>
                <w:color w:val="auto"/>
              </w:rPr>
              <w:t>2.3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382</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16.4 %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Adjusted EBITDA:</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60" w:type="dxa"/>
            <w:vAlign w:val="bottom"/>
          </w:tcPr>
          <w:p>
            <w:pPr>
              <w:ind w:left="220"/>
              <w:spacing w:after="0"/>
              <w:rPr>
                <w:sz w:val="20"/>
                <w:szCs w:val="20"/>
                <w:color w:val="auto"/>
              </w:rPr>
            </w:pPr>
            <w:r>
              <w:rPr>
                <w:rFonts w:ascii="Arial" w:cs="Arial" w:eastAsia="Arial" w:hAnsi="Arial"/>
                <w:sz w:val="13"/>
                <w:szCs w:val="13"/>
                <w:color w:val="auto"/>
              </w:rPr>
              <w:t>AST</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6"/>
                <w:szCs w:val="16"/>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14"/>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6"/>
                <w:szCs w:val="16"/>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73</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674"/>
              <w:spacing w:after="0"/>
              <w:rPr>
                <w:sz w:val="20"/>
                <w:szCs w:val="20"/>
                <w:color w:val="auto"/>
              </w:rPr>
            </w:pPr>
            <w:r>
              <w:rPr>
                <w:rFonts w:ascii="Arial" w:cs="Arial" w:eastAsia="Arial" w:hAnsi="Arial"/>
                <w:sz w:val="13"/>
                <w:szCs w:val="13"/>
                <w:color w:val="auto"/>
              </w:rPr>
              <w:t>29</w:t>
            </w:r>
          </w:p>
        </w:tc>
        <w:tc>
          <w:tcPr>
            <w:tcW w:w="500" w:type="dxa"/>
            <w:vAlign w:val="bottom"/>
          </w:tcPr>
          <w:p>
            <w:pPr>
              <w:jc w:val="right"/>
              <w:spacing w:after="0"/>
              <w:rPr>
                <w:sz w:val="20"/>
                <w:szCs w:val="20"/>
                <w:color w:val="auto"/>
              </w:rPr>
            </w:pPr>
            <w:r>
              <w:rPr>
                <w:rFonts w:ascii="Arial" w:cs="Arial" w:eastAsia="Arial" w:hAnsi="Arial"/>
                <w:sz w:val="13"/>
                <w:szCs w:val="13"/>
                <w:color w:val="auto"/>
              </w:rPr>
              <w:t>30.7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21</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28.8 %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NC&amp;C</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15</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194"/>
        </w:trPr>
        <w:tc>
          <w:tcPr>
            <w:tcW w:w="2860" w:type="dxa"/>
            <w:vAlign w:val="bottom"/>
          </w:tcPr>
          <w:p>
            <w:pPr>
              <w:ind w:left="220"/>
              <w:spacing w:after="0"/>
              <w:rPr>
                <w:sz w:val="20"/>
                <w:szCs w:val="20"/>
                <w:color w:val="auto"/>
              </w:rPr>
            </w:pPr>
            <w:r>
              <w:rPr>
                <w:rFonts w:ascii="Arial" w:cs="Arial" w:eastAsia="Arial" w:hAnsi="Arial"/>
                <w:sz w:val="13"/>
                <w:szCs w:val="13"/>
                <w:color w:val="auto"/>
              </w:rPr>
              <w:t>IMS</w:t>
            </w:r>
          </w:p>
        </w:tc>
        <w:tc>
          <w:tcPr>
            <w:tcW w:w="260" w:type="dxa"/>
            <w:vAlign w:val="bottom"/>
          </w:tcPr>
          <w:p>
            <w:pPr>
              <w:spacing w:after="0"/>
              <w:rPr>
                <w:sz w:val="16"/>
                <w:szCs w:val="16"/>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4"/>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34"/>
              <w:spacing w:after="0"/>
              <w:rPr>
                <w:sz w:val="20"/>
                <w:szCs w:val="20"/>
                <w:color w:val="auto"/>
              </w:rPr>
            </w:pPr>
            <w:r>
              <w:rPr>
                <w:rFonts w:ascii="Arial" w:cs="Arial" w:eastAsia="Arial" w:hAnsi="Arial"/>
                <w:sz w:val="13"/>
                <w:szCs w:val="13"/>
                <w:color w:val="auto"/>
              </w:rPr>
              <w:t>(8)</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(12.2)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22</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53.7 %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Corporate &amp; Eliminations</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34"/>
              <w:spacing w:after="0"/>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(85.0) %</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NM</w:t>
            </w:r>
          </w:p>
        </w:tc>
        <w:tc>
          <w:tcPr>
            <w:tcW w:w="0" w:type="dxa"/>
            <w:vAlign w:val="bottom"/>
          </w:tcPr>
          <w:p>
            <w:pPr>
              <w:spacing w:after="0"/>
              <w:rPr>
                <w:sz w:val="1"/>
                <w:szCs w:val="1"/>
                <w:color w:val="auto"/>
              </w:rPr>
            </w:pPr>
          </w:p>
        </w:tc>
      </w:tr>
      <w:tr>
        <w:trPr>
          <w:trHeight w:val="194"/>
        </w:trPr>
        <w:tc>
          <w:tcPr>
            <w:tcW w:w="2860" w:type="dxa"/>
            <w:vAlign w:val="bottom"/>
          </w:tcPr>
          <w:p>
            <w:pPr>
              <w:ind w:left="220"/>
              <w:spacing w:after="0"/>
              <w:rPr>
                <w:sz w:val="20"/>
                <w:szCs w:val="20"/>
                <w:color w:val="auto"/>
              </w:rPr>
            </w:pPr>
            <w:r>
              <w:rPr>
                <w:rFonts w:ascii="Arial" w:cs="Arial" w:eastAsia="Arial" w:hAnsi="Arial"/>
                <w:sz w:val="13"/>
                <w:szCs w:val="13"/>
                <w:color w:val="auto"/>
              </w:rPr>
              <w:t>Total Adjusted EBITDA</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6"/>
                <w:szCs w:val="16"/>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6"/>
                <w:szCs w:val="16"/>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187</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674"/>
              <w:spacing w:after="0"/>
              <w:rPr>
                <w:sz w:val="20"/>
                <w:szCs w:val="20"/>
                <w:color w:val="auto"/>
              </w:rPr>
            </w:pPr>
            <w:r>
              <w:rPr>
                <w:rFonts w:ascii="Arial" w:cs="Arial" w:eastAsia="Arial" w:hAnsi="Arial"/>
                <w:sz w:val="13"/>
                <w:szCs w:val="13"/>
                <w:color w:val="auto"/>
              </w:rPr>
              <w:t>34</w:t>
            </w:r>
          </w:p>
        </w:tc>
        <w:tc>
          <w:tcPr>
            <w:tcW w:w="500" w:type="dxa"/>
            <w:vAlign w:val="bottom"/>
          </w:tcPr>
          <w:p>
            <w:pPr>
              <w:jc w:val="right"/>
              <w:spacing w:after="0"/>
              <w:rPr>
                <w:sz w:val="20"/>
                <w:szCs w:val="20"/>
                <w:color w:val="auto"/>
              </w:rPr>
            </w:pPr>
            <w:r>
              <w:rPr>
                <w:rFonts w:ascii="Arial" w:cs="Arial" w:eastAsia="Arial" w:hAnsi="Arial"/>
                <w:sz w:val="13"/>
                <w:szCs w:val="13"/>
                <w:color w:val="auto"/>
              </w:rPr>
              <w:t>14.5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47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25.1 %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Adjusted EBITDA Margin:</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60" w:type="dxa"/>
            <w:vAlign w:val="bottom"/>
          </w:tcPr>
          <w:p>
            <w:pPr>
              <w:ind w:left="220"/>
              <w:spacing w:after="0"/>
              <w:rPr>
                <w:sz w:val="20"/>
                <w:szCs w:val="20"/>
                <w:color w:val="auto"/>
              </w:rPr>
            </w:pPr>
            <w:r>
              <w:rPr>
                <w:rFonts w:ascii="Arial" w:cs="Arial" w:eastAsia="Arial" w:hAnsi="Arial"/>
                <w:sz w:val="13"/>
                <w:szCs w:val="13"/>
                <w:color w:val="auto"/>
              </w:rPr>
              <w:t>AST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11.1 %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514"/>
              <w:spacing w:after="0"/>
              <w:rPr>
                <w:sz w:val="20"/>
                <w:szCs w:val="20"/>
                <w:color w:val="auto"/>
              </w:rPr>
            </w:pPr>
            <w:r>
              <w:rPr>
                <w:rFonts w:ascii="Arial" w:cs="Arial" w:eastAsia="Arial" w:hAnsi="Arial"/>
                <w:sz w:val="13"/>
                <w:szCs w:val="13"/>
                <w:color w:val="auto"/>
              </w:rPr>
              <w:t>1.1 %</w:t>
            </w: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534"/>
              <w:spacing w:after="0"/>
              <w:rPr>
                <w:sz w:val="20"/>
                <w:szCs w:val="20"/>
                <w:color w:val="auto"/>
              </w:rPr>
            </w:pPr>
            <w:r>
              <w:rPr>
                <w:rFonts w:ascii="Arial" w:cs="Arial" w:eastAsia="Arial" w:hAnsi="Arial"/>
                <w:sz w:val="13"/>
                <w:szCs w:val="13"/>
                <w:color w:val="auto"/>
              </w:rPr>
              <w:t>0.9 %</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8.1 %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NC&amp;C</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6.5 %</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1.6 %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34"/>
              <w:spacing w:after="0"/>
              <w:rPr>
                <w:sz w:val="20"/>
                <w:szCs w:val="20"/>
                <w:color w:val="auto"/>
              </w:rPr>
            </w:pPr>
            <w:r>
              <w:rPr>
                <w:rFonts w:ascii="Arial" w:cs="Arial" w:eastAsia="Arial" w:hAnsi="Arial"/>
                <w:sz w:val="13"/>
                <w:szCs w:val="13"/>
                <w:color w:val="auto"/>
              </w:rPr>
              <w:t>0.6 %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9.2 %</w:t>
            </w:r>
          </w:p>
        </w:tc>
        <w:tc>
          <w:tcPr>
            <w:tcW w:w="0" w:type="dxa"/>
            <w:vAlign w:val="bottom"/>
          </w:tcPr>
          <w:p>
            <w:pPr>
              <w:spacing w:after="0"/>
              <w:rPr>
                <w:sz w:val="1"/>
                <w:szCs w:val="1"/>
                <w:color w:val="auto"/>
              </w:rPr>
            </w:pPr>
          </w:p>
        </w:tc>
      </w:tr>
      <w:tr>
        <w:trPr>
          <w:trHeight w:val="194"/>
        </w:trPr>
        <w:tc>
          <w:tcPr>
            <w:tcW w:w="2860" w:type="dxa"/>
            <w:vAlign w:val="bottom"/>
          </w:tcPr>
          <w:p>
            <w:pPr>
              <w:ind w:left="220"/>
              <w:spacing w:after="0"/>
              <w:rPr>
                <w:sz w:val="20"/>
                <w:szCs w:val="20"/>
                <w:color w:val="auto"/>
              </w:rPr>
            </w:pPr>
            <w:r>
              <w:rPr>
                <w:rFonts w:ascii="Arial" w:cs="Arial" w:eastAsia="Arial" w:hAnsi="Arial"/>
                <w:sz w:val="13"/>
                <w:szCs w:val="13"/>
                <w:color w:val="auto"/>
              </w:rPr>
              <w:t>IMS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514"/>
              <w:spacing w:after="0"/>
              <w:rPr>
                <w:sz w:val="20"/>
                <w:szCs w:val="20"/>
                <w:color w:val="auto"/>
              </w:rPr>
            </w:pPr>
            <w:r>
              <w:rPr>
                <w:rFonts w:ascii="Arial" w:cs="Arial" w:eastAsia="Arial" w:hAnsi="Arial"/>
                <w:sz w:val="13"/>
                <w:szCs w:val="13"/>
                <w:color w:val="auto"/>
              </w:rPr>
              <w:t>(0.2)%</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(3.5)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534"/>
              <w:spacing w:after="0"/>
              <w:rPr>
                <w:sz w:val="20"/>
                <w:szCs w:val="20"/>
                <w:color w:val="auto"/>
              </w:rPr>
            </w:pPr>
            <w:r>
              <w:rPr>
                <w:rFonts w:ascii="Arial" w:cs="Arial" w:eastAsia="Arial" w:hAnsi="Arial"/>
                <w:sz w:val="13"/>
                <w:szCs w:val="13"/>
                <w:color w:val="auto"/>
              </w:rPr>
              <w:t>0.2 %</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Bookings: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60" w:type="dxa"/>
            <w:vAlign w:val="bottom"/>
          </w:tcPr>
          <w:p>
            <w:pPr>
              <w:ind w:left="160"/>
              <w:spacing w:after="0"/>
              <w:rPr>
                <w:sz w:val="20"/>
                <w:szCs w:val="20"/>
                <w:color w:val="auto"/>
              </w:rPr>
            </w:pPr>
            <w:r>
              <w:rPr>
                <w:rFonts w:ascii="Arial" w:cs="Arial" w:eastAsia="Arial" w:hAnsi="Arial"/>
                <w:sz w:val="13"/>
                <w:szCs w:val="13"/>
                <w:color w:val="auto"/>
              </w:rPr>
              <w:t>AST</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6"/>
                <w:szCs w:val="16"/>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6"/>
                <w:szCs w:val="16"/>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915</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634"/>
              <w:spacing w:after="0"/>
              <w:rPr>
                <w:sz w:val="20"/>
                <w:szCs w:val="20"/>
                <w:color w:val="auto"/>
              </w:rPr>
            </w:pPr>
            <w:r>
              <w:rPr>
                <w:rFonts w:ascii="Arial" w:cs="Arial" w:eastAsia="Arial" w:hAnsi="Arial"/>
                <w:sz w:val="13"/>
                <w:szCs w:val="13"/>
                <w:color w:val="auto"/>
              </w:rPr>
              <w:t>(55)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(5.8) %</w:t>
            </w:r>
          </w:p>
        </w:tc>
        <w:tc>
          <w:tcPr>
            <w:tcW w:w="80" w:type="dxa"/>
            <w:vAlign w:val="bottom"/>
          </w:tcPr>
          <w:p>
            <w:pPr>
              <w:spacing w:after="0"/>
              <w:rPr>
                <w:sz w:val="16"/>
                <w:szCs w:val="16"/>
                <w:color w:val="auto"/>
              </w:rPr>
            </w:pP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38</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NC&amp;C</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1,158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53</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54"/>
              <w:spacing w:after="0"/>
              <w:rPr>
                <w:sz w:val="20"/>
                <w:szCs w:val="20"/>
                <w:color w:val="auto"/>
              </w:rPr>
            </w:pPr>
            <w:r>
              <w:rPr>
                <w:rFonts w:ascii="Arial" w:cs="Arial" w:eastAsia="Arial" w:hAnsi="Arial"/>
                <w:sz w:val="13"/>
                <w:szCs w:val="13"/>
                <w:color w:val="auto"/>
              </w:rPr>
              <w:t>(90)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(7.8 %)</w:t>
            </w:r>
          </w:p>
        </w:tc>
        <w:tc>
          <w:tcPr>
            <w:tcW w:w="0" w:type="dxa"/>
            <w:vAlign w:val="bottom"/>
          </w:tcPr>
          <w:p>
            <w:pPr>
              <w:spacing w:after="0"/>
              <w:rPr>
                <w:sz w:val="1"/>
                <w:szCs w:val="1"/>
                <w:color w:val="auto"/>
              </w:rPr>
            </w:pPr>
          </w:p>
        </w:tc>
      </w:tr>
      <w:tr>
        <w:trPr>
          <w:trHeight w:val="194"/>
        </w:trPr>
        <w:tc>
          <w:tcPr>
            <w:tcW w:w="2860" w:type="dxa"/>
            <w:vAlign w:val="bottom"/>
          </w:tcPr>
          <w:p>
            <w:pPr>
              <w:ind w:left="160"/>
              <w:spacing w:after="0"/>
              <w:rPr>
                <w:sz w:val="20"/>
                <w:szCs w:val="20"/>
                <w:color w:val="auto"/>
              </w:rPr>
            </w:pPr>
            <w:r>
              <w:rPr>
                <w:rFonts w:ascii="Arial" w:cs="Arial" w:eastAsia="Arial" w:hAnsi="Arial"/>
                <w:sz w:val="13"/>
                <w:szCs w:val="13"/>
                <w:color w:val="auto"/>
              </w:rPr>
              <w:t>IMS</w:t>
            </w:r>
          </w:p>
        </w:tc>
        <w:tc>
          <w:tcPr>
            <w:tcW w:w="260" w:type="dxa"/>
            <w:vAlign w:val="bottom"/>
          </w:tcPr>
          <w:p>
            <w:pPr>
              <w:spacing w:after="0"/>
              <w:rPr>
                <w:sz w:val="16"/>
                <w:szCs w:val="16"/>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1,036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806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74"/>
              <w:spacing w:after="0"/>
              <w:rPr>
                <w:sz w:val="20"/>
                <w:szCs w:val="20"/>
                <w:color w:val="auto"/>
              </w:rPr>
            </w:pPr>
            <w:r>
              <w:rPr>
                <w:rFonts w:ascii="Arial" w:cs="Arial" w:eastAsia="Arial" w:hAnsi="Arial"/>
                <w:sz w:val="13"/>
                <w:szCs w:val="13"/>
                <w:color w:val="auto"/>
              </w:rPr>
              <w:t>134</w:t>
            </w:r>
          </w:p>
        </w:tc>
        <w:tc>
          <w:tcPr>
            <w:tcW w:w="500" w:type="dxa"/>
            <w:vAlign w:val="bottom"/>
          </w:tcPr>
          <w:p>
            <w:pPr>
              <w:jc w:val="right"/>
              <w:spacing w:after="0"/>
              <w:rPr>
                <w:sz w:val="20"/>
                <w:szCs w:val="20"/>
                <w:color w:val="auto"/>
              </w:rPr>
            </w:pPr>
            <w:r>
              <w:rPr>
                <w:rFonts w:ascii="Arial" w:cs="Arial" w:eastAsia="Arial" w:hAnsi="Arial"/>
                <w:sz w:val="13"/>
                <w:szCs w:val="13"/>
                <w:color w:val="auto"/>
              </w:rPr>
              <w:t>14.9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96</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11.9 %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bookings</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3,055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2,923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2,879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132</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94"/>
        </w:trPr>
        <w:tc>
          <w:tcPr>
            <w:tcW w:w="28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Backlog:</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AST</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1,274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1,294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1,098</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634"/>
              <w:spacing w:after="0"/>
              <w:rPr>
                <w:sz w:val="20"/>
                <w:szCs w:val="20"/>
                <w:color w:val="auto"/>
              </w:rPr>
            </w:pPr>
            <w:r>
              <w:rPr>
                <w:rFonts w:ascii="Arial" w:cs="Arial" w:eastAsia="Arial" w:hAnsi="Arial"/>
                <w:sz w:val="13"/>
                <w:szCs w:val="13"/>
                <w:color w:val="auto"/>
              </w:rPr>
              <w:t>(20)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196</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2860" w:type="dxa"/>
            <w:vAlign w:val="bottom"/>
          </w:tcPr>
          <w:p>
            <w:pPr>
              <w:ind w:left="160"/>
              <w:spacing w:after="0"/>
              <w:rPr>
                <w:sz w:val="20"/>
                <w:szCs w:val="20"/>
                <w:color w:val="auto"/>
              </w:rPr>
            </w:pPr>
            <w:r>
              <w:rPr>
                <w:rFonts w:ascii="Arial" w:cs="Arial" w:eastAsia="Arial" w:hAnsi="Arial"/>
                <w:sz w:val="13"/>
                <w:szCs w:val="13"/>
                <w:color w:val="auto"/>
              </w:rPr>
              <w:t>NC&amp;C</w:t>
            </w:r>
          </w:p>
        </w:tc>
        <w:tc>
          <w:tcPr>
            <w:tcW w:w="260" w:type="dxa"/>
            <w:vAlign w:val="bottom"/>
          </w:tcPr>
          <w:p>
            <w:pPr>
              <w:spacing w:after="0"/>
              <w:rPr>
                <w:sz w:val="16"/>
                <w:szCs w:val="16"/>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792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752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74"/>
              <w:spacing w:after="0"/>
              <w:rPr>
                <w:sz w:val="20"/>
                <w:szCs w:val="20"/>
                <w:color w:val="auto"/>
              </w:rPr>
            </w:pPr>
            <w:r>
              <w:rPr>
                <w:rFonts w:ascii="Arial" w:cs="Arial" w:eastAsia="Arial" w:hAnsi="Arial"/>
                <w:sz w:val="13"/>
                <w:szCs w:val="13"/>
                <w:color w:val="auto"/>
              </w:rPr>
              <w:t>16</w:t>
            </w:r>
          </w:p>
        </w:tc>
        <w:tc>
          <w:tcPr>
            <w:tcW w:w="500" w:type="dxa"/>
            <w:vAlign w:val="bottom"/>
          </w:tcPr>
          <w:p>
            <w:pPr>
              <w:jc w:val="right"/>
              <w:spacing w:after="0"/>
              <w:rPr>
                <w:sz w:val="20"/>
                <w:szCs w:val="20"/>
                <w:color w:val="auto"/>
              </w:rPr>
            </w:pPr>
            <w:r>
              <w:rPr>
                <w:rFonts w:ascii="Arial" w:cs="Arial" w:eastAsia="Arial" w:hAnsi="Arial"/>
                <w:sz w:val="13"/>
                <w:szCs w:val="13"/>
                <w:color w:val="auto"/>
              </w:rPr>
              <w:t>2.1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24</w:t>
            </w:r>
          </w:p>
        </w:tc>
        <w:tc>
          <w:tcPr>
            <w:tcW w:w="440" w:type="dxa"/>
            <w:vAlign w:val="bottom"/>
          </w:tcPr>
          <w:p>
            <w:pPr>
              <w:jc w:val="right"/>
              <w:spacing w:after="0"/>
              <w:rPr>
                <w:sz w:val="20"/>
                <w:szCs w:val="20"/>
                <w:color w:val="auto"/>
              </w:rPr>
            </w:pPr>
            <w:r>
              <w:rPr>
                <w:rFonts w:ascii="Arial" w:cs="Arial" w:eastAsia="Arial" w:hAnsi="Arial"/>
                <w:sz w:val="13"/>
                <w:szCs w:val="13"/>
                <w:color w:val="auto"/>
              </w:rPr>
              <w:t>3.2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IMS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1,225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774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834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451</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54"/>
              <w:spacing w:after="0"/>
              <w:rPr>
                <w:sz w:val="20"/>
                <w:szCs w:val="20"/>
                <w:color w:val="auto"/>
              </w:rPr>
            </w:pPr>
            <w:r>
              <w:rPr>
                <w:rFonts w:ascii="Arial" w:cs="Arial" w:eastAsia="Arial" w:hAnsi="Arial"/>
                <w:sz w:val="13"/>
                <w:szCs w:val="13"/>
                <w:color w:val="auto"/>
              </w:rPr>
              <w:t>(60)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194"/>
        </w:trPr>
        <w:tc>
          <w:tcPr>
            <w:tcW w:w="2860" w:type="dxa"/>
            <w:vAlign w:val="bottom"/>
          </w:tcPr>
          <w:p>
            <w:pPr>
              <w:ind w:left="220"/>
              <w:spacing w:after="0"/>
              <w:rPr>
                <w:sz w:val="20"/>
                <w:szCs w:val="20"/>
                <w:color w:val="auto"/>
              </w:rPr>
            </w:pPr>
            <w:r>
              <w:rPr>
                <w:rFonts w:ascii="Arial" w:cs="Arial" w:eastAsia="Arial" w:hAnsi="Arial"/>
                <w:sz w:val="13"/>
                <w:szCs w:val="13"/>
                <w:color w:val="auto"/>
              </w:rPr>
              <w:t>Total backlog</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3,291</w:t>
            </w:r>
          </w:p>
        </w:tc>
        <w:tc>
          <w:tcPr>
            <w:tcW w:w="100" w:type="dxa"/>
            <w:vAlign w:val="bottom"/>
          </w:tcPr>
          <w:p>
            <w:pPr>
              <w:spacing w:after="0"/>
              <w:rPr>
                <w:sz w:val="16"/>
                <w:szCs w:val="16"/>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2,844</w:t>
            </w:r>
          </w:p>
        </w:tc>
        <w:tc>
          <w:tcPr>
            <w:tcW w:w="100" w:type="dxa"/>
            <w:vAlign w:val="bottom"/>
          </w:tcPr>
          <w:p>
            <w:pPr>
              <w:spacing w:after="0"/>
              <w:rPr>
                <w:sz w:val="16"/>
                <w:szCs w:val="16"/>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2,684</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674"/>
              <w:spacing w:after="0"/>
              <w:rPr>
                <w:sz w:val="20"/>
                <w:szCs w:val="20"/>
                <w:color w:val="auto"/>
              </w:rPr>
            </w:pPr>
            <w:r>
              <w:rPr>
                <w:rFonts w:ascii="Arial" w:cs="Arial" w:eastAsia="Arial" w:hAnsi="Arial"/>
                <w:sz w:val="13"/>
                <w:szCs w:val="13"/>
                <w:color w:val="auto"/>
              </w:rPr>
              <w:t>447</w:t>
            </w:r>
          </w:p>
        </w:tc>
        <w:tc>
          <w:tcPr>
            <w:tcW w:w="500" w:type="dxa"/>
            <w:vAlign w:val="bottom"/>
          </w:tcPr>
          <w:p>
            <w:pPr>
              <w:jc w:val="right"/>
              <w:spacing w:after="0"/>
              <w:rPr>
                <w:sz w:val="20"/>
                <w:szCs w:val="20"/>
                <w:color w:val="auto"/>
              </w:rPr>
            </w:pPr>
            <w:r>
              <w:rPr>
                <w:rFonts w:ascii="Arial" w:cs="Arial" w:eastAsia="Arial" w:hAnsi="Arial"/>
                <w:sz w:val="13"/>
                <w:szCs w:val="13"/>
                <w:color w:val="auto"/>
              </w:rPr>
              <w:t>15.7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694"/>
              <w:spacing w:after="0"/>
              <w:rPr>
                <w:sz w:val="20"/>
                <w:szCs w:val="20"/>
                <w:color w:val="auto"/>
              </w:rPr>
            </w:pPr>
            <w:r>
              <w:rPr>
                <w:rFonts w:ascii="Arial" w:cs="Arial" w:eastAsia="Arial" w:hAnsi="Arial"/>
                <w:sz w:val="13"/>
                <w:szCs w:val="13"/>
                <w:color w:val="auto"/>
              </w:rPr>
              <w:t>160</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204"/>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Estimated Potential Remaining Contract Value: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60" w:type="dxa"/>
            <w:vAlign w:val="bottom"/>
          </w:tcPr>
          <w:p>
            <w:pPr>
              <w:ind w:left="220"/>
              <w:spacing w:after="0"/>
              <w:rPr>
                <w:sz w:val="20"/>
                <w:szCs w:val="20"/>
                <w:color w:val="auto"/>
              </w:rPr>
            </w:pPr>
            <w:r>
              <w:rPr>
                <w:rFonts w:ascii="Arial" w:cs="Arial" w:eastAsia="Arial" w:hAnsi="Arial"/>
                <w:sz w:val="13"/>
                <w:szCs w:val="13"/>
                <w:color w:val="auto"/>
              </w:rPr>
              <w:t>AST</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2,480</w:t>
            </w:r>
          </w:p>
        </w:tc>
        <w:tc>
          <w:tcPr>
            <w:tcW w:w="100" w:type="dxa"/>
            <w:vAlign w:val="bottom"/>
          </w:tcPr>
          <w:p>
            <w:pPr>
              <w:spacing w:after="0"/>
              <w:rPr>
                <w:sz w:val="16"/>
                <w:szCs w:val="16"/>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2,429</w:t>
            </w:r>
          </w:p>
        </w:tc>
        <w:tc>
          <w:tcPr>
            <w:tcW w:w="100" w:type="dxa"/>
            <w:vAlign w:val="bottom"/>
          </w:tcPr>
          <w:p>
            <w:pPr>
              <w:spacing w:after="0"/>
              <w:rPr>
                <w:sz w:val="16"/>
                <w:szCs w:val="16"/>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2,683</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674"/>
              <w:spacing w:after="0"/>
              <w:rPr>
                <w:sz w:val="20"/>
                <w:szCs w:val="20"/>
                <w:color w:val="auto"/>
              </w:rPr>
            </w:pPr>
            <w:r>
              <w:rPr>
                <w:rFonts w:ascii="Arial" w:cs="Arial" w:eastAsia="Arial" w:hAnsi="Arial"/>
                <w:sz w:val="13"/>
                <w:szCs w:val="13"/>
                <w:color w:val="auto"/>
              </w:rPr>
              <w:t>51</w:t>
            </w:r>
          </w:p>
        </w:tc>
        <w:tc>
          <w:tcPr>
            <w:tcW w:w="680" w:type="dxa"/>
            <w:vAlign w:val="bottom"/>
            <w:gridSpan w:val="2"/>
          </w:tcPr>
          <w:p>
            <w:pPr>
              <w:jc w:val="right"/>
              <w:ind w:right="14"/>
              <w:spacing w:after="0"/>
              <w:rPr>
                <w:sz w:val="20"/>
                <w:szCs w:val="20"/>
                <w:color w:val="auto"/>
              </w:rPr>
            </w:pPr>
            <w:r>
              <w:rPr>
                <w:rFonts w:ascii="Arial" w:cs="Arial" w:eastAsia="Arial" w:hAnsi="Arial"/>
                <w:sz w:val="13"/>
                <w:szCs w:val="13"/>
                <w:color w:val="auto"/>
              </w:rPr>
              <w:t>2.1 %</w:t>
            </w:r>
          </w:p>
        </w:tc>
        <w:tc>
          <w:tcPr>
            <w:tcW w:w="80" w:type="dxa"/>
            <w:vAlign w:val="bottom"/>
          </w:tcPr>
          <w:p>
            <w:pPr>
              <w:spacing w:after="0"/>
              <w:rPr>
                <w:sz w:val="16"/>
                <w:szCs w:val="16"/>
                <w:color w:val="auto"/>
              </w:rPr>
            </w:pP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654"/>
              <w:spacing w:after="0"/>
              <w:rPr>
                <w:sz w:val="20"/>
                <w:szCs w:val="20"/>
                <w:color w:val="auto"/>
              </w:rPr>
            </w:pPr>
            <w:r>
              <w:rPr>
                <w:rFonts w:ascii="Arial" w:cs="Arial" w:eastAsia="Arial" w:hAnsi="Arial"/>
                <w:sz w:val="13"/>
                <w:szCs w:val="13"/>
                <w:color w:val="auto"/>
              </w:rPr>
              <w:t>(254)</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(9.5 %)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NC&amp;C</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2,839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2,991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2,443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634"/>
              <w:spacing w:after="0"/>
              <w:rPr>
                <w:sz w:val="20"/>
                <w:szCs w:val="20"/>
                <w:color w:val="auto"/>
              </w:rPr>
            </w:pPr>
            <w:r>
              <w:rPr>
                <w:rFonts w:ascii="Arial" w:cs="Arial" w:eastAsia="Arial" w:hAnsi="Arial"/>
                <w:sz w:val="13"/>
                <w:szCs w:val="13"/>
                <w:color w:val="auto"/>
              </w:rPr>
              <w:t>(152)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(5.1 %)</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548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22.4 %</w:t>
            </w:r>
          </w:p>
        </w:tc>
        <w:tc>
          <w:tcPr>
            <w:tcW w:w="0" w:type="dxa"/>
            <w:vAlign w:val="bottom"/>
          </w:tcPr>
          <w:p>
            <w:pPr>
              <w:spacing w:after="0"/>
              <w:rPr>
                <w:sz w:val="1"/>
                <w:szCs w:val="1"/>
                <w:color w:val="auto"/>
              </w:rPr>
            </w:pPr>
          </w:p>
        </w:tc>
      </w:tr>
      <w:tr>
        <w:trPr>
          <w:trHeight w:val="194"/>
        </w:trPr>
        <w:tc>
          <w:tcPr>
            <w:tcW w:w="2860" w:type="dxa"/>
            <w:vAlign w:val="bottom"/>
          </w:tcPr>
          <w:p>
            <w:pPr>
              <w:ind w:left="220"/>
              <w:spacing w:after="0"/>
              <w:rPr>
                <w:sz w:val="20"/>
                <w:szCs w:val="20"/>
                <w:color w:val="auto"/>
              </w:rPr>
            </w:pPr>
            <w:r>
              <w:rPr>
                <w:rFonts w:ascii="Arial" w:cs="Arial" w:eastAsia="Arial" w:hAnsi="Arial"/>
                <w:sz w:val="13"/>
                <w:szCs w:val="13"/>
                <w:color w:val="auto"/>
              </w:rPr>
              <w:t>IMS</w:t>
            </w:r>
          </w:p>
        </w:tc>
        <w:tc>
          <w:tcPr>
            <w:tcW w:w="260" w:type="dxa"/>
            <w:vAlign w:val="bottom"/>
          </w:tcPr>
          <w:p>
            <w:pPr>
              <w:spacing w:after="0"/>
              <w:rPr>
                <w:sz w:val="16"/>
                <w:szCs w:val="16"/>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2,662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2,777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2,928</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634"/>
              <w:spacing w:after="0"/>
              <w:rPr>
                <w:sz w:val="20"/>
                <w:szCs w:val="20"/>
                <w:color w:val="auto"/>
              </w:rPr>
            </w:pPr>
            <w:r>
              <w:rPr>
                <w:rFonts w:ascii="Arial" w:cs="Arial" w:eastAsia="Arial" w:hAnsi="Arial"/>
                <w:sz w:val="13"/>
                <w:szCs w:val="13"/>
                <w:color w:val="auto"/>
              </w:rPr>
              <w:t>(115)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(4.1 %)</w:t>
            </w:r>
          </w:p>
        </w:tc>
        <w:tc>
          <w:tcPr>
            <w:tcW w:w="80" w:type="dxa"/>
            <w:vAlign w:val="bottom"/>
          </w:tcPr>
          <w:p>
            <w:pPr>
              <w:spacing w:after="0"/>
              <w:rPr>
                <w:sz w:val="16"/>
                <w:szCs w:val="16"/>
                <w:color w:val="auto"/>
              </w:rPr>
            </w:pP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654"/>
              <w:spacing w:after="0"/>
              <w:rPr>
                <w:sz w:val="20"/>
                <w:szCs w:val="20"/>
                <w:color w:val="auto"/>
              </w:rPr>
            </w:pPr>
            <w:r>
              <w:rPr>
                <w:rFonts w:ascii="Arial" w:cs="Arial" w:eastAsia="Arial" w:hAnsi="Arial"/>
                <w:sz w:val="13"/>
                <w:szCs w:val="13"/>
                <w:color w:val="auto"/>
              </w:rPr>
              <w:t>(151)</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Estimated Contract Value</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7,981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8,198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8,054</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634"/>
              <w:spacing w:after="0"/>
              <w:rPr>
                <w:sz w:val="20"/>
                <w:szCs w:val="20"/>
                <w:color w:val="auto"/>
              </w:rPr>
            </w:pPr>
            <w:r>
              <w:rPr>
                <w:rFonts w:ascii="Arial" w:cs="Arial" w:eastAsia="Arial" w:hAnsi="Arial"/>
                <w:sz w:val="13"/>
                <w:szCs w:val="13"/>
                <w:color w:val="auto"/>
              </w:rPr>
              <w:t>(217)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143</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2020 Compared to the Year Ended December 31, 2019 and 2018</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AST</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Revenue:</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The revenue growth at our AST segment was driven principally by programs transitioning from development to production and increased deliveries in our next generation dismounted Soldier Sensing and Targeting Systems programs, resulting in $109 million of additional revenue as compared to the prior year. Additionally, our AST segment also realized annual revenue expansion through progress on our recently awarded electronic control systems program for the U.S. Navy shipboard launch system ($22 million) and Pilot Training ($29 million) programs. This revenue growth was offset in part by lower Airborne Force Protection programs revenue resulting from the transition from our accelerated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43" w:lineRule="exact"/>
        <w:rPr>
          <w:sz w:val="20"/>
          <w:szCs w:val="20"/>
          <w:color w:val="auto"/>
        </w:rPr>
      </w:pPr>
    </w:p>
    <w:p>
      <w:pPr>
        <w:jc w:val="both"/>
        <w:ind w:right="140"/>
        <w:spacing w:after="0" w:line="247" w:lineRule="auto"/>
        <w:rPr>
          <w:sz w:val="20"/>
          <w:szCs w:val="20"/>
          <w:color w:val="auto"/>
        </w:rPr>
      </w:pPr>
      <w:r>
        <w:rPr>
          <w:rFonts w:ascii="Arial" w:cs="Arial" w:eastAsia="Arial" w:hAnsi="Arial"/>
          <w:sz w:val="17"/>
          <w:szCs w:val="17"/>
          <w:color w:val="auto"/>
        </w:rPr>
        <w:t>efforts under the Urgent Operational Needs (“ONS”) program with the U.S. Navy in 2019 to development efforts to expand program capabilities in 2020, reducing revenue by $30 million. In total, segment revenue increased $159 million, or 20%, from $781 million for the year ended December 31, 2019 to $940 million for the year ended December 31, 2020.</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60" w:firstLine="299"/>
        <w:spacing w:after="0" w:line="247" w:lineRule="auto"/>
        <w:rPr>
          <w:sz w:val="20"/>
          <w:szCs w:val="20"/>
          <w:color w:val="auto"/>
        </w:rPr>
      </w:pPr>
      <w:r>
        <w:rPr>
          <w:rFonts w:ascii="Arial" w:cs="Arial" w:eastAsia="Arial" w:hAnsi="Arial"/>
          <w:sz w:val="17"/>
          <w:szCs w:val="17"/>
          <w:color w:val="auto"/>
        </w:rPr>
        <w:t>AST’s revenue increased $122 million, or 18.5%, from $659 million for the year ended December 31, 2018 to $781 million for the year ended December 31, 2019. This growth was primarily attributed to revenue realized from program awards received in 2018 and 2019 including progress related to the following:</w:t>
      </w:r>
    </w:p>
    <w:p>
      <w:pPr>
        <w:spacing w:after="0" w:line="143" w:lineRule="exact"/>
        <w:rPr>
          <w:sz w:val="20"/>
          <w:szCs w:val="20"/>
          <w:color w:val="auto"/>
        </w:rPr>
      </w:pPr>
    </w:p>
    <w:p>
      <w:pPr>
        <w:ind w:left="600" w:hanging="302"/>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$56 million due to ramp up efforts on our newly awarded next generation weapon sight program;</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$12 million from ramp up efforts on our newly awarded Mobile Protected Firepower (“MPF”) program;</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$30 million attributed to increased demand for legacy sensing programs on ground vehicles;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$10 million due to incremental effort on our pilot training systems programs.</w:t>
      </w:r>
    </w:p>
    <w:p>
      <w:pPr>
        <w:spacing w:after="0" w:line="153" w:lineRule="exact"/>
        <w:rPr>
          <w:sz w:val="20"/>
          <w:szCs w:val="20"/>
          <w:color w:val="auto"/>
        </w:rPr>
      </w:pPr>
    </w:p>
    <w:p>
      <w:pPr>
        <w:ind w:right="320" w:firstLine="299"/>
        <w:spacing w:after="0" w:line="250" w:lineRule="auto"/>
        <w:rPr>
          <w:sz w:val="20"/>
          <w:szCs w:val="20"/>
          <w:color w:val="auto"/>
        </w:rPr>
      </w:pPr>
      <w:r>
        <w:rPr>
          <w:rFonts w:ascii="Arial" w:cs="Arial" w:eastAsia="Arial" w:hAnsi="Arial"/>
          <w:sz w:val="17"/>
          <w:szCs w:val="17"/>
          <w:color w:val="auto"/>
        </w:rPr>
        <w:t>This was offset in part by program delays on certain fixed-price sensors and precision targeting development programs, reducing revenue by $15 million.</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Adjusted EBITDA and Adjusted EBITDA Margin:</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AST’s Adjusted EBITDA increased by $29 million, or 30.7%, from $94 million for the year ended December 31, 2019 to $123 million for the year ended December 31, 2020. Adjusted EBITDA Margin increased from 12.0% for the year ended December 31, 2019 to 13.1% for the year ended December 31, 2020. This increase in Adjusted EBITDA is primarily attributed to the revenue increase noted above coupled with a favorable program mix with revenue growth in our higher margin program areas, including pilot training. The favorable program mix and revenue growth in excess of general and administrative costs growth contributed to the Adjusted EBITDA margin expansion of 1.1 basis points to 13.1%.</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AST’s Adjusted EBITDA increased by $21 million, or 28.8%, from $73 million for the year ended December 31, 2018 to $94 million for the year ended December 31, 2019. Adjusted EBITDA Margin increased from 11.1% for the year ended December 31, 2018 to 12.0% for the year ended December 31, 2019. The increase in Adjusted EBITDA and margin expansion are attributable to the $122 million increase in revenue combined with a reduction in general and administrative expenses as a percentage of sales related to costs for our pursuit of a training jet aircraft training program totaling $24 million that did not recur in 2019. Partially offsetting this Adjusted EBITDA expansion was cost growth on certain sensors and precision targeting fixed-price development programs of $5 million.</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Bookings: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AST’s bookings decreased by $55 million, or 5.8%, from $ 953 million for the year ended December 31, 2019 to $898 million for the year ended December 31, 2020. The bookings results were highlighted by production awards received for our Next Generation Thermal Weapon Sight and Limited Interim Warning System programs, which had significant bookings of $168 million and $74 million, respectively, an increase of $30 million and $67 million, respectively, compared to the prior year ended December 31, 2019. The bookings growth was more than offset by the previously disclosed transition from Airborne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Force Protection ONS production awards received in 2019 to development programs resulting in a year over year bookings reduction of $72 million.</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AST’s bookings increased $ 38 million, or 4.2%, from $915 million as of December 31, 2018 to $953 million as of December 31, 2019 as a result of incremental awards received on next generation weapon sight programs and increased sensor upgrades on legacy ground vehicle sensing programs as well as awards received supporting naval radar systems . These programs generated incremental orders of $67 million, $23 million and $27 million, respectively. These expansions were offset in part by accelerated program awards in 2018 related to Airborne Force Protection programs totaling $80 million.</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Backlog</w:t>
      </w:r>
      <w:r>
        <w:rPr>
          <w:rFonts w:ascii="Arial" w:cs="Arial" w:eastAsia="Arial" w:hAnsi="Arial"/>
          <w:sz w:val="17"/>
          <w:szCs w:val="17"/>
          <w:color w:val="auto"/>
        </w:rPr>
        <w:t>:</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20" w:firstLine="299"/>
        <w:spacing w:after="0" w:line="250" w:lineRule="auto"/>
        <w:rPr>
          <w:sz w:val="20"/>
          <w:szCs w:val="20"/>
          <w:color w:val="auto"/>
        </w:rPr>
      </w:pPr>
      <w:r>
        <w:rPr>
          <w:rFonts w:ascii="Arial" w:cs="Arial" w:eastAsia="Arial" w:hAnsi="Arial"/>
          <w:sz w:val="17"/>
          <w:szCs w:val="17"/>
          <w:color w:val="auto"/>
        </w:rPr>
        <w:t>AST’s backlog decreased by $20 million, or 1.6%, from $1,294 million for the year ended December 31, 2019 to $1,274 million for the year ended December 31, 2020. This was attributed to revenue slightly outpacing new bookings.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jc w:val="both"/>
        <w:ind w:right="60" w:firstLine="299"/>
        <w:spacing w:after="0" w:line="270" w:lineRule="auto"/>
        <w:rPr>
          <w:sz w:val="20"/>
          <w:szCs w:val="20"/>
          <w:color w:val="auto"/>
        </w:rPr>
      </w:pPr>
      <w:r>
        <w:rPr>
          <w:rFonts w:ascii="Arial" w:cs="Arial" w:eastAsia="Arial" w:hAnsi="Arial"/>
          <w:sz w:val="16"/>
          <w:szCs w:val="16"/>
          <w:color w:val="auto"/>
        </w:rPr>
        <w:t>AST’s backlog increased $196 million, or 17.9%, from $1,098 million as of December 31, 2018 to $ 1,294 million as of December 31, 2019, primarily due to our bookings performance out-pacing revenue by $ 172 million coupled with additional unfunded backlog increases. The backlog expansion was highlighted by our awards on the next generation weapon sight program noted above which generated backlog of $52 million in 2019.</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Estimated Potential Remaining Contract Value</w:t>
      </w:r>
      <w:r>
        <w:rPr>
          <w:rFonts w:ascii="Arial" w:cs="Arial" w:eastAsia="Arial" w:hAnsi="Arial"/>
          <w:sz w:val="17"/>
          <w:szCs w:val="17"/>
          <w:color w:val="auto"/>
        </w:rPr>
        <w:t>:</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AST’s estimated potential remaining contract value increased by $51 million from $2,429 million for the year ended December 31, 2019 to $2,480 million for the year ended December 31, 2020. This was primarily due to additional long term positions secured on EW opportunities ($115 million), long-term contracts received to provide next generation Tactical Terminal ($120 million) and awards to provide support to the U.S. Navy’s launch system program ($66 million). The increases were largely offset by continued contractual funding on next generation weapon sight programs ($76 million) and awards received on our Airborne Force Protection programs ($95 million).</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540" w:firstLine="299"/>
        <w:spacing w:after="0" w:line="280" w:lineRule="auto"/>
        <w:rPr>
          <w:sz w:val="20"/>
          <w:szCs w:val="20"/>
          <w:color w:val="auto"/>
        </w:rPr>
      </w:pPr>
      <w:r>
        <w:rPr>
          <w:rFonts w:ascii="Arial" w:cs="Arial" w:eastAsia="Arial" w:hAnsi="Arial"/>
          <w:sz w:val="16"/>
          <w:szCs w:val="16"/>
          <w:color w:val="auto"/>
        </w:rPr>
        <w:t>AST’s estimated potential remaining contract value declined $254 million attributed to funding received on our long-term contractual positions including our aircraft survivability programs of $151 million, soldier sensing programs of $55 million and legacy sensing programs of $30 million.</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NC&amp;C</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Revenue:</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jc w:val="both"/>
        <w:ind w:right="160" w:firstLine="299"/>
        <w:spacing w:after="0" w:line="246" w:lineRule="auto"/>
        <w:rPr>
          <w:sz w:val="20"/>
          <w:szCs w:val="20"/>
          <w:color w:val="auto"/>
        </w:rPr>
      </w:pPr>
      <w:r>
        <w:rPr>
          <w:rFonts w:ascii="Arial" w:cs="Arial" w:eastAsia="Arial" w:hAnsi="Arial"/>
          <w:sz w:val="17"/>
          <w:szCs w:val="17"/>
          <w:color w:val="auto"/>
        </w:rPr>
        <w:t>NC&amp;C revenue decreased by $ 27 million or, 2.6%, from $1,053 million for the year ended December 31, 2019 to $1,026 million for the year ended December 31, 2020. This decrease was attributed to a management decision focus on program pursuits that better fit our strategic investment profile, lowering Naval common network services equipment by $64 million and lower throughput on antenna programs with the U.S. Navy of $16 million. This was largely offset by newly awarded advanced combat networking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160"/>
          </w:cols>
          <w:pgMar w:left="320" w:top="1440" w:right="419" w:bottom="1440" w:gutter="0" w:footer="0" w:header="0"/>
        </w:sectPr>
      </w:pPr>
    </w:p>
    <w:bookmarkStart w:id="101" w:name="page102"/>
    <w:bookmarkEnd w:id="101"/>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hardware and ruggedized maintenance support programs which generated $44 million and $29 million of additional revenue, respectively.</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NC&amp;C revenue decreased $57 million, or 5.2%, from $1,111 million for the year ended December 31, 2018 to $1,053 million for the year ended December 31, 2019 as a result of production transition on our foundational program, MFoCS migrated from our mature full rate production contract to our newly awarded contracts. The new program required achievement of certain certifications prior to progressing into full rate production, which resulted in a reduction of revenues of $52 million as compared to the prior year. This was largely offset by progress on newly awarded naval radar production program received in 2018, which generated additional revenue of $40 million.</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Adjusted EBITDA and Adjusted EBITDA Margin:</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380" w:firstLine="299"/>
        <w:spacing w:after="0" w:line="245" w:lineRule="auto"/>
        <w:rPr>
          <w:sz w:val="20"/>
          <w:szCs w:val="20"/>
          <w:color w:val="auto"/>
        </w:rPr>
      </w:pPr>
      <w:r>
        <w:rPr>
          <w:rFonts w:ascii="Arial" w:cs="Arial" w:eastAsia="Arial" w:hAnsi="Arial"/>
          <w:sz w:val="17"/>
          <w:szCs w:val="17"/>
          <w:color w:val="auto"/>
        </w:rPr>
        <w:t>NC&amp;C’s Adjusted EBITDA increased by $15 million, or 19.6%, from $ 75 million for the year ended December 31, 2019 to $90 million for the year ended December 31, 2020. Adjusted Margin increased from 7.1% for the year ended December 31, 2019 to 8.7% for the year ended December 31, 2020. This increase in Adjusted EBITDA and margin expansion was attributed to program mix, including the reduction in revenue from our Naval common network services equipment by $64 million. This was offset in part by changes in our assumed recovery for certain requests for equitable adjustments in certain electronics programs with the U.S. Navy impacting EBITDA by $11 million.</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jc w:val="both"/>
        <w:ind w:right="240" w:firstLine="299"/>
        <w:spacing w:after="0" w:line="246" w:lineRule="auto"/>
        <w:rPr>
          <w:sz w:val="20"/>
          <w:szCs w:val="20"/>
          <w:color w:val="auto"/>
        </w:rPr>
      </w:pPr>
      <w:r>
        <w:rPr>
          <w:rFonts w:ascii="Arial" w:cs="Arial" w:eastAsia="Arial" w:hAnsi="Arial"/>
          <w:sz w:val="17"/>
          <w:szCs w:val="17"/>
          <w:color w:val="auto"/>
        </w:rPr>
        <w:t>NC&amp;C’s Adjusted EBITDA increased $3 million, or 4.2%, from $ 72 million for the year ended December 31, 2018 to $75 million for the year ended December 31, 2019. Adjusted EBITDA Margin increased from 6.5% for the year ended December 31, 2018 to 7.1% for the year ended December 31, 2019. The year over year profitability increase was primarily attributable to the successful production transition to the newly awarded MFoCS program, which generated incremental $8 million of margin contribution despite the reduction in revenues noted above.</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Bookings: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NC&amp;C’s bookings increased by $53 million, or 4.9%, to $1,121 million for the year ended December 31, 2020 from $1,068 million for the year ended December 31, 2019. Our bookings are highlighted by the continuance of our foundational programs including follow on Global Network program awards with Special Operations Command (“SOCOM”) and the U.S. Army and incremental funding on our MFoCS ruggedized computing hardware programs for $164 million and $ 180 million, respectively. The increase as compared to the prior year is attributed to the recently awarded advanced combat networking hardware with the U.S. Navy, increasing bookings $78 million against the prior year. This was offset in part by the strategic decision to focus our efforts and capacity on program pursuits that better fit our strategic investment profile, lowering our exposure to Naval common network services equipment by $37 million.</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60" w:firstLine="299"/>
        <w:spacing w:after="0" w:line="266" w:lineRule="auto"/>
        <w:rPr>
          <w:sz w:val="20"/>
          <w:szCs w:val="20"/>
          <w:color w:val="auto"/>
        </w:rPr>
      </w:pPr>
      <w:r>
        <w:rPr>
          <w:rFonts w:ascii="Arial" w:cs="Arial" w:eastAsia="Arial" w:hAnsi="Arial"/>
          <w:sz w:val="16"/>
          <w:szCs w:val="16"/>
          <w:color w:val="auto"/>
        </w:rPr>
        <w:t>NC&amp;C’s bookings decreased $ 90 million, or 7.8%, from $1,158 million as of December 31, 2018 to $1,068 million as of December 31, 2019, due to a reduction in competitive awards on certain U.S. Navy hardware programs resulting in a decline of $102 million and the completion of existing submarine hardware upgrade programs in 2018. Despite being successful in our pursuit for the follow-on submarine hardware upgrade program, funding levels in 2019 were limited to initial funding values, which were $51 million lower than the 2018 levels. This was offset in part by our ruggedized computing battle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management modernization programs awarded in 2019, contributing an incremental $23 million in bookings for the year.</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Backlog:</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360" w:firstLine="299"/>
        <w:spacing w:after="0" w:line="250" w:lineRule="auto"/>
        <w:rPr>
          <w:sz w:val="20"/>
          <w:szCs w:val="20"/>
          <w:color w:val="auto"/>
        </w:rPr>
      </w:pPr>
      <w:r>
        <w:rPr>
          <w:rFonts w:ascii="Arial" w:cs="Arial" w:eastAsia="Arial" w:hAnsi="Arial"/>
          <w:sz w:val="17"/>
          <w:szCs w:val="17"/>
          <w:color w:val="auto"/>
        </w:rPr>
        <w:t>NC&amp;C’s backlog increased by $16 million, or 2%, from $776 million as of December 31, 2019 to $792 million as of December 31, 2020. This was primarily due to bookings of $1,158 million slightly exceeding revenues of $1,026 million.</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400" w:firstLine="299"/>
        <w:spacing w:after="0" w:line="270" w:lineRule="auto"/>
        <w:rPr>
          <w:sz w:val="20"/>
          <w:szCs w:val="20"/>
          <w:color w:val="auto"/>
        </w:rPr>
      </w:pPr>
      <w:r>
        <w:rPr>
          <w:rFonts w:ascii="Arial" w:cs="Arial" w:eastAsia="Arial" w:hAnsi="Arial"/>
          <w:sz w:val="16"/>
          <w:szCs w:val="16"/>
          <w:color w:val="auto"/>
        </w:rPr>
        <w:t>NC&amp;C's backlog increased by $24 million, or 3.2%, from $752 million as of December 31, 2018 to $776 million as of December 31, 2019, due to bookings of $1,068 million slightly exceeding our revenues recognized of $1,053 million. This increase is due to our ruggedized computing and diagnostics programs on land vehicles offset in part by the reduction in bookings received on competitive naval hardware programs.</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Estimated Potential Remaining Contract Value</w:t>
      </w:r>
      <w:r>
        <w:rPr>
          <w:rFonts w:ascii="Arial" w:cs="Arial" w:eastAsia="Arial" w:hAnsi="Arial"/>
          <w:sz w:val="17"/>
          <w:szCs w:val="17"/>
          <w:color w:val="auto"/>
        </w:rPr>
        <w:t>:</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0" w:firstLine="299"/>
        <w:spacing w:after="0" w:line="266" w:lineRule="auto"/>
        <w:rPr>
          <w:sz w:val="20"/>
          <w:szCs w:val="20"/>
          <w:color w:val="auto"/>
        </w:rPr>
      </w:pPr>
      <w:r>
        <w:rPr>
          <w:rFonts w:ascii="Arial" w:cs="Arial" w:eastAsia="Arial" w:hAnsi="Arial"/>
          <w:sz w:val="16"/>
          <w:szCs w:val="16"/>
          <w:color w:val="auto"/>
        </w:rPr>
        <w:t>NC&amp;C’s estimated potential remaining contract value decreased by $152 million to $2,839 million for the year ended December 31, 2020 from $2,991 million for the year ended December 31, 2019. This decrease was primarily due to funding received on long-term contracts in our Global Network program for $128 million and MFoCS ruggedized computing program for $111 million. These reductions were offset in part by the recently awarded long-term advanced combat networking hardware program with the U.S. Navy, increasing estimated potential remaining contract value $85 million.</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NC&amp;C’s estimated potential remaining contract value increased $548 million driven by contract awards to provide technology upgrades on submarines for the U.S. Navy totaling $700 million and the contract received to provide installation support for our MFoCS computing hardware of $233 million, offset by funding received on our long-term contract positions. The funding received includes $228 million on naval computing efforts, $126 million on satellite network programs and $30 million on land based computing awards.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IMS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Revenue:</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0" w:firstLine="299"/>
        <w:spacing w:after="0" w:line="246" w:lineRule="auto"/>
        <w:rPr>
          <w:sz w:val="20"/>
          <w:szCs w:val="20"/>
          <w:color w:val="auto"/>
        </w:rPr>
      </w:pPr>
      <w:r>
        <w:rPr>
          <w:rFonts w:ascii="Arial" w:cs="Arial" w:eastAsia="Arial" w:hAnsi="Arial"/>
          <w:sz w:val="17"/>
          <w:szCs w:val="17"/>
          <w:color w:val="auto"/>
        </w:rPr>
        <w:t>IMS revenue decreased by $83 million, or 9%, from $917 million for the year ended December 31, 2019 to $834 million for the year ended December 31, 2020. This decrease was mostly attributed to the acceleration of $161 million of revenue on the APS program in 2019. Offsetting this decrease is incremental revenue generated from our recently awarded position on the Submarine Power Conversion program of $14 million and the receipt of our full rate production award for CUAS programs with the U.S. Army generating incremental $28 million of revenue as compared to 2019.</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700" w:firstLine="299"/>
        <w:spacing w:after="0" w:line="247" w:lineRule="auto"/>
        <w:rPr>
          <w:sz w:val="20"/>
          <w:szCs w:val="20"/>
          <w:color w:val="auto"/>
        </w:rPr>
      </w:pPr>
      <w:r>
        <w:rPr>
          <w:rFonts w:ascii="Arial" w:cs="Arial" w:eastAsia="Arial" w:hAnsi="Arial"/>
          <w:sz w:val="17"/>
          <w:szCs w:val="17"/>
          <w:color w:val="auto"/>
        </w:rPr>
        <w:t>IMS revenue increased $307 million, or 50.3%, from $610 million for the year ended December 31, 2018 to $917 million for the year ended December 31, 2019. The increase in revenue was predominantly attributable to our successful rapid development and deployment of our urgent operational needs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43"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protection programs including our APS programs as well as CUAS systems. In total, our force protection programs generated incremental revenue of $274 million as compared to 2018 results.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Adjusted EBITDA and Adjusted EBITDA Margin:</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IMS’s Adjusted EBITDA decreased by $8 million, or 12.2%, from $63 million for the year ended December 31, 2019 to $55 million for the year ended December 31, 2020. Adjusted Margin decreased from 6.9% for the year end December 31, 2019 to 6.6% for the year ended December 31, 2020. This decrease in Adjusted EBITDA and margin reduction was attributed to cost growth on fixed price development program efforts including submarine power and propulsion system components for the U.S. Navy impacting EBITDA margins by $37 million.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200" w:firstLine="299"/>
        <w:spacing w:after="0" w:line="245" w:lineRule="auto"/>
        <w:rPr>
          <w:sz w:val="20"/>
          <w:szCs w:val="20"/>
          <w:color w:val="auto"/>
        </w:rPr>
      </w:pPr>
      <w:r>
        <w:rPr>
          <w:rFonts w:ascii="Arial" w:cs="Arial" w:eastAsia="Arial" w:hAnsi="Arial"/>
          <w:sz w:val="17"/>
          <w:szCs w:val="17"/>
          <w:color w:val="auto"/>
        </w:rPr>
        <w:t>IMS’s Adjusted EBITDA increased $22 million, or 53.7%, from $41 million for the year ended December 31, 2018 to $63 million for the year ended December 31, 2019. The increase in Adjusted EBITDA was primarily driven by the increased revenue contribution resulting from our force protection programs. Adjusted EBITDA Margin increased from 6.7% for the year ended December 31, 2018 to 6.9% for the year ended December 31, 2019. The increase was driven by a reduction in general and administrative expenses as a percentage of revenue in 2019 as compared to 2018, creating volume leverage that increased overall profitability.</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Bookings: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Bookings increased by $134 million, or 14.9%, from $ 902 million as of December 31, 2019 to $ 1,036 million as of December 31, 2020. This increase was driven by awards received to support the CVN 80/81 carriers generating incremental bookings of $212 million as compared to the prior year. Further, our CUAS programs generated $19 million of additional awards as those programs transitioned from development into full rate production. These increases were largely offset by a reduction of awards received on our TROPHY™ APS programs of $195 million.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Bookings increased $96 million, or 11.9%, from $806 million as of December 31, 2018 to $902 million as of December 31, 2019. The increase was driven by increased content awarded on our submarine programs with the U.S. Navy of $67 million and incremental funding on the APS program with the U.S. Army generating $16 million of additional bookings. This was offset in part by certain transport and logistics program transitions, including our bridging program which saw reduced order quantity as we transitioned from development to low-rate initial production awards reducing bookings by $19 million.</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Backlog:</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00" w:firstLine="299"/>
        <w:spacing w:after="0" w:line="247" w:lineRule="auto"/>
        <w:rPr>
          <w:sz w:val="20"/>
          <w:szCs w:val="20"/>
          <w:color w:val="auto"/>
        </w:rPr>
      </w:pPr>
      <w:r>
        <w:rPr>
          <w:rFonts w:ascii="Arial" w:cs="Arial" w:eastAsia="Arial" w:hAnsi="Arial"/>
          <w:sz w:val="17"/>
          <w:szCs w:val="17"/>
          <w:color w:val="auto"/>
        </w:rPr>
        <w:t>Backlog increased by $451 million, or 58.3%, to $ 1,225 million for the year ended December 31, 2020 from $774 million for the year ended December 31, 2019. This was due to strong bookings driven principally by our awards to support the CVN 80/81 program ($212 million) and increased unfunded backlog on our submarine power and propulsion system components and other hybrid drive programs by $101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320" w:firstLine="299"/>
        <w:spacing w:after="0" w:line="247" w:lineRule="auto"/>
        <w:rPr>
          <w:sz w:val="20"/>
          <w:szCs w:val="20"/>
          <w:color w:val="auto"/>
        </w:rPr>
      </w:pPr>
      <w:r>
        <w:rPr>
          <w:rFonts w:ascii="Arial" w:cs="Arial" w:eastAsia="Arial" w:hAnsi="Arial"/>
          <w:sz w:val="17"/>
          <w:szCs w:val="17"/>
          <w:color w:val="auto"/>
        </w:rPr>
        <w:t>Backlog decreased $60 million, or 7.2%, from $834 million as of December 31, 2018 to $774 million as of December 31, 2019, primarily due to revenue exceeding bookings on our APS program as we accelerated progress to rapidly deploy force protection capability to the U.S. Army. This was offset in part by incremental funding received on our submarine programs as noted above.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Estimated Potential Remaining Contract Value</w:t>
      </w:r>
      <w:r>
        <w:rPr>
          <w:rFonts w:ascii="Arial" w:cs="Arial" w:eastAsia="Arial" w:hAnsi="Arial"/>
          <w:sz w:val="17"/>
          <w:szCs w:val="17"/>
          <w:color w:val="auto"/>
        </w:rPr>
        <w:t>:</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IMS’s estimated potential remaining contract value decreased by $115 million, from $2,777 million as of December 31, 2019 to $2,662 million as of December 31, 2020. This was primarily attributed to receiving awards on our long-term contractual positions including our APS programs, which received funding of $279 million during the year. The decrease was offset by our successful long-term contract awards for CUAS programs adding $169 million to our estimated potential contract value.</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380" w:firstLine="299"/>
        <w:spacing w:after="0" w:line="247" w:lineRule="auto"/>
        <w:rPr>
          <w:sz w:val="20"/>
          <w:szCs w:val="20"/>
          <w:color w:val="auto"/>
        </w:rPr>
      </w:pPr>
      <w:r>
        <w:rPr>
          <w:rFonts w:ascii="Arial" w:cs="Arial" w:eastAsia="Arial" w:hAnsi="Arial"/>
          <w:sz w:val="17"/>
          <w:szCs w:val="17"/>
          <w:color w:val="auto"/>
        </w:rPr>
        <w:t>IMS’s estimated potential remaining contract value decreased $151 million attributed to funding received on our long-term contractual positions including on our military transportation and logistics programs of $62 million, force protection programs of $36 million and $34 million on naval power programs.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w:t>
      </w:r>
    </w:p>
    <w:p>
      <w:pPr>
        <w:spacing w:after="0" w:line="173" w:lineRule="exact"/>
        <w:rPr>
          <w:sz w:val="20"/>
          <w:szCs w:val="20"/>
          <w:color w:val="auto"/>
        </w:rPr>
      </w:pPr>
    </w:p>
    <w:p>
      <w:pPr>
        <w:ind w:right="80" w:firstLine="299"/>
        <w:spacing w:after="0" w:line="247" w:lineRule="auto"/>
        <w:rPr>
          <w:sz w:val="20"/>
          <w:szCs w:val="20"/>
          <w:color w:val="auto"/>
        </w:rPr>
      </w:pPr>
      <w:r>
        <w:rPr>
          <w:rFonts w:ascii="Arial" w:cs="Arial" w:eastAsia="Arial" w:hAnsi="Arial"/>
          <w:sz w:val="17"/>
          <w:szCs w:val="17"/>
          <w:color w:val="auto"/>
        </w:rPr>
        <w:t>The following table sets forth selected unaudited quarterly results of operations data for each of the eight quarters in the period ended December 31, 2020. This data should be read in conjunction with our audited Consolidated Financial Statements and related notes included elsewhere in this prospectus. These quarterly operating results are not necessarily indicative of our operating results for a full year or any future period.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92"/>
        </w:trPr>
        <w:tc>
          <w:tcPr>
            <w:tcW w:w="2780" w:type="dxa"/>
            <w:vAlign w:val="bottom"/>
          </w:tcPr>
          <w:p>
            <w:pPr>
              <w:ind w:left="20"/>
              <w:spacing w:after="0"/>
              <w:rPr>
                <w:sz w:val="20"/>
                <w:szCs w:val="20"/>
                <w:color w:val="auto"/>
              </w:rPr>
            </w:pPr>
            <w:r>
              <w:rPr>
                <w:rFonts w:ascii="Arial" w:cs="Arial" w:eastAsia="Arial" w:hAnsi="Arial"/>
                <w:sz w:val="12"/>
                <w:szCs w:val="12"/>
                <w:color w:val="auto"/>
              </w:rPr>
              <w:t>(Dollars in millions, except per share amounts)</w:t>
            </w:r>
          </w:p>
        </w:tc>
        <w:tc>
          <w:tcPr>
            <w:tcW w:w="26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Q4</w:t>
            </w:r>
          </w:p>
        </w:tc>
        <w:tc>
          <w:tcPr>
            <w:tcW w:w="26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Q3</w:t>
            </w:r>
          </w:p>
        </w:tc>
        <w:tc>
          <w:tcPr>
            <w:tcW w:w="26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Q2</w:t>
            </w:r>
          </w:p>
        </w:tc>
        <w:tc>
          <w:tcPr>
            <w:tcW w:w="26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Q1</w:t>
            </w:r>
          </w:p>
        </w:tc>
        <w:tc>
          <w:tcPr>
            <w:tcW w:w="26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Q4</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Q3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Q2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20"/>
              <w:spacing w:after="0"/>
              <w:rPr>
                <w:sz w:val="20"/>
                <w:szCs w:val="20"/>
                <w:color w:val="auto"/>
              </w:rPr>
            </w:pPr>
            <w:r>
              <w:rPr>
                <w:rFonts w:ascii="Arial" w:cs="Arial" w:eastAsia="Arial" w:hAnsi="Arial"/>
                <w:sz w:val="13"/>
                <w:szCs w:val="13"/>
                <w:b w:val="1"/>
                <w:bCs w:val="1"/>
                <w:color w:val="auto"/>
              </w:rPr>
              <w:t>Q1</w:t>
            </w:r>
          </w:p>
        </w:tc>
      </w:tr>
      <w:tr>
        <w:trPr>
          <w:trHeight w:val="22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jc w:val="right"/>
              <w:ind w:right="425"/>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685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jc w:val="right"/>
              <w:ind w:right="425"/>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602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521</w:t>
            </w:r>
          </w:p>
        </w:tc>
      </w:tr>
      <w:tr>
        <w:trPr>
          <w:trHeight w:val="224"/>
        </w:trPr>
        <w:tc>
          <w:tcPr>
            <w:tcW w:w="27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5"/>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49"/>
        </w:trPr>
        <w:tc>
          <w:tcPr>
            <w:tcW w:w="278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49"/>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2" w:lineRule="exact"/>
        <w:rPr>
          <w:sz w:val="20"/>
          <w:szCs w:val="20"/>
          <w:color w:val="auto"/>
        </w:rPr>
      </w:pPr>
    </w:p>
    <w:p>
      <w:pPr>
        <w:ind w:left="300" w:right="180" w:hanging="300"/>
        <w:spacing w:after="0" w:line="273" w:lineRule="auto"/>
        <w:tabs>
          <w:tab w:leader="none" w:pos="296"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 “—Key Financial and Operating Measures—Non-GAAP Financial Measures” above for definitions of these measures. Adjusted EBITDA, Adjusted EBITDA Margin, Adjusted EPS, Leverage Ratio and free cash flow are non-GAAP measures. See “—Key Financial and Operating Measures—Non-GAAP Financial Measures” above for reconciliations of these measures to the most directly comparable financial measure calculated and presented in accordance with U.S. GAAP.</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3" w:lineRule="exact"/>
        <w:rPr>
          <w:sz w:val="20"/>
          <w:szCs w:val="20"/>
          <w:color w:val="auto"/>
        </w:rPr>
      </w:pPr>
    </w:p>
    <w:p>
      <w:pPr>
        <w:ind w:right="80" w:firstLine="299"/>
        <w:spacing w:after="0" w:line="245" w:lineRule="auto"/>
        <w:rPr>
          <w:rFonts w:ascii="Arial" w:cs="Arial" w:eastAsia="Arial" w:hAnsi="Arial"/>
          <w:sz w:val="17"/>
          <w:szCs w:val="17"/>
          <w:color w:val="auto"/>
        </w:rPr>
      </w:pPr>
      <w:r>
        <w:rPr>
          <w:rFonts w:ascii="Arial" w:cs="Arial" w:eastAsia="Arial" w:hAnsi="Arial"/>
          <w:sz w:val="17"/>
          <w:szCs w:val="17"/>
          <w:color w:val="auto"/>
        </w:rPr>
        <w:t xml:space="preserve">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 We believe that the combination of our existing cash, access to credit facilities as described in </w:t>
      </w:r>
      <w:hyperlink w:anchor="page228">
        <w:r>
          <w:rPr>
            <w:rFonts w:ascii="Arial" w:cs="Arial" w:eastAsia="Arial" w:hAnsi="Arial"/>
            <w:sz w:val="17"/>
            <w:szCs w:val="17"/>
            <w:i w:val="1"/>
            <w:iCs w:val="1"/>
            <w:color w:val="auto"/>
          </w:rPr>
          <w:t>Note 11: Debt</w:t>
        </w:r>
        <w:r>
          <w:rPr>
            <w:rFonts w:ascii="Arial" w:cs="Arial" w:eastAsia="Arial" w:hAnsi="Arial"/>
            <w:sz w:val="17"/>
            <w:szCs w:val="17"/>
            <w:color w:val="auto"/>
          </w:rPr>
          <w:t xml:space="preserve"> </w:t>
        </w:r>
      </w:hyperlink>
      <w:r>
        <w:rPr>
          <w:rFonts w:ascii="Arial" w:cs="Arial" w:eastAsia="Arial" w:hAnsi="Arial"/>
          <w:sz w:val="17"/>
          <w:szCs w:val="17"/>
          <w:color w:val="auto"/>
        </w:rPr>
        <w:t>and future cash that we expect to generate from our operations will be sufficient to meet our short and long-term liquidity needs. There can be no assurance, however,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43"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December 31, 2020 was $61 million compared to $85 million as of December 31, 2019.</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2018</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90"/>
        </w:trPr>
        <w:tc>
          <w:tcPr>
            <w:tcW w:w="6340" w:type="dxa"/>
            <w:vAlign w:val="bottom"/>
          </w:tcPr>
          <w:p>
            <w:pPr>
              <w:ind w:left="20"/>
              <w:spacing w:after="0"/>
              <w:rPr>
                <w:sz w:val="20"/>
                <w:szCs w:val="20"/>
                <w:color w:val="auto"/>
              </w:rPr>
            </w:pPr>
            <w:r>
              <w:rPr>
                <w:rFonts w:ascii="Arial" w:cs="Arial" w:eastAsia="Arial" w:hAnsi="Arial"/>
                <w:sz w:val="17"/>
                <w:szCs w:val="17"/>
                <w:color w:val="auto"/>
              </w:rPr>
              <w:t>Free cash flow</w:t>
            </w:r>
            <w:r>
              <w:rPr>
                <w:rFonts w:ascii="Arial" w:cs="Arial" w:eastAsia="Arial" w:hAnsi="Arial"/>
                <w:sz w:val="21"/>
                <w:szCs w:val="21"/>
                <w:color w:val="auto"/>
                <w:vertAlign w:val="superscript"/>
              </w:rPr>
              <w:t>(1)</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74</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24"/>
                <w:szCs w:val="24"/>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ind w:left="300" w:right="300" w:hanging="300"/>
        <w:spacing w:after="0" w:line="251" w:lineRule="auto"/>
        <w:tabs>
          <w:tab w:leader="none" w:pos="296" w:val="left"/>
        </w:tabs>
        <w:numPr>
          <w:ilvl w:val="0"/>
          <w:numId w:val="57"/>
        </w:numPr>
        <w:rPr>
          <w:rFonts w:ascii="Arial" w:cs="Arial" w:eastAsia="Arial" w:hAnsi="Arial"/>
          <w:sz w:val="15"/>
          <w:szCs w:val="15"/>
          <w:color w:val="auto"/>
        </w:rPr>
      </w:pPr>
      <w:r>
        <w:rPr>
          <w:rFonts w:ascii="Arial" w:cs="Arial" w:eastAsia="Arial" w:hAnsi="Arial"/>
          <w:sz w:val="15"/>
          <w:szCs w:val="15"/>
          <w:color w:val="auto"/>
        </w:rPr>
        <w:t>Free cash flow is a Non-GAAP measure. The reasons we use this Non-GAAP financial measure and its reconciliation to the most directly comparable U.S. GAAP financial measure is provided above under “—Key Financial and Operating Measures—Non-GAAP Financial Measures.”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2020 Compared to the Years Ended December 31, 2019 and 2018</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We generated cash from operating activities of $125 million for the year ended December 31, 2020 as compared to $ 157 million for the year ended December 31, 2019. This decrease was primarily attributed to an increase in working capital resulting from a reduction in our vendor payable obligations in December 31, 2020 as compared to the prior year. This resulted in cash usage of $58 million. Additionally, we also generated higher accounts receivables driving a cash usage of $35 million. This increase in working capital was partially offset by a $65 million reduction in contract assets in connection with the achievement of billable milestones on development type programs, including our APS, which reduced contract assets by $60 million during the year. In addition to the contract asset reduction, we also decreased working capital through the social security payroll tax deferral offered as part of the COVID-19 relief efforts.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220" w:firstLine="299"/>
        <w:spacing w:after="0" w:line="263" w:lineRule="auto"/>
        <w:rPr>
          <w:sz w:val="20"/>
          <w:szCs w:val="20"/>
          <w:color w:val="auto"/>
        </w:rPr>
      </w:pPr>
      <w:r>
        <w:rPr>
          <w:rFonts w:ascii="Arial" w:cs="Arial" w:eastAsia="Arial" w:hAnsi="Arial"/>
          <w:sz w:val="16"/>
          <w:szCs w:val="16"/>
          <w:color w:val="auto"/>
        </w:rPr>
        <w:t>We generated cash from operating activities of $157 million for the year ended December 31, 2019 and $105 million for the year ended December 31, 2018. The primary driver of cash inflow improvement is attributed to the increase in operating earnings noted above coupled with an increase in current liabilities including accounts payable of $156 million as of December 31, 2019 as compared to December 31, 2018, generating additional cash from operating activities. This was largely offset by a $166 million increase in contract assets related primarily to certain design programs for which we had not yet achieved billable milestones as of year end. The cash increase was further offset by our payments on finance interest-related expenditures which increased $4 million from 2018 to a total of $59 million in 2019, the majority of which were to our parent company, US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20" w:firstLine="299"/>
        <w:spacing w:after="0" w:line="246" w:lineRule="auto"/>
        <w:rPr>
          <w:sz w:val="20"/>
          <w:szCs w:val="20"/>
          <w:color w:val="auto"/>
        </w:rPr>
      </w:pPr>
      <w:r>
        <w:rPr>
          <w:rFonts w:ascii="Arial" w:cs="Arial" w:eastAsia="Arial" w:hAnsi="Arial"/>
          <w:sz w:val="17"/>
          <w:szCs w:val="17"/>
          <w:color w:val="auto"/>
        </w:rPr>
        <w:t>Investing activities used $70 million of cash during the year ended December 31, 2020 as compared to $151 million during the year ended December 31, 2019. The $ 81 million reduction in investing cash outflows is attributed to the 2019 loan of $100 million issued to US Holding. The loan was repaid during the 2020 fiscal year and a subsequent loan was issued totaling $115 million in December of 2020. The net cash outflow of the intercompany loans was $15 million in 2020 compared to $100 million in 2019.</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Cash used in investing activities was $151 million for the year ended December 31, 2019 and $46 million for the year ended December 31, 2018. The primary use of cash for investing activities is driven by a $100 million intercompany loan to our parent company US Holding generated from excess cash on hand as of December 31, 2019, which was subsequently repaid in January of 2020. Additionally, we increased capital expenditures attributed to capacity expansions to support our recent program awards at our AST segment.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Cash used in financing activities for the year ended December 31, 2020 and December 31, 2019 was $80 million and $1 million, respectively. Cash used in financing activities increased primarily as a result of the principal payment of our 4% term debt of $50 million and $15 million of principal reduction of the Daylight Term Loan.</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80" w:firstLine="299"/>
        <w:spacing w:after="0" w:line="266" w:lineRule="auto"/>
        <w:rPr>
          <w:sz w:val="20"/>
          <w:szCs w:val="20"/>
          <w:color w:val="auto"/>
        </w:rPr>
      </w:pPr>
      <w:r>
        <w:rPr>
          <w:rFonts w:ascii="Arial" w:cs="Arial" w:eastAsia="Arial" w:hAnsi="Arial"/>
          <w:sz w:val="16"/>
          <w:szCs w:val="16"/>
          <w:color w:val="auto"/>
        </w:rPr>
        <w:t>Cash used in financing activities for the year ended December 31, 2019 and December 31, 2018 was $1 million and $30 million, respectively. Cash used in financing activities was for principal payments on the term loan used to acquire Daylight Solutions of $15 million and $10 million, respectively, for 2019 and 2018. Additionally, in 2018 we paid $13 million of contingent consideration to the former owners of Daylight Solutions predicated on the achievement of prenegotiated operational targets. These outflows were partially offset by additional borrowings made during the year.</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Free Cash Flow</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2020 Compared With Year Ended December 31, 2019</w:t>
      </w:r>
    </w:p>
    <w:p>
      <w:pPr>
        <w:spacing w:after="0" w:line="173" w:lineRule="exact"/>
        <w:rPr>
          <w:sz w:val="20"/>
          <w:szCs w:val="20"/>
          <w:color w:val="auto"/>
        </w:rPr>
      </w:pPr>
    </w:p>
    <w:p>
      <w:pPr>
        <w:ind w:right="160" w:firstLine="299"/>
        <w:spacing w:after="0" w:line="246" w:lineRule="auto"/>
        <w:rPr>
          <w:sz w:val="20"/>
          <w:szCs w:val="20"/>
          <w:color w:val="auto"/>
        </w:rPr>
      </w:pPr>
      <w:r>
        <w:rPr>
          <w:rFonts w:ascii="Arial" w:cs="Arial" w:eastAsia="Arial" w:hAnsi="Arial"/>
          <w:sz w:val="17"/>
          <w:szCs w:val="17"/>
          <w:color w:val="auto"/>
        </w:rPr>
        <w:t>Free cash flow decreased by $36 million, or 32.7%, to $74 million for the year ended December 31, 2020 as compared to $110 million for the year ended December 31, 2019. This was primarily due to growth in operating working capital driven from a reduction in accounts payable of $58 million and accounts receivable growth of $35 million year over year. This was largely offset by reduction in contract assets of $65 million as we completed development programs and transitioned them to production programs.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Year Ended December 31, 2019 Compared With Year Ended December 31, 2018</w:t>
      </w:r>
    </w:p>
    <w:p>
      <w:pPr>
        <w:spacing w:after="0" w:line="173" w:lineRule="exact"/>
        <w:rPr>
          <w:sz w:val="20"/>
          <w:szCs w:val="20"/>
          <w:color w:val="auto"/>
        </w:rPr>
      </w:pPr>
    </w:p>
    <w:p>
      <w:pPr>
        <w:ind w:right="20" w:firstLine="299"/>
        <w:spacing w:after="0" w:line="247" w:lineRule="auto"/>
        <w:rPr>
          <w:sz w:val="20"/>
          <w:szCs w:val="20"/>
          <w:color w:val="auto"/>
        </w:rPr>
      </w:pPr>
      <w:r>
        <w:rPr>
          <w:rFonts w:ascii="Arial" w:cs="Arial" w:eastAsia="Arial" w:hAnsi="Arial"/>
          <w:sz w:val="17"/>
          <w:szCs w:val="17"/>
          <w:color w:val="auto"/>
        </w:rPr>
        <w:t>Free cash flow increased $45 million, or 69.2%, from $65 million for the year ended December 31, 2018 to $110 million for the year ended December 31, 2019. The increase in free cash flow was mainly due to the increases in cash provided by operating activities noted above partially offset by an increase in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December 31, 2020, our contractual obligations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Payments Due by Period</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60"/>
        </w:trPr>
        <w:tc>
          <w:tcPr>
            <w:tcW w:w="3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21"/>
              <w:spacing w:after="0"/>
              <w:rPr>
                <w:sz w:val="20"/>
                <w:szCs w:val="20"/>
                <w:color w:val="auto"/>
              </w:rPr>
            </w:pPr>
            <w:r>
              <w:rPr>
                <w:rFonts w:ascii="Arial" w:cs="Arial" w:eastAsia="Arial" w:hAnsi="Arial"/>
                <w:sz w:val="13"/>
                <w:szCs w:val="13"/>
                <w:b w:val="1"/>
                <w:bCs w:val="1"/>
                <w:color w:val="auto"/>
              </w:rPr>
              <w:t>Less than</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541"/>
              <w:spacing w:after="0"/>
              <w:rPr>
                <w:sz w:val="20"/>
                <w:szCs w:val="20"/>
                <w:color w:val="auto"/>
              </w:rPr>
            </w:pPr>
            <w:r>
              <w:rPr>
                <w:rFonts w:ascii="Arial" w:cs="Arial" w:eastAsia="Arial" w:hAnsi="Arial"/>
                <w:sz w:val="13"/>
                <w:szCs w:val="13"/>
                <w:b w:val="1"/>
                <w:bCs w:val="1"/>
                <w:color w:val="auto"/>
              </w:rPr>
              <w:t>3-5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21"/>
              <w:spacing w:after="0"/>
              <w:rPr>
                <w:sz w:val="20"/>
                <w:szCs w:val="20"/>
                <w:color w:val="auto"/>
              </w:rPr>
            </w:pPr>
            <w:r>
              <w:rPr>
                <w:rFonts w:ascii="Arial" w:cs="Arial" w:eastAsia="Arial" w:hAnsi="Arial"/>
                <w:sz w:val="13"/>
                <w:szCs w:val="13"/>
                <w:b w:val="1"/>
                <w:bCs w:val="1"/>
                <w:color w:val="auto"/>
              </w:rPr>
              <w:t>More than</w:t>
            </w:r>
          </w:p>
        </w:tc>
      </w:tr>
      <w:tr>
        <w:trPr>
          <w:trHeight w:val="181"/>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(Dollars 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1 Year</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41"/>
              <w:spacing w:after="0"/>
              <w:rPr>
                <w:sz w:val="20"/>
                <w:szCs w:val="20"/>
                <w:color w:val="auto"/>
              </w:rPr>
            </w:pPr>
            <w:r>
              <w:rPr>
                <w:rFonts w:ascii="Arial" w:cs="Arial" w:eastAsia="Arial" w:hAnsi="Arial"/>
                <w:sz w:val="13"/>
                <w:szCs w:val="13"/>
                <w:b w:val="1"/>
                <w:bCs w:val="1"/>
                <w:color w:val="auto"/>
                <w:w w:val="95"/>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Years</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5 Years</w:t>
            </w:r>
          </w:p>
        </w:tc>
      </w:tr>
      <w:tr>
        <w:trPr>
          <w:trHeight w:val="246"/>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Borrowings with related parties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3700" w:type="dxa"/>
            <w:vAlign w:val="bottom"/>
          </w:tcPr>
          <w:p>
            <w:pPr>
              <w:ind w:left="20"/>
              <w:spacing w:after="0"/>
              <w:rPr>
                <w:sz w:val="20"/>
                <w:szCs w:val="20"/>
                <w:color w:val="auto"/>
              </w:rPr>
            </w:pPr>
            <w:r>
              <w:rPr>
                <w:rFonts w:ascii="Arial" w:cs="Arial" w:eastAsia="Arial" w:hAnsi="Arial"/>
                <w:sz w:val="17"/>
                <w:szCs w:val="17"/>
                <w:color w:val="auto"/>
              </w:rPr>
              <w:t>Loans from banks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3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49"/>
        </w:trPr>
        <w:tc>
          <w:tcPr>
            <w:tcW w:w="3700" w:type="dxa"/>
            <w:vAlign w:val="bottom"/>
          </w:tcPr>
          <w:p>
            <w:pPr>
              <w:ind w:left="20"/>
              <w:spacing w:after="0"/>
              <w:rPr>
                <w:sz w:val="20"/>
                <w:szCs w:val="20"/>
                <w:color w:val="auto"/>
              </w:rPr>
            </w:pPr>
            <w:r>
              <w:rPr>
                <w:rFonts w:ascii="Arial" w:cs="Arial" w:eastAsia="Arial" w:hAnsi="Arial"/>
                <w:sz w:val="17"/>
                <w:szCs w:val="17"/>
                <w:color w:val="auto"/>
              </w:rPr>
              <w:t>Finance leases and other</w:t>
            </w:r>
            <w:r>
              <w:rPr>
                <w:rFonts w:ascii="Arial" w:cs="Arial" w:eastAsia="Arial" w:hAnsi="Arial"/>
                <w:sz w:val="21"/>
                <w:szCs w:val="21"/>
                <w:color w:val="auto"/>
                <w:vertAlign w:val="superscript"/>
              </w:rPr>
              <w:t>(2)</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49"/>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Post-retirement obligations</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4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commitments</w:t>
            </w:r>
            <w:r>
              <w:rPr>
                <w:rFonts w:ascii="Arial" w:cs="Arial" w:eastAsia="Arial" w:hAnsi="Arial"/>
                <w:sz w:val="21"/>
                <w:szCs w:val="21"/>
                <w:color w:val="auto"/>
                <w:vertAlign w:val="superscript"/>
              </w:rPr>
              <w:t>(4)</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ind w:left="300" w:right="120" w:hanging="300"/>
        <w:spacing w:after="0" w:line="245" w:lineRule="auto"/>
        <w:tabs>
          <w:tab w:leader="none" w:pos="296"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Includes scheduled interest payments. For a discussion of certain recapitalization transactions that Leonardo S.p.A. and its affiliates will enter into in connection with this offering, see “Recapitalization.”</w:t>
      </w:r>
    </w:p>
    <w:p>
      <w:pPr>
        <w:spacing w:after="0" w:line="1" w:lineRule="exact"/>
        <w:rPr>
          <w:rFonts w:ascii="Arial" w:cs="Arial" w:eastAsia="Arial" w:hAnsi="Arial"/>
          <w:sz w:val="15"/>
          <w:szCs w:val="15"/>
          <w:color w:val="auto"/>
        </w:rPr>
      </w:pPr>
    </w:p>
    <w:p>
      <w:pPr>
        <w:ind w:left="300" w:right="40" w:hanging="300"/>
        <w:spacing w:after="0" w:line="246" w:lineRule="auto"/>
        <w:tabs>
          <w:tab w:leader="none" w:pos="296"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Finance leases and other includes a build-to-suit, failed sale leaseback asset obligation of $$49 million as of December 31, 2020. See </w:t>
      </w:r>
      <w:r>
        <w:rPr>
          <w:rFonts w:ascii="Arial" w:cs="Arial" w:eastAsia="Arial" w:hAnsi="Arial"/>
          <w:sz w:val="16"/>
          <w:szCs w:val="16"/>
          <w:i w:val="1"/>
          <w:iCs w:val="1"/>
          <w:color w:val="auto"/>
        </w:rPr>
        <w:t>Note 11</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6"/>
          <w:szCs w:val="16"/>
          <w:i w:val="1"/>
          <w:iCs w:val="1"/>
          <w:color w:val="auto"/>
        </w:rPr>
        <w:t>Debt</w:t>
      </w:r>
      <w:r>
        <w:rPr>
          <w:rFonts w:ascii="Arial" w:cs="Arial" w:eastAsia="Arial" w:hAnsi="Arial"/>
          <w:sz w:val="15"/>
          <w:szCs w:val="15"/>
          <w:color w:val="auto"/>
        </w:rPr>
        <w:t xml:space="preserve"> of our Notes to Consolidated Financial Statements.</w:t>
      </w:r>
    </w:p>
    <w:p>
      <w:pPr>
        <w:ind w:left="300" w:right="860" w:hanging="300"/>
        <w:spacing w:after="0" w:line="261" w:lineRule="auto"/>
        <w:tabs>
          <w:tab w:leader="none" w:pos="296"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Post-retirement obligations include those amounts we expect to pay out in benefits payments and are further explained in </w:t>
      </w:r>
      <w:r>
        <w:rPr>
          <w:rFonts w:ascii="Arial" w:cs="Arial" w:eastAsia="Arial" w:hAnsi="Arial"/>
          <w:sz w:val="16"/>
          <w:szCs w:val="16"/>
          <w:i w:val="1"/>
          <w:iCs w:val="1"/>
          <w:color w:val="auto"/>
        </w:rPr>
        <w:t>Note 12</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6"/>
          <w:szCs w:val="16"/>
          <w:i w:val="1"/>
          <w:iCs w:val="1"/>
          <w:color w:val="auto"/>
        </w:rPr>
        <w:t>Pension and Other</w:t>
      </w:r>
      <w:r>
        <w:rPr>
          <w:rFonts w:ascii="Arial" w:cs="Arial" w:eastAsia="Arial" w:hAnsi="Arial"/>
          <w:sz w:val="15"/>
          <w:szCs w:val="15"/>
          <w:color w:val="auto"/>
        </w:rPr>
        <w:t xml:space="preserve"> </w:t>
      </w:r>
      <w:r>
        <w:rPr>
          <w:rFonts w:ascii="Arial" w:cs="Arial" w:eastAsia="Arial" w:hAnsi="Arial"/>
          <w:sz w:val="16"/>
          <w:szCs w:val="16"/>
          <w:i w:val="1"/>
          <w:iCs w:val="1"/>
          <w:color w:val="auto"/>
        </w:rPr>
        <w:t xml:space="preserve">Postretirement Benefits </w:t>
      </w:r>
      <w:r>
        <w:rPr>
          <w:rFonts w:ascii="Arial" w:cs="Arial" w:eastAsia="Arial" w:hAnsi="Arial"/>
          <w:sz w:val="14"/>
          <w:szCs w:val="14"/>
          <w:color w:val="auto"/>
        </w:rPr>
        <w:t>of our Notes to Consolidated Financial Statements.</w:t>
      </w:r>
    </w:p>
    <w:p>
      <w:pPr>
        <w:ind w:left="300" w:hanging="300"/>
        <w:spacing w:after="0"/>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Purchase commitments include open purchase orders with vendors for which the Company is contractually obligated.</w:t>
      </w:r>
    </w:p>
    <w:p>
      <w:pPr>
        <w:spacing w:after="0" w:line="352"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Off-Balance Sheet Arrangements</w:t>
      </w:r>
    </w:p>
    <w:p>
      <w:pPr>
        <w:spacing w:after="0" w:line="172"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As of December 31, 2020 and 2019, we had no significant off balance sheet arrangements.</w:t>
      </w:r>
    </w:p>
    <w:p>
      <w:pPr>
        <w:spacing w:after="0" w:line="132"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Recapitalization</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To prepare for this offering and operation as a stand-alone public company, we have undertaken recapitalization initiatives to align our capital structure more closely with other U.S. public companies, including the expected repayment in full of our outstanding related-party borrowings of $237 million and entry into financing arrangements providing for the issuance of $450 million of third-party debt. The third-party debt is expected to consist of (i) the Term A Loan and (ii) the Bridge Loan, in each case subject to the consummation of this offering. We anticipate that the Bridge Loan will be repaid with the net proceeds from the issuance of unsecured senior notes following this offering. Any such unsecured senior notes would be offered pursuant to a separate offering memorandum and nothing contained in this prospectus shall constitute an offer to sell or solicitation of an offer to buy such unsecured senior notes. See “Recapitalization” and “Unaudited Pro Forma Consolidated Financial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3" w:lineRule="exact"/>
        <w:rPr>
          <w:sz w:val="20"/>
          <w:szCs w:val="20"/>
          <w:color w:val="auto"/>
        </w:rPr>
      </w:pPr>
    </w:p>
    <w:p>
      <w:pPr>
        <w:ind w:right="20" w:firstLine="299"/>
        <w:spacing w:after="0" w:line="263" w:lineRule="auto"/>
        <w:rPr>
          <w:sz w:val="20"/>
          <w:szCs w:val="20"/>
          <w:color w:val="auto"/>
        </w:rPr>
      </w:pPr>
      <w:r>
        <w:rPr>
          <w:rFonts w:ascii="Arial" w:cs="Arial" w:eastAsia="Arial" w:hAnsi="Arial"/>
          <w:sz w:val="16"/>
          <w:szCs w:val="16"/>
          <w:color w:val="auto"/>
        </w:rPr>
        <w:t xml:space="preserve">The following is not intended to be a comprehensive list of all of our accounting policies. Our significant accounting policies are more fully described in </w:t>
      </w:r>
      <w:r>
        <w:rPr>
          <w:rFonts w:ascii="Arial" w:cs="Arial" w:eastAsia="Arial" w:hAnsi="Arial"/>
          <w:sz w:val="16"/>
          <w:szCs w:val="16"/>
          <w:i w:val="1"/>
          <w:iCs w:val="1"/>
          <w:color w:val="auto"/>
        </w:rPr>
        <w:t>Note 1: Summary of Significant Accounting Policies</w:t>
      </w:r>
      <w:r>
        <w:rPr>
          <w:rFonts w:ascii="Arial" w:cs="Arial" w:eastAsia="Arial" w:hAnsi="Arial"/>
          <w:sz w:val="16"/>
          <w:szCs w:val="16"/>
          <w:color w:val="auto"/>
        </w:rPr>
        <w:t xml:space="preserve"> to the Consolidated Financial Statements. In many cases, the accounting treatment of a particular transaction is dictated by accounting principles generally accepted in the United States of America. Other areas require management's judgment to make estimates and assumptions that affect the reported amounts of assets and liabilities and the reported amounts of revenues and costs and expenses during the reporting period. Ultimately, actual amounts may differ from these estimates. We believe that critical accounting estimates have the following attributes: (1) they require management to make assumptions about matters that are uncertain at the time of the estimate; and (2) different estimates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43" w:lineRule="exact"/>
        <w:rPr>
          <w:sz w:val="20"/>
          <w:szCs w:val="20"/>
          <w:color w:val="auto"/>
        </w:rPr>
      </w:pPr>
    </w:p>
    <w:p>
      <w:pPr>
        <w:ind w:right="580"/>
        <w:spacing w:after="0" w:line="250" w:lineRule="auto"/>
        <w:rPr>
          <w:sz w:val="20"/>
          <w:szCs w:val="20"/>
          <w:color w:val="auto"/>
        </w:rPr>
      </w:pPr>
      <w:r>
        <w:rPr>
          <w:rFonts w:ascii="Arial" w:cs="Arial" w:eastAsia="Arial" w:hAnsi="Arial"/>
          <w:sz w:val="17"/>
          <w:szCs w:val="17"/>
          <w:color w:val="auto"/>
        </w:rPr>
        <w:t>reasonably could have used, or changes in the estimates that are reasonably likely to occur, that would have a material effect on our consolidated financial condition or results of operations.</w:t>
      </w:r>
    </w:p>
    <w:p>
      <w:pPr>
        <w:spacing w:after="0" w:line="140" w:lineRule="exact"/>
        <w:rPr>
          <w:sz w:val="20"/>
          <w:szCs w:val="20"/>
          <w:color w:val="auto"/>
        </w:rPr>
      </w:pPr>
    </w:p>
    <w:p>
      <w:pPr>
        <w:ind w:right="20" w:firstLine="299"/>
        <w:spacing w:after="0" w:line="250" w:lineRule="auto"/>
        <w:rPr>
          <w:sz w:val="20"/>
          <w:szCs w:val="20"/>
          <w:color w:val="auto"/>
        </w:rPr>
      </w:pPr>
      <w:r>
        <w:rPr>
          <w:rFonts w:ascii="Arial" w:cs="Arial" w:eastAsia="Arial" w:hAnsi="Arial"/>
          <w:sz w:val="17"/>
          <w:szCs w:val="17"/>
          <w:color w:val="auto"/>
        </w:rPr>
        <w:t>We believe the following critical accounting policies contain the more significant judgments and estimates used in the preparation of our Consolidated Financial Statements.</w:t>
      </w:r>
    </w:p>
    <w:p>
      <w:pPr>
        <w:spacing w:after="0" w:line="140" w:lineRule="exact"/>
        <w:rPr>
          <w:sz w:val="20"/>
          <w:szCs w:val="20"/>
          <w:color w:val="auto"/>
        </w:rPr>
      </w:pPr>
    </w:p>
    <w:p>
      <w:pPr>
        <w:ind w:left="600" w:hanging="302"/>
        <w:spacing w:after="0"/>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Revenue Recognition and Contract Estimates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Reviews for Impairment of Goodwill and Long-Lived Assets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Pension Assumptions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Recognition on Contracts and Contract Estimates</w:t>
      </w:r>
    </w:p>
    <w:p>
      <w:pPr>
        <w:spacing w:after="0" w:line="173"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We recognize revenue from contracts with customers using the five-step model prescribed in ASC 606. Substantially all of our contracts are accounted for using the over time, cost-to-cost accounting method as determined by the ratio of cumulative costs incurred to date to estimated total contract costs at completion. We believe this is an appropriate measure of progress toward satisfaction of performance obligations as this measure most accurately depicts the progress of our work and transfer of control to our customers.</w:t>
      </w:r>
    </w:p>
    <w:p>
      <w:pPr>
        <w:spacing w:after="0" w:line="14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Revenue and cost estimates for substantially all over time contract performance obligations are reviewed and updated quarterly. Contract estimates are based on various assumptions to project the outcome of future events that can span multiple years. These assumptions include labor productivity and availability, the complexity of the work to be performed, the cost and availability of materials, the performance of subcontractors and the availability and timing of funding from the customer. Changes in estimates affecting sales, costs and profits are recognized in the period in which the change becomes known using the cumulative catch-up method. Under this method, the impact of the adjustment on profit recorded to date on a contract is recognized in the period the adjustment is identified. Revenue and profit in future periods of contract performance are recognized using the adjusted estimate. The aggregate impact of adjustments in contract estimates are $77 million, $55 million, and $ 26 million for 2020, 2019, and 2018, respectively. The changes in estimates are primarily attributed to changes in our firm-fixed-priced development type programs. As changes happen in the design to meet required specifications, those changes often result in changes to the overall profitability of the programs. Our contract reviews are conducted at least quarterly in which we incorporate our best estimate to complete the program known at that point in time.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For further discussion, see </w:t>
      </w:r>
      <w:r>
        <w:rPr>
          <w:rFonts w:ascii="Arial" w:cs="Arial" w:eastAsia="Arial" w:hAnsi="Arial"/>
          <w:sz w:val="17"/>
          <w:szCs w:val="17"/>
          <w:i w:val="1"/>
          <w:iCs w:val="1"/>
          <w:color w:val="auto"/>
        </w:rPr>
        <w:t>Note 2</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 the Consolidated Financial Statements.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Reviews for Impairment of Goodwill and Long-lived Assets</w:t>
      </w:r>
    </w:p>
    <w:p>
      <w:pPr>
        <w:spacing w:after="0" w:line="173" w:lineRule="exact"/>
        <w:rPr>
          <w:sz w:val="20"/>
          <w:szCs w:val="20"/>
          <w:color w:val="auto"/>
        </w:rPr>
      </w:pPr>
    </w:p>
    <w:p>
      <w:pPr>
        <w:ind w:right="140" w:firstLine="299"/>
        <w:spacing w:after="0" w:line="246" w:lineRule="auto"/>
        <w:rPr>
          <w:sz w:val="20"/>
          <w:szCs w:val="20"/>
          <w:color w:val="auto"/>
        </w:rPr>
      </w:pPr>
      <w:r>
        <w:rPr>
          <w:rFonts w:ascii="Arial" w:cs="Arial" w:eastAsia="Arial" w:hAnsi="Arial"/>
          <w:sz w:val="17"/>
          <w:szCs w:val="17"/>
          <w:color w:val="auto"/>
        </w:rPr>
        <w:t>Goodwill represents the excess purchase price paid to acquire a business over the fair value of net assets acquired. We review goodwill for impairment annually at each of our reporting units or when changes in circumstances indicate that the carrying value may not be recoverable. Such circumstances include a significant adverse change in the business climate for one of our reporting units or a decision to dispose of a reporting unit or a significant portion of a reporting unit.</w:t>
      </w:r>
    </w:p>
    <w:p>
      <w:pPr>
        <w:spacing w:after="0" w:line="144"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use both qualitative and quantitative approaches when testing goodwill for impairment. When determining the approach to be used, we consider the current facts and circumstances of each reporting unit as well as the excess of each reporting unit’s estimated fair value over its carrying value based on our most recent quantitative assessments. Our qualitative approach evaluates the business environment and various events impacting the reporting unit including, but not limited to, macroeconomic conditions (e.g., impact of COVID-19), changes in the business environment and reporting unit-specific events. If, based on the qualitative assessment, we determine that it is more likely than not that the fair value of a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4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unit is greater than its carrying value, then a quantitative assessment is not necessary. However, if a quantitative assessment is determined to be necessary, we estimate the fair value of the reporting unit and compare that to its carrying value. To the extent the carrying value exceeds the fair value of a reporting unit, an impairment is recorded for the amount equal to this excess.</w:t>
      </w:r>
    </w:p>
    <w:p>
      <w:pPr>
        <w:spacing w:after="0" w:line="14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Our estimate of fair value is based primarily on the discounted projected cash flows of the underlying operations and requires the use of judgment by management. The process requires numerous assumptions, including the timing of work embedded in our backlog, our performance and profitability under our contracts, our success in securing future business and the appropriate risk adjusted interest rate used to discount the projected cash flows. Due to the variables inherent in our estimates of fair value, differences in assumptions may have a material effect on the result of our impairment analysis.</w:t>
      </w:r>
    </w:p>
    <w:p>
      <w:pPr>
        <w:spacing w:after="0" w:line="147" w:lineRule="exact"/>
        <w:rPr>
          <w:sz w:val="20"/>
          <w:szCs w:val="20"/>
          <w:color w:val="auto"/>
        </w:rPr>
      </w:pPr>
    </w:p>
    <w:p>
      <w:pPr>
        <w:ind w:right="760" w:firstLine="299"/>
        <w:spacing w:after="0" w:line="250" w:lineRule="auto"/>
        <w:rPr>
          <w:sz w:val="20"/>
          <w:szCs w:val="20"/>
          <w:color w:val="auto"/>
        </w:rPr>
      </w:pPr>
      <w:r>
        <w:rPr>
          <w:rFonts w:ascii="Arial" w:cs="Arial" w:eastAsia="Arial" w:hAnsi="Arial"/>
          <w:sz w:val="17"/>
          <w:szCs w:val="17"/>
          <w:color w:val="auto"/>
        </w:rPr>
        <w:t>As of December 31, 2020 and 2019, we completed quantitative assessments for our reporting units and the fair value of each reporting unit exceeded its carrying value. As a result, no impairments to goodwill were recorded.</w:t>
      </w:r>
    </w:p>
    <w:p>
      <w:pPr>
        <w:spacing w:after="0" w:line="140"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Long-lived assets held for use, which primarily includes finite-lived intangible assets and property, plant and equipment, are evaluated for impairment whenever events or circumstances indicate that the undiscounted net cash flows to be generated by their use over their expected useful lives and eventual disposition are less than their carrying value. The long-term nature of these assets requires the estimation of their cash inflows and outflows several years into the future and only takes into consideration technological advances known at the time of the impairment test.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Pension Assumptions</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 xml:space="preserve">Our defined-benefit pension and other post-retirement benefit costs and obligations depend on several assumptions and estimates. The key assumptions include interest rates used to discount estimated future liabilities and projected long-term rates of return on plan assets. The expected long-term rate of return is based on the market expectations at the beginning of the period for returns over the entire life of the related obligation. These retirement plan assumptions are based on our best judgment, including consideration of current and future market conditions. In the event any of the assumptions change, pension and other post-retirement benefit cost could increase or decrease. For further discussion about our retirement plan assumptions, see </w:t>
      </w:r>
      <w:r>
        <w:rPr>
          <w:rFonts w:ascii="Arial" w:cs="Arial" w:eastAsia="Arial" w:hAnsi="Arial"/>
          <w:sz w:val="17"/>
          <w:szCs w:val="17"/>
          <w:i w:val="1"/>
          <w:iCs w:val="1"/>
          <w:color w:val="auto"/>
        </w:rPr>
        <w:t>Note 12: Pension and Other Postretirement Benefits</w:t>
      </w:r>
      <w:r>
        <w:rPr>
          <w:rFonts w:ascii="Arial" w:cs="Arial" w:eastAsia="Arial" w:hAnsi="Arial"/>
          <w:sz w:val="17"/>
          <w:szCs w:val="17"/>
          <w:color w:val="auto"/>
        </w:rPr>
        <w:t xml:space="preserve"> to the Consolidated Financial Statements.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Income Taxes</w:t>
      </w:r>
    </w:p>
    <w:p>
      <w:pPr>
        <w:spacing w:after="0" w:line="173" w:lineRule="exact"/>
        <w:rPr>
          <w:sz w:val="20"/>
          <w:szCs w:val="20"/>
          <w:color w:val="auto"/>
        </w:rPr>
      </w:pPr>
    </w:p>
    <w:p>
      <w:pPr>
        <w:ind w:right="140" w:firstLine="299"/>
        <w:spacing w:after="0" w:line="246" w:lineRule="auto"/>
        <w:rPr>
          <w:sz w:val="20"/>
          <w:szCs w:val="20"/>
          <w:color w:val="auto"/>
        </w:rPr>
      </w:pPr>
      <w:r>
        <w:rPr>
          <w:rFonts w:ascii="Arial" w:cs="Arial" w:eastAsia="Arial" w:hAnsi="Arial"/>
          <w:sz w:val="17"/>
          <w:szCs w:val="17"/>
          <w:color w:val="auto"/>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144"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147" w:lineRule="exact"/>
        <w:rPr>
          <w:sz w:val="20"/>
          <w:szCs w:val="20"/>
          <w:color w:val="auto"/>
        </w:rPr>
      </w:pPr>
    </w:p>
    <w:p>
      <w:pPr>
        <w:ind w:right="80" w:firstLine="299"/>
        <w:spacing w:after="0" w:line="247" w:lineRule="auto"/>
        <w:rPr>
          <w:sz w:val="20"/>
          <w:szCs w:val="20"/>
          <w:color w:val="auto"/>
        </w:rPr>
      </w:pPr>
      <w:r>
        <w:rPr>
          <w:rFonts w:ascii="Arial" w:cs="Arial" w:eastAsia="Arial" w:hAnsi="Arial"/>
          <w:sz w:val="17"/>
          <w:szCs w:val="17"/>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43"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color w:val="auto"/>
        </w:rPr>
        <w:t>currently payable because certain items of income and expense are recognized in different reporting periods for financial reporting purposes than for income tax purposes.</w:t>
      </w:r>
    </w:p>
    <w:p>
      <w:pPr>
        <w:spacing w:after="0" w:line="140" w:lineRule="exact"/>
        <w:rPr>
          <w:sz w:val="20"/>
          <w:szCs w:val="20"/>
          <w:color w:val="auto"/>
        </w:rPr>
      </w:pPr>
    </w:p>
    <w:p>
      <w:pPr>
        <w:ind w:right="20" w:firstLine="299"/>
        <w:spacing w:after="0" w:line="270" w:lineRule="auto"/>
        <w:rPr>
          <w:sz w:val="20"/>
          <w:szCs w:val="20"/>
          <w:color w:val="auto"/>
        </w:rPr>
      </w:pPr>
      <w:r>
        <w:rPr>
          <w:rFonts w:ascii="Arial" w:cs="Arial" w:eastAsia="Arial" w:hAnsi="Arial"/>
          <w:sz w:val="16"/>
          <w:szCs w:val="16"/>
          <w:color w:val="auto"/>
        </w:rPr>
        <w:t>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to be realized upon ultimate settlement. We recognize interest and penalties related to uncertain tax positions in our income tax expense.</w:t>
      </w:r>
    </w:p>
    <w:p>
      <w:pPr>
        <w:spacing w:after="0" w:line="126"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As of December 31, 2020 and December 31, 2019, we had gross deferred tax assets of $154 million and $178 million, respectively, and deferred tax asset valuation allowances of $11 million and $14 million, respectively. The deferred tax assets principally relate to benefit accruals, inventory obsolescence, tax benefit carryforwards and contract reserves. The deferred tax assets as of December 31, 2020 and December 31, 2019 include $39 million and $69 million, respectively, related to tax benefit carryforwards associated with net operating losses.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Accounting Standards Updates (ASU)</w:t>
      </w:r>
    </w:p>
    <w:p>
      <w:pPr>
        <w:spacing w:after="0" w:line="155" w:lineRule="exact"/>
        <w:rPr>
          <w:sz w:val="20"/>
          <w:szCs w:val="20"/>
          <w:color w:val="auto"/>
        </w:rPr>
      </w:pPr>
    </w:p>
    <w:p>
      <w:pPr>
        <w:jc w:val="both"/>
        <w:ind w:firstLine="299"/>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See </w:t>
      </w:r>
      <w:hyperlink w:anchor="page207">
        <w:r>
          <w:rPr>
            <w:rFonts w:ascii="Arial" w:cs="Arial" w:eastAsia="Arial" w:hAnsi="Arial"/>
            <w:sz w:val="17"/>
            <w:szCs w:val="17"/>
            <w:i w:val="1"/>
            <w:iCs w:val="1"/>
            <w:color w:val="auto"/>
          </w:rPr>
          <w:t>Note 1: Summary of Significant Accounting Policies</w:t>
        </w:r>
        <w:r>
          <w:rPr>
            <w:rFonts w:ascii="Arial" w:cs="Arial" w:eastAsia="Arial" w:hAnsi="Arial"/>
            <w:sz w:val="17"/>
            <w:szCs w:val="17"/>
            <w:color w:val="auto"/>
          </w:rPr>
          <w:t xml:space="preserve"> </w:t>
        </w:r>
      </w:hyperlink>
      <w:r>
        <w:rPr>
          <w:rFonts w:ascii="Arial" w:cs="Arial" w:eastAsia="Arial" w:hAnsi="Arial"/>
          <w:sz w:val="17"/>
          <w:szCs w:val="17"/>
          <w:color w:val="auto"/>
        </w:rPr>
        <w:t>to the Consolidated Financial Statements for information regarding accounting standards we adopted in 2019 and other new accounting standards that have been issued by the Financial Accounting Standards Board but are not effective until after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of Market Risks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Equity Risk</w:t>
      </w:r>
    </w:p>
    <w:p>
      <w:pPr>
        <w:spacing w:after="0" w:line="155" w:lineRule="exact"/>
        <w:rPr>
          <w:sz w:val="20"/>
          <w:szCs w:val="20"/>
          <w:color w:val="auto"/>
        </w:rPr>
      </w:pPr>
    </w:p>
    <w:p>
      <w:pPr>
        <w:jc w:val="both"/>
        <w:ind w:right="20" w:firstLine="299"/>
        <w:spacing w:after="0" w:line="258" w:lineRule="auto"/>
        <w:rPr>
          <w:sz w:val="20"/>
          <w:szCs w:val="20"/>
          <w:color w:val="auto"/>
        </w:rPr>
      </w:pPr>
      <w:r>
        <w:rPr>
          <w:rFonts w:ascii="Arial" w:cs="Arial" w:eastAsia="Arial" w:hAnsi="Arial"/>
          <w:sz w:val="17"/>
          <w:szCs w:val="17"/>
          <w:color w:val="auto"/>
        </w:rPr>
        <w:t xml:space="preserve">We currently have limited risk related to fluctuations in marketable securities. Outside of pension assets which are disclosed in </w:t>
      </w:r>
      <w:r>
        <w:rPr>
          <w:rFonts w:ascii="Arial" w:cs="Arial" w:eastAsia="Arial" w:hAnsi="Arial"/>
          <w:sz w:val="17"/>
          <w:szCs w:val="17"/>
          <w:i w:val="1"/>
          <w:iCs w:val="1"/>
          <w:color w:val="auto"/>
        </w:rPr>
        <w:t>Note 12: Pension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Postretirement Benefits </w:t>
      </w:r>
      <w:r>
        <w:rPr>
          <w:rFonts w:ascii="Arial" w:cs="Arial" w:eastAsia="Arial" w:hAnsi="Arial"/>
          <w:sz w:val="17"/>
          <w:szCs w:val="17"/>
          <w:color w:val="auto"/>
        </w:rPr>
        <w:t>to the Consolidated Financial Statements, the only investments the Company holds are overnight money market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Fluctuations are unlikely and would have limited impact on the financial statements of the Company.</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3" w:lineRule="exact"/>
        <w:rPr>
          <w:sz w:val="20"/>
          <w:szCs w:val="20"/>
          <w:color w:val="auto"/>
        </w:rPr>
      </w:pPr>
    </w:p>
    <w:p>
      <w:pPr>
        <w:ind w:right="320" w:firstLine="299"/>
        <w:spacing w:after="0" w:line="250" w:lineRule="auto"/>
        <w:rPr>
          <w:sz w:val="20"/>
          <w:szCs w:val="20"/>
          <w:color w:val="auto"/>
        </w:rPr>
      </w:pPr>
      <w:r>
        <w:rPr>
          <w:rFonts w:ascii="Arial" w:cs="Arial" w:eastAsia="Arial" w:hAnsi="Arial"/>
          <w:sz w:val="17"/>
          <w:szCs w:val="17"/>
          <w:color w:val="auto"/>
        </w:rPr>
        <w:t>We are exposed to interest rate risk on variable-rate borrowings under our revolving credit facilities, for which no amounts were outstanding as of December 31, 2020. Our remaining debt facilities are fixed rate obligations and not subject to fluctuations in interest rates.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73" w:lineRule="exact"/>
        <w:rPr>
          <w:sz w:val="20"/>
          <w:szCs w:val="20"/>
          <w:color w:val="auto"/>
        </w:rPr>
      </w:pPr>
    </w:p>
    <w:p>
      <w:pPr>
        <w:ind w:right="220" w:firstLine="299"/>
        <w:spacing w:after="0" w:line="245" w:lineRule="auto"/>
        <w:rPr>
          <w:sz w:val="20"/>
          <w:szCs w:val="20"/>
          <w:color w:val="auto"/>
        </w:rPr>
      </w:pPr>
      <w:r>
        <w:rPr>
          <w:rFonts w:ascii="Arial" w:cs="Arial" w:eastAsia="Arial" w:hAnsi="Arial"/>
          <w:sz w:val="17"/>
          <w:szCs w:val="17"/>
          <w:color w:val="auto"/>
        </w:rPr>
        <w:t>In certain circumstances, we may be exposed to foreign currency risk. However, as the overwhelming majority of our revenue is derived from U.S. sources directly as a prime contractor or indirectly as a subcontractor for the U.S. government as end-customer, we have limited foreign currency exposure. Currently our exposure is primarily with the Canadian dollar and limited to receivables owed of $53 million as of December 31, 2020. A 10% fluctuation in exchange rates would not have a material impact on our financial statements. We do not enter into or issue derivative instruments for trading purposes.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Inflation Risk</w:t>
      </w:r>
    </w:p>
    <w:p>
      <w:pPr>
        <w:spacing w:after="0" w:line="173" w:lineRule="exact"/>
        <w:rPr>
          <w:sz w:val="20"/>
          <w:szCs w:val="20"/>
          <w:color w:val="auto"/>
        </w:rPr>
      </w:pPr>
    </w:p>
    <w:p>
      <w:pPr>
        <w:jc w:val="both"/>
        <w:ind w:right="460" w:firstLine="299"/>
        <w:spacing w:after="0" w:line="247" w:lineRule="auto"/>
        <w:rPr>
          <w:sz w:val="20"/>
          <w:szCs w:val="20"/>
          <w:color w:val="auto"/>
        </w:rPr>
      </w:pPr>
      <w:r>
        <w:rPr>
          <w:rFonts w:ascii="Arial" w:cs="Arial" w:eastAsia="Arial" w:hAnsi="Arial"/>
          <w:sz w:val="17"/>
          <w:szCs w:val="17"/>
          <w:color w:val="auto"/>
        </w:rPr>
        <w:t>We have generally been able to anticipate increases in costs when pricing our contracts. Bids for longer-term firm fixed-price contracts typically include assumptions for labor and other cost escalations in amounts that historically have been sufficient to cover cost increases over the period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3"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DRS is a leading provider of defense products and technologies that are used across land, air, sea, space and cyber domains. Our diverse array of defense systems and solutions is offered to all branches of the U.S. military, major aerospace and defense prime contractors, government intelligence agencies and international military customers for deployment on a wide range of military platforms. We focus our capabilities in areas of critical importance to the U.S. military, such as sensing, electronic warfare (“EW”), cyber security, network computing, communications, force protection and electrical power conversion and propulsion. As a mid-tier defense company with a portfolio that includes internally developed proprietary intellectual property (“IP”) and offerings at the component, sub-system and system level, we are able to serve as either prime contractor or a sub-contractor on key contracts, affording us flexibility in how we approach the market.</w:t>
      </w:r>
    </w:p>
    <w:p>
      <w:pPr>
        <w:spacing w:after="0" w:line="146"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alignment with the nation’s top defense priorities has allowed us to achieve a 12% compounded annual growth rate (“CAGR”) in revenues from the year ended December 31, 2016 through the year ended December 31, 2020. This growth, which exceeded the DoD budget CAGR of 5.3% during such perio</w:t>
      </w:r>
      <w:r>
        <w:rPr>
          <w:rFonts w:ascii="Arial" w:cs="Arial" w:eastAsia="Arial" w:hAnsi="Arial"/>
          <w:sz w:val="17"/>
          <w:szCs w:val="17"/>
          <w:color w:val="1F497D"/>
        </w:rPr>
        <w:t>d</w:t>
      </w:r>
      <w:r>
        <w:rPr>
          <w:rFonts w:ascii="Arial" w:cs="Arial" w:eastAsia="Arial" w:hAnsi="Arial"/>
          <w:sz w:val="17"/>
          <w:szCs w:val="17"/>
          <w:color w:val="auto"/>
        </w:rPr>
        <w:t xml:space="preserve"> and drove our annual revenue to approximately $2.8 billion for the year ended December 31, 2020, was driven by organic growth. During the same period, our net earnings (loss) improved by $247 million to $85 million, our operating earnings grew 178 million to $181 million and our Adjusted EBITDA grew $115 million to $268 million (CAGR of 15%). Adjusted EBITDA is a non-GAAP measure. See “Management’s Discussion and Analysis of Financial Condition and Results of Operations—Key Financial and Operating Measures—Non-GAAP Financial Measures” for a reconciliation of Adjusted EBITDA to net earnings.</w:t>
      </w:r>
    </w:p>
    <w:p>
      <w:pPr>
        <w:spacing w:after="0" w:line="146" w:lineRule="exact"/>
        <w:rPr>
          <w:sz w:val="20"/>
          <w:szCs w:val="20"/>
          <w:color w:val="auto"/>
        </w:rPr>
      </w:pPr>
    </w:p>
    <w:p>
      <w:pPr>
        <w:ind w:right="220" w:firstLine="299"/>
        <w:spacing w:after="0" w:line="245" w:lineRule="auto"/>
        <w:rPr>
          <w:sz w:val="20"/>
          <w:szCs w:val="20"/>
          <w:color w:val="auto"/>
        </w:rPr>
      </w:pPr>
      <w:r>
        <w:rPr>
          <w:rFonts w:ascii="Arial" w:cs="Arial" w:eastAsia="Arial" w:hAnsi="Arial"/>
          <w:sz w:val="17"/>
          <w:szCs w:val="17"/>
          <w:color w:val="auto"/>
        </w:rPr>
        <w:t>We have a 50-year legacy of designing and manufacturing innovative and differentiated products and solutions for military applications. From our earliest sonar systems that were instrumental in detecting enemy submarines, to today’s best-in -class electro-optical sensors, we have continually developed advanced technologies to address complex military challenges. Throughout much of our history, we have targeted our investments towards the highest growth areas of the DoD defense budgets. Today, we employ approximately 6,650 people including a substantial number of highly trained engineers and personnel with security clearances to support classified programs for the U.S military.</w:t>
      </w:r>
    </w:p>
    <w:p>
      <w:pPr>
        <w:spacing w:after="0" w:line="147"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We focus on products, systems and solutions that can be adapted for installation on a wide range of military platforms. This allows us to leverage our technology investments to expand revenue opportunities. Our high-technology solutions are designed to transition from one military platform to another. In addition, we have a significant installed base of products and solutions, which allows us to enhance revenue opportunities by providing upgrades to existing platforms. This gives us a resilient position to offer new solutions and technology in changing budget environments. Our growth has been facilitated by our longstanding relationships and position as a trusted partner with the U.S. military, intelligence community and industry customers. Together, these characteristics allow us to pivot quickly to address emerging needs for our customers and generate growth opportunities in today’s dynamic defense market.</w:t>
      </w:r>
    </w:p>
    <w:p>
      <w:pPr>
        <w:spacing w:after="0" w:line="146" w:lineRule="exact"/>
        <w:rPr>
          <w:sz w:val="20"/>
          <w:szCs w:val="20"/>
          <w:color w:val="auto"/>
        </w:rPr>
      </w:pPr>
    </w:p>
    <w:p>
      <w:pPr>
        <w:ind w:right="160" w:firstLine="299"/>
        <w:spacing w:after="0" w:line="247" w:lineRule="auto"/>
        <w:rPr>
          <w:sz w:val="20"/>
          <w:szCs w:val="20"/>
          <w:color w:val="auto"/>
        </w:rPr>
      </w:pPr>
      <w:r>
        <w:rPr>
          <w:rFonts w:ascii="Arial" w:cs="Arial" w:eastAsia="Arial" w:hAnsi="Arial"/>
          <w:sz w:val="17"/>
          <w:szCs w:val="17"/>
          <w:color w:val="auto"/>
        </w:rPr>
        <w:t>We operate in three segments: Advanced Sensor Technologies, Network Computing &amp; Communications and Integrated Mission Systems. We have achieved significant growth over the past five years by aligning our investments and technology development to address the greatest threats to U.S. defense interests.</w:t>
      </w:r>
    </w:p>
    <w:p>
      <w:pPr>
        <w:spacing w:after="0" w:line="123" w:lineRule="exact"/>
        <w:rPr>
          <w:sz w:val="20"/>
          <w:szCs w:val="20"/>
          <w:color w:val="auto"/>
        </w:rPr>
      </w:pPr>
    </w:p>
    <w:p>
      <w:pPr>
        <w:ind w:left="300"/>
        <w:spacing w:after="0" w:line="237" w:lineRule="auto"/>
        <w:rPr>
          <w:sz w:val="20"/>
          <w:szCs w:val="20"/>
          <w:color w:val="auto"/>
        </w:rPr>
      </w:pPr>
      <w:r>
        <w:rPr>
          <w:rFonts w:ascii="Arial" w:cs="Arial" w:eastAsia="Arial" w:hAnsi="Arial"/>
          <w:sz w:val="17"/>
          <w:szCs w:val="17"/>
          <w:b w:val="1"/>
          <w:bCs w:val="1"/>
          <w:i w:val="1"/>
          <w:iCs w:val="1"/>
          <w:color w:val="auto"/>
        </w:rPr>
        <w:t>Advanced Sensor Technologies</w:t>
      </w:r>
      <w:r>
        <w:rPr>
          <w:rFonts w:ascii="Arial" w:cs="Arial" w:eastAsia="Arial" w:hAnsi="Arial"/>
          <w:sz w:val="17"/>
          <w:szCs w:val="17"/>
          <w:color w:val="auto"/>
        </w:rPr>
        <w:t>: Our Advanced Sensor Technologies segment provides world-class electro-optical sensor technologies, laser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EW systems and intelligence and surveillance solutions to U.S. military and intelligence community customers. We are a leading provider of ground vehicle targeting and surveillance sensors, including electro-optical and advanced detection systems. We are also a leading provider of soldier sensor systems in high priority modernization areas such as infrared imaging and precision targeting systems. Our infrared focal plane array foundry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43" w:lineRule="exact"/>
        <w:rPr>
          <w:sz w:val="20"/>
          <w:szCs w:val="20"/>
          <w:color w:val="auto"/>
        </w:rPr>
      </w:pPr>
    </w:p>
    <w:p>
      <w:pPr>
        <w:jc w:val="both"/>
        <w:ind w:left="300" w:right="360"/>
        <w:spacing w:after="0" w:line="233" w:lineRule="auto"/>
        <w:rPr>
          <w:sz w:val="20"/>
          <w:szCs w:val="20"/>
          <w:color w:val="auto"/>
        </w:rPr>
      </w:pPr>
      <w:r>
        <w:rPr>
          <w:rFonts w:ascii="Arial" w:cs="Arial" w:eastAsia="Arial" w:hAnsi="Arial"/>
          <w:sz w:val="17"/>
          <w:szCs w:val="17"/>
          <w:color w:val="auto"/>
        </w:rPr>
        <w:t>as a leading provider of high performance and small sized cryogenically cooled and uncooled detector arrays. We are also a leading and world-recognized provider of aircraft training instrumentation equipment and high-performance radio frequency receivers and transceivers for U.S. and international customers. Our quantum cascade laser technology has promising military and commercial medical applications. Collectively, these sensor technologies provide our warfighters with a distinct battlefield advantage.</w:t>
      </w:r>
    </w:p>
    <w:p>
      <w:pPr>
        <w:spacing w:after="0" w:line="117" w:lineRule="exact"/>
        <w:rPr>
          <w:sz w:val="20"/>
          <w:szCs w:val="20"/>
          <w:color w:val="auto"/>
        </w:rPr>
      </w:pPr>
    </w:p>
    <w:p>
      <w:pPr>
        <w:ind w:left="300"/>
        <w:spacing w:after="0" w:line="248" w:lineRule="auto"/>
        <w:rPr>
          <w:sz w:val="20"/>
          <w:szCs w:val="20"/>
          <w:color w:val="auto"/>
        </w:rPr>
      </w:pPr>
      <w:r>
        <w:rPr>
          <w:rFonts w:ascii="Arial" w:cs="Arial" w:eastAsia="Arial" w:hAnsi="Arial"/>
          <w:sz w:val="17"/>
          <w:szCs w:val="17"/>
          <w:b w:val="1"/>
          <w:bCs w:val="1"/>
          <w:i w:val="1"/>
          <w:iCs w:val="1"/>
          <w:color w:val="auto"/>
        </w:rPr>
        <w:t xml:space="preserve">Network Computing &amp; Communications: </w:t>
      </w:r>
      <w:r>
        <w:rPr>
          <w:rFonts w:ascii="Arial" w:cs="Arial" w:eastAsia="Arial" w:hAnsi="Arial"/>
          <w:sz w:val="17"/>
          <w:szCs w:val="17"/>
          <w:color w:val="auto"/>
        </w:rPr>
        <w:t>Our Network Computing &amp; Communications segment provides advanced defense electronics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across warfare domains. Our technologies and products are used on legacy and new military platforms, end-to-end network communication systems, network services and cyber solutions. We are a leading provider of ruggedized computing equipment, having provided advanced tactical computing units for ground combat vehicles and command post operations for more than two decades. During this period we have delivered more than 125,000 units. For the U.S. Navy and its allies, we provide naval computing infrastructure, network and data distribution, radar and rugged naval control systems, which are present on naval surface and subsurface combatant vessels. Across the full spectrum of our network computing capabilities, we have leadership positions at both the product and sub-systems levels. Our global communications network is a worldwide network of terrestrial and satellite bandwidth that ensures our customers’ data is secure and reliable. As a result of this capability, we are positioned as one of the leading providers of secured satellite communications to the U.S. military.</w:t>
      </w:r>
    </w:p>
    <w:p>
      <w:pPr>
        <w:spacing w:after="0" w:line="123" w:lineRule="exact"/>
        <w:rPr>
          <w:sz w:val="20"/>
          <w:szCs w:val="20"/>
          <w:color w:val="auto"/>
        </w:rPr>
      </w:pPr>
    </w:p>
    <w:p>
      <w:pPr>
        <w:ind w:left="300" w:right="60"/>
        <w:spacing w:after="0" w:line="264" w:lineRule="auto"/>
        <w:rPr>
          <w:sz w:val="20"/>
          <w:szCs w:val="20"/>
          <w:color w:val="auto"/>
        </w:rPr>
      </w:pPr>
      <w:r>
        <w:rPr>
          <w:rFonts w:ascii="Arial" w:cs="Arial" w:eastAsia="Arial" w:hAnsi="Arial"/>
          <w:sz w:val="16"/>
          <w:szCs w:val="16"/>
          <w:b w:val="1"/>
          <w:bCs w:val="1"/>
          <w:i w:val="1"/>
          <w:iCs w:val="1"/>
          <w:color w:val="auto"/>
        </w:rPr>
        <w:t xml:space="preserve">Integrated Mission Systems: </w:t>
      </w:r>
      <w:r>
        <w:rPr>
          <w:rFonts w:ascii="Arial" w:cs="Arial" w:eastAsia="Arial" w:hAnsi="Arial"/>
          <w:sz w:val="16"/>
          <w:szCs w:val="16"/>
          <w:color w:val="auto"/>
        </w:rPr>
        <w:t>Our Integrated Mission Systems segment provides critical force protection, vehicle integration, transportation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In 2018, we were awarded the Expedited Active Protection System program by bringing the TROPHY™ Active Protection System (“APS”) to the U.S. market, making us the leading U.S. provider of active protection systems for the U.S. Army. We were also awarded the Initial Maneuver Short-Range Air Defense (“IM-SHORAD”) Mission Equipment Package Program for the U.S. Army that year, culminating an 18-month cycle from development to customer delivery. We have military transportation and logistics offerings and ground vehicle integration capabilities to support U.S. forces in a wide range of operational environments.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Defense Market Trends and Market Opportunities</w:t>
      </w:r>
    </w:p>
    <w:p>
      <w:pPr>
        <w:spacing w:after="0" w:line="173"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Our core markets have experienced strong growth. The DoD defense budget has grown at a CAGR of 5.3% from 2016 to 2020, reflecting the shift of the DoD’s priorities from a focus on global terrorism to emerging threats from more sophisticated and technologically advanced adversaries requiring enhanced capabilities across the DoD. Additionally, we foresee growth opportunities in foreign military sales and direct commercial sales, particularly as international allies require similar force modernization.</w:t>
      </w:r>
    </w:p>
    <w:p>
      <w:pPr>
        <w:spacing w:after="0" w:line="144"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The DoD is our largest customer and, for the year ended December 31, 2020, accounted for approximately 84% of our business as an end-user, with revenues principally derived directly or indirectly from contracts with the U.S. Army and U.S. Navy, which represented 43% and 32%, respectively, of our total revenues for the year ended December 31, 2020. The stated U.S. National Defense Strategy is to “compete, win and deter” in a challenging and complex international security environment. The current landscape is defined by rapid technological change and competition from emerging peer and near-peer adversaries who are nation states that are becoming great powers. Every domain of U.S. military advantage is expected to be contested, including air, land, sea, space and cyberspace. U.S. forces facing these new threats are in need of modernization as readiness has been strained following nearly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43"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decades of continuous conflict with both traditional and novel adversaries. In order to face these challenges, the U.S. military will likely need to balance limited resources between new high-cost technological capabilities and upgrades of existing equipment.</w:t>
      </w:r>
    </w:p>
    <w:p>
      <w:pPr>
        <w:spacing w:after="0" w:line="140"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In today’s threat environment, the U.S. military is positioning itself for non-stop, continuous competition against these rising nation state threats. Military services are increasingly moving towards multi-domain operations that now include both space and cyberspace domains in addition to the air, land and sea domains. The creation of the U.S. Space Force is also expected to drive new requirements for high technology defense capabilities, including increased space sensing and evolution of communications approaches. Even as new spending priorities shift towards addressing high-end threats, the U.S. military knows that it cannot compete with yesterday’s weapons or equipment. Military modernization programs and priorities are expected to provide both opportunities for new solutions and for upgrades to existing platforms. We believe that companies with an existing installed base of hardware will be able to perform upgrades to provide modernization solutions at a lower cost. Companies with strong customer relationships and outstanding execution will more effectively maintain program positions.</w:t>
      </w:r>
    </w:p>
    <w:p>
      <w:pPr>
        <w:spacing w:after="0" w:line="146" w:lineRule="exact"/>
        <w:rPr>
          <w:sz w:val="20"/>
          <w:szCs w:val="20"/>
          <w:color w:val="auto"/>
        </w:rPr>
      </w:pPr>
    </w:p>
    <w:p>
      <w:pPr>
        <w:ind w:right="460" w:firstLine="299"/>
        <w:spacing w:after="0" w:line="247" w:lineRule="auto"/>
        <w:rPr>
          <w:sz w:val="20"/>
          <w:szCs w:val="20"/>
          <w:color w:val="auto"/>
        </w:rPr>
      </w:pPr>
      <w:r>
        <w:rPr>
          <w:rFonts w:ascii="Arial" w:cs="Arial" w:eastAsia="Arial" w:hAnsi="Arial"/>
          <w:sz w:val="17"/>
          <w:szCs w:val="17"/>
          <w:color w:val="auto"/>
        </w:rPr>
        <w:t>In this new military environment, U.S. forces are seeking the ability to sense further from a greater distance and enhance their reach across the spectrum of warfare. Increased use of sensor technologies enables forces to detect threats further and more quickly and deliver rapid, forceful responses. Sensors and laser systems are expected to enable optionally manned and autonomous platforms for the future.</w:t>
      </w:r>
    </w:p>
    <w:p>
      <w:pPr>
        <w:spacing w:after="0" w:line="143" w:lineRule="exact"/>
        <w:rPr>
          <w:sz w:val="20"/>
          <w:szCs w:val="20"/>
          <w:color w:val="auto"/>
        </w:rPr>
      </w:pPr>
    </w:p>
    <w:p>
      <w:pPr>
        <w:ind w:right="100" w:firstLine="299"/>
        <w:spacing w:after="0" w:line="262" w:lineRule="auto"/>
        <w:rPr>
          <w:sz w:val="20"/>
          <w:szCs w:val="20"/>
          <w:color w:val="auto"/>
        </w:rPr>
      </w:pPr>
      <w:r>
        <w:rPr>
          <w:rFonts w:ascii="Arial" w:cs="Arial" w:eastAsia="Arial" w:hAnsi="Arial"/>
          <w:sz w:val="16"/>
          <w:szCs w:val="16"/>
          <w:color w:val="auto"/>
        </w:rPr>
        <w:t>The need for greater situational understanding for the warfighter also drives the need for increased data and communications bandwidth to and from command centers to forward-positioned military platforms and dismounted soldiers. Network computing and communications systems need to provide deployed forces with access to secure data to promote information-sharing and situational understanding for faster decision-making. Battlefield management systems and individual soldier communications systems require secure rugged computing solutions and are becoming increasingly interoperable with current combat air forces and naval computing infrastructure. Encrypted data and cyber protection capabilities aim to ensure that the data U.S. forces receive is trusted and protected from enemies. This capability is intended to allow forces to be more mobile and geographically dispersed while operating with immediate access to trusted information. Satellite communications systems also provide data to U.S. warfighters around the globe and are projected to increasingly utilize satellite constellations at all altitudes for redundancy, lower latency, expanded bandwidth and security.</w:t>
      </w:r>
    </w:p>
    <w:p>
      <w:pPr>
        <w:spacing w:after="0" w:line="135" w:lineRule="exact"/>
        <w:rPr>
          <w:sz w:val="20"/>
          <w:szCs w:val="20"/>
          <w:color w:val="auto"/>
        </w:rPr>
      </w:pPr>
    </w:p>
    <w:p>
      <w:pPr>
        <w:ind w:right="120" w:firstLine="299"/>
        <w:spacing w:after="0" w:line="263" w:lineRule="auto"/>
        <w:rPr>
          <w:sz w:val="20"/>
          <w:szCs w:val="20"/>
          <w:color w:val="auto"/>
        </w:rPr>
      </w:pPr>
      <w:r>
        <w:rPr>
          <w:rFonts w:ascii="Arial" w:cs="Arial" w:eastAsia="Arial" w:hAnsi="Arial"/>
          <w:sz w:val="16"/>
          <w:szCs w:val="16"/>
          <w:color w:val="auto"/>
        </w:rPr>
        <w:t>U.S. forces are in need of greater force protection technologies. Emerging requirements for counter-unmanned aerial systems, active protection, infrared countermeasures and air defense systems require rapid deployment to keep U.S. military platforms and personnel safe from growing threats. The U.S. military is also focusing efforts on transportation and logistics capabilities, ensuring that their trained and equipped personnel and supplies can make it to the battlefield wherever that may be. All of the increased sensing, self-protection, directed energy, communications and computing needs for the warfighter require significantly higher levels of mobile power than in the past. Electrical power generation, conversion, storage and distribution and on-board vehicle power solutions will provide U.S. forces the energy they need in the future to win in this era of competition.</w:t>
      </w:r>
    </w:p>
    <w:p>
      <w:pPr>
        <w:spacing w:after="0" w:line="134" w:lineRule="exact"/>
        <w:rPr>
          <w:sz w:val="20"/>
          <w:szCs w:val="20"/>
          <w:color w:val="auto"/>
        </w:rPr>
      </w:pPr>
    </w:p>
    <w:p>
      <w:pPr>
        <w:ind w:right="280" w:firstLine="299"/>
        <w:spacing w:after="0" w:line="246" w:lineRule="auto"/>
        <w:rPr>
          <w:sz w:val="20"/>
          <w:szCs w:val="20"/>
          <w:color w:val="auto"/>
        </w:rPr>
      </w:pPr>
      <w:r>
        <w:rPr>
          <w:rFonts w:ascii="Arial" w:cs="Arial" w:eastAsia="Arial" w:hAnsi="Arial"/>
          <w:sz w:val="17"/>
          <w:szCs w:val="17"/>
          <w:color w:val="auto"/>
        </w:rPr>
        <w:t>The U.S. military budget accounts for nearly 40% of the world’s defense spending and foreign military allies often select U.S. military solutions to train, equip and modernize their forces to enhance interoperability. Beyond the opportunity for direct commercial and foreign military sales to these foreign countries, many allies leverage U.S. funding and equipment, providing opportunities for U.S. defense contractors offering solutions that can be sold internationally.</w:t>
      </w:r>
    </w:p>
    <w:p>
      <w:pPr>
        <w:spacing w:after="0" w:line="144" w:lineRule="exact"/>
        <w:rPr>
          <w:sz w:val="20"/>
          <w:szCs w:val="20"/>
          <w:color w:val="auto"/>
        </w:rPr>
      </w:pPr>
    </w:p>
    <w:p>
      <w:pPr>
        <w:ind w:right="380" w:firstLine="299"/>
        <w:spacing w:after="0" w:line="246" w:lineRule="auto"/>
        <w:rPr>
          <w:sz w:val="20"/>
          <w:szCs w:val="20"/>
          <w:color w:val="auto"/>
        </w:rPr>
      </w:pPr>
      <w:r>
        <w:rPr>
          <w:rFonts w:ascii="Arial" w:cs="Arial" w:eastAsia="Arial" w:hAnsi="Arial"/>
          <w:sz w:val="17"/>
          <w:szCs w:val="17"/>
          <w:color w:val="auto"/>
        </w:rPr>
        <w:t>The global community is in a period of rapid technological change and new commercial technologies may change society and, ultimately, the character of conflicts. We believe that investing in high technological capabilities, developing proprietary intellectual capability, as well as integrating leading-edge commercial technology into our solutions will provide us with a competitive advantage. New acquisition programs are expected to seek innovative solutions. The need for innovation is more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4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than ever, and to accelerate innovation, the DoD has deployed more rapid acquisition methods. We believe that these methods will provide greater opportunities for companies with proven abilities to quickly develop and deploy new technologies. The DoD has placed a high priority on defense procurement reform to speed up the development of new key capabilities, increase responsibility and accountability for major acquisition programs and reduce acquisition risk. As a result, we believe that mid-tier companies, such as DRS, with proven technological capabilities and an agile decision-making structure are positioned to rapidly respond to emerging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Solutions</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 DoD is placing its focus and investment priorities in several platforms and capabilities where we have compelling offerings and market share. These offerings include: Ground Vehicle Sensors; Soldier Sensor Systems; EW &amp; Cyber; Network Computing; Communications; Force Protection; Transportation and Logistics; and Electrical Power &amp; Propulsion. These directly align with our three segments: Advanced Sensor Technologies, Network Computing &amp; Communications, and Integrated Mission Systems. In these areas, we have distinguishing capabilities, core technologies and IP underlying our product portfolio that we believe provide us with a sustainable differentiation from our competitors. We believe that our installed base of existing products and platform-agnostic offerings provide an opportunity for our business to continue to grow.</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Advanced Sensor Technologies</w:t>
      </w:r>
    </w:p>
    <w:p>
      <w:pPr>
        <w:spacing w:after="0" w:line="173"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Our Advanced Sensor Technologies segment provides world-class cryogenically cooled and uncooled infrared sensor technologies, laser systems, EW systems and intelligence and surveillance solutions to the U.S. military and intelligence community customers. Our products and solutions have significant capabilities and core technologies to meet the warfighter’s need for increased battlefield awareness and longer range sensing. Our infrared focal plane array foundry produces cooled and uncooled infrared sensors and our IP provides us with key technology differentiators and builds upon our long legacy of market-leading technology.</w:t>
      </w:r>
    </w:p>
    <w:p>
      <w:pPr>
        <w:spacing w:after="0" w:line="129" w:lineRule="exact"/>
        <w:rPr>
          <w:sz w:val="20"/>
          <w:szCs w:val="20"/>
          <w:color w:val="auto"/>
        </w:rPr>
      </w:pPr>
    </w:p>
    <w:p>
      <w:pPr>
        <w:ind w:left="300" w:right="200"/>
        <w:spacing w:after="0" w:line="250" w:lineRule="auto"/>
        <w:rPr>
          <w:sz w:val="20"/>
          <w:szCs w:val="20"/>
          <w:color w:val="auto"/>
        </w:rPr>
      </w:pPr>
      <w:r>
        <w:rPr>
          <w:rFonts w:ascii="Arial" w:cs="Arial" w:eastAsia="Arial" w:hAnsi="Arial"/>
          <w:sz w:val="17"/>
          <w:szCs w:val="17"/>
          <w:i w:val="1"/>
          <w:iCs w:val="1"/>
          <w:color w:val="auto"/>
        </w:rPr>
        <w:t xml:space="preserve">Ground Vehicle Sensors </w:t>
      </w:r>
      <w:r>
        <w:rPr>
          <w:rFonts w:ascii="Arial" w:cs="Arial" w:eastAsia="Arial" w:hAnsi="Arial"/>
          <w:sz w:val="17"/>
          <w:szCs w:val="17"/>
          <w:color w:val="auto"/>
        </w:rPr>
        <w:t>– The U.S. military has identified specific needs for advanced sensor technology for ground vehicles, including electro-optical and advanced detection capabilities to enhance battlefield understanding, vehicle protection and vehicle targeting capabilities. Our market-leading sensor products include third-generation infrared sensing, fused sensing and sensors for threat detection and situational awareness, which we believe position us well for these opportunities. We are a leading provider of uncooled focal plane arrays and brownout solutions (which are sensors that can see through blowing sand). We are also a leader in ground vehicle sensor sighting systems led by our third-generation infrared imaging systems.</w:t>
      </w:r>
    </w:p>
    <w:p>
      <w:pPr>
        <w:spacing w:after="0" w:line="122" w:lineRule="exact"/>
        <w:rPr>
          <w:sz w:val="20"/>
          <w:szCs w:val="20"/>
          <w:color w:val="auto"/>
        </w:rPr>
      </w:pPr>
    </w:p>
    <w:p>
      <w:pPr>
        <w:ind w:left="300"/>
        <w:spacing w:after="0" w:line="251" w:lineRule="auto"/>
        <w:rPr>
          <w:sz w:val="20"/>
          <w:szCs w:val="20"/>
          <w:color w:val="auto"/>
        </w:rPr>
      </w:pPr>
      <w:r>
        <w:rPr>
          <w:rFonts w:ascii="Arial" w:cs="Arial" w:eastAsia="Arial" w:hAnsi="Arial"/>
          <w:sz w:val="17"/>
          <w:szCs w:val="17"/>
          <w:i w:val="1"/>
          <w:iCs w:val="1"/>
          <w:color w:val="auto"/>
        </w:rPr>
        <w:t xml:space="preserve">Soldier Sensors </w:t>
      </w:r>
      <w:r>
        <w:rPr>
          <w:rFonts w:ascii="Arial" w:cs="Arial" w:eastAsia="Arial" w:hAnsi="Arial"/>
          <w:sz w:val="17"/>
          <w:szCs w:val="17"/>
          <w:color w:val="auto"/>
        </w:rPr>
        <w:t>– Our complement of soldier sensor systems employs state-of-the-art sensors, precision targeting capabilities and optics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infantry combat effectiveness. We have produced a family of innovative electro-optical and infrared systems for soldiers, from our legacy imaging system, the Thermal Weapons Sight, to the next generation of thermal weapon sights being produced today. We believe that our current position on next-generation soldier precision targeting programs will enable us to compete effectively in this area of growing need. Our uncooled sensor technology also positions us well to support the future of soldier goggle systems.</w:t>
      </w:r>
    </w:p>
    <w:p>
      <w:pPr>
        <w:spacing w:after="0" w:line="123" w:lineRule="exact"/>
        <w:rPr>
          <w:sz w:val="20"/>
          <w:szCs w:val="20"/>
          <w:color w:val="auto"/>
        </w:rPr>
      </w:pPr>
    </w:p>
    <w:p>
      <w:pPr>
        <w:ind w:left="300" w:right="20"/>
        <w:spacing w:after="0" w:line="251" w:lineRule="auto"/>
        <w:rPr>
          <w:sz w:val="20"/>
          <w:szCs w:val="20"/>
          <w:color w:val="auto"/>
        </w:rPr>
      </w:pPr>
      <w:r>
        <w:rPr>
          <w:rFonts w:ascii="Arial" w:cs="Arial" w:eastAsia="Arial" w:hAnsi="Arial"/>
          <w:sz w:val="17"/>
          <w:szCs w:val="17"/>
          <w:i w:val="1"/>
          <w:iCs w:val="1"/>
          <w:color w:val="auto"/>
        </w:rPr>
        <w:t xml:space="preserve">EW &amp; Cyber </w:t>
      </w:r>
      <w:r>
        <w:rPr>
          <w:rFonts w:ascii="Arial" w:cs="Arial" w:eastAsia="Arial" w:hAnsi="Arial"/>
          <w:sz w:val="17"/>
          <w:szCs w:val="17"/>
          <w:color w:val="auto"/>
        </w:rPr>
        <w:t>– We have significant technological capabilities and program experience in EW &amp; Cyber and offer integrated capabilities for multi-domain operations to supplement kinetic warfare. We have developed mounted and dismounted EW systems, EW software and training systems and intelligence solutions across a broad range of platforms. We believe that our capabilities in integrated mounted and dismounted ground EW, exploitation and cyber-based multi-domain operations position us well in this area of growing DoD priority. We have leveraged international EW programs to develop our capabilities for DoD offerings and have invested to meet developing U.S. Army and U.S. Marine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Corps requirements for integrated solutions to address threats which are emanating from peer and near-peer adversaries.</w:t>
      </w:r>
    </w:p>
    <w:p>
      <w:pPr>
        <w:spacing w:after="0" w:line="135" w:lineRule="exact"/>
        <w:rPr>
          <w:sz w:val="20"/>
          <w:szCs w:val="20"/>
          <w:color w:val="auto"/>
        </w:rPr>
      </w:pPr>
    </w:p>
    <w:p>
      <w:pPr>
        <w:ind w:left="300" w:right="260"/>
        <w:spacing w:after="0" w:line="253" w:lineRule="auto"/>
        <w:rPr>
          <w:sz w:val="20"/>
          <w:szCs w:val="20"/>
          <w:color w:val="auto"/>
        </w:rPr>
      </w:pPr>
      <w:r>
        <w:rPr>
          <w:rFonts w:ascii="Arial" w:cs="Arial" w:eastAsia="Arial" w:hAnsi="Arial"/>
          <w:sz w:val="17"/>
          <w:szCs w:val="17"/>
          <w:i w:val="1"/>
          <w:iCs w:val="1"/>
          <w:color w:val="auto"/>
        </w:rPr>
        <w:t xml:space="preserve">Force Protection </w:t>
      </w:r>
      <w:r>
        <w:rPr>
          <w:rFonts w:ascii="Arial" w:cs="Arial" w:eastAsia="Arial" w:hAnsi="Arial"/>
          <w:sz w:val="17"/>
          <w:szCs w:val="17"/>
          <w:color w:val="auto"/>
        </w:rPr>
        <w:t>– Aircraft Survivability – Our Advanced Sensors Technology segment also features quantum cascade laser (“QCL”)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which, along with our advanced two-color infrared sensors, have enabled us to support a high-profile U.S. Navy contract for advanced systems to protect aircraft from ground-launch missiles. We are also a critical partner on the U.S. Army’s common infrared countermeasures program and the next generation missile warning program.</w:t>
      </w:r>
    </w:p>
    <w:p>
      <w:pPr>
        <w:spacing w:after="0" w:line="121" w:lineRule="exact"/>
        <w:rPr>
          <w:sz w:val="20"/>
          <w:szCs w:val="20"/>
          <w:color w:val="auto"/>
        </w:rPr>
      </w:pPr>
    </w:p>
    <w:p>
      <w:pPr>
        <w:ind w:left="300" w:right="500"/>
        <w:spacing w:after="0" w:line="253" w:lineRule="auto"/>
        <w:rPr>
          <w:sz w:val="20"/>
          <w:szCs w:val="20"/>
          <w:color w:val="auto"/>
        </w:rPr>
      </w:pPr>
      <w:r>
        <w:rPr>
          <w:rFonts w:ascii="Arial" w:cs="Arial" w:eastAsia="Arial" w:hAnsi="Arial"/>
          <w:sz w:val="17"/>
          <w:szCs w:val="17"/>
          <w:i w:val="1"/>
          <w:iCs w:val="1"/>
          <w:color w:val="auto"/>
        </w:rPr>
        <w:t xml:space="preserve">Other Advanced Sensor Technologies Capabilities </w:t>
      </w:r>
      <w:r>
        <w:rPr>
          <w:rFonts w:ascii="Arial" w:cs="Arial" w:eastAsia="Arial" w:hAnsi="Arial"/>
          <w:sz w:val="17"/>
          <w:szCs w:val="17"/>
          <w:color w:val="auto"/>
        </w:rPr>
        <w:t>– Our aircraft training instrumentation systems were selected for the high-profile Joint Strike</w:t>
      </w:r>
      <w:r>
        <w:rPr>
          <w:rFonts w:ascii="Arial" w:cs="Arial" w:eastAsia="Arial" w:hAnsi="Arial"/>
          <w:sz w:val="17"/>
          <w:szCs w:val="17"/>
          <w:i w:val="1"/>
          <w:iCs w:val="1"/>
          <w:color w:val="auto"/>
        </w:rPr>
        <w:t xml:space="preserve"> </w:t>
      </w:r>
      <w:r>
        <w:rPr>
          <w:rFonts w:ascii="Arial" w:cs="Arial" w:eastAsia="Arial" w:hAnsi="Arial"/>
          <w:sz w:val="17"/>
          <w:szCs w:val="17"/>
          <w:color w:val="auto"/>
        </w:rPr>
        <w:t>Fighter program that has been the leading U.S. and allied forces military air platform in development over the past two decades. We are also a leading provider of the aircraft training instrumentation which deploy on both legacy and modern aircraft and are required for aircraft training programs.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Network Computing &amp; Communications</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Our Network Computing &amp; Communications segment provides an array of network computing products and sub-systems that bring trusted and resilient communications and computational resources to U.S. and international military forces, allowing them to rapidly share data and improve situational understanding. We provide trusted computing systems for ground vehicles, naval computing infrastructure, network and data distribution programs, rugged naval computational and control systems and networked communications. We also provide terrestrial and satellite communications for the U.S. Army, U.S. Navy, U.S. Special Forces, and intelligence communities.</w:t>
      </w:r>
    </w:p>
    <w:p>
      <w:pPr>
        <w:spacing w:after="0" w:line="127" w:lineRule="exact"/>
        <w:rPr>
          <w:sz w:val="20"/>
          <w:szCs w:val="20"/>
          <w:color w:val="auto"/>
        </w:rPr>
      </w:pPr>
    </w:p>
    <w:p>
      <w:pPr>
        <w:ind w:left="300" w:right="20"/>
        <w:spacing w:after="0" w:line="248" w:lineRule="auto"/>
        <w:rPr>
          <w:sz w:val="20"/>
          <w:szCs w:val="20"/>
          <w:color w:val="auto"/>
        </w:rPr>
      </w:pPr>
      <w:r>
        <w:rPr>
          <w:rFonts w:ascii="Arial" w:cs="Arial" w:eastAsia="Arial" w:hAnsi="Arial"/>
          <w:sz w:val="16"/>
          <w:szCs w:val="16"/>
          <w:i w:val="1"/>
          <w:iCs w:val="1"/>
          <w:color w:val="auto"/>
        </w:rPr>
        <w:t xml:space="preserve">Network Computing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U.S. military has recently shifted its computing paradigm for command, control, communications, computers, intelligence,</w:t>
      </w:r>
      <w:r>
        <w:rPr>
          <w:rFonts w:ascii="Arial" w:cs="Arial" w:eastAsia="Arial" w:hAnsi="Arial"/>
          <w:sz w:val="16"/>
          <w:szCs w:val="16"/>
          <w:i w:val="1"/>
          <w:iCs w:val="1"/>
          <w:color w:val="auto"/>
        </w:rPr>
        <w:t xml:space="preserve"> </w:t>
      </w:r>
      <w:r>
        <w:rPr>
          <w:rFonts w:ascii="Arial" w:cs="Arial" w:eastAsia="Arial" w:hAnsi="Arial"/>
          <w:sz w:val="16"/>
          <w:szCs w:val="16"/>
          <w:color w:val="auto"/>
        </w:rPr>
        <w:t>surveillance and reconnaissance to include cyber capabilities. Our Mounted Family of Computing Systems (“MFoCs”) and MFoCs-II have earned us a reputation as a leading provider of mounted battle management systems hardware in the U.S. We have invested in cyber defense and trusted computing capabilities over the past several years to protect information at the edge of the battlefield. We have also transformed our legacy of naval display and computing equipment over the past several years, to secure a position as a leading provider of surface combat system components, submarine combat systems and command and control system components. We are a leading provider of naval ship communications, integrated logistics support and sustainment and manufacturing services to U.S. and allied military customers. We hold a leading market share in Command, Control, Communications, Computers and Intelligence (“C4I”) programs for the U.S. Navy, including those that will be upgraded as the fleet continues to modernize. For submarines, we provide hardware which is planned to be upgraded continuously over a two-year cycle. In addition, our joint venture, Advanced Acoustic Concepts, LLC (“AAC”), focuses on underwater products, acoustic training systems, and related products and services.</w:t>
      </w:r>
    </w:p>
    <w:p>
      <w:pPr>
        <w:spacing w:after="0" w:line="115" w:lineRule="exact"/>
        <w:rPr>
          <w:sz w:val="20"/>
          <w:szCs w:val="20"/>
          <w:color w:val="auto"/>
        </w:rPr>
      </w:pPr>
    </w:p>
    <w:p>
      <w:pPr>
        <w:ind w:left="300" w:right="120"/>
        <w:spacing w:after="0" w:line="237" w:lineRule="auto"/>
        <w:rPr>
          <w:sz w:val="20"/>
          <w:szCs w:val="20"/>
          <w:color w:val="auto"/>
        </w:rPr>
      </w:pPr>
      <w:r>
        <w:rPr>
          <w:rFonts w:ascii="Arial" w:cs="Arial" w:eastAsia="Arial" w:hAnsi="Arial"/>
          <w:sz w:val="17"/>
          <w:szCs w:val="17"/>
          <w:i w:val="1"/>
          <w:iCs w:val="1"/>
          <w:color w:val="auto"/>
        </w:rPr>
        <w:t xml:space="preserve">Communications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are contracted on two of the U.S. military’s top five satellite communications programs, including its largest, serving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forces with terrestrial and space bandwidth. This long-standing program provides secure and reliable communications for the U.S.’s forward-deployed military forces across the globe, and is well positioned to meet future needs. Our contracts on these programs make us one of the largest satellite communications providers for the U.S. military. We believe that our legacy and outstanding reputation with the U.S. military will enable us to continue to be a leading communications provider for all DoD services.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Integrated Mission Systems</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Our Integrated Mission Systems segment supports the U.S. military’s need to deter and defend against increasingly lethal adversaries through a wide range of force protection solutions, integrated mission equipment, transportation and logistics products, naval power technologies and forward-deployed electrical power solutions. This segment enables us to maximize our customer offerings by integrating our products and systems onto platforms. We believe that our leading position in naval electrical power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propulsion will position us to help meet the U.S. military’s future electrical power needs as it increasingly deploys high technology capabilities to its forces.</w:t>
      </w:r>
    </w:p>
    <w:p>
      <w:pPr>
        <w:spacing w:after="0" w:line="146" w:lineRule="exact"/>
        <w:rPr>
          <w:sz w:val="20"/>
          <w:szCs w:val="20"/>
          <w:color w:val="auto"/>
        </w:rPr>
      </w:pPr>
    </w:p>
    <w:p>
      <w:pPr>
        <w:ind w:left="300" w:right="100"/>
        <w:spacing w:after="0" w:line="249" w:lineRule="auto"/>
        <w:rPr>
          <w:sz w:val="20"/>
          <w:szCs w:val="20"/>
          <w:color w:val="auto"/>
        </w:rPr>
      </w:pPr>
      <w:r>
        <w:rPr>
          <w:rFonts w:ascii="Arial" w:cs="Arial" w:eastAsia="Arial" w:hAnsi="Arial"/>
          <w:sz w:val="17"/>
          <w:szCs w:val="17"/>
          <w:i w:val="1"/>
          <w:iCs w:val="1"/>
          <w:color w:val="auto"/>
        </w:rPr>
        <w:t xml:space="preserve">Force Protection </w:t>
      </w:r>
      <w:r>
        <w:rPr>
          <w:rFonts w:ascii="Arial" w:cs="Arial" w:eastAsia="Arial" w:hAnsi="Arial"/>
          <w:sz w:val="17"/>
          <w:szCs w:val="17"/>
          <w:color w:val="auto"/>
        </w:rPr>
        <w:t>– DRS is an integrator of systems in ground vehicles, including reconnaissance and surveillance, mission support and vehicle</w:t>
      </w:r>
      <w:r>
        <w:rPr>
          <w:rFonts w:ascii="Arial" w:cs="Arial" w:eastAsia="Arial" w:hAnsi="Arial"/>
          <w:sz w:val="17"/>
          <w:szCs w:val="17"/>
          <w:i w:val="1"/>
          <w:iCs w:val="1"/>
          <w:color w:val="auto"/>
        </w:rPr>
        <w:t xml:space="preserve"> </w:t>
      </w:r>
      <w:r>
        <w:rPr>
          <w:rFonts w:ascii="Arial" w:cs="Arial" w:eastAsia="Arial" w:hAnsi="Arial"/>
          <w:sz w:val="17"/>
          <w:szCs w:val="17"/>
          <w:color w:val="auto"/>
        </w:rPr>
        <w:t>survivability and protection. Protecting U.S. service members and valuable defense assets is always a top DoD priority. To help accomplish this mission, we have a family of key force protection systems, including counter-unmanned aerial systems and portable ground radar, active protection systems, modular combat vehicle turrets and stabilized sensor suites. We believe that our record providing the TROPHY™ APS to the U.S. Army enhances our reputation and positions us well to provide future vehicle protection systems. Our short-range air defense mission equipment package and mounted counter-unmanned aerial systems integrate market-leading technologies that are ready to rapidly deploy to the field in upcoming competitive pursuits.</w:t>
      </w:r>
    </w:p>
    <w:p>
      <w:pPr>
        <w:spacing w:after="0" w:line="123" w:lineRule="exact"/>
        <w:rPr>
          <w:sz w:val="20"/>
          <w:szCs w:val="20"/>
          <w:color w:val="auto"/>
        </w:rPr>
      </w:pPr>
    </w:p>
    <w:p>
      <w:pPr>
        <w:ind w:left="300" w:right="140"/>
        <w:spacing w:after="0" w:line="250" w:lineRule="auto"/>
        <w:rPr>
          <w:sz w:val="20"/>
          <w:szCs w:val="20"/>
          <w:color w:val="auto"/>
        </w:rPr>
      </w:pPr>
      <w:r>
        <w:rPr>
          <w:rFonts w:ascii="Arial" w:cs="Arial" w:eastAsia="Arial" w:hAnsi="Arial"/>
          <w:sz w:val="17"/>
          <w:szCs w:val="17"/>
          <w:i w:val="1"/>
          <w:iCs w:val="1"/>
          <w:color w:val="auto"/>
        </w:rPr>
        <w:t xml:space="preserve">Transportation and Logistics </w:t>
      </w:r>
      <w:r>
        <w:rPr>
          <w:rFonts w:ascii="Arial" w:cs="Arial" w:eastAsia="Arial" w:hAnsi="Arial"/>
          <w:sz w:val="17"/>
          <w:szCs w:val="17"/>
          <w:color w:val="auto"/>
        </w:rPr>
        <w:t>– DRS is a provider of transportation and logistics solutions for the DoD, including bridging systems, cargo loaders and</w:t>
      </w:r>
      <w:r>
        <w:rPr>
          <w:rFonts w:ascii="Arial" w:cs="Arial" w:eastAsia="Arial" w:hAnsi="Arial"/>
          <w:sz w:val="17"/>
          <w:szCs w:val="17"/>
          <w:i w:val="1"/>
          <w:iCs w:val="1"/>
          <w:color w:val="auto"/>
        </w:rPr>
        <w:t xml:space="preserve"> </w:t>
      </w:r>
      <w:r>
        <w:rPr>
          <w:rFonts w:ascii="Arial" w:cs="Arial" w:eastAsia="Arial" w:hAnsi="Arial"/>
          <w:sz w:val="17"/>
          <w:szCs w:val="17"/>
          <w:color w:val="auto"/>
        </w:rPr>
        <w:t>trailers. Our Tunner and Halvorsen programs have provided the U.S. Air Force with rapidly deployable, high-reach mechanized aircraft loaders that can lift up to 60,000 and 25,000 pounds, respectively, of cargo onto military aircraft. The Joint Assault Bridge program positions us well as the U.S. Army is looking to expand its tactical bridging capabilities. We believe that our legacy position in heavy military trailers will allow us to win new opportunities as the U.S. Army looks for increased solutions. We also have capabilities in military fuel and water handling and distribution which can support U.S. military forces in a variety of challenging forward deployed environments.</w:t>
      </w:r>
    </w:p>
    <w:p>
      <w:pPr>
        <w:spacing w:after="0" w:line="122" w:lineRule="exact"/>
        <w:rPr>
          <w:sz w:val="20"/>
          <w:szCs w:val="20"/>
          <w:color w:val="auto"/>
        </w:rPr>
      </w:pPr>
    </w:p>
    <w:p>
      <w:pPr>
        <w:ind w:left="300" w:right="140"/>
        <w:spacing w:after="0" w:line="251" w:lineRule="auto"/>
        <w:rPr>
          <w:sz w:val="20"/>
          <w:szCs w:val="20"/>
          <w:color w:val="auto"/>
        </w:rPr>
      </w:pPr>
      <w:r>
        <w:rPr>
          <w:rFonts w:ascii="Arial" w:cs="Arial" w:eastAsia="Arial" w:hAnsi="Arial"/>
          <w:sz w:val="17"/>
          <w:szCs w:val="17"/>
          <w:i w:val="1"/>
          <w:iCs w:val="1"/>
          <w:color w:val="auto"/>
        </w:rPr>
        <w:t xml:space="preserve">Electrical Power &amp; Propulsion </w:t>
      </w:r>
      <w:r>
        <w:rPr>
          <w:rFonts w:ascii="Arial" w:cs="Arial" w:eastAsia="Arial" w:hAnsi="Arial"/>
          <w:sz w:val="17"/>
          <w:szCs w:val="17"/>
          <w:color w:val="auto"/>
        </w:rPr>
        <w:t>– DRS is a leading provider of next generation electrical propulsion components and systems for the U.S. Navy, with</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capabilities to service the fleet’s future needs, including on the Columbia-class submarine program which is integral to the United States’ deterrence strategy and among its highest priority programs. Beyond electrification of its fleet, the U.S. Navy will require increased power to expand and modernize its vessels, including for the introduction of laser weapons. This increased power demand will require improved power generation, storage, conversion, management and distribution, which align with the core competencies of this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173" w:lineRule="exact"/>
        <w:rPr>
          <w:sz w:val="20"/>
          <w:szCs w:val="20"/>
          <w:color w:val="auto"/>
        </w:rPr>
      </w:pPr>
    </w:p>
    <w:p>
      <w:pPr>
        <w:ind w:right="320" w:firstLine="299"/>
        <w:spacing w:after="0" w:line="245" w:lineRule="auto"/>
        <w:rPr>
          <w:sz w:val="20"/>
          <w:szCs w:val="20"/>
          <w:color w:val="auto"/>
        </w:rPr>
      </w:pPr>
      <w:r>
        <w:rPr>
          <w:rFonts w:ascii="Arial" w:cs="Arial" w:eastAsia="Arial" w:hAnsi="Arial"/>
          <w:sz w:val="17"/>
          <w:szCs w:val="17"/>
          <w:color w:val="auto"/>
        </w:rPr>
        <w:t>As a diverse, defense technology company that is primarily focused on U.S. military programs, we have significant attributes that make us well positioned in the market. With a heritage of excellence in defense products, systems and solutions, we have transformed ourselves into a leading defense technology company with capabilities in sensing, electro-optics and laser systems, a critical provider of trusted network computing and communications systems and a key leader in integrated mission systems. We believe that we are positioned to grow our market position as a leading mid-tier U.S. defense technologies provider.</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innovative portfolio is well positioned for core platform wins.</w:t>
      </w:r>
    </w:p>
    <w:p>
      <w:pPr>
        <w:spacing w:after="0" w:line="173" w:lineRule="exact"/>
        <w:rPr>
          <w:sz w:val="20"/>
          <w:szCs w:val="20"/>
          <w:color w:val="auto"/>
        </w:rPr>
      </w:pPr>
    </w:p>
    <w:p>
      <w:pPr>
        <w:ind w:firstLine="299"/>
        <w:spacing w:after="0" w:line="264" w:lineRule="auto"/>
        <w:rPr>
          <w:sz w:val="20"/>
          <w:szCs w:val="20"/>
          <w:color w:val="auto"/>
        </w:rPr>
      </w:pPr>
      <w:r>
        <w:rPr>
          <w:rFonts w:ascii="Arial" w:cs="Arial" w:eastAsia="Arial" w:hAnsi="Arial"/>
          <w:sz w:val="16"/>
          <w:szCs w:val="16"/>
          <w:color w:val="auto"/>
        </w:rPr>
        <w:t>Over the past five decades, DRS has advanced its portfolio through focused innovation, targeted investments, selective partnerships and mergers and acquisitions. DRS has solutions for a number of military platforms and serves the branches of the U.S. military, and competes at the prime contractor, systems, supplier, or component level. Our core set of defense technologies and capabilities have applications that cross our three segments, allowing us to leverage research and development (“R&amp;D”) and IP across multiple product lines, platforms and end markets. We also provide higher-value integrated sub-systems and systems and have a goal of increasing scope and market share by integrating our own products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portfolio of defense technologies is strategically aligned with key DoD priorities.</w:t>
      </w:r>
    </w:p>
    <w:p>
      <w:pPr>
        <w:spacing w:after="0" w:line="173"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We believe that our product and technology portfolio aligns with rising great power competition needs and modernization efforts, which are high priorities for DoD spending. Our technology portfolio and knowledge of the U.S. military enable us to win positions on key programs and adapt quickly to changing customer dynamics. Our size and lean management structure allow us to shift our focus to changing priorities rapidly to best serve our customers’ growing needs. Our recent execution performance in short-range air defense exemplifies this ability, as we were able to rapidly develop and field new technology to address urgent needs of the warfighter in an extremely short procurement cycle.</w:t>
      </w:r>
    </w:p>
    <w:p>
      <w:pPr>
        <w:spacing w:after="0" w:line="127" w:lineRule="exact"/>
        <w:rPr>
          <w:sz w:val="20"/>
          <w:szCs w:val="20"/>
          <w:color w:val="auto"/>
        </w:rPr>
      </w:pPr>
    </w:p>
    <w:p>
      <w:pPr>
        <w:ind w:right="20" w:firstLine="299"/>
        <w:spacing w:after="0" w:line="274" w:lineRule="auto"/>
        <w:rPr>
          <w:sz w:val="20"/>
          <w:szCs w:val="20"/>
          <w:color w:val="auto"/>
        </w:rPr>
      </w:pPr>
      <w:r>
        <w:rPr>
          <w:rFonts w:ascii="Arial" w:cs="Arial" w:eastAsia="Arial" w:hAnsi="Arial"/>
          <w:sz w:val="17"/>
          <w:szCs w:val="17"/>
          <w:b w:val="1"/>
          <w:bCs w:val="1"/>
          <w:i w:val="1"/>
          <w:iCs w:val="1"/>
          <w:color w:val="auto"/>
        </w:rPr>
        <w:t>We hold an embedded position on key defense platforms and with prime contractors, supported by our installed base of existing products spanning U.S. Army, U.S. Navy and U.S. Air Force platforms.</w:t>
      </w:r>
    </w:p>
    <w:p>
      <w:pPr>
        <w:spacing w:after="0" w:line="12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current installed base of existing products spans over 300,000 computer and display systems that are fielded globally, approximately 60,000 enhanced driver vision systems for military combat vehicles, over 50,000 thermal weapon systems and critical naval computing infrastructure and technology on every U.S. naval combatant vessel in service. The notable platforms for this installed base include: surface ships, submarines, tracked and wheeled ground vehicles, fixed and rotary wing aircraft, unmanned aircraft, operating bases, and commercial vehicles and facilities. This installed base of existing products provide us opportunities for upgrades and new business that leverages these solutions.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record of growth should drive profitability due to program lifecycle evolution, sole source positions and operational efficiencies.</w:t>
      </w:r>
    </w:p>
    <w:p>
      <w:pPr>
        <w:spacing w:after="0" w:line="173" w:lineRule="exact"/>
        <w:rPr>
          <w:sz w:val="20"/>
          <w:szCs w:val="20"/>
          <w:color w:val="auto"/>
        </w:rPr>
      </w:pPr>
    </w:p>
    <w:p>
      <w:pPr>
        <w:ind w:right="140" w:firstLine="299"/>
        <w:spacing w:after="0" w:line="245" w:lineRule="auto"/>
        <w:rPr>
          <w:sz w:val="20"/>
          <w:szCs w:val="20"/>
          <w:color w:val="auto"/>
        </w:rPr>
      </w:pPr>
      <w:r>
        <w:rPr>
          <w:rFonts w:ascii="Arial" w:cs="Arial" w:eastAsia="Arial" w:hAnsi="Arial"/>
          <w:sz w:val="17"/>
          <w:szCs w:val="17"/>
          <w:color w:val="auto"/>
        </w:rPr>
        <w:t>Over the past five years through 2020, we have had a revenue CAGR of 12%, operating earnings expanded by $178 million and our Adjusted EBITDA Margin has increased to 9.6%. We have accomplished this through key program wins and sole-source positions, including prominent positions on the Columbia-class submarine program, MFoCS ruggedized computing battle management program, next generation of thermal weapon sights and our active protection system awards. Going forward, we anticipate that recent investments will drive profitability expansion and corresponding cash flow generation. As our program lifecycle in several key programs shifts from lower-margin, fixed-price development efforts to production, and topline growth brings more operational efficiencies, we expect to improve margin. Across our business, our continuous improvement culture is embodied in our Operational Excellence initiative called “Always Performing For Excellence,” or “APEX,” which strives to reduce cost and improves efficiencies while increasing the quality of our products and services.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highly experienced management team and talented workforce have transformed DRS.</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Our management team has transformed DRS into the market-leading, high-growth, technology company it is today by focusing attention and investment on the fastest growing areas of the DoD budget. We have done this through an active portfolio management process that targeted investment to growing technological capabilities and acquisitions of smaller accretive companies that fill key strategic gaps in our portfolio, and by creating partnerships or joint ventures to supplement our own IP. The result of these efforts has led DRS to be well positioned in the U.S. defense market. Our management team has an average tenure of 15 years with the Company and nearly 30 years in the industry.</w:t>
      </w:r>
    </w:p>
    <w:p>
      <w:pPr>
        <w:spacing w:after="0" w:line="147"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work force of approximately 6,700 people is highly innovative and we maintain a culture that fosters and rewards growth, problem-solving, technology development and process improvements. We have approximately 1,350 world-class engineers highly trained to work on programs in sensing, electro-optical infrared systems, laser systems, network computing, communications systems, integration and power propulsion. Our employees maintain over 2,000 security clearances to allow engineers and management to carry on business activities for our customers’ classified programs. Our strong commitment to diversity, inclusion, succession planning and training has fostered a highly collaborative and motivated work force. Our human resources policies and benefits have been designed to allow us to recruit and retain top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are focused on sustainability and diversity.</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strongly believe that in order to succeed as a company, we must remain a strong and positive contributor to the communities where we do business, and the greater world around us. Sustainability to us means taking important steps towards protecting the environment, engaging in corporate social responsibility, ensuring a safe work force and promoting diversity. We have enacted a sustainability risk management model to take action towards responsible consumption. We have focused our corporate giving program on military veterans and have initiated a program called MyCommunity that matches donations to local charities and provides paid volunteer hours to employees. We created a Diversity Advisory Group to improve our diversity and inclusiveness so that we look like the communities in which we operate. We have targeted increases in minority hiring and women in management and overall women in the workforce, which is 2.6% higher than our industry average.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73" w:lineRule="exact"/>
        <w:rPr>
          <w:sz w:val="20"/>
          <w:szCs w:val="20"/>
          <w:color w:val="auto"/>
        </w:rPr>
      </w:pPr>
    </w:p>
    <w:p>
      <w:pPr>
        <w:ind w:right="160" w:firstLine="299"/>
        <w:spacing w:after="0" w:line="246" w:lineRule="auto"/>
        <w:rPr>
          <w:sz w:val="20"/>
          <w:szCs w:val="20"/>
          <w:color w:val="auto"/>
        </w:rPr>
      </w:pPr>
      <w:r>
        <w:rPr>
          <w:rFonts w:ascii="Arial" w:cs="Arial" w:eastAsia="Arial" w:hAnsi="Arial"/>
          <w:sz w:val="17"/>
          <w:szCs w:val="17"/>
          <w:color w:val="auto"/>
        </w:rPr>
        <w:t>Our growth strategy is focused on four pillars: targeting investment to drive organic growth; executing on our programs to enhance profitability; actively managing our portfolio for optimization; and taking care of our people. Our goal is to grow and increase margins faster than the overall defense market through focused market selection, technology differentiation and operational excellence. Our vision is to be the best mid-tier defense technology company in the U.S. market.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Targeting Investment to Drive Organic Growth</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strategically select the markets where we compete and the programs on which we bid.</w:t>
      </w:r>
    </w:p>
    <w:p>
      <w:pPr>
        <w:spacing w:after="0" w:line="153" w:lineRule="exact"/>
        <w:rPr>
          <w:sz w:val="20"/>
          <w:szCs w:val="20"/>
          <w:color w:val="auto"/>
        </w:rPr>
      </w:pPr>
    </w:p>
    <w:p>
      <w:pPr>
        <w:ind w:left="600" w:right="140" w:hanging="302"/>
        <w:spacing w:after="0" w:line="245" w:lineRule="auto"/>
        <w:tabs>
          <w:tab w:leader="none" w:pos="596"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target programs in markets where we have strong core technology and where the DoD is focused. We seek to compete only in the areas in which we have a technological or market advantage, and which will attract funding. As an example, our core technology in high-performance receivers/transceivers is sought after by our customers for their wide-bandwidth and high signal dynamic range. These features are required for modern EW systems being developed for the U.S. Army, U.S. Marine Corp. and other customers to capture, exploit and/or disrupt modern signals.</w:t>
      </w:r>
    </w:p>
    <w:p>
      <w:pPr>
        <w:spacing w:after="0" w:line="147" w:lineRule="exact"/>
        <w:rPr>
          <w:rFonts w:ascii="Arial" w:cs="Arial" w:eastAsia="Arial" w:hAnsi="Arial"/>
          <w:sz w:val="17"/>
          <w:szCs w:val="17"/>
          <w:color w:val="auto"/>
        </w:rPr>
      </w:pPr>
    </w:p>
    <w:p>
      <w:pPr>
        <w:ind w:left="600" w:right="320" w:hanging="302"/>
        <w:spacing w:after="0" w:line="247" w:lineRule="auto"/>
        <w:tabs>
          <w:tab w:leader="none" w:pos="596"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target our investments in core technologies in areas of high market growth. Our investments fill gaps, create leading market offerings and make capital improvements to our business. We are also awarded, and leverage, significant customer research and development funding to complement our investments.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Executing on Our Programs to Enhance Profitability</w:t>
      </w:r>
    </w:p>
    <w:p>
      <w:pPr>
        <w:spacing w:after="0" w:line="173" w:lineRule="exact"/>
        <w:rPr>
          <w:sz w:val="20"/>
          <w:szCs w:val="20"/>
          <w:color w:val="auto"/>
        </w:rPr>
      </w:pPr>
    </w:p>
    <w:p>
      <w:pPr>
        <w:ind w:right="20" w:firstLine="299"/>
        <w:spacing w:after="0" w:line="247" w:lineRule="auto"/>
        <w:rPr>
          <w:sz w:val="20"/>
          <w:szCs w:val="20"/>
          <w:color w:val="auto"/>
        </w:rPr>
      </w:pPr>
      <w:r>
        <w:rPr>
          <w:rFonts w:ascii="Arial" w:cs="Arial" w:eastAsia="Arial" w:hAnsi="Arial"/>
          <w:sz w:val="17"/>
          <w:szCs w:val="17"/>
          <w:color w:val="auto"/>
        </w:rPr>
        <w:t>We remain focused on continuing to drive operational enhancements and efficiencies, which we believe will result in improved profitability over time. We believe that our world-class technology and innovative solutions coupled with the transition of development programs into production will serve as the foundation for continued profitable growth.</w:t>
      </w:r>
    </w:p>
    <w:p>
      <w:pPr>
        <w:spacing w:after="0" w:line="143" w:lineRule="exact"/>
        <w:rPr>
          <w:sz w:val="20"/>
          <w:szCs w:val="20"/>
          <w:color w:val="auto"/>
        </w:rPr>
      </w:pPr>
    </w:p>
    <w:p>
      <w:pPr>
        <w:jc w:val="both"/>
        <w:ind w:left="600" w:right="80" w:hanging="302"/>
        <w:spacing w:after="0" w:line="270" w:lineRule="auto"/>
        <w:tabs>
          <w:tab w:leader="none" w:pos="596"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believe that outstanding performance and timely execution on our programs will win us new business and lead to profitable growth, including new opportunities for follow-on orders which will add to our growing production base. Our recent short-range air defense program is an example of a program that we were able to win because of our reputation with the customer and our ability to quickly react to their needs.</w:t>
      </w:r>
    </w:p>
    <w:p>
      <w:pPr>
        <w:spacing w:after="0" w:line="125" w:lineRule="exact"/>
        <w:rPr>
          <w:rFonts w:ascii="Arial" w:cs="Arial" w:eastAsia="Arial" w:hAnsi="Arial"/>
          <w:sz w:val="16"/>
          <w:szCs w:val="16"/>
          <w:color w:val="auto"/>
        </w:rPr>
      </w:pPr>
    </w:p>
    <w:p>
      <w:pPr>
        <w:ind w:left="600" w:hanging="302"/>
        <w:spacing w:after="0" w:line="247" w:lineRule="auto"/>
        <w:tabs>
          <w:tab w:leader="none" w:pos="596"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Integrated systems offerings of our products and systems should further expand margins as we continue to grow the topline. Our Integrated Missions Systems business, for example, has strong integration capabilities which will enable us to grow content on programs as we increase our role from smaller sub-systems into full systems integration.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43" w:lineRule="exact"/>
        <w:rPr>
          <w:sz w:val="20"/>
          <w:szCs w:val="20"/>
          <w:color w:val="auto"/>
        </w:rPr>
      </w:pPr>
    </w:p>
    <w:p>
      <w:pPr>
        <w:ind w:left="600" w:right="340" w:hanging="302"/>
        <w:spacing w:after="0" w:line="270" w:lineRule="auto"/>
        <w:tabs>
          <w:tab w:leader="none" w:pos="5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Successful execution on key development programs in early phases is expected to drive a transition to higher margin business in production, bringing sustained profitable success. Our Columbia-class submarine program is an example of a fixed-price development program that we invested in while recognizing that it will deliver long-term profitable growth, beginning in 2021, when it transitions into production.</w:t>
      </w:r>
    </w:p>
    <w:p>
      <w:pPr>
        <w:spacing w:after="0" w:line="125" w:lineRule="exact"/>
        <w:rPr>
          <w:rFonts w:ascii="Arial" w:cs="Arial" w:eastAsia="Arial" w:hAnsi="Arial"/>
          <w:sz w:val="16"/>
          <w:szCs w:val="16"/>
          <w:color w:val="auto"/>
        </w:rPr>
      </w:pPr>
    </w:p>
    <w:p>
      <w:pPr>
        <w:ind w:left="600" w:hanging="302"/>
        <w:spacing w:after="0" w:line="246" w:lineRule="auto"/>
        <w:tabs>
          <w:tab w:leader="none" w:pos="5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APEX program focuses on the achievement of operational savings in production, supply chain and our overall cost structure. The APEX program’s goal is to strive for continuous improvement through unification of our business practices, tools and metrics, ongoing employee training and innovation. Commitment to excellence requires us to challenge ourselves to exceed our customers’ expectations. A culture of continuous improvement will allow us to improve our efficiency and increase our margins.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Actively Managing our Portfolio for Optimization</w:t>
      </w:r>
    </w:p>
    <w:p>
      <w:pPr>
        <w:spacing w:after="0" w:line="173" w:lineRule="exact"/>
        <w:rPr>
          <w:sz w:val="20"/>
          <w:szCs w:val="20"/>
          <w:color w:val="auto"/>
        </w:rPr>
      </w:pPr>
    </w:p>
    <w:p>
      <w:pPr>
        <w:ind w:right="440" w:firstLine="299"/>
        <w:spacing w:after="0" w:line="250" w:lineRule="auto"/>
        <w:rPr>
          <w:sz w:val="20"/>
          <w:szCs w:val="20"/>
          <w:color w:val="auto"/>
        </w:rPr>
      </w:pPr>
      <w:r>
        <w:rPr>
          <w:rFonts w:ascii="Arial" w:cs="Arial" w:eastAsia="Arial" w:hAnsi="Arial"/>
          <w:sz w:val="17"/>
          <w:szCs w:val="17"/>
          <w:color w:val="auto"/>
        </w:rPr>
        <w:t>We manage our portfolio to optimize our growth in areas where we have the strongest core technology base, where we have a competitive cost structure and where the defense market is growing.</w:t>
      </w:r>
    </w:p>
    <w:p>
      <w:pPr>
        <w:spacing w:after="0" w:line="140" w:lineRule="exact"/>
        <w:rPr>
          <w:sz w:val="20"/>
          <w:szCs w:val="20"/>
          <w:color w:val="auto"/>
        </w:rPr>
      </w:pPr>
    </w:p>
    <w:p>
      <w:pPr>
        <w:ind w:left="600" w:right="240" w:hanging="302"/>
        <w:spacing w:after="0" w:line="247" w:lineRule="auto"/>
        <w:tabs>
          <w:tab w:leader="none" w:pos="5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DRS has a portfolio of products and services that we believe are positioned to move up the value chain to provide sub-systems and integrated systems and solutions. We regularly assess our portfolio to ensure strong alignment with our customers’ needs and priorities and consider accretive acquisitions in areas where we have strategic gaps to address our customer’s needs.</w:t>
      </w:r>
    </w:p>
    <w:p>
      <w:pPr>
        <w:spacing w:after="0" w:line="143" w:lineRule="exact"/>
        <w:rPr>
          <w:rFonts w:ascii="Arial" w:cs="Arial" w:eastAsia="Arial" w:hAnsi="Arial"/>
          <w:sz w:val="17"/>
          <w:szCs w:val="17"/>
          <w:color w:val="auto"/>
        </w:rPr>
      </w:pPr>
    </w:p>
    <w:p>
      <w:pPr>
        <w:ind w:left="600" w:right="40" w:hanging="302"/>
        <w:spacing w:after="0" w:line="247" w:lineRule="auto"/>
        <w:tabs>
          <w:tab w:leader="none" w:pos="5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employ a strategy of active IP management to acquire technologies and IP through partnerships, teaming arrangements, strategic licenses and other business arrangements. This active IP management strategy allows us access to new technologies in a disciplined manner to maintain the strength of our diversified portfolio.</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Continue to Take Care of Our People</w:t>
      </w:r>
    </w:p>
    <w:p>
      <w:pPr>
        <w:spacing w:after="0" w:line="173" w:lineRule="exact"/>
        <w:rPr>
          <w:sz w:val="20"/>
          <w:szCs w:val="20"/>
          <w:color w:val="auto"/>
        </w:rPr>
      </w:pPr>
    </w:p>
    <w:p>
      <w:pPr>
        <w:ind w:right="280" w:firstLine="299"/>
        <w:spacing w:after="0" w:line="250" w:lineRule="auto"/>
        <w:rPr>
          <w:sz w:val="20"/>
          <w:szCs w:val="20"/>
          <w:color w:val="auto"/>
        </w:rPr>
      </w:pPr>
      <w:r>
        <w:rPr>
          <w:rFonts w:ascii="Arial" w:cs="Arial" w:eastAsia="Arial" w:hAnsi="Arial"/>
          <w:sz w:val="17"/>
          <w:szCs w:val="17"/>
          <w:color w:val="auto"/>
        </w:rPr>
        <w:t>We seek to recruit and retain the highest caliber of talent through competitive pay and benefits packages, diverse and inclusive personnel policies and fostering an innovative and modern workforce.</w:t>
      </w:r>
    </w:p>
    <w:p>
      <w:pPr>
        <w:spacing w:after="0" w:line="140" w:lineRule="exact"/>
        <w:rPr>
          <w:sz w:val="20"/>
          <w:szCs w:val="20"/>
          <w:color w:val="auto"/>
        </w:rPr>
      </w:pPr>
    </w:p>
    <w:p>
      <w:pPr>
        <w:ind w:left="600" w:hanging="302"/>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strive to maintain the highest ethical standards and foster a collaborative workplace to ensure a strong culture in our people.</w:t>
      </w:r>
    </w:p>
    <w:p>
      <w:pPr>
        <w:spacing w:after="0" w:line="152" w:lineRule="exact"/>
        <w:rPr>
          <w:rFonts w:ascii="Arial" w:cs="Arial" w:eastAsia="Arial" w:hAnsi="Arial"/>
          <w:sz w:val="17"/>
          <w:szCs w:val="17"/>
          <w:color w:val="auto"/>
        </w:rPr>
      </w:pPr>
    </w:p>
    <w:p>
      <w:pPr>
        <w:ind w:left="600" w:right="640" w:hanging="302"/>
        <w:spacing w:after="0" w:line="250" w:lineRule="auto"/>
        <w:tabs>
          <w:tab w:leader="none" w:pos="596"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constantly assess and make thoughtful changes to our personnel practices, including changes to our pay and benefits packages and increased training and growth opportunities, to ensure that we attract and retain top talent.</w:t>
      </w:r>
    </w:p>
    <w:p>
      <w:pPr>
        <w:spacing w:after="0" w:line="140" w:lineRule="exact"/>
        <w:rPr>
          <w:rFonts w:ascii="Arial" w:cs="Arial" w:eastAsia="Arial" w:hAnsi="Arial"/>
          <w:sz w:val="17"/>
          <w:szCs w:val="17"/>
          <w:color w:val="auto"/>
        </w:rPr>
      </w:pPr>
    </w:p>
    <w:p>
      <w:pPr>
        <w:ind w:left="600" w:right="280" w:hanging="302"/>
        <w:spacing w:after="0" w:line="247" w:lineRule="auto"/>
        <w:tabs>
          <w:tab w:leader="none" w:pos="596"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have implemented a strong diversity and inclusion program to ensure that our workforce looks like the communities in which they operate. This helps us to bring diverse ideas and perspectives to decision-making and problem-solving and allows us to draw from the largest pool of available talent.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 of the Company</w:t>
      </w:r>
    </w:p>
    <w:p>
      <w:pPr>
        <w:spacing w:after="0" w:line="173" w:lineRule="exact"/>
        <w:rPr>
          <w:sz w:val="20"/>
          <w:szCs w:val="20"/>
          <w:color w:val="auto"/>
        </w:rPr>
      </w:pPr>
    </w:p>
    <w:p>
      <w:pPr>
        <w:ind w:right="180" w:firstLine="299"/>
        <w:spacing w:after="0" w:line="264" w:lineRule="auto"/>
        <w:rPr>
          <w:sz w:val="20"/>
          <w:szCs w:val="20"/>
          <w:color w:val="auto"/>
        </w:rPr>
      </w:pPr>
      <w:r>
        <w:rPr>
          <w:rFonts w:ascii="Arial" w:cs="Arial" w:eastAsia="Arial" w:hAnsi="Arial"/>
          <w:sz w:val="16"/>
          <w:szCs w:val="16"/>
          <w:color w:val="auto"/>
        </w:rPr>
        <w:t>DRS was founded in 1969, in Mount Vernon, New York, as Diagnostic Retrieval Systems, and soon became best known by its acronym, DRS. In 1981, we first became a publicly traded company. Over the subsequent decades, DRS experienced a period of rapid growth driven in large part by numerous acquisitions. In 2008, our stock ceased to be publicly traded when we were acquired by the Italian-headquartered Finmeccanica S.p.A. (now known as Leonardo S.p.A.) and we subsequently rebranded ourselves as Leonardo DRS. Since the Leonardo acquisition, we have operated under agreements with the DoD and related security policies in order to limit our foreign parent’s ability to control our business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43" w:lineRule="exact"/>
        <w:rPr>
          <w:sz w:val="20"/>
          <w:szCs w:val="20"/>
          <w:color w:val="auto"/>
        </w:rPr>
      </w:pPr>
    </w:p>
    <w:p>
      <w:pPr>
        <w:jc w:val="center"/>
        <w:ind w:right="140"/>
        <w:spacing w:after="0" w:line="259" w:lineRule="auto"/>
        <w:rPr>
          <w:sz w:val="20"/>
          <w:szCs w:val="20"/>
          <w:color w:val="auto"/>
        </w:rPr>
      </w:pPr>
      <w:r>
        <w:rPr>
          <w:rFonts w:ascii="Arial" w:cs="Arial" w:eastAsia="Arial" w:hAnsi="Arial"/>
          <w:sz w:val="16"/>
          <w:szCs w:val="16"/>
          <w:color w:val="auto"/>
        </w:rPr>
        <w:t>Following completion of this offering, we expect that Leonardo S.p.A. will indirectly hold approximately     % of our common stock through US Holding (or    % if the underwriters exercise their option to purchase additional shares from the selling stockholder). As a U.S. defense contractor with</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high level personal and facility security clearances, DRS, US Holding and Leonardo S.p.A. have entered into an agreement with the DoD to mitigate against the potential for undue foreign ownership control and influence (“FOCI”) on the performance of classified programs by implementing various limitations on US Holding’s and Leonardo S.p.A.’s rights as the direct stockholder and ultimate foreign parent company of DRS, respectively. Specifically, US Holding has authorized certain cleared US persons to operate as its proxies and exercise the key prerogatives of stock ownership. The proxy agreement requires that DRS have the financial and operational ability to operate as an independent entity under an independent board of directors, subject to certain limited, enumerated consent rights of the majority stockholder (including material mergers and acquisitions and incurrence of debt). For additional information, see “Certain Relationships and Related Party Transactions—Transactions with Leonardo S.p.A. Affiliates—Proxy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Ultimate Parent</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Leonardo S.p.A., a global high-technology company, is among the top ten world players in Aerospace, Defense and Security and Italy’s main industrial company. Organized into five business divisions, Leonardo S.p.A. has a significant industrial presence in Italy, the United Kingdom, Poland and the USA, where it also operates through subsidiaries such as Leonardo DRS (defense electronics), and joint ventures and partnerships: ATR, MBDA, Telespazio, Thales Alenia Space and Avio. Leonardo S.p.A. competes in the most important international markets by leveraging its areas of technological and product leadership (Helicopters, Aircraft, Aerostructures, Electronics, Cyber Security and Space). Listed on the Milan Stock Exchange (LDO), in 2019 Leonardo S.p.A. recorded consolidated revenues of €13.8 billion and invested €1.5 billion in Research and Development. The group has been part of the Dow Jones Sustainability Index (“DJSI”) since 2010 and is named as sustainability global leader in the Aerospace &amp; Defense sector of DJSI for the second year in a row in 2020.</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w:t>
      </w:r>
    </w:p>
    <w:p>
      <w:pPr>
        <w:spacing w:after="0" w:line="147" w:lineRule="exact"/>
        <w:rPr>
          <w:sz w:val="20"/>
          <w:szCs w:val="20"/>
          <w:color w:val="auto"/>
        </w:rPr>
      </w:pPr>
    </w:p>
    <w:p>
      <w:pPr>
        <w:ind w:right="140" w:firstLine="299"/>
        <w:spacing w:after="0" w:line="245" w:lineRule="auto"/>
        <w:rPr>
          <w:sz w:val="20"/>
          <w:szCs w:val="20"/>
          <w:color w:val="auto"/>
        </w:rPr>
      </w:pPr>
      <w:r>
        <w:rPr>
          <w:rFonts w:ascii="Arial" w:cs="Arial" w:eastAsia="Arial" w:hAnsi="Arial"/>
          <w:sz w:val="17"/>
          <w:szCs w:val="17"/>
          <w:color w:val="auto"/>
        </w:rPr>
        <w:t>We recorded revenues for customer-funded R&amp;D of approximately $247 million, $177 million and $148 million for the years ended December 31, 2020, 2019 and 2018, respectively. Such customer-funded activities are primarily the result of contracts directly or indirectly with the U.S. government. We also invest in internal R&amp;D. Expenditures for internal R&amp;D amounted to approximately $41 million, $31 million and $29 million for the years ended December 31, 2020, 2019 and 2018, respectively. Additionally, we employ a strategy of active IP management to acquire technologies and IP through partnerships, teaming arrangements, strategic licenses and other business arrangements. This active IP management strategy allows us access to new technologies in a disciplined manner.</w:t>
      </w:r>
    </w:p>
    <w:p>
      <w:pPr>
        <w:spacing w:after="0" w:line="147" w:lineRule="exact"/>
        <w:rPr>
          <w:sz w:val="20"/>
          <w:szCs w:val="20"/>
          <w:color w:val="auto"/>
        </w:rPr>
      </w:pPr>
    </w:p>
    <w:p>
      <w:pPr>
        <w:ind w:right="80" w:firstLine="299"/>
        <w:spacing w:after="0" w:line="270" w:lineRule="auto"/>
        <w:rPr>
          <w:sz w:val="20"/>
          <w:szCs w:val="20"/>
          <w:color w:val="auto"/>
        </w:rPr>
      </w:pPr>
      <w:r>
        <w:rPr>
          <w:rFonts w:ascii="Arial" w:cs="Arial" w:eastAsia="Arial" w:hAnsi="Arial"/>
          <w:sz w:val="16"/>
          <w:szCs w:val="16"/>
          <w:color w:val="auto"/>
        </w:rPr>
        <w:t>We are currently involved in research and development programs and investment projects in each segment. These include, but are not limited to, systems and components for naval propulsion and electrical conversion, soldier sensors, force protection, electronic warfare and computing and networking. We also invest in research and development of disruptive technologies in the fields of artificial intelligence, autonomy, and quantum sensing.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operate in a highly competitive environment. In the military sector, we compete with large, mid-tier and smaller defense contractors as well as some non-traditional contractors on the basis of product performance, cost, overall value, delivery schedule, embedded positions and reputation. Our products are sold in markets in which several of our competitors are substantially larger than we are, enabling them to devote substantially greater resources to research and development, and they, generally, have greater financial resources, allowing them to better withstand challenging operating conditions. We face a variety of competitors which vary across our segments and specific products. Although we compete with different competitors in each of our segments, our competitors include Raytheon Technologies, L3-Harris, BAE Systems, FLIR, Cubic and Elbit Systems, among others. We frequently partner with or are involved in subcontracting, teaming, supplier and customer relationships with companies that are, from time to time, competitors on other programs. Depending on the project or product, we may depend on parties with whom we complete vigorously on other projects and products. The extent of competition for any single project generally varies according to the complexity of the product and the dollar value of the anticipated award. We generally compete on the basis of:</w:t>
      </w:r>
    </w:p>
    <w:p>
      <w:pPr>
        <w:spacing w:after="0" w:line="145" w:lineRule="exact"/>
        <w:rPr>
          <w:sz w:val="20"/>
          <w:szCs w:val="20"/>
          <w:color w:val="auto"/>
        </w:rPr>
      </w:pPr>
    </w:p>
    <w:p>
      <w:pPr>
        <w:ind w:left="600" w:hanging="30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performance, adaptability and price of our products;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reputation for prompt, flexible, and responsive contract performance;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installed base of existing products and track record as a trusted partner;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ability to react to customer and market trends;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strong core technology capabilities and accumulated technical knowledge and expertise;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breadth of our product lines;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highly experienced management team and talented workforce;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capabilities of our facilities, equipment and personnel to undertake the programs for which we compete.</w:t>
      </w:r>
    </w:p>
    <w:p>
      <w:pPr>
        <w:spacing w:after="0" w:line="153" w:lineRule="exact"/>
        <w:rPr>
          <w:sz w:val="20"/>
          <w:szCs w:val="20"/>
          <w:color w:val="auto"/>
        </w:rPr>
      </w:pPr>
    </w:p>
    <w:p>
      <w:pPr>
        <w:ind w:right="240" w:firstLine="299"/>
        <w:spacing w:after="0" w:line="250" w:lineRule="auto"/>
        <w:rPr>
          <w:sz w:val="20"/>
          <w:szCs w:val="20"/>
          <w:color w:val="auto"/>
        </w:rPr>
      </w:pPr>
      <w:r>
        <w:rPr>
          <w:rFonts w:ascii="Arial" w:cs="Arial" w:eastAsia="Arial" w:hAnsi="Arial"/>
          <w:sz w:val="17"/>
          <w:szCs w:val="17"/>
          <w:color w:val="auto"/>
        </w:rPr>
        <w:t>Our future success will depend in large part upon our ability to improve existing product lines and to develop new products and technologies in the same or related fields.</w:t>
      </w:r>
    </w:p>
    <w:p>
      <w:pPr>
        <w:spacing w:after="0" w:line="140" w:lineRule="exact"/>
        <w:rPr>
          <w:sz w:val="20"/>
          <w:szCs w:val="20"/>
          <w:color w:val="auto"/>
        </w:rPr>
      </w:pPr>
    </w:p>
    <w:p>
      <w:pPr>
        <w:ind w:right="20" w:firstLine="299"/>
        <w:spacing w:after="0" w:line="266" w:lineRule="auto"/>
        <w:rPr>
          <w:sz w:val="20"/>
          <w:szCs w:val="20"/>
          <w:color w:val="auto"/>
        </w:rPr>
      </w:pPr>
      <w:r>
        <w:rPr>
          <w:rFonts w:ascii="Arial" w:cs="Arial" w:eastAsia="Arial" w:hAnsi="Arial"/>
          <w:sz w:val="16"/>
          <w:szCs w:val="16"/>
          <w:color w:val="auto"/>
        </w:rPr>
        <w:t>Since a number of consolidations and mergers of defense suppliers have occurred, the number of participants in the defense industry has decreased in recent years. We expect this consolidation trend to continue. As the industry consolidates, the large defense contractors are narrowing their supplier base, awarding increasing portions of projects to strategic mid- and lower-tier suppliers, and, in the process, are becoming oriented more toward systems integration and assembly. We believe that while this defense industry trend presents challenges, it also presents opportunities in certain markets.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Supplies</w:t>
      </w:r>
    </w:p>
    <w:p>
      <w:pPr>
        <w:spacing w:after="0" w:line="173" w:lineRule="exact"/>
        <w:rPr>
          <w:sz w:val="20"/>
          <w:szCs w:val="20"/>
          <w:color w:val="auto"/>
        </w:rPr>
      </w:pPr>
    </w:p>
    <w:p>
      <w:pPr>
        <w:ind w:right="240" w:firstLine="299"/>
        <w:spacing w:after="0" w:line="246" w:lineRule="auto"/>
        <w:rPr>
          <w:sz w:val="20"/>
          <w:szCs w:val="20"/>
          <w:color w:val="auto"/>
        </w:rPr>
      </w:pPr>
      <w:r>
        <w:rPr>
          <w:rFonts w:ascii="Arial" w:cs="Arial" w:eastAsia="Arial" w:hAnsi="Arial"/>
          <w:sz w:val="17"/>
          <w:szCs w:val="17"/>
          <w:color w:val="auto"/>
        </w:rPr>
        <w:t>Our manufacturing processes for our products include the assembly of purchased components and subsystems and testing of products at various stages in the assembly process. Purchased components include integrated circuits, circuit boards, metal fabricated into cabinets, resistors, capacitors, semiconductors, silicon wafers and other materials, wire and cables and subsystems including, but not limited to, off-the-shelf components such as servers, computers and peripherals. In addition, many of our products use castings and machined housings.</w:t>
      </w:r>
    </w:p>
    <w:p>
      <w:pPr>
        <w:spacing w:after="0" w:line="144" w:lineRule="exact"/>
        <w:rPr>
          <w:sz w:val="20"/>
          <w:szCs w:val="20"/>
          <w:color w:val="auto"/>
        </w:rPr>
      </w:pPr>
    </w:p>
    <w:p>
      <w:pPr>
        <w:ind w:right="340" w:firstLine="299"/>
        <w:spacing w:after="0" w:line="247" w:lineRule="auto"/>
        <w:rPr>
          <w:sz w:val="20"/>
          <w:szCs w:val="20"/>
          <w:color w:val="auto"/>
        </w:rPr>
      </w:pPr>
      <w:r>
        <w:rPr>
          <w:rFonts w:ascii="Arial" w:cs="Arial" w:eastAsia="Arial" w:hAnsi="Arial"/>
          <w:sz w:val="17"/>
          <w:szCs w:val="17"/>
          <w:color w:val="auto"/>
        </w:rPr>
        <w:t>The manufacturing process for certain of our optic products includes the grinding, polishing and coating of various optical materials and the machining of metal components. Although materials and purchased components generally are available from a number of different suppliers, several suppliers are our sole source of certain components. If a supplier should cease to deliver such components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4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that other sources would be available; however, added cost and manufacturing delays might result. We occasionally experience delays attributable to supply shortages and quality and other related problems with respect to certain components, such as semiconductors and connectors. In addition, for our optical products, certain materials, such as rare earth materials, germanium, and zinc sulfide may not always be readily available.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We have patents on certain of our technologies and methods, semiconductor devices, rugged computer-related items and electro-optical and infrared focal plane array products, in addition to other technologies and methods. We and our subsidiaries have certain registered trademarks, none of which are considered material to our current operations. We also hold certain trade secrets without formal patent filings in order to protect them from disclosure. We believe our patent position and intellectual property portfolio in the aggregate are valuable to our operations. We do not believe that the conduct of our business as a whole is materially dependent on any single patent, trade secret, trademark or copyright.</w:t>
      </w:r>
    </w:p>
    <w:p>
      <w:pPr>
        <w:spacing w:after="0" w:line="147"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When we work on U.S. government contracts or use funding of the U.S. government, the U.S. government may have contractual rights to data for our technologies, source code and other developments associated with such government contracts. Records of our data rights are typically maintained in order to claim these rights as our proprietary technology, but it may not always be possible to delineate our proprietary developments from those developed under U.S. government contracts. The protection of our data from use by other U.S. government contractors is subject to negotiation from time to time between us and the U.S. government. The extent of the U.S. government’s data rights to any particular product generally depends upon whether the product was developed under a government contract and the degree of government funding for the development of such product. While we may retain rights over any technology, product or intellectual property that we develop under U.S. government contracts or using funding of the U.S. government, this requires us to take timely affirmative measures to preserve our right.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Contracts</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We derive a significant portion of our revenue from long-term programs and programs for which we are the incumbent supplier or have been the sole or dual supplier for many years. A significant percentage of our revenue is derived from programs that are in the production phase. We also derive revenue from contracts on which we serve as either prime contractor or subcontractor. For the years ended December 31, 2020, 2019, and 2018, revenues were approximately even between contracts on which we served as prime contractor and subcontractor in our AST and IMS segments, whereas in our NC&amp;C segment approximately 61%, 64%, and 64%, respectively, of revenues were attributable to contracts on which we served as prime contractor and 39%, 36%, and 36%, respectively, were attributable to contracts on which we served as subcontractor, with the remainder attributable to intersegment sales.</w:t>
      </w:r>
    </w:p>
    <w:p>
      <w:pPr>
        <w:spacing w:after="0" w:line="146" w:lineRule="exact"/>
        <w:rPr>
          <w:sz w:val="20"/>
          <w:szCs w:val="20"/>
          <w:color w:val="auto"/>
        </w:rPr>
      </w:pPr>
    </w:p>
    <w:p>
      <w:pPr>
        <w:ind w:right="80" w:firstLine="299"/>
        <w:spacing w:after="0" w:line="280" w:lineRule="auto"/>
        <w:rPr>
          <w:sz w:val="20"/>
          <w:szCs w:val="20"/>
          <w:color w:val="auto"/>
        </w:rPr>
      </w:pPr>
      <w:r>
        <w:rPr>
          <w:rFonts w:ascii="Arial" w:cs="Arial" w:eastAsia="Arial" w:hAnsi="Arial"/>
          <w:sz w:val="16"/>
          <w:szCs w:val="16"/>
          <w:color w:val="auto"/>
        </w:rPr>
        <w:t>While the majority of our revenue is derived from the U.S. government and DoD, within this we have a diverse business mix with limited dependence on any single contract. No single contract represented more than 10% of revenues for the years ended December 31, 2020, 2019 and 2018.</w:t>
      </w:r>
    </w:p>
    <w:p>
      <w:pPr>
        <w:spacing w:after="0" w:line="118" w:lineRule="exact"/>
        <w:rPr>
          <w:sz w:val="20"/>
          <w:szCs w:val="20"/>
          <w:color w:val="auto"/>
        </w:rPr>
      </w:pPr>
    </w:p>
    <w:p>
      <w:pPr>
        <w:ind w:right="520" w:firstLine="299"/>
        <w:spacing w:after="0" w:line="250" w:lineRule="auto"/>
        <w:rPr>
          <w:sz w:val="20"/>
          <w:szCs w:val="20"/>
          <w:color w:val="auto"/>
        </w:rPr>
      </w:pPr>
      <w:r>
        <w:rPr>
          <w:rFonts w:ascii="Arial" w:cs="Arial" w:eastAsia="Arial" w:hAnsi="Arial"/>
          <w:sz w:val="17"/>
          <w:szCs w:val="17"/>
          <w:color w:val="auto"/>
        </w:rPr>
        <w:t>The amount of our revenues attributable to our contracts by contract type during the years ended December 31, 2020, 2019 and 2018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 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2018</w:t>
            </w:r>
          </w:p>
        </w:tc>
      </w:tr>
      <w:tr>
        <w:trPr>
          <w:trHeight w:val="234"/>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Firm fixed price</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w:t>
            </w: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w:t>
            </w:r>
          </w:p>
        </w:tc>
      </w:tr>
      <w:tr>
        <w:trPr>
          <w:trHeight w:val="290"/>
        </w:trPr>
        <w:tc>
          <w:tcPr>
            <w:tcW w:w="6420" w:type="dxa"/>
            <w:vAlign w:val="bottom"/>
          </w:tcPr>
          <w:p>
            <w:pPr>
              <w:ind w:left="20"/>
              <w:spacing w:after="0"/>
              <w:rPr>
                <w:sz w:val="20"/>
                <w:szCs w:val="20"/>
                <w:color w:val="auto"/>
              </w:rPr>
            </w:pPr>
            <w:r>
              <w:rPr>
                <w:rFonts w:ascii="Arial" w:cs="Arial" w:eastAsia="Arial" w:hAnsi="Arial"/>
                <w:sz w:val="17"/>
                <w:szCs w:val="17"/>
                <w:color w:val="auto"/>
              </w:rPr>
              <w:t>Flexibly priced</w:t>
            </w:r>
            <w:r>
              <w:rPr>
                <w:rFonts w:ascii="Arial" w:cs="Arial" w:eastAsia="Arial" w:hAnsi="Arial"/>
                <w:sz w:val="21"/>
                <w:szCs w:val="21"/>
                <w:color w:val="auto"/>
                <w:vertAlign w:val="superscript"/>
              </w:rPr>
              <w:t>(1)</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370</w:t>
            </w: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(1)  Includes revenue derived from time-and-materials contracts.</w:t>
      </w:r>
    </w:p>
    <w:p>
      <w:pPr>
        <w:spacing w:after="0" w:line="149" w:lineRule="exact"/>
        <w:rPr>
          <w:sz w:val="20"/>
          <w:szCs w:val="20"/>
          <w:color w:val="auto"/>
        </w:rPr>
      </w:pPr>
    </w:p>
    <w:p>
      <w:pPr>
        <w:ind w:firstLine="299"/>
        <w:spacing w:after="0" w:line="262" w:lineRule="auto"/>
        <w:rPr>
          <w:sz w:val="20"/>
          <w:szCs w:val="20"/>
          <w:color w:val="auto"/>
        </w:rPr>
      </w:pPr>
      <w:r>
        <w:rPr>
          <w:rFonts w:ascii="Arial" w:cs="Arial" w:eastAsia="Arial" w:hAnsi="Arial"/>
          <w:sz w:val="16"/>
          <w:szCs w:val="16"/>
          <w:color w:val="auto"/>
        </w:rPr>
        <w:t>Typically we enter into three types of contracts: fixed price contracts, cost-plus contracts and time and material (“T&amp;M”) contracts (cost-plus contracts and T&amp;M contracts are aggregated above as flexibly priced contracts). and our contracts are normally for production, services or development. Production contracts are typically the fixed-price type, development contracts are sometimes of the cost-plus-type, and service contracts are sometimes of the time and materials type. We believe continued predominance of fixed-price contracts is reflective of the significant portion of production contracts in our U.S. government contract portfolio. Fixed-price contracts may provide for a fixed price or they may be fixed-price-incentive-fee contracts. Under fixed-price contracts, we agree to perform for an agreed-upon price. Accordingly, we derive benefits from cost savings, but bear the risk of cost overruns. Under fixed-price-incentive-fee contracts, if actual costs incurred in the performance of the contracts are less than estimated costs for the contracts the savings are apportioned between the customer and us. If actual costs under such a contract exceed estimated costs, however, excess costs are apportioned between the customer and us, up to a ceiling. We bear all costs that exceed the ceiling, if any.</w:t>
      </w:r>
    </w:p>
    <w:p>
      <w:pPr>
        <w:spacing w:after="0" w:line="134" w:lineRule="exact"/>
        <w:rPr>
          <w:sz w:val="20"/>
          <w:szCs w:val="20"/>
          <w:color w:val="auto"/>
        </w:rPr>
      </w:pPr>
    </w:p>
    <w:p>
      <w:pPr>
        <w:ind w:firstLine="299"/>
        <w:spacing w:after="0" w:line="244" w:lineRule="auto"/>
        <w:rPr>
          <w:sz w:val="20"/>
          <w:szCs w:val="20"/>
          <w:color w:val="auto"/>
        </w:rPr>
      </w:pPr>
      <w:r>
        <w:rPr>
          <w:rFonts w:ascii="Arial" w:cs="Arial" w:eastAsia="Arial" w:hAnsi="Arial"/>
          <w:sz w:val="17"/>
          <w:szCs w:val="17"/>
          <w:color w:val="auto"/>
        </w:rPr>
        <w:t>Cost-plus type contracts typically provide for reimbursement of allowable costs incurred plus a fee (profit). Under cost-plus-fixed-fee contracts, we are reimbursed for allowable costs and receive a fixed fee, which is negotiated and specified in the contract. Such fees have statutory limits. Unlike fixed-price contracts in which we are committed to deliver without regard to cost, cost-plus contracts normally obligate us to use our best efforts to accomplish the scope of work within a specified time and a stated contract dollar limitation. In addition, U.S. government procurement regulations typically result in lower profits for cost type contracts because of our reduced risk. Under cost-plus-incentive-fee contracts, an additional incentive fee awarded may be based on cost or performance. When the incentive is based on cost, the contract specifies that we are reimbursed for allowable incurred costs plus a fee adjusted by a formula based on the ratio of total allowable costs to target cost. Target cost, target fee, minimum and maximum fee, and adjustment formulae are agreed upon when the contract is negotiated. In the case of performance-based incentives, we are reimbursed for allowable incurred costs plus an incentive, contingent upon meeting or surpassing stated performance targets. The contract provides for increases in the fee to the extent that such targets are surpassed and for decreases to the extent that such targets are not met. In some instances, cost-plus-incentive-fee contracts also may include a combination of both cost and performance incentives. Under cost-plus-fixed-fee contracts, we are reimbursed for costs and receive a fixed fee, which is negotiated and specified in the contract. Time-and-material type contracts provide for reimbursement of labor hours expended at a contractual fixed labor rate per hour, plus the actual costs of material and other direct non-labor costs. The fixed labor rates on time-and-material type contracts include amounts for the cost of direct labor, indirect contract costs and profit.</w:t>
      </w:r>
    </w:p>
    <w:p>
      <w:pPr>
        <w:spacing w:after="0" w:line="154" w:lineRule="exact"/>
        <w:rPr>
          <w:sz w:val="20"/>
          <w:szCs w:val="20"/>
          <w:color w:val="auto"/>
        </w:rPr>
      </w:pPr>
    </w:p>
    <w:p>
      <w:pPr>
        <w:ind w:right="260" w:firstLine="299"/>
        <w:spacing w:after="0" w:line="246" w:lineRule="auto"/>
        <w:rPr>
          <w:sz w:val="20"/>
          <w:szCs w:val="20"/>
          <w:color w:val="auto"/>
        </w:rPr>
      </w:pPr>
      <w:r>
        <w:rPr>
          <w:rFonts w:ascii="Arial" w:cs="Arial" w:eastAsia="Arial" w:hAnsi="Arial"/>
          <w:sz w:val="17"/>
          <w:szCs w:val="17"/>
          <w:color w:val="auto"/>
        </w:rPr>
        <w:t>For the majority of our contracts, revenues are recognized using an over time, cost-to-cost accounting method, with revenue recognized based on the ratio of cumulative costs incurred to date to estimated total contract costs at completion. For contracts accounted for in this way, our reported revenues may contain amounts which we have not billed to customers if we have incurred costs, and recognized related profits, in excess of billed progress payments.</w:t>
      </w:r>
    </w:p>
    <w:p>
      <w:pPr>
        <w:spacing w:after="0" w:line="144" w:lineRule="exact"/>
        <w:rPr>
          <w:sz w:val="20"/>
          <w:szCs w:val="20"/>
          <w:color w:val="auto"/>
        </w:rPr>
      </w:pPr>
    </w:p>
    <w:p>
      <w:pPr>
        <w:ind w:right="80" w:firstLine="299"/>
        <w:spacing w:after="0" w:line="266" w:lineRule="auto"/>
        <w:rPr>
          <w:sz w:val="20"/>
          <w:szCs w:val="20"/>
          <w:color w:val="auto"/>
        </w:rPr>
      </w:pPr>
      <w:r>
        <w:rPr>
          <w:rFonts w:ascii="Arial" w:cs="Arial" w:eastAsia="Arial" w:hAnsi="Arial"/>
          <w:sz w:val="16"/>
          <w:szCs w:val="16"/>
          <w:color w:val="auto"/>
        </w:rPr>
        <w:t>Under U.S. GAAP, contract costs, including allowable general and administrative expenses on certain government contracts, are charged to work-in-progress inventory and are written off to costs and expenses as revenues are recognized. The Federal Acquisition Regulations (“FAR”) and the defense supplement (“DFARS”), incorporated by reference in U.S. government contracts, provide that internal research and development costs are allowable general and administrative expenses. Unallowable costs, pursuant to the FAR, are excluded from costs accumulated on U.S. government contracts.</w:t>
      </w:r>
    </w:p>
    <w:p>
      <w:pPr>
        <w:spacing w:after="0" w:line="130" w:lineRule="exact"/>
        <w:rPr>
          <w:sz w:val="20"/>
          <w:szCs w:val="20"/>
          <w:color w:val="auto"/>
        </w:rPr>
      </w:pPr>
    </w:p>
    <w:p>
      <w:pPr>
        <w:jc w:val="both"/>
        <w:ind w:right="180" w:firstLine="299"/>
        <w:spacing w:after="0" w:line="247" w:lineRule="auto"/>
        <w:rPr>
          <w:sz w:val="20"/>
          <w:szCs w:val="20"/>
          <w:color w:val="auto"/>
        </w:rPr>
      </w:pPr>
      <w:r>
        <w:rPr>
          <w:rFonts w:ascii="Arial" w:cs="Arial" w:eastAsia="Arial" w:hAnsi="Arial"/>
          <w:sz w:val="17"/>
          <w:szCs w:val="17"/>
          <w:color w:val="auto"/>
        </w:rPr>
        <w:t>Our defense contracts and subcontracts that require the submission of cost or pricing data are subject to audit, various profit and cost controls, and standard provisions for termination at the convenience of the customer. The DCAA performs these audits on behalf of the U.S. government. The DCAA has the right to perform audits on our incurred costs on cost-type or price redeterminable-type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43"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color w:val="auto"/>
        </w:rPr>
        <w:t>contracts on a yearly basis. Approval of an incurred cost submission can take from one to three years from the date of the submission of the contract cost.</w:t>
      </w:r>
    </w:p>
    <w:p>
      <w:pPr>
        <w:spacing w:after="0" w:line="140" w:lineRule="exact"/>
        <w:rPr>
          <w:sz w:val="20"/>
          <w:szCs w:val="20"/>
          <w:color w:val="auto"/>
        </w:rPr>
      </w:pPr>
    </w:p>
    <w:p>
      <w:pPr>
        <w:ind w:right="220" w:firstLine="299"/>
        <w:spacing w:after="0" w:line="245" w:lineRule="auto"/>
        <w:rPr>
          <w:sz w:val="20"/>
          <w:szCs w:val="20"/>
          <w:color w:val="auto"/>
        </w:rPr>
      </w:pPr>
      <w:r>
        <w:rPr>
          <w:rFonts w:ascii="Arial" w:cs="Arial" w:eastAsia="Arial" w:hAnsi="Arial"/>
          <w:sz w:val="17"/>
          <w:szCs w:val="17"/>
          <w:color w:val="auto"/>
        </w:rPr>
        <w:t>U.S. government contracts are, by their terms, subject to termination by the U.S. government for either convenience or default by the contractor. Fixed-price contracts provide for payment upon termination for items delivered to and accepted by the U.S. government and, if the termination is for convenience, for payment of fair compensation of work performed plus the costs of settling and paying claims by terminated subcontractors, other settlement expenses and a reasonable profit on the costs incurred. Cost-plus contracts provide that, upon termination, the contractor is entitled to reimbursement of its allowable costs and, if the termination is for convenience, a total fee proportionate to the percentage of the work completed under the contract. If a contract termination is for default, however, the contractor is paid an amount agreed upon for completed and partially completed products and services accepted by the U.S. government. In these circumstances, the U.S. government is not liable for excess costs incurred by us in procuring undelivered items from another source.</w:t>
      </w:r>
    </w:p>
    <w:p>
      <w:pPr>
        <w:spacing w:after="0" w:line="146" w:lineRule="exact"/>
        <w:rPr>
          <w:sz w:val="20"/>
          <w:szCs w:val="20"/>
          <w:color w:val="auto"/>
        </w:rPr>
      </w:pPr>
    </w:p>
    <w:p>
      <w:pPr>
        <w:ind w:right="20" w:firstLine="299"/>
        <w:spacing w:after="0" w:line="266" w:lineRule="auto"/>
        <w:rPr>
          <w:sz w:val="20"/>
          <w:szCs w:val="20"/>
          <w:color w:val="auto"/>
        </w:rPr>
      </w:pPr>
      <w:r>
        <w:rPr>
          <w:rFonts w:ascii="Arial" w:cs="Arial" w:eastAsia="Arial" w:hAnsi="Arial"/>
          <w:sz w:val="16"/>
          <w:szCs w:val="16"/>
          <w:color w:val="auto"/>
        </w:rPr>
        <w:t>In addition to the right of the U.S. government to terminate U.S. government contracts, such contracts are conditioned upon the continuing availability of Congressional appropriations. Congress usually appropriates funds for a given program on a September 30 fiscal year basis, even though contract performance may take many years. Consequently, at the outset of a major program, the contract is typically only partially funded, and additional funds normally are committed to the contract by the procuring agency only as appropriations are made by Congress for future fiscal years.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Warranties</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Product warranty costs generally are accrued in proportion to product revenue realized in conjunction with our over-time revenue recognition policy. Product warranty expense is recognized based on the term of the product warranty, generally one to three years, and the related estimated costs, considering historical claims expense. Accrued warranty costs are reduced as these costs are incurred and as the warranty period expires, and otherwise may be modified as specific product performance issues are identified and resolved.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Ventures, Strategic Investments and Mergers and Acquisitions</w:t>
      </w:r>
    </w:p>
    <w:p>
      <w:pPr>
        <w:spacing w:after="0" w:line="173" w:lineRule="exact"/>
        <w:rPr>
          <w:sz w:val="20"/>
          <w:szCs w:val="20"/>
          <w:color w:val="auto"/>
        </w:rPr>
      </w:pPr>
    </w:p>
    <w:p>
      <w:pPr>
        <w:ind w:right="20" w:firstLine="299"/>
        <w:spacing w:after="0" w:line="263" w:lineRule="auto"/>
        <w:rPr>
          <w:sz w:val="20"/>
          <w:szCs w:val="20"/>
          <w:color w:val="auto"/>
        </w:rPr>
      </w:pPr>
      <w:r>
        <w:rPr>
          <w:rFonts w:ascii="Arial" w:cs="Arial" w:eastAsia="Arial" w:hAnsi="Arial"/>
          <w:sz w:val="16"/>
          <w:szCs w:val="16"/>
          <w:color w:val="auto"/>
        </w:rPr>
        <w:t>From time to time we enter into strategic joint ventures, investments and mergers and acquisitions. We hold a 51% ownership interest in Advanced Acoustic Concepts (“AAC”), a joint venture with a subsidiary of Thales S.A., which provides sonar systems and components, acoustic training systems, and other underwater systems. AAC engages in development of technology, products, and systems and also licenses technology and products from Thales for adaptation to the U.S. market when the opportunities are present. DRS provides support to AAC in the areas of security, export control, human resources, information technology, and at times, financing, among others. DRS chairs the joint management committee and, together with Thales, reviews and approves their business, financials, and business plans, including investments. AAC provided no cash dividends to DRS for the year ended December 31, 2020 and approximately $3 million and $5 million for the years ended December 31, 2019 and 2018, respectively.</w:t>
      </w:r>
    </w:p>
    <w:p>
      <w:pPr>
        <w:spacing w:after="0" w:line="132"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In June 2017, we acquired Daylight Solutions for a purchase price of $150 million in cash. Daylight Solutions designs and manufactures infrared Quantum Cascade Laser solutions that supplement the infrared sensors already in DRS’ portfolio. Together these two capabilities address the growing force protection needs for aircraft and ground vehicles by allowing them to sense threats and then enact countermeasures for certain classes of enemy missiles, thus saving lives. The acquisition of Daylight also allowed DRS to address markets unrelated to force protection, again by combining the infrared lasers with infrared sensors. To address the growing demands to sense further, and to increase situational understanding, these two capabilities allow for longer-range threat detection.</w:t>
      </w:r>
    </w:p>
    <w:p>
      <w:pPr>
        <w:spacing w:after="0" w:line="147" w:lineRule="exact"/>
        <w:rPr>
          <w:sz w:val="20"/>
          <w:szCs w:val="20"/>
          <w:color w:val="auto"/>
        </w:rPr>
      </w:pPr>
    </w:p>
    <w:p>
      <w:pPr>
        <w:ind w:right="300" w:firstLine="299"/>
        <w:spacing w:after="0" w:line="250" w:lineRule="auto"/>
        <w:rPr>
          <w:sz w:val="20"/>
          <w:szCs w:val="20"/>
          <w:color w:val="auto"/>
        </w:rPr>
      </w:pPr>
      <w:r>
        <w:rPr>
          <w:rFonts w:ascii="Arial" w:cs="Arial" w:eastAsia="Arial" w:hAnsi="Arial"/>
          <w:sz w:val="17"/>
          <w:szCs w:val="17"/>
          <w:color w:val="auto"/>
        </w:rPr>
        <w:t>We also hold an approximately 5% interest in Hoverfly Technologies, Inc. (“Hoverfly”), which designs, develops and manufactures power-tethered unmanned aerial systems and related products.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43" w:lineRule="exact"/>
        <w:rPr>
          <w:sz w:val="20"/>
          <w:szCs w:val="20"/>
          <w:color w:val="auto"/>
        </w:rPr>
      </w:pPr>
    </w:p>
    <w:p>
      <w:pPr>
        <w:ind w:right="480"/>
        <w:spacing w:after="0" w:line="280" w:lineRule="auto"/>
        <w:rPr>
          <w:sz w:val="20"/>
          <w:szCs w:val="20"/>
          <w:color w:val="auto"/>
        </w:rPr>
      </w:pPr>
      <w:r>
        <w:rPr>
          <w:rFonts w:ascii="Arial" w:cs="Arial" w:eastAsia="Arial" w:hAnsi="Arial"/>
          <w:sz w:val="16"/>
          <w:szCs w:val="16"/>
          <w:color w:val="auto"/>
        </w:rPr>
        <w:t>the terms of our agreement with Hoverfly, we will increase our investment in Hoverfly to up to 10% if Hoverfly hits certain sales milestones and may increase our investment beyond 10%, at our option. We have also entered into an exclusive manufacturing and teaming agreement with Hoverfly.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73" w:lineRule="exact"/>
        <w:rPr>
          <w:sz w:val="20"/>
          <w:szCs w:val="20"/>
          <w:color w:val="auto"/>
        </w:rPr>
      </w:pPr>
    </w:p>
    <w:p>
      <w:pPr>
        <w:ind w:right="60" w:firstLine="299"/>
        <w:spacing w:after="0" w:line="266" w:lineRule="auto"/>
        <w:rPr>
          <w:sz w:val="20"/>
          <w:szCs w:val="20"/>
          <w:color w:val="auto"/>
        </w:rPr>
      </w:pPr>
      <w:r>
        <w:rPr>
          <w:rFonts w:ascii="Arial" w:cs="Arial" w:eastAsia="Arial" w:hAnsi="Arial"/>
          <w:sz w:val="16"/>
          <w:szCs w:val="16"/>
          <w:color w:val="auto"/>
        </w:rPr>
        <w:t>We do not consider any material portion of our business to be seasonal. However, our cash flows lack linearity with a majority of cash receipts generally occurring in the fourth quarter of our fiscal year. Various factors can affect the distribution of our revenues and cash flows between accounting periods, including the federal government’s budget cycle based on its October-to-September fiscal year, the timing of government awards, the availability of government funding, the timing of costs incurred (including when materials are received), product deliveries and customer acceptance.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Legislation and Regulation</w:t>
      </w:r>
    </w:p>
    <w:p>
      <w:pPr>
        <w:spacing w:after="0" w:line="173" w:lineRule="exact"/>
        <w:rPr>
          <w:sz w:val="20"/>
          <w:szCs w:val="20"/>
          <w:color w:val="auto"/>
        </w:rPr>
      </w:pPr>
    </w:p>
    <w:p>
      <w:pPr>
        <w:ind w:firstLine="299"/>
        <w:spacing w:after="0" w:line="262" w:lineRule="auto"/>
        <w:rPr>
          <w:sz w:val="20"/>
          <w:szCs w:val="20"/>
          <w:color w:val="auto"/>
        </w:rPr>
      </w:pPr>
      <w:r>
        <w:rPr>
          <w:rFonts w:ascii="Arial" w:cs="Arial" w:eastAsia="Arial" w:hAnsi="Arial"/>
          <w:sz w:val="16"/>
          <w:szCs w:val="16"/>
          <w:color w:val="auto"/>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regulations related to cybersecurity, privacy, recovery of employee compensation costs, counterfeit parts, anti-human trafficking, specialty metals and conflict minerals) can significantly increase our costs and risks and reduce our profitability. 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 See “Risk Factors—Risks Relating to Our Business—We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spacing w:after="0" w:line="132" w:lineRule="exact"/>
        <w:rPr>
          <w:sz w:val="20"/>
          <w:szCs w:val="20"/>
          <w:color w:val="auto"/>
        </w:rPr>
      </w:pPr>
    </w:p>
    <w:p>
      <w:pPr>
        <w:ind w:right="20" w:firstLine="299"/>
        <w:spacing w:after="0" w:line="244" w:lineRule="auto"/>
        <w:rPr>
          <w:sz w:val="20"/>
          <w:szCs w:val="20"/>
          <w:color w:val="auto"/>
        </w:rPr>
      </w:pPr>
      <w:r>
        <w:rPr>
          <w:rFonts w:ascii="Arial" w:cs="Arial" w:eastAsia="Arial" w:hAnsi="Arial"/>
          <w:sz w:val="17"/>
          <w:szCs w:val="17"/>
          <w:color w:val="auto"/>
        </w:rPr>
        <w:t>We (again, including our subcontractors and others with whom we do business) also are subject to, and expected to perform in compliance with, a vast array of federal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Export Control Reform Act, including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 Control, as well as rules and regulations administered by the U.S. Customs and Border Protection and the Bureau of Alcohol, Tobacco, Firearms and Explosives. If we are found to have violated such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154" w:lineRule="exact"/>
        <w:rPr>
          <w:sz w:val="20"/>
          <w:szCs w:val="20"/>
          <w:color w:val="auto"/>
        </w:rPr>
      </w:pPr>
    </w:p>
    <w:p>
      <w:pPr>
        <w:ind w:right="80" w:firstLine="299"/>
        <w:spacing w:after="0" w:line="266" w:lineRule="auto"/>
        <w:rPr>
          <w:sz w:val="20"/>
          <w:szCs w:val="20"/>
          <w:color w:val="auto"/>
        </w:rPr>
      </w:pPr>
      <w:r>
        <w:rPr>
          <w:rFonts w:ascii="Arial" w:cs="Arial" w:eastAsia="Arial" w:hAnsi="Arial"/>
          <w:sz w:val="16"/>
          <w:szCs w:val="16"/>
          <w:color w:val="auto"/>
        </w:rPr>
        <w:t>Our operations include the use, generation and disposal of hazardous materials. We are subject to various U.S. federal, state, local and foreign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See “Risk Factors—Risks Relating to Our Business—We are subject to environmental laws and regulations, and our ongoing operations may expose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43"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environmental liabilities affecting our reputation, business, financial condition and results of operations.” Except as described under “Legal Proceedings” below, we believe that we have been and are in material compliance with environmental laws and regulations and that we have no liabilities under environmental requirements that would be expected to have a material adverse effect on our business, results of operations, financial condition or liquidity. It is possible, however, that the ultimate resolution of the matters discussed under “—Legal Proceedings” below could result in a material adverse effect on our results of operations for a particular reporting period, any of which could have a material adverse effect on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73" w:lineRule="exact"/>
        <w:rPr>
          <w:sz w:val="20"/>
          <w:szCs w:val="20"/>
          <w:color w:val="auto"/>
        </w:rPr>
      </w:pPr>
    </w:p>
    <w:p>
      <w:pPr>
        <w:ind w:left="600" w:right="20" w:hanging="298"/>
        <w:spacing w:after="0" w:line="245" w:lineRule="auto"/>
        <w:rPr>
          <w:sz w:val="20"/>
          <w:szCs w:val="20"/>
          <w:color w:val="auto"/>
        </w:rPr>
      </w:pPr>
      <w:r>
        <w:rPr>
          <w:rFonts w:ascii="Arial" w:cs="Arial" w:eastAsia="Arial" w:hAnsi="Arial"/>
          <w:sz w:val="17"/>
          <w:szCs w:val="17"/>
          <w:color w:val="auto"/>
        </w:rPr>
        <w:t>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In addition to backlog, we also evaluate estimated potential remaining contract value, which represents unexercised options associated with existing firm contracts and primarily includes options and agreements with existing customers to purchase new services. Estimated potential remaining contract value together with backlog represents total estimated contract value The following table summarizes the value of our backlog, estimated potential remaining contract value and total estimated contract value at the respective dates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40" w:type="dxa"/>
            <w:vAlign w:val="bottom"/>
          </w:tcPr>
          <w:p>
            <w:pPr>
              <w:ind w:left="120"/>
              <w:spacing w:after="0"/>
              <w:rPr>
                <w:sz w:val="20"/>
                <w:szCs w:val="20"/>
                <w:color w:val="auto"/>
              </w:rPr>
            </w:pPr>
            <w:r>
              <w:rPr>
                <w:rFonts w:ascii="Arial" w:cs="Arial" w:eastAsia="Arial" w:hAnsi="Arial"/>
                <w:sz w:val="17"/>
                <w:szCs w:val="17"/>
                <w:color w:val="auto"/>
              </w:rPr>
              <w:t>Funded</w:t>
            </w:r>
            <w:r>
              <w:rPr>
                <w:rFonts w:ascii="Arial" w:cs="Arial" w:eastAsia="Arial" w:hAnsi="Arial"/>
                <w:sz w:val="21"/>
                <w:szCs w:val="21"/>
                <w:color w:val="auto"/>
                <w:vertAlign w:val="superscript"/>
              </w:rPr>
              <w:t>(1)</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2,847</w:t>
            </w:r>
          </w:p>
        </w:tc>
        <w:tc>
          <w:tcPr>
            <w:tcW w:w="8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2,547</w:t>
            </w:r>
          </w:p>
        </w:tc>
        <w:tc>
          <w:tcPr>
            <w:tcW w:w="80" w:type="dxa"/>
            <w:vAlign w:val="bottom"/>
          </w:tcPr>
          <w:p>
            <w:pPr>
              <w:spacing w:after="0"/>
              <w:rPr>
                <w:sz w:val="21"/>
                <w:szCs w:val="21"/>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2,338</w:t>
            </w:r>
          </w:p>
        </w:tc>
        <w:tc>
          <w:tcPr>
            <w:tcW w:w="0" w:type="dxa"/>
            <w:vAlign w:val="bottom"/>
          </w:tcPr>
          <w:p>
            <w:pPr>
              <w:spacing w:after="0"/>
              <w:rPr>
                <w:sz w:val="1"/>
                <w:szCs w:val="1"/>
                <w:color w:val="auto"/>
              </w:rPr>
            </w:pPr>
          </w:p>
        </w:tc>
      </w:tr>
      <w:tr>
        <w:trPr>
          <w:trHeight w:val="249"/>
        </w:trPr>
        <w:tc>
          <w:tcPr>
            <w:tcW w:w="6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Unfunded</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 backlog</w:t>
            </w:r>
            <w:r>
              <w:rPr>
                <w:rFonts w:ascii="Arial" w:cs="Arial" w:eastAsia="Arial" w:hAnsi="Arial"/>
                <w:sz w:val="21"/>
                <w:szCs w:val="21"/>
                <w:b w:val="1"/>
                <w:bCs w:val="1"/>
                <w:color w:val="auto"/>
                <w:vertAlign w:val="superscript"/>
              </w:rPr>
              <w:t>(1)</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3,291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2,684</w:t>
            </w:r>
          </w:p>
        </w:tc>
        <w:tc>
          <w:tcPr>
            <w:tcW w:w="0" w:type="dxa"/>
            <w:vAlign w:val="bottom"/>
          </w:tcPr>
          <w:p>
            <w:pPr>
              <w:spacing w:after="0"/>
              <w:rPr>
                <w:sz w:val="1"/>
                <w:szCs w:val="1"/>
                <w:color w:val="auto"/>
              </w:rPr>
            </w:pP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Estimated potential remaining contract value</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8,054</w:t>
            </w:r>
          </w:p>
        </w:tc>
        <w:tc>
          <w:tcPr>
            <w:tcW w:w="0" w:type="dxa"/>
            <w:vAlign w:val="bottom"/>
          </w:tcPr>
          <w:p>
            <w:pPr>
              <w:spacing w:after="0"/>
              <w:rPr>
                <w:sz w:val="1"/>
                <w:szCs w:val="1"/>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 estimated remaining contract value</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11,272</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11,042</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10,738</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00" w:right="120" w:hanging="300"/>
        <w:spacing w:after="0" w:line="247" w:lineRule="auto"/>
        <w:tabs>
          <w:tab w:leader="none" w:pos="296" w:val="left"/>
        </w:tabs>
        <w:numPr>
          <w:ilvl w:val="0"/>
          <w:numId w:val="66"/>
        </w:numPr>
        <w:rPr>
          <w:rFonts w:ascii="Arial" w:cs="Arial" w:eastAsia="Arial" w:hAnsi="Arial"/>
          <w:sz w:val="15"/>
          <w:szCs w:val="15"/>
          <w:color w:val="auto"/>
        </w:rPr>
      </w:pPr>
      <w:r>
        <w:rPr>
          <w:rFonts w:ascii="Arial" w:cs="Arial" w:eastAsia="Arial" w:hAnsi="Arial"/>
          <w:sz w:val="15"/>
          <w:szCs w:val="15"/>
          <w:color w:val="auto"/>
        </w:rPr>
        <w:t>See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73"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As of February 26, 2021, we employed approximately 6,650 people. Approximately 255 of our employees at our West Plains, Missouri facility are represented by a labor union and are covered by a collective bargaining agreement that expires in April 2021 and approximately 221 employees at our Milwaukee, Wisconsin facility are represented by a union and are covered by a collective bargaining agreement that expires in March 2021. We consider our relations with our employees to be good.</w:t>
      </w:r>
    </w:p>
    <w:p>
      <w:pPr>
        <w:spacing w:after="0" w:line="144" w:lineRule="exact"/>
        <w:rPr>
          <w:sz w:val="20"/>
          <w:szCs w:val="20"/>
          <w:color w:val="auto"/>
        </w:rPr>
      </w:pPr>
    </w:p>
    <w:p>
      <w:pPr>
        <w:ind w:right="160" w:firstLine="299"/>
        <w:spacing w:after="0" w:line="247" w:lineRule="auto"/>
        <w:rPr>
          <w:sz w:val="20"/>
          <w:szCs w:val="20"/>
          <w:color w:val="auto"/>
        </w:rPr>
      </w:pPr>
      <w:r>
        <w:rPr>
          <w:rFonts w:ascii="Arial" w:cs="Arial" w:eastAsia="Arial" w:hAnsi="Arial"/>
          <w:sz w:val="17"/>
          <w:szCs w:val="17"/>
          <w:color w:val="auto"/>
        </w:rPr>
        <w:t>Our human capital resources objectives include identifying, recruiting, retaining, incentivizing and integrating our existing and additional employees. The principal purposes of our compensation program are to attract, retain and motivate selected employees through competitive base pay and cash-based performance bonus awards.</w:t>
      </w:r>
    </w:p>
    <w:p>
      <w:pPr>
        <w:spacing w:after="0" w:line="143" w:lineRule="exact"/>
        <w:rPr>
          <w:sz w:val="20"/>
          <w:szCs w:val="20"/>
          <w:color w:val="auto"/>
        </w:rPr>
      </w:pPr>
    </w:p>
    <w:p>
      <w:pPr>
        <w:ind w:right="20" w:firstLine="299"/>
        <w:spacing w:after="0" w:line="280" w:lineRule="auto"/>
        <w:rPr>
          <w:sz w:val="20"/>
          <w:szCs w:val="20"/>
          <w:color w:val="auto"/>
        </w:rPr>
      </w:pPr>
      <w:r>
        <w:rPr>
          <w:rFonts w:ascii="Arial" w:cs="Arial" w:eastAsia="Arial" w:hAnsi="Arial"/>
          <w:sz w:val="16"/>
          <w:szCs w:val="16"/>
          <w:color w:val="auto"/>
        </w:rPr>
        <w:t>We created a Diversity Advisory Group to improve our diversity and inclusiveness so that we look like the communities in which we operate. We have targeted increases in minority hiring and women in management and overall women in the workforce, which is 2.6% higher than our industry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are headquartered in Arlington, Virginia. Our principal executive offices are leased under a lease agreement expiring in March 31, 2027 with an option to extend for five years thereafter. We also lease space in 17 other states and the District of Columbia in the United States and in one city in Canada and we own properties in three states in the United States and in one city in Canada. We believe that our facilities are adequate for our intended use and sufficient for our immediate needs, including to meet any security certification requirements or requirements for locating facilities in certain locations. It is not certain whether we will negotiate new leases as existing leases expire or whether we will be able to negotiate new leases without substantial cost or at all. Such determinations will be made as existing leases approach expiration and will be based on an assessment of our requirements at that time. Further, we believe that we can obtain additional space, if necessary, based on prior experience and current real estate market conditions. The table below provides additional information about our significant leased and owned facilities and properties.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Borders>
              <w:bottom w:val="single" w:sz="8" w:color="auto"/>
            </w:tcBorders>
          </w:tcPr>
          <w:p>
            <w:pPr>
              <w:ind w:left="940"/>
              <w:spacing w:after="0"/>
              <w:rPr>
                <w:sz w:val="20"/>
                <w:szCs w:val="20"/>
                <w:color w:val="auto"/>
              </w:rPr>
            </w:pPr>
            <w:r>
              <w:rPr>
                <w:rFonts w:ascii="Arial" w:cs="Arial" w:eastAsia="Arial" w:hAnsi="Arial"/>
                <w:sz w:val="13"/>
                <w:szCs w:val="13"/>
                <w:b w:val="1"/>
                <w:bCs w:val="1"/>
                <w:color w:val="auto"/>
              </w:rPr>
              <w:t>Location</w:t>
            </w:r>
          </w:p>
        </w:tc>
        <w:tc>
          <w:tcPr>
            <w:tcW w:w="8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Activities</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Operating Segment</w:t>
            </w:r>
          </w:p>
        </w:tc>
        <w:tc>
          <w:tcPr>
            <w:tcW w:w="10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Approximate Square Footage</w:t>
            </w:r>
          </w:p>
        </w:tc>
        <w:tc>
          <w:tcPr>
            <w:tcW w:w="8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Owned / Leased</w:t>
            </w:r>
          </w:p>
        </w:tc>
      </w:tr>
      <w:tr>
        <w:trPr>
          <w:trHeight w:val="22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4265 North 30th Street,</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Manufacturing, Engineering,</w:t>
            </w:r>
          </w:p>
        </w:tc>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Integrated Mission Systems</w:t>
            </w:r>
          </w:p>
        </w:tc>
        <w:tc>
          <w:tcPr>
            <w:tcW w:w="2180" w:type="dxa"/>
            <w:vAlign w:val="bottom"/>
            <w:shd w:val="clear" w:color="auto" w:fill="CCEEFF"/>
          </w:tcPr>
          <w:p>
            <w:pPr>
              <w:jc w:val="right"/>
              <w:ind w:right="1478"/>
              <w:spacing w:after="0"/>
              <w:rPr>
                <w:sz w:val="20"/>
                <w:szCs w:val="20"/>
                <w:color w:val="auto"/>
              </w:rPr>
            </w:pPr>
            <w:r>
              <w:rPr>
                <w:rFonts w:ascii="Arial" w:cs="Arial" w:eastAsia="Arial" w:hAnsi="Arial"/>
                <w:sz w:val="17"/>
                <w:szCs w:val="17"/>
                <w:color w:val="auto"/>
                <w:w w:val="97"/>
              </w:rPr>
              <w:t>610,800</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0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Milwaukee, WI</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Warehouse, Office</w:t>
            </w: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1 McDaniel Street, West Plains,</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Manufacturing, Engineering,</w:t>
            </w:r>
          </w:p>
        </w:tc>
        <w:tc>
          <w:tcPr>
            <w:tcW w:w="2260" w:type="dxa"/>
            <w:vAlign w:val="bottom"/>
            <w:gridSpan w:val="2"/>
          </w:tcPr>
          <w:p>
            <w:pPr>
              <w:spacing w:after="0"/>
              <w:rPr>
                <w:sz w:val="20"/>
                <w:szCs w:val="20"/>
                <w:color w:val="auto"/>
              </w:rPr>
            </w:pPr>
            <w:r>
              <w:rPr>
                <w:rFonts w:ascii="Arial" w:cs="Arial" w:eastAsia="Arial" w:hAnsi="Arial"/>
                <w:sz w:val="17"/>
                <w:szCs w:val="17"/>
                <w:color w:val="auto"/>
              </w:rPr>
              <w:t>Integrated Mission Systems</w:t>
            </w:r>
          </w:p>
        </w:tc>
        <w:tc>
          <w:tcPr>
            <w:tcW w:w="2180" w:type="dxa"/>
            <w:vAlign w:val="bottom"/>
          </w:tcPr>
          <w:p>
            <w:pPr>
              <w:jc w:val="right"/>
              <w:ind w:right="1478"/>
              <w:spacing w:after="0"/>
              <w:rPr>
                <w:sz w:val="20"/>
                <w:szCs w:val="20"/>
                <w:color w:val="auto"/>
              </w:rPr>
            </w:pPr>
            <w:r>
              <w:rPr>
                <w:rFonts w:ascii="Arial" w:cs="Arial" w:eastAsia="Arial" w:hAnsi="Arial"/>
                <w:sz w:val="17"/>
                <w:szCs w:val="17"/>
                <w:color w:val="auto"/>
                <w:w w:val="97"/>
              </w:rPr>
              <w:t>447,067</w:t>
            </w:r>
          </w:p>
        </w:tc>
        <w:tc>
          <w:tcPr>
            <w:tcW w:w="8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200"/>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MO</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Warehouse, Office</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5"/>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 Hope Rd., Menomonee</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Manufacturing, Engineering,</w:t>
            </w:r>
          </w:p>
        </w:tc>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Integrated Mission Systems</w:t>
            </w:r>
          </w:p>
        </w:tc>
        <w:tc>
          <w:tcPr>
            <w:tcW w:w="2180" w:type="dxa"/>
            <w:vAlign w:val="bottom"/>
            <w:shd w:val="clear" w:color="auto" w:fill="CCEEFF"/>
          </w:tcPr>
          <w:p>
            <w:pPr>
              <w:jc w:val="right"/>
              <w:ind w:right="1478"/>
              <w:spacing w:after="0"/>
              <w:rPr>
                <w:sz w:val="20"/>
                <w:szCs w:val="20"/>
                <w:color w:val="auto"/>
              </w:rPr>
            </w:pPr>
            <w:r>
              <w:rPr>
                <w:rFonts w:ascii="Arial" w:cs="Arial" w:eastAsia="Arial" w:hAnsi="Arial"/>
                <w:sz w:val="17"/>
                <w:szCs w:val="17"/>
                <w:color w:val="auto"/>
                <w:w w:val="97"/>
              </w:rPr>
              <w:t>372,856</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0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Falls, WI</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Warehouse</w:t>
            </w: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100 North Babcock Street,</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Manufacturing, Engineering,</w:t>
            </w:r>
          </w:p>
        </w:tc>
        <w:tc>
          <w:tcPr>
            <w:tcW w:w="2260" w:type="dxa"/>
            <w:vAlign w:val="bottom"/>
            <w:gridSpan w:val="2"/>
          </w:tcPr>
          <w:p>
            <w:pPr>
              <w:spacing w:after="0"/>
              <w:rPr>
                <w:sz w:val="20"/>
                <w:szCs w:val="20"/>
                <w:color w:val="auto"/>
              </w:rPr>
            </w:pPr>
            <w:r>
              <w:rPr>
                <w:rFonts w:ascii="Arial" w:cs="Arial" w:eastAsia="Arial" w:hAnsi="Arial"/>
                <w:sz w:val="17"/>
                <w:szCs w:val="17"/>
                <w:color w:val="auto"/>
              </w:rPr>
              <w:t>Network Computer &amp;</w:t>
            </w:r>
          </w:p>
        </w:tc>
        <w:tc>
          <w:tcPr>
            <w:tcW w:w="2180" w:type="dxa"/>
            <w:vAlign w:val="bottom"/>
          </w:tcPr>
          <w:p>
            <w:pPr>
              <w:jc w:val="right"/>
              <w:ind w:right="1478"/>
              <w:spacing w:after="0"/>
              <w:rPr>
                <w:sz w:val="20"/>
                <w:szCs w:val="20"/>
                <w:color w:val="auto"/>
              </w:rPr>
            </w:pPr>
            <w:r>
              <w:rPr>
                <w:rFonts w:ascii="Arial" w:cs="Arial" w:eastAsia="Arial" w:hAnsi="Arial"/>
                <w:sz w:val="17"/>
                <w:szCs w:val="17"/>
                <w:color w:val="auto"/>
                <w:w w:val="97"/>
              </w:rPr>
              <w:t>311,287</w:t>
            </w:r>
          </w:p>
        </w:tc>
        <w:tc>
          <w:tcPr>
            <w:tcW w:w="8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00"/>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Melbourne, FL</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Warehouse, Office</w:t>
            </w:r>
          </w:p>
        </w:tc>
        <w:tc>
          <w:tcPr>
            <w:tcW w:w="2260" w:type="dxa"/>
            <w:vAlign w:val="bottom"/>
            <w:gridSpan w:val="2"/>
          </w:tcPr>
          <w:p>
            <w:pPr>
              <w:spacing w:after="0"/>
              <w:rPr>
                <w:sz w:val="20"/>
                <w:szCs w:val="20"/>
                <w:color w:val="auto"/>
              </w:rPr>
            </w:pPr>
            <w:r>
              <w:rPr>
                <w:rFonts w:ascii="Arial" w:cs="Arial" w:eastAsia="Arial" w:hAnsi="Arial"/>
                <w:sz w:val="17"/>
                <w:szCs w:val="17"/>
                <w:color w:val="auto"/>
              </w:rPr>
              <w:t>Communications</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5"/>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6060 Highway, High Ridge, MO</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Manufacturing, Engineering,</w:t>
            </w:r>
          </w:p>
        </w:tc>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Integrated Mission Systems</w:t>
            </w:r>
          </w:p>
        </w:tc>
        <w:tc>
          <w:tcPr>
            <w:tcW w:w="2180" w:type="dxa"/>
            <w:vAlign w:val="bottom"/>
            <w:shd w:val="clear" w:color="auto" w:fill="CCEEFF"/>
          </w:tcPr>
          <w:p>
            <w:pPr>
              <w:jc w:val="right"/>
              <w:ind w:right="1478"/>
              <w:spacing w:after="0"/>
              <w:rPr>
                <w:sz w:val="20"/>
                <w:szCs w:val="20"/>
                <w:color w:val="auto"/>
              </w:rPr>
            </w:pPr>
            <w:r>
              <w:rPr>
                <w:rFonts w:ascii="Arial" w:cs="Arial" w:eastAsia="Arial" w:hAnsi="Arial"/>
                <w:sz w:val="17"/>
                <w:szCs w:val="17"/>
                <w:color w:val="auto"/>
                <w:w w:val="97"/>
              </w:rPr>
              <w:t>183,600</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Owned</w:t>
            </w:r>
          </w:p>
        </w:tc>
      </w:tr>
      <w:tr>
        <w:trPr>
          <w:trHeight w:val="205"/>
        </w:trPr>
        <w:tc>
          <w:tcPr>
            <w:tcW w:w="2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Office</w:t>
            </w: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4545 N. Lindbergh Blvd,</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Manufacturing, Engineering,</w:t>
            </w:r>
          </w:p>
        </w:tc>
        <w:tc>
          <w:tcPr>
            <w:tcW w:w="2260" w:type="dxa"/>
            <w:vAlign w:val="bottom"/>
            <w:gridSpan w:val="2"/>
          </w:tcPr>
          <w:p>
            <w:pPr>
              <w:spacing w:after="0"/>
              <w:rPr>
                <w:sz w:val="20"/>
                <w:szCs w:val="20"/>
                <w:color w:val="auto"/>
              </w:rPr>
            </w:pPr>
            <w:r>
              <w:rPr>
                <w:rFonts w:ascii="Arial" w:cs="Arial" w:eastAsia="Arial" w:hAnsi="Arial"/>
                <w:sz w:val="17"/>
                <w:szCs w:val="17"/>
                <w:color w:val="auto"/>
              </w:rPr>
              <w:t>Integrated Mission Systems</w:t>
            </w:r>
          </w:p>
        </w:tc>
        <w:tc>
          <w:tcPr>
            <w:tcW w:w="2180" w:type="dxa"/>
            <w:vAlign w:val="bottom"/>
          </w:tcPr>
          <w:p>
            <w:pPr>
              <w:jc w:val="right"/>
              <w:ind w:right="1478"/>
              <w:spacing w:after="0"/>
              <w:rPr>
                <w:sz w:val="20"/>
                <w:szCs w:val="20"/>
                <w:color w:val="auto"/>
              </w:rPr>
            </w:pPr>
            <w:r>
              <w:rPr>
                <w:rFonts w:ascii="Arial" w:cs="Arial" w:eastAsia="Arial" w:hAnsi="Arial"/>
                <w:sz w:val="17"/>
                <w:szCs w:val="17"/>
                <w:color w:val="auto"/>
                <w:w w:val="97"/>
              </w:rPr>
              <w:t>171,500</w:t>
            </w:r>
          </w:p>
        </w:tc>
        <w:tc>
          <w:tcPr>
            <w:tcW w:w="8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00"/>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Bridgeton, MO</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Warehouse, Office</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5"/>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One Milestone Center Court,</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Engineering, Office</w:t>
            </w:r>
          </w:p>
        </w:tc>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Advanced Sensor</w:t>
            </w:r>
          </w:p>
        </w:tc>
        <w:tc>
          <w:tcPr>
            <w:tcW w:w="2180" w:type="dxa"/>
            <w:vAlign w:val="bottom"/>
            <w:shd w:val="clear" w:color="auto" w:fill="CCEEFF"/>
          </w:tcPr>
          <w:p>
            <w:pPr>
              <w:jc w:val="right"/>
              <w:ind w:right="1478"/>
              <w:spacing w:after="0"/>
              <w:rPr>
                <w:sz w:val="20"/>
                <w:szCs w:val="20"/>
                <w:color w:val="auto"/>
              </w:rPr>
            </w:pPr>
            <w:r>
              <w:rPr>
                <w:rFonts w:ascii="Arial" w:cs="Arial" w:eastAsia="Arial" w:hAnsi="Arial"/>
                <w:sz w:val="17"/>
                <w:szCs w:val="17"/>
                <w:color w:val="auto"/>
                <w:w w:val="97"/>
              </w:rPr>
              <w:t>133,140</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0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Germantown, MD</w:t>
            </w:r>
          </w:p>
        </w:tc>
        <w:tc>
          <w:tcPr>
            <w:tcW w:w="2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Technologies</w:t>
            </w:r>
          </w:p>
        </w:tc>
        <w:tc>
          <w:tcPr>
            <w:tcW w:w="2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7200 Redstone Gateway,</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Manufacturing, Engineering,</w:t>
            </w:r>
          </w:p>
        </w:tc>
        <w:tc>
          <w:tcPr>
            <w:tcW w:w="2260" w:type="dxa"/>
            <w:vAlign w:val="bottom"/>
            <w:gridSpan w:val="2"/>
          </w:tcPr>
          <w:p>
            <w:pPr>
              <w:spacing w:after="0"/>
              <w:rPr>
                <w:sz w:val="20"/>
                <w:szCs w:val="20"/>
                <w:color w:val="auto"/>
              </w:rPr>
            </w:pPr>
            <w:r>
              <w:rPr>
                <w:rFonts w:ascii="Arial" w:cs="Arial" w:eastAsia="Arial" w:hAnsi="Arial"/>
                <w:sz w:val="17"/>
                <w:szCs w:val="17"/>
                <w:color w:val="auto"/>
              </w:rPr>
              <w:t>Network Computer &amp;</w:t>
            </w:r>
          </w:p>
        </w:tc>
        <w:tc>
          <w:tcPr>
            <w:tcW w:w="2180" w:type="dxa"/>
            <w:vAlign w:val="bottom"/>
          </w:tcPr>
          <w:p>
            <w:pPr>
              <w:jc w:val="right"/>
              <w:ind w:right="1478"/>
              <w:spacing w:after="0"/>
              <w:rPr>
                <w:sz w:val="20"/>
                <w:szCs w:val="20"/>
                <w:color w:val="auto"/>
              </w:rPr>
            </w:pPr>
            <w:r>
              <w:rPr>
                <w:rFonts w:ascii="Arial" w:cs="Arial" w:eastAsia="Arial" w:hAnsi="Arial"/>
                <w:sz w:val="17"/>
                <w:szCs w:val="17"/>
                <w:color w:val="auto"/>
                <w:w w:val="97"/>
              </w:rPr>
              <w:t>131,498</w:t>
            </w:r>
          </w:p>
        </w:tc>
        <w:tc>
          <w:tcPr>
            <w:tcW w:w="8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00"/>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Huntsville, AL</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Office</w:t>
            </w:r>
          </w:p>
        </w:tc>
        <w:tc>
          <w:tcPr>
            <w:tcW w:w="2260" w:type="dxa"/>
            <w:vAlign w:val="bottom"/>
            <w:gridSpan w:val="2"/>
          </w:tcPr>
          <w:p>
            <w:pPr>
              <w:spacing w:after="0"/>
              <w:rPr>
                <w:sz w:val="20"/>
                <w:szCs w:val="20"/>
                <w:color w:val="auto"/>
              </w:rPr>
            </w:pPr>
            <w:r>
              <w:rPr>
                <w:rFonts w:ascii="Arial" w:cs="Arial" w:eastAsia="Arial" w:hAnsi="Arial"/>
                <w:sz w:val="17"/>
                <w:szCs w:val="17"/>
                <w:color w:val="auto"/>
              </w:rPr>
              <w:t>Communications</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5"/>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246 Airport Road, Johnstown,</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Manufacturing, Engineering,</w:t>
            </w:r>
          </w:p>
        </w:tc>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Network Computer &amp;</w:t>
            </w:r>
          </w:p>
        </w:tc>
        <w:tc>
          <w:tcPr>
            <w:tcW w:w="2180" w:type="dxa"/>
            <w:vAlign w:val="bottom"/>
            <w:shd w:val="clear" w:color="auto" w:fill="CCEEFF"/>
          </w:tcPr>
          <w:p>
            <w:pPr>
              <w:jc w:val="right"/>
              <w:ind w:right="1478"/>
              <w:spacing w:after="0"/>
              <w:rPr>
                <w:sz w:val="20"/>
                <w:szCs w:val="20"/>
                <w:color w:val="auto"/>
              </w:rPr>
            </w:pPr>
            <w:r>
              <w:rPr>
                <w:rFonts w:ascii="Arial" w:cs="Arial" w:eastAsia="Arial" w:hAnsi="Arial"/>
                <w:sz w:val="17"/>
                <w:szCs w:val="17"/>
                <w:color w:val="auto"/>
                <w:w w:val="97"/>
              </w:rPr>
              <w:t>129,716</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0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PA</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Warehouse, Office</w:t>
            </w: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Communications</w:t>
            </w:r>
          </w:p>
        </w:tc>
        <w:tc>
          <w:tcPr>
            <w:tcW w:w="2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500 Palladium Drive, Ottawa,</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Manufacturing, Engineering,</w:t>
            </w:r>
          </w:p>
        </w:tc>
        <w:tc>
          <w:tcPr>
            <w:tcW w:w="2260" w:type="dxa"/>
            <w:vAlign w:val="bottom"/>
            <w:gridSpan w:val="2"/>
          </w:tcPr>
          <w:p>
            <w:pPr>
              <w:spacing w:after="0"/>
              <w:rPr>
                <w:sz w:val="20"/>
                <w:szCs w:val="20"/>
                <w:color w:val="auto"/>
              </w:rPr>
            </w:pPr>
            <w:r>
              <w:rPr>
                <w:rFonts w:ascii="Arial" w:cs="Arial" w:eastAsia="Arial" w:hAnsi="Arial"/>
                <w:sz w:val="17"/>
                <w:szCs w:val="17"/>
                <w:color w:val="auto"/>
              </w:rPr>
              <w:t>Network Computer &amp;</w:t>
            </w:r>
          </w:p>
        </w:tc>
        <w:tc>
          <w:tcPr>
            <w:tcW w:w="2180" w:type="dxa"/>
            <w:vAlign w:val="bottom"/>
          </w:tcPr>
          <w:p>
            <w:pPr>
              <w:jc w:val="right"/>
              <w:ind w:right="1478"/>
              <w:spacing w:after="0"/>
              <w:rPr>
                <w:sz w:val="20"/>
                <w:szCs w:val="20"/>
                <w:color w:val="auto"/>
              </w:rPr>
            </w:pPr>
            <w:r>
              <w:rPr>
                <w:rFonts w:ascii="Arial" w:cs="Arial" w:eastAsia="Arial" w:hAnsi="Arial"/>
                <w:sz w:val="17"/>
                <w:szCs w:val="17"/>
                <w:color w:val="auto"/>
                <w:w w:val="97"/>
              </w:rPr>
              <w:t>127,334</w:t>
            </w:r>
          </w:p>
        </w:tc>
        <w:tc>
          <w:tcPr>
            <w:tcW w:w="8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00"/>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ON, Canada</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Warehouse, Office</w:t>
            </w:r>
          </w:p>
        </w:tc>
        <w:tc>
          <w:tcPr>
            <w:tcW w:w="2260" w:type="dxa"/>
            <w:vAlign w:val="bottom"/>
            <w:gridSpan w:val="2"/>
          </w:tcPr>
          <w:p>
            <w:pPr>
              <w:spacing w:after="0"/>
              <w:rPr>
                <w:sz w:val="20"/>
                <w:szCs w:val="20"/>
                <w:color w:val="auto"/>
              </w:rPr>
            </w:pPr>
            <w:r>
              <w:rPr>
                <w:rFonts w:ascii="Arial" w:cs="Arial" w:eastAsia="Arial" w:hAnsi="Arial"/>
                <w:sz w:val="17"/>
                <w:szCs w:val="17"/>
                <w:color w:val="auto"/>
              </w:rPr>
              <w:t>Communications</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5"/>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401 Flint Drive, Menomonee</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Engineering, Office</w:t>
            </w:r>
          </w:p>
        </w:tc>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Integrated Mission Systems</w:t>
            </w:r>
          </w:p>
        </w:tc>
        <w:tc>
          <w:tcPr>
            <w:tcW w:w="2180" w:type="dxa"/>
            <w:vAlign w:val="bottom"/>
            <w:shd w:val="clear" w:color="auto" w:fill="CCEEFF"/>
          </w:tcPr>
          <w:p>
            <w:pPr>
              <w:jc w:val="right"/>
              <w:ind w:right="1478"/>
              <w:spacing w:after="0"/>
              <w:rPr>
                <w:sz w:val="20"/>
                <w:szCs w:val="20"/>
                <w:color w:val="auto"/>
              </w:rPr>
            </w:pPr>
            <w:r>
              <w:rPr>
                <w:rFonts w:ascii="Arial" w:cs="Arial" w:eastAsia="Arial" w:hAnsi="Arial"/>
                <w:sz w:val="17"/>
                <w:szCs w:val="17"/>
                <w:color w:val="auto"/>
                <w:w w:val="97"/>
              </w:rPr>
              <w:t>118,620</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0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Falls, WI</w:t>
            </w:r>
          </w:p>
        </w:tc>
        <w:tc>
          <w:tcPr>
            <w:tcW w:w="2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166 Boulder Drive, Building #2,</w:t>
            </w:r>
          </w:p>
        </w:tc>
        <w:tc>
          <w:tcPr>
            <w:tcW w:w="2280" w:type="dxa"/>
            <w:vAlign w:val="bottom"/>
            <w:gridSpan w:val="2"/>
          </w:tcPr>
          <w:p>
            <w:pPr>
              <w:ind w:left="20"/>
              <w:spacing w:after="0"/>
              <w:rPr>
                <w:sz w:val="20"/>
                <w:szCs w:val="20"/>
                <w:color w:val="auto"/>
              </w:rPr>
            </w:pPr>
            <w:r>
              <w:rPr>
                <w:rFonts w:ascii="Arial" w:cs="Arial" w:eastAsia="Arial" w:hAnsi="Arial"/>
                <w:sz w:val="17"/>
                <w:szCs w:val="17"/>
                <w:color w:val="auto"/>
              </w:rPr>
              <w:t>Manufacturing, Warehouse</w:t>
            </w:r>
          </w:p>
        </w:tc>
        <w:tc>
          <w:tcPr>
            <w:tcW w:w="2260" w:type="dxa"/>
            <w:vAlign w:val="bottom"/>
            <w:gridSpan w:val="2"/>
          </w:tcPr>
          <w:p>
            <w:pPr>
              <w:spacing w:after="0"/>
              <w:rPr>
                <w:sz w:val="20"/>
                <w:szCs w:val="20"/>
                <w:color w:val="auto"/>
              </w:rPr>
            </w:pPr>
            <w:r>
              <w:rPr>
                <w:rFonts w:ascii="Arial" w:cs="Arial" w:eastAsia="Arial" w:hAnsi="Arial"/>
                <w:sz w:val="17"/>
                <w:szCs w:val="17"/>
                <w:color w:val="auto"/>
              </w:rPr>
              <w:t>Integrated Mission Systems</w:t>
            </w:r>
          </w:p>
        </w:tc>
        <w:tc>
          <w:tcPr>
            <w:tcW w:w="2180" w:type="dxa"/>
            <w:vAlign w:val="bottom"/>
          </w:tcPr>
          <w:p>
            <w:pPr>
              <w:jc w:val="right"/>
              <w:ind w:right="1478"/>
              <w:spacing w:after="0"/>
              <w:rPr>
                <w:sz w:val="20"/>
                <w:szCs w:val="20"/>
                <w:color w:val="auto"/>
              </w:rPr>
            </w:pPr>
            <w:r>
              <w:rPr>
                <w:rFonts w:ascii="Arial" w:cs="Arial" w:eastAsia="Arial" w:hAnsi="Arial"/>
                <w:sz w:val="17"/>
                <w:szCs w:val="17"/>
                <w:color w:val="auto"/>
                <w:w w:val="97"/>
              </w:rPr>
              <w:t>114,454</w:t>
            </w:r>
          </w:p>
        </w:tc>
        <w:tc>
          <w:tcPr>
            <w:tcW w:w="8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00"/>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Fitchburg, MA</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6200 118th Avenue North,</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Manufacturing, Engineering,</w:t>
            </w: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Network Computer &amp;</w:t>
            </w:r>
          </w:p>
        </w:tc>
        <w:tc>
          <w:tcPr>
            <w:tcW w:w="1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113,329</w:t>
            </w:r>
          </w:p>
        </w:tc>
        <w:tc>
          <w:tcPr>
            <w:tcW w:w="2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Owned</w:t>
            </w:r>
          </w:p>
        </w:tc>
      </w:tr>
      <w:tr>
        <w:trPr>
          <w:trHeight w:val="205"/>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Largo, FL</w:t>
            </w:r>
          </w:p>
        </w:tc>
        <w:tc>
          <w:tcPr>
            <w:tcW w:w="2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Communications</w:t>
            </w:r>
          </w:p>
        </w:tc>
        <w:tc>
          <w:tcPr>
            <w:tcW w:w="152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r>
      <w:tr>
        <w:trPr>
          <w:trHeight w:val="223"/>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10600 Valley View Street,</w:t>
            </w:r>
          </w:p>
        </w:tc>
        <w:tc>
          <w:tcPr>
            <w:tcW w:w="2220" w:type="dxa"/>
            <w:vAlign w:val="bottom"/>
          </w:tcPr>
          <w:p>
            <w:pPr>
              <w:ind w:left="60"/>
              <w:spacing w:after="0"/>
              <w:rPr>
                <w:sz w:val="20"/>
                <w:szCs w:val="20"/>
                <w:color w:val="auto"/>
              </w:rPr>
            </w:pPr>
            <w:r>
              <w:rPr>
                <w:rFonts w:ascii="Arial" w:cs="Arial" w:eastAsia="Arial" w:hAnsi="Arial"/>
                <w:sz w:val="17"/>
                <w:szCs w:val="17"/>
                <w:color w:val="auto"/>
              </w:rPr>
              <w:t>Engineering, Office</w:t>
            </w:r>
          </w:p>
        </w:tc>
        <w:tc>
          <w:tcPr>
            <w:tcW w:w="2260" w:type="dxa"/>
            <w:vAlign w:val="bottom"/>
          </w:tcPr>
          <w:p>
            <w:pPr>
              <w:ind w:left="100"/>
              <w:spacing w:after="0"/>
              <w:rPr>
                <w:sz w:val="20"/>
                <w:szCs w:val="20"/>
                <w:color w:val="auto"/>
              </w:rPr>
            </w:pPr>
            <w:r>
              <w:rPr>
                <w:rFonts w:ascii="Arial" w:cs="Arial" w:eastAsia="Arial" w:hAnsi="Arial"/>
                <w:sz w:val="17"/>
                <w:szCs w:val="17"/>
                <w:color w:val="auto"/>
              </w:rPr>
              <w:t>Advanced Sensor</w:t>
            </w:r>
          </w:p>
        </w:tc>
        <w:tc>
          <w:tcPr>
            <w:tcW w:w="1520" w:type="dxa"/>
            <w:vAlign w:val="bottom"/>
          </w:tcPr>
          <w:p>
            <w:pPr>
              <w:ind w:left="100"/>
              <w:spacing w:after="0"/>
              <w:rPr>
                <w:sz w:val="20"/>
                <w:szCs w:val="20"/>
                <w:color w:val="auto"/>
              </w:rPr>
            </w:pPr>
            <w:r>
              <w:rPr>
                <w:rFonts w:ascii="Arial" w:cs="Arial" w:eastAsia="Arial" w:hAnsi="Arial"/>
                <w:sz w:val="17"/>
                <w:szCs w:val="17"/>
                <w:color w:val="auto"/>
              </w:rPr>
              <w:t>91,506</w:t>
            </w:r>
          </w:p>
        </w:tc>
        <w:tc>
          <w:tcPr>
            <w:tcW w:w="2740" w:type="dxa"/>
            <w:vAlign w:val="bottom"/>
          </w:tcPr>
          <w:p>
            <w:pPr>
              <w:ind w:left="840"/>
              <w:spacing w:after="0"/>
              <w:rPr>
                <w:sz w:val="20"/>
                <w:szCs w:val="20"/>
                <w:color w:val="auto"/>
              </w:rPr>
            </w:pPr>
            <w:r>
              <w:rPr>
                <w:rFonts w:ascii="Arial" w:cs="Arial" w:eastAsia="Arial" w:hAnsi="Arial"/>
                <w:sz w:val="17"/>
                <w:szCs w:val="17"/>
                <w:color w:val="auto"/>
              </w:rPr>
              <w:t>Leased</w:t>
            </w:r>
          </w:p>
        </w:tc>
      </w:tr>
      <w:tr>
        <w:trPr>
          <w:trHeight w:val="200"/>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Cypress, CA</w:t>
            </w:r>
          </w:p>
        </w:tc>
        <w:tc>
          <w:tcPr>
            <w:tcW w:w="22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
        </w:trPr>
        <w:tc>
          <w:tcPr>
            <w:tcW w:w="250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2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13532 N Central Expressway,</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Manufacturing, Engineering,</w:t>
            </w: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Advanced Sensor</w:t>
            </w:r>
          </w:p>
        </w:tc>
        <w:tc>
          <w:tcPr>
            <w:tcW w:w="1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89,982</w:t>
            </w:r>
          </w:p>
        </w:tc>
        <w:tc>
          <w:tcPr>
            <w:tcW w:w="2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Leased</w:t>
            </w:r>
          </w:p>
        </w:tc>
      </w:tr>
      <w:tr>
        <w:trPr>
          <w:trHeight w:val="205"/>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Dallas, TX</w:t>
            </w:r>
          </w:p>
        </w:tc>
        <w:tc>
          <w:tcPr>
            <w:tcW w:w="2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r>
      <w:tr>
        <w:trPr>
          <w:trHeight w:val="223"/>
        </w:trPr>
        <w:tc>
          <w:tcPr>
            <w:tcW w:w="320" w:type="dxa"/>
            <w:vAlign w:val="bottom"/>
          </w:tcPr>
          <w:p>
            <w:pPr>
              <w:ind w:left="20"/>
              <w:spacing w:after="0"/>
              <w:rPr>
                <w:sz w:val="20"/>
                <w:szCs w:val="20"/>
                <w:color w:val="auto"/>
              </w:rPr>
            </w:pPr>
            <w:r>
              <w:rPr>
                <w:rFonts w:ascii="Arial" w:cs="Arial" w:eastAsia="Arial" w:hAnsi="Arial"/>
                <w:sz w:val="17"/>
                <w:szCs w:val="17"/>
                <w:color w:val="auto"/>
                <w:w w:val="98"/>
              </w:rPr>
              <w:t>645</w:t>
            </w:r>
          </w:p>
        </w:tc>
        <w:tc>
          <w:tcPr>
            <w:tcW w:w="2180" w:type="dxa"/>
            <w:vAlign w:val="bottom"/>
          </w:tcPr>
          <w:p>
            <w:pPr>
              <w:ind w:left="20"/>
              <w:spacing w:after="0"/>
              <w:rPr>
                <w:sz w:val="20"/>
                <w:szCs w:val="20"/>
                <w:color w:val="auto"/>
              </w:rPr>
            </w:pPr>
            <w:r>
              <w:rPr>
                <w:rFonts w:ascii="Arial" w:cs="Arial" w:eastAsia="Arial" w:hAnsi="Arial"/>
                <w:sz w:val="17"/>
                <w:szCs w:val="17"/>
                <w:color w:val="auto"/>
              </w:rPr>
              <w:t>Anchors Street, Ft. Walton</w:t>
            </w:r>
          </w:p>
        </w:tc>
        <w:tc>
          <w:tcPr>
            <w:tcW w:w="2220" w:type="dxa"/>
            <w:vAlign w:val="bottom"/>
          </w:tcPr>
          <w:p>
            <w:pPr>
              <w:ind w:left="60"/>
              <w:spacing w:after="0"/>
              <w:rPr>
                <w:sz w:val="20"/>
                <w:szCs w:val="20"/>
                <w:color w:val="auto"/>
              </w:rPr>
            </w:pPr>
            <w:r>
              <w:rPr>
                <w:rFonts w:ascii="Arial" w:cs="Arial" w:eastAsia="Arial" w:hAnsi="Arial"/>
                <w:sz w:val="17"/>
                <w:szCs w:val="17"/>
                <w:color w:val="auto"/>
              </w:rPr>
              <w:t>Manufacturing, Engineering,</w:t>
            </w:r>
          </w:p>
        </w:tc>
        <w:tc>
          <w:tcPr>
            <w:tcW w:w="2260" w:type="dxa"/>
            <w:vAlign w:val="bottom"/>
          </w:tcPr>
          <w:p>
            <w:pPr>
              <w:ind w:left="100"/>
              <w:spacing w:after="0"/>
              <w:rPr>
                <w:sz w:val="20"/>
                <w:szCs w:val="20"/>
                <w:color w:val="auto"/>
              </w:rPr>
            </w:pPr>
            <w:r>
              <w:rPr>
                <w:rFonts w:ascii="Arial" w:cs="Arial" w:eastAsia="Arial" w:hAnsi="Arial"/>
                <w:sz w:val="17"/>
                <w:szCs w:val="17"/>
                <w:color w:val="auto"/>
              </w:rPr>
              <w:t>Advanced Sensor</w:t>
            </w:r>
          </w:p>
        </w:tc>
        <w:tc>
          <w:tcPr>
            <w:tcW w:w="1520" w:type="dxa"/>
            <w:vAlign w:val="bottom"/>
          </w:tcPr>
          <w:p>
            <w:pPr>
              <w:ind w:left="100"/>
              <w:spacing w:after="0"/>
              <w:rPr>
                <w:sz w:val="20"/>
                <w:szCs w:val="20"/>
                <w:color w:val="auto"/>
              </w:rPr>
            </w:pPr>
            <w:r>
              <w:rPr>
                <w:rFonts w:ascii="Arial" w:cs="Arial" w:eastAsia="Arial" w:hAnsi="Arial"/>
                <w:sz w:val="17"/>
                <w:szCs w:val="17"/>
                <w:color w:val="auto"/>
              </w:rPr>
              <w:t>74,304</w:t>
            </w:r>
          </w:p>
        </w:tc>
        <w:tc>
          <w:tcPr>
            <w:tcW w:w="2740" w:type="dxa"/>
            <w:vAlign w:val="bottom"/>
          </w:tcPr>
          <w:p>
            <w:pPr>
              <w:ind w:left="840"/>
              <w:spacing w:after="0"/>
              <w:rPr>
                <w:sz w:val="20"/>
                <w:szCs w:val="20"/>
                <w:color w:val="auto"/>
              </w:rPr>
            </w:pPr>
            <w:r>
              <w:rPr>
                <w:rFonts w:ascii="Arial" w:cs="Arial" w:eastAsia="Arial" w:hAnsi="Arial"/>
                <w:sz w:val="17"/>
                <w:szCs w:val="17"/>
                <w:color w:val="auto"/>
              </w:rPr>
              <w:t>Owned</w:t>
            </w:r>
          </w:p>
        </w:tc>
      </w:tr>
      <w:tr>
        <w:trPr>
          <w:trHeight w:val="200"/>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Beach, FL</w:t>
            </w:r>
          </w:p>
        </w:tc>
        <w:tc>
          <w:tcPr>
            <w:tcW w:w="2220" w:type="dxa"/>
            <w:vAlign w:val="bottom"/>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
        </w:trPr>
        <w:tc>
          <w:tcPr>
            <w:tcW w:w="250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2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21 South Street, Danbury, CT</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Manufacturing, Engineering,</w:t>
            </w: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Integrated Mission Systems</w:t>
            </w:r>
          </w:p>
        </w:tc>
        <w:tc>
          <w:tcPr>
            <w:tcW w:w="1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74,300</w:t>
            </w:r>
          </w:p>
        </w:tc>
        <w:tc>
          <w:tcPr>
            <w:tcW w:w="2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Owned</w:t>
            </w:r>
          </w:p>
        </w:tc>
      </w:tr>
      <w:tr>
        <w:trPr>
          <w:trHeight w:val="205"/>
        </w:trPr>
        <w:tc>
          <w:tcPr>
            <w:tcW w:w="32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Warehouse, Office</w:t>
            </w:r>
          </w:p>
        </w:tc>
        <w:tc>
          <w:tcPr>
            <w:tcW w:w="2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r>
      <w:tr>
        <w:trPr>
          <w:trHeight w:val="223"/>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1200 Sherman Street, Dallas,</w:t>
            </w:r>
          </w:p>
        </w:tc>
        <w:tc>
          <w:tcPr>
            <w:tcW w:w="2220" w:type="dxa"/>
            <w:vAlign w:val="bottom"/>
          </w:tcPr>
          <w:p>
            <w:pPr>
              <w:ind w:left="60"/>
              <w:spacing w:after="0"/>
              <w:rPr>
                <w:sz w:val="20"/>
                <w:szCs w:val="20"/>
                <w:color w:val="auto"/>
              </w:rPr>
            </w:pPr>
            <w:r>
              <w:rPr>
                <w:rFonts w:ascii="Arial" w:cs="Arial" w:eastAsia="Arial" w:hAnsi="Arial"/>
                <w:sz w:val="17"/>
                <w:szCs w:val="17"/>
                <w:color w:val="auto"/>
              </w:rPr>
              <w:t>Engineering, Office</w:t>
            </w:r>
          </w:p>
        </w:tc>
        <w:tc>
          <w:tcPr>
            <w:tcW w:w="2260" w:type="dxa"/>
            <w:vAlign w:val="bottom"/>
          </w:tcPr>
          <w:p>
            <w:pPr>
              <w:ind w:left="100"/>
              <w:spacing w:after="0"/>
              <w:rPr>
                <w:sz w:val="20"/>
                <w:szCs w:val="20"/>
                <w:color w:val="auto"/>
              </w:rPr>
            </w:pPr>
            <w:r>
              <w:rPr>
                <w:rFonts w:ascii="Arial" w:cs="Arial" w:eastAsia="Arial" w:hAnsi="Arial"/>
                <w:sz w:val="17"/>
                <w:szCs w:val="17"/>
                <w:color w:val="auto"/>
              </w:rPr>
              <w:t>Advanced Sensor</w:t>
            </w:r>
          </w:p>
        </w:tc>
        <w:tc>
          <w:tcPr>
            <w:tcW w:w="1520" w:type="dxa"/>
            <w:vAlign w:val="bottom"/>
          </w:tcPr>
          <w:p>
            <w:pPr>
              <w:ind w:left="100"/>
              <w:spacing w:after="0"/>
              <w:rPr>
                <w:sz w:val="20"/>
                <w:szCs w:val="20"/>
                <w:color w:val="auto"/>
              </w:rPr>
            </w:pPr>
            <w:r>
              <w:rPr>
                <w:rFonts w:ascii="Arial" w:cs="Arial" w:eastAsia="Arial" w:hAnsi="Arial"/>
                <w:sz w:val="17"/>
                <w:szCs w:val="17"/>
                <w:color w:val="auto"/>
              </w:rPr>
              <w:t>73,646</w:t>
            </w:r>
          </w:p>
        </w:tc>
        <w:tc>
          <w:tcPr>
            <w:tcW w:w="2740" w:type="dxa"/>
            <w:vAlign w:val="bottom"/>
          </w:tcPr>
          <w:p>
            <w:pPr>
              <w:ind w:left="840"/>
              <w:spacing w:after="0"/>
              <w:rPr>
                <w:sz w:val="20"/>
                <w:szCs w:val="20"/>
                <w:color w:val="auto"/>
              </w:rPr>
            </w:pPr>
            <w:r>
              <w:rPr>
                <w:rFonts w:ascii="Arial" w:cs="Arial" w:eastAsia="Arial" w:hAnsi="Arial"/>
                <w:sz w:val="17"/>
                <w:szCs w:val="17"/>
                <w:color w:val="auto"/>
              </w:rPr>
              <w:t>Leased</w:t>
            </w:r>
          </w:p>
        </w:tc>
      </w:tr>
      <w:tr>
        <w:trPr>
          <w:trHeight w:val="200"/>
        </w:trPr>
        <w:tc>
          <w:tcPr>
            <w:tcW w:w="320" w:type="dxa"/>
            <w:vAlign w:val="bottom"/>
          </w:tcPr>
          <w:p>
            <w:pPr>
              <w:ind w:left="20"/>
              <w:spacing w:after="0"/>
              <w:rPr>
                <w:sz w:val="20"/>
                <w:szCs w:val="20"/>
                <w:color w:val="auto"/>
              </w:rPr>
            </w:pPr>
            <w:r>
              <w:rPr>
                <w:rFonts w:ascii="Arial" w:cs="Arial" w:eastAsia="Arial" w:hAnsi="Arial"/>
                <w:sz w:val="17"/>
                <w:szCs w:val="17"/>
                <w:color w:val="auto"/>
              </w:rPr>
              <w:t>TX</w:t>
            </w:r>
          </w:p>
        </w:tc>
        <w:tc>
          <w:tcPr>
            <w:tcW w:w="2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
        </w:trPr>
        <w:tc>
          <w:tcPr>
            <w:tcW w:w="250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2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16465 Via Esprillo, San Diego,</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Manufacturing, Engineering,</w:t>
            </w: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Advanced Sensor</w:t>
            </w:r>
          </w:p>
        </w:tc>
        <w:tc>
          <w:tcPr>
            <w:tcW w:w="1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67,762</w:t>
            </w:r>
          </w:p>
        </w:tc>
        <w:tc>
          <w:tcPr>
            <w:tcW w:w="2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Leased</w:t>
            </w:r>
          </w:p>
        </w:tc>
      </w:tr>
      <w:tr>
        <w:trPr>
          <w:trHeight w:val="205"/>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w:t>
            </w:r>
          </w:p>
        </w:tc>
        <w:tc>
          <w:tcPr>
            <w:tcW w:w="218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r>
      <w:tr>
        <w:trPr>
          <w:trHeight w:val="223"/>
        </w:trPr>
        <w:tc>
          <w:tcPr>
            <w:tcW w:w="320" w:type="dxa"/>
            <w:vAlign w:val="bottom"/>
          </w:tcPr>
          <w:p>
            <w:pPr>
              <w:ind w:left="20"/>
              <w:spacing w:after="0"/>
              <w:rPr>
                <w:sz w:val="20"/>
                <w:szCs w:val="20"/>
                <w:color w:val="auto"/>
              </w:rPr>
            </w:pPr>
            <w:r>
              <w:rPr>
                <w:rFonts w:ascii="Arial" w:cs="Arial" w:eastAsia="Arial" w:hAnsi="Arial"/>
                <w:sz w:val="17"/>
                <w:szCs w:val="17"/>
                <w:color w:val="auto"/>
                <w:w w:val="98"/>
              </w:rPr>
              <w:t>650</w:t>
            </w:r>
          </w:p>
        </w:tc>
        <w:tc>
          <w:tcPr>
            <w:tcW w:w="2180" w:type="dxa"/>
            <w:vAlign w:val="bottom"/>
          </w:tcPr>
          <w:p>
            <w:pPr>
              <w:ind w:left="20"/>
              <w:spacing w:after="0"/>
              <w:rPr>
                <w:sz w:val="20"/>
                <w:szCs w:val="20"/>
                <w:color w:val="auto"/>
              </w:rPr>
            </w:pPr>
            <w:r>
              <w:rPr>
                <w:rFonts w:ascii="Arial" w:cs="Arial" w:eastAsia="Arial" w:hAnsi="Arial"/>
                <w:sz w:val="17"/>
                <w:szCs w:val="17"/>
                <w:color w:val="auto"/>
              </w:rPr>
              <w:t>Lovejoy, Ft. Walton Beach,</w:t>
            </w:r>
          </w:p>
        </w:tc>
        <w:tc>
          <w:tcPr>
            <w:tcW w:w="2220" w:type="dxa"/>
            <w:vAlign w:val="bottom"/>
          </w:tcPr>
          <w:p>
            <w:pPr>
              <w:ind w:left="60"/>
              <w:spacing w:after="0"/>
              <w:rPr>
                <w:sz w:val="20"/>
                <w:szCs w:val="20"/>
                <w:color w:val="auto"/>
              </w:rPr>
            </w:pPr>
            <w:r>
              <w:rPr>
                <w:rFonts w:ascii="Arial" w:cs="Arial" w:eastAsia="Arial" w:hAnsi="Arial"/>
                <w:sz w:val="17"/>
                <w:szCs w:val="17"/>
                <w:color w:val="auto"/>
              </w:rPr>
              <w:t>Engineering, Office</w:t>
            </w:r>
          </w:p>
        </w:tc>
        <w:tc>
          <w:tcPr>
            <w:tcW w:w="2260" w:type="dxa"/>
            <w:vAlign w:val="bottom"/>
          </w:tcPr>
          <w:p>
            <w:pPr>
              <w:ind w:left="100"/>
              <w:spacing w:after="0"/>
              <w:rPr>
                <w:sz w:val="20"/>
                <w:szCs w:val="20"/>
                <w:color w:val="auto"/>
              </w:rPr>
            </w:pPr>
            <w:r>
              <w:rPr>
                <w:rFonts w:ascii="Arial" w:cs="Arial" w:eastAsia="Arial" w:hAnsi="Arial"/>
                <w:sz w:val="17"/>
                <w:szCs w:val="17"/>
                <w:color w:val="auto"/>
              </w:rPr>
              <w:t>Advanced Sensor</w:t>
            </w:r>
          </w:p>
        </w:tc>
        <w:tc>
          <w:tcPr>
            <w:tcW w:w="1520" w:type="dxa"/>
            <w:vAlign w:val="bottom"/>
          </w:tcPr>
          <w:p>
            <w:pPr>
              <w:ind w:left="100"/>
              <w:spacing w:after="0"/>
              <w:rPr>
                <w:sz w:val="20"/>
                <w:szCs w:val="20"/>
                <w:color w:val="auto"/>
              </w:rPr>
            </w:pPr>
            <w:r>
              <w:rPr>
                <w:rFonts w:ascii="Arial" w:cs="Arial" w:eastAsia="Arial" w:hAnsi="Arial"/>
                <w:sz w:val="17"/>
                <w:szCs w:val="17"/>
                <w:color w:val="auto"/>
              </w:rPr>
              <w:t>53,045</w:t>
            </w:r>
          </w:p>
        </w:tc>
        <w:tc>
          <w:tcPr>
            <w:tcW w:w="2740" w:type="dxa"/>
            <w:vAlign w:val="bottom"/>
          </w:tcPr>
          <w:p>
            <w:pPr>
              <w:ind w:left="840"/>
              <w:spacing w:after="0"/>
              <w:rPr>
                <w:sz w:val="20"/>
                <w:szCs w:val="20"/>
                <w:color w:val="auto"/>
              </w:rPr>
            </w:pPr>
            <w:r>
              <w:rPr>
                <w:rFonts w:ascii="Arial" w:cs="Arial" w:eastAsia="Arial" w:hAnsi="Arial"/>
                <w:sz w:val="17"/>
                <w:szCs w:val="17"/>
                <w:color w:val="auto"/>
              </w:rPr>
              <w:t>Owned</w:t>
            </w:r>
          </w:p>
        </w:tc>
      </w:tr>
      <w:tr>
        <w:trPr>
          <w:trHeight w:val="200"/>
        </w:trPr>
        <w:tc>
          <w:tcPr>
            <w:tcW w:w="320" w:type="dxa"/>
            <w:vAlign w:val="bottom"/>
          </w:tcPr>
          <w:p>
            <w:pPr>
              <w:ind w:left="20"/>
              <w:spacing w:after="0"/>
              <w:rPr>
                <w:sz w:val="20"/>
                <w:szCs w:val="20"/>
                <w:color w:val="auto"/>
              </w:rPr>
            </w:pPr>
            <w:r>
              <w:rPr>
                <w:rFonts w:ascii="Arial" w:cs="Arial" w:eastAsia="Arial" w:hAnsi="Arial"/>
                <w:sz w:val="17"/>
                <w:szCs w:val="17"/>
                <w:color w:val="auto"/>
              </w:rPr>
              <w:t>FL</w:t>
            </w:r>
          </w:p>
        </w:tc>
        <w:tc>
          <w:tcPr>
            <w:tcW w:w="2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
        </w:trPr>
        <w:tc>
          <w:tcPr>
            <w:tcW w:w="250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29"/>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8"/>
              </w:rPr>
              <w:t>2345 Crystal Drive, Arlington, VA</w:t>
            </w:r>
          </w:p>
        </w:tc>
        <w:tc>
          <w:tcPr>
            <w:tcW w:w="2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Corporate</w:t>
            </w:r>
          </w:p>
        </w:tc>
        <w:tc>
          <w:tcPr>
            <w:tcW w:w="1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49,048</w:t>
            </w:r>
          </w:p>
        </w:tc>
        <w:tc>
          <w:tcPr>
            <w:tcW w:w="27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Leased</w:t>
            </w:r>
          </w:p>
        </w:tc>
      </w:tr>
      <w:tr>
        <w:trPr>
          <w:trHeight w:val="223"/>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13544 N Central Expressway,</w:t>
            </w:r>
          </w:p>
        </w:tc>
        <w:tc>
          <w:tcPr>
            <w:tcW w:w="2220" w:type="dxa"/>
            <w:vAlign w:val="bottom"/>
          </w:tcPr>
          <w:p>
            <w:pPr>
              <w:ind w:left="60"/>
              <w:spacing w:after="0"/>
              <w:rPr>
                <w:sz w:val="20"/>
                <w:szCs w:val="20"/>
                <w:color w:val="auto"/>
              </w:rPr>
            </w:pPr>
            <w:r>
              <w:rPr>
                <w:rFonts w:ascii="Arial" w:cs="Arial" w:eastAsia="Arial" w:hAnsi="Arial"/>
                <w:sz w:val="17"/>
                <w:szCs w:val="17"/>
                <w:color w:val="auto"/>
              </w:rPr>
              <w:t>Manufacturing, Engineering,</w:t>
            </w:r>
          </w:p>
        </w:tc>
        <w:tc>
          <w:tcPr>
            <w:tcW w:w="2260" w:type="dxa"/>
            <w:vAlign w:val="bottom"/>
          </w:tcPr>
          <w:p>
            <w:pPr>
              <w:ind w:left="100"/>
              <w:spacing w:after="0"/>
              <w:rPr>
                <w:sz w:val="20"/>
                <w:szCs w:val="20"/>
                <w:color w:val="auto"/>
              </w:rPr>
            </w:pPr>
            <w:r>
              <w:rPr>
                <w:rFonts w:ascii="Arial" w:cs="Arial" w:eastAsia="Arial" w:hAnsi="Arial"/>
                <w:sz w:val="17"/>
                <w:szCs w:val="17"/>
                <w:color w:val="auto"/>
              </w:rPr>
              <w:t>Advanced Sensor</w:t>
            </w:r>
          </w:p>
        </w:tc>
        <w:tc>
          <w:tcPr>
            <w:tcW w:w="1520" w:type="dxa"/>
            <w:vAlign w:val="bottom"/>
          </w:tcPr>
          <w:p>
            <w:pPr>
              <w:ind w:left="100"/>
              <w:spacing w:after="0"/>
              <w:rPr>
                <w:sz w:val="20"/>
                <w:szCs w:val="20"/>
                <w:color w:val="auto"/>
              </w:rPr>
            </w:pPr>
            <w:r>
              <w:rPr>
                <w:rFonts w:ascii="Arial" w:cs="Arial" w:eastAsia="Arial" w:hAnsi="Arial"/>
                <w:sz w:val="17"/>
                <w:szCs w:val="17"/>
                <w:color w:val="auto"/>
              </w:rPr>
              <w:t>48,374</w:t>
            </w:r>
          </w:p>
        </w:tc>
        <w:tc>
          <w:tcPr>
            <w:tcW w:w="2740" w:type="dxa"/>
            <w:vAlign w:val="bottom"/>
          </w:tcPr>
          <w:p>
            <w:pPr>
              <w:ind w:left="840"/>
              <w:spacing w:after="0"/>
              <w:rPr>
                <w:sz w:val="20"/>
                <w:szCs w:val="20"/>
                <w:color w:val="auto"/>
              </w:rPr>
            </w:pPr>
            <w:r>
              <w:rPr>
                <w:rFonts w:ascii="Arial" w:cs="Arial" w:eastAsia="Arial" w:hAnsi="Arial"/>
                <w:sz w:val="17"/>
                <w:szCs w:val="17"/>
                <w:color w:val="auto"/>
              </w:rPr>
              <w:t>Leased</w:t>
            </w:r>
          </w:p>
        </w:tc>
      </w:tr>
      <w:tr>
        <w:trPr>
          <w:trHeight w:val="200"/>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Dallas, TX</w:t>
            </w:r>
          </w:p>
        </w:tc>
        <w:tc>
          <w:tcPr>
            <w:tcW w:w="2220" w:type="dxa"/>
            <w:vAlign w:val="bottom"/>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
        </w:trPr>
        <w:tc>
          <w:tcPr>
            <w:tcW w:w="250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2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2601 Mission Point Blvd,</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Engineering, Office</w:t>
            </w: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Advanced Sensor</w:t>
            </w:r>
          </w:p>
        </w:tc>
        <w:tc>
          <w:tcPr>
            <w:tcW w:w="1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46,637</w:t>
            </w:r>
          </w:p>
        </w:tc>
        <w:tc>
          <w:tcPr>
            <w:tcW w:w="2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Leased</w:t>
            </w:r>
          </w:p>
        </w:tc>
      </w:tr>
      <w:tr>
        <w:trPr>
          <w:trHeight w:val="205"/>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Beavercreek, OH</w:t>
            </w:r>
          </w:p>
        </w:tc>
        <w:tc>
          <w:tcPr>
            <w:tcW w:w="222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r>
      <w:tr>
        <w:trPr>
          <w:trHeight w:val="173"/>
        </w:trPr>
        <w:tc>
          <w:tcPr>
            <w:tcW w:w="320" w:type="dxa"/>
            <w:vAlign w:val="bottom"/>
          </w:tcPr>
          <w:p>
            <w:pPr>
              <w:ind w:left="20"/>
              <w:spacing w:after="0" w:line="173" w:lineRule="exact"/>
              <w:rPr>
                <w:sz w:val="20"/>
                <w:szCs w:val="20"/>
                <w:color w:val="auto"/>
              </w:rPr>
            </w:pPr>
            <w:r>
              <w:rPr>
                <w:rFonts w:ascii="Arial" w:cs="Arial" w:eastAsia="Arial" w:hAnsi="Arial"/>
                <w:sz w:val="17"/>
                <w:szCs w:val="17"/>
                <w:color w:val="auto"/>
                <w:w w:val="98"/>
              </w:rPr>
              <w:t>150</w:t>
            </w:r>
          </w:p>
        </w:tc>
        <w:tc>
          <w:tcPr>
            <w:tcW w:w="2180" w:type="dxa"/>
            <w:vAlign w:val="bottom"/>
          </w:tcPr>
          <w:p>
            <w:pPr>
              <w:ind w:left="20"/>
              <w:spacing w:after="0" w:line="173" w:lineRule="exact"/>
              <w:rPr>
                <w:sz w:val="20"/>
                <w:szCs w:val="20"/>
                <w:color w:val="auto"/>
              </w:rPr>
            </w:pPr>
            <w:r>
              <w:rPr>
                <w:rFonts w:ascii="Arial" w:cs="Arial" w:eastAsia="Arial" w:hAnsi="Arial"/>
                <w:sz w:val="17"/>
                <w:szCs w:val="17"/>
                <w:color w:val="auto"/>
              </w:rPr>
              <w:t>Bluewater Road, Bedford,</w:t>
            </w:r>
          </w:p>
        </w:tc>
        <w:tc>
          <w:tcPr>
            <w:tcW w:w="2220" w:type="dxa"/>
            <w:vAlign w:val="bottom"/>
          </w:tcPr>
          <w:p>
            <w:pPr>
              <w:ind w:left="60"/>
              <w:spacing w:after="0" w:line="173" w:lineRule="exact"/>
              <w:rPr>
                <w:sz w:val="20"/>
                <w:szCs w:val="20"/>
                <w:color w:val="auto"/>
              </w:rPr>
            </w:pPr>
            <w:r>
              <w:rPr>
                <w:rFonts w:ascii="Arial" w:cs="Arial" w:eastAsia="Arial" w:hAnsi="Arial"/>
                <w:sz w:val="17"/>
                <w:szCs w:val="17"/>
                <w:color w:val="auto"/>
              </w:rPr>
              <w:t>Manufacturing, Engineering,</w:t>
            </w:r>
          </w:p>
        </w:tc>
        <w:tc>
          <w:tcPr>
            <w:tcW w:w="2260" w:type="dxa"/>
            <w:vAlign w:val="bottom"/>
          </w:tcPr>
          <w:p>
            <w:pPr>
              <w:ind w:left="100"/>
              <w:spacing w:after="0" w:line="173" w:lineRule="exact"/>
              <w:rPr>
                <w:sz w:val="20"/>
                <w:szCs w:val="20"/>
                <w:color w:val="auto"/>
              </w:rPr>
            </w:pPr>
            <w:r>
              <w:rPr>
                <w:rFonts w:ascii="Arial" w:cs="Arial" w:eastAsia="Arial" w:hAnsi="Arial"/>
                <w:sz w:val="17"/>
                <w:szCs w:val="17"/>
                <w:color w:val="auto"/>
              </w:rPr>
              <w:t>Network Computer &amp;</w:t>
            </w:r>
          </w:p>
        </w:tc>
        <w:tc>
          <w:tcPr>
            <w:tcW w:w="152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200"/>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NS, Canada</w:t>
            </w:r>
          </w:p>
        </w:tc>
        <w:tc>
          <w:tcPr>
            <w:tcW w:w="2220" w:type="dxa"/>
            <w:vAlign w:val="bottom"/>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tcPr>
          <w:p>
            <w:pPr>
              <w:ind w:left="100"/>
              <w:spacing w:after="0"/>
              <w:rPr>
                <w:sz w:val="20"/>
                <w:szCs w:val="20"/>
                <w:color w:val="auto"/>
              </w:rPr>
            </w:pPr>
            <w:r>
              <w:rPr>
                <w:rFonts w:ascii="Arial" w:cs="Arial" w:eastAsia="Arial" w:hAnsi="Arial"/>
                <w:sz w:val="17"/>
                <w:szCs w:val="17"/>
                <w:color w:val="auto"/>
              </w:rPr>
              <w:t>Communications</w:t>
            </w:r>
          </w:p>
        </w:tc>
        <w:tc>
          <w:tcPr>
            <w:tcW w:w="1520" w:type="dxa"/>
            <w:vAlign w:val="bottom"/>
          </w:tcPr>
          <w:p>
            <w:pPr>
              <w:ind w:left="100"/>
              <w:spacing w:after="0"/>
              <w:rPr>
                <w:sz w:val="20"/>
                <w:szCs w:val="20"/>
                <w:color w:val="auto"/>
              </w:rPr>
            </w:pPr>
            <w:r>
              <w:rPr>
                <w:rFonts w:ascii="Arial" w:cs="Arial" w:eastAsia="Arial" w:hAnsi="Arial"/>
                <w:sz w:val="17"/>
                <w:szCs w:val="17"/>
                <w:color w:val="auto"/>
              </w:rPr>
              <w:t>41,750</w:t>
            </w:r>
          </w:p>
        </w:tc>
        <w:tc>
          <w:tcPr>
            <w:tcW w:w="2740" w:type="dxa"/>
            <w:vAlign w:val="bottom"/>
          </w:tcPr>
          <w:p>
            <w:pPr>
              <w:ind w:left="840"/>
              <w:spacing w:after="0"/>
              <w:rPr>
                <w:sz w:val="20"/>
                <w:szCs w:val="20"/>
                <w:color w:val="auto"/>
              </w:rPr>
            </w:pPr>
            <w:r>
              <w:rPr>
                <w:rFonts w:ascii="Arial" w:cs="Arial" w:eastAsia="Arial" w:hAnsi="Arial"/>
                <w:sz w:val="17"/>
                <w:szCs w:val="17"/>
                <w:color w:val="auto"/>
              </w:rPr>
              <w:t>Owned</w:t>
            </w:r>
          </w:p>
        </w:tc>
      </w:tr>
      <w:tr>
        <w:trPr>
          <w:trHeight w:val="173"/>
        </w:trPr>
        <w:tc>
          <w:tcPr>
            <w:tcW w:w="250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7"/>
                <w:szCs w:val="17"/>
                <w:color w:val="auto"/>
              </w:rPr>
              <w:t>21345 Ridgetop Circle, Dulles,</w:t>
            </w:r>
          </w:p>
        </w:tc>
        <w:tc>
          <w:tcPr>
            <w:tcW w:w="2220" w:type="dxa"/>
            <w:vAlign w:val="bottom"/>
            <w:shd w:val="clear" w:color="auto" w:fill="CCEEFF"/>
          </w:tcPr>
          <w:p>
            <w:pPr>
              <w:spacing w:after="0"/>
              <w:rPr>
                <w:sz w:val="15"/>
                <w:szCs w:val="15"/>
                <w:color w:val="auto"/>
              </w:rPr>
            </w:pPr>
          </w:p>
        </w:tc>
        <w:tc>
          <w:tcPr>
            <w:tcW w:w="2260" w:type="dxa"/>
            <w:vAlign w:val="bottom"/>
            <w:shd w:val="clear" w:color="auto" w:fill="CCEEFF"/>
          </w:tcPr>
          <w:p>
            <w:pPr>
              <w:ind w:left="100"/>
              <w:spacing w:after="0" w:line="173" w:lineRule="exact"/>
              <w:rPr>
                <w:sz w:val="20"/>
                <w:szCs w:val="20"/>
                <w:color w:val="auto"/>
              </w:rPr>
            </w:pPr>
            <w:r>
              <w:rPr>
                <w:rFonts w:ascii="Arial" w:cs="Arial" w:eastAsia="Arial" w:hAnsi="Arial"/>
                <w:sz w:val="17"/>
                <w:szCs w:val="17"/>
                <w:color w:val="auto"/>
              </w:rPr>
              <w:t>Network Computer &amp;</w:t>
            </w:r>
          </w:p>
        </w:tc>
        <w:tc>
          <w:tcPr>
            <w:tcW w:w="152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r>
      <w:tr>
        <w:trPr>
          <w:trHeight w:val="200"/>
        </w:trPr>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w:t>
            </w:r>
          </w:p>
        </w:tc>
        <w:tc>
          <w:tcPr>
            <w:tcW w:w="2180" w:type="dxa"/>
            <w:vAlign w:val="bottom"/>
            <w:shd w:val="clear" w:color="auto" w:fill="CCEEFF"/>
          </w:tcPr>
          <w:p>
            <w:pPr>
              <w:spacing w:after="0"/>
              <w:rPr>
                <w:sz w:val="17"/>
                <w:szCs w:val="17"/>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Engineering, Office</w:t>
            </w: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Communications</w:t>
            </w:r>
          </w:p>
        </w:tc>
        <w:tc>
          <w:tcPr>
            <w:tcW w:w="1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40,412</w:t>
            </w:r>
          </w:p>
        </w:tc>
        <w:tc>
          <w:tcPr>
            <w:tcW w:w="2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Leased</w:t>
            </w:r>
          </w:p>
        </w:tc>
      </w:tr>
      <w:tr>
        <w:trPr>
          <w:trHeight w:val="173"/>
        </w:trPr>
        <w:tc>
          <w:tcPr>
            <w:tcW w:w="320" w:type="dxa"/>
            <w:vAlign w:val="bottom"/>
          </w:tcPr>
          <w:p>
            <w:pPr>
              <w:ind w:left="20"/>
              <w:spacing w:after="0" w:line="173" w:lineRule="exact"/>
              <w:rPr>
                <w:sz w:val="20"/>
                <w:szCs w:val="20"/>
                <w:color w:val="auto"/>
              </w:rPr>
            </w:pPr>
            <w:r>
              <w:rPr>
                <w:rFonts w:ascii="Arial" w:cs="Arial" w:eastAsia="Arial" w:hAnsi="Arial"/>
                <w:sz w:val="17"/>
                <w:szCs w:val="17"/>
                <w:color w:val="auto"/>
                <w:w w:val="98"/>
              </w:rPr>
              <w:t>825</w:t>
            </w:r>
          </w:p>
        </w:tc>
        <w:tc>
          <w:tcPr>
            <w:tcW w:w="2180" w:type="dxa"/>
            <w:vAlign w:val="bottom"/>
          </w:tcPr>
          <w:p>
            <w:pPr>
              <w:ind w:left="20"/>
              <w:spacing w:after="0" w:line="173" w:lineRule="exact"/>
              <w:rPr>
                <w:sz w:val="20"/>
                <w:szCs w:val="20"/>
                <w:color w:val="auto"/>
              </w:rPr>
            </w:pPr>
            <w:r>
              <w:rPr>
                <w:rFonts w:ascii="Arial" w:cs="Arial" w:eastAsia="Arial" w:hAnsi="Arial"/>
                <w:sz w:val="17"/>
                <w:szCs w:val="17"/>
                <w:color w:val="auto"/>
              </w:rPr>
              <w:t>Greenbrier Circle,</w:t>
            </w:r>
          </w:p>
        </w:tc>
        <w:tc>
          <w:tcPr>
            <w:tcW w:w="2220" w:type="dxa"/>
            <w:vAlign w:val="bottom"/>
          </w:tcPr>
          <w:p>
            <w:pPr>
              <w:ind w:left="60"/>
              <w:spacing w:after="0" w:line="173" w:lineRule="exact"/>
              <w:rPr>
                <w:sz w:val="20"/>
                <w:szCs w:val="20"/>
                <w:color w:val="auto"/>
              </w:rPr>
            </w:pPr>
            <w:r>
              <w:rPr>
                <w:rFonts w:ascii="Arial" w:cs="Arial" w:eastAsia="Arial" w:hAnsi="Arial"/>
                <w:sz w:val="17"/>
                <w:szCs w:val="17"/>
                <w:color w:val="auto"/>
              </w:rPr>
              <w:t>Manufacturing, Engineering,</w:t>
            </w:r>
          </w:p>
        </w:tc>
        <w:tc>
          <w:tcPr>
            <w:tcW w:w="2260" w:type="dxa"/>
            <w:vAlign w:val="bottom"/>
          </w:tcPr>
          <w:p>
            <w:pPr>
              <w:ind w:left="100"/>
              <w:spacing w:after="0" w:line="173" w:lineRule="exact"/>
              <w:rPr>
                <w:sz w:val="20"/>
                <w:szCs w:val="20"/>
                <w:color w:val="auto"/>
              </w:rPr>
            </w:pPr>
            <w:r>
              <w:rPr>
                <w:rFonts w:ascii="Arial" w:cs="Arial" w:eastAsia="Arial" w:hAnsi="Arial"/>
                <w:sz w:val="17"/>
                <w:szCs w:val="17"/>
                <w:color w:val="auto"/>
              </w:rPr>
              <w:t>Network Computer &amp;</w:t>
            </w:r>
          </w:p>
        </w:tc>
        <w:tc>
          <w:tcPr>
            <w:tcW w:w="1520" w:type="dxa"/>
            <w:vAlign w:val="bottom"/>
          </w:tcPr>
          <w:p>
            <w:pPr>
              <w:ind w:left="100"/>
              <w:spacing w:after="0" w:line="173" w:lineRule="exact"/>
              <w:rPr>
                <w:sz w:val="20"/>
                <w:szCs w:val="20"/>
                <w:color w:val="auto"/>
              </w:rPr>
            </w:pPr>
            <w:r>
              <w:rPr>
                <w:rFonts w:ascii="Arial" w:cs="Arial" w:eastAsia="Arial" w:hAnsi="Arial"/>
                <w:sz w:val="17"/>
                <w:szCs w:val="17"/>
                <w:color w:val="auto"/>
              </w:rPr>
              <w:t>34,299</w:t>
            </w:r>
          </w:p>
        </w:tc>
        <w:tc>
          <w:tcPr>
            <w:tcW w:w="2740" w:type="dxa"/>
            <w:vAlign w:val="bottom"/>
          </w:tcPr>
          <w:p>
            <w:pPr>
              <w:ind w:left="840"/>
              <w:spacing w:after="0" w:line="173" w:lineRule="exact"/>
              <w:rPr>
                <w:sz w:val="20"/>
                <w:szCs w:val="20"/>
                <w:color w:val="auto"/>
              </w:rPr>
            </w:pPr>
            <w:r>
              <w:rPr>
                <w:rFonts w:ascii="Arial" w:cs="Arial" w:eastAsia="Arial" w:hAnsi="Arial"/>
                <w:sz w:val="17"/>
                <w:szCs w:val="17"/>
                <w:color w:val="auto"/>
              </w:rPr>
              <w:t>Leased</w:t>
            </w:r>
          </w:p>
        </w:tc>
      </w:tr>
      <w:tr>
        <w:trPr>
          <w:trHeight w:val="200"/>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Chesapeake, VA</w:t>
            </w:r>
          </w:p>
        </w:tc>
        <w:tc>
          <w:tcPr>
            <w:tcW w:w="2220" w:type="dxa"/>
            <w:vAlign w:val="bottom"/>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tcPr>
          <w:p>
            <w:pPr>
              <w:ind w:left="100"/>
              <w:spacing w:after="0"/>
              <w:rPr>
                <w:sz w:val="20"/>
                <w:szCs w:val="20"/>
                <w:color w:val="auto"/>
              </w:rPr>
            </w:pPr>
            <w:r>
              <w:rPr>
                <w:rFonts w:ascii="Arial" w:cs="Arial" w:eastAsia="Arial" w:hAnsi="Arial"/>
                <w:sz w:val="17"/>
                <w:szCs w:val="17"/>
                <w:color w:val="auto"/>
              </w:rPr>
              <w:t>Communications</w:t>
            </w:r>
          </w:p>
        </w:tc>
        <w:tc>
          <w:tcPr>
            <w:tcW w:w="1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73"/>
        </w:trPr>
        <w:tc>
          <w:tcPr>
            <w:tcW w:w="32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w w:val="98"/>
              </w:rPr>
              <w:t>651</w:t>
            </w:r>
          </w:p>
        </w:tc>
        <w:tc>
          <w:tcPr>
            <w:tcW w:w="218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rPr>
              <w:t>Anchors Street, Ft. Walton</w:t>
            </w:r>
          </w:p>
        </w:tc>
        <w:tc>
          <w:tcPr>
            <w:tcW w:w="2220" w:type="dxa"/>
            <w:vAlign w:val="bottom"/>
            <w:shd w:val="clear" w:color="auto" w:fill="CCEEFF"/>
          </w:tcPr>
          <w:p>
            <w:pPr>
              <w:ind w:left="60"/>
              <w:spacing w:after="0" w:line="173" w:lineRule="exact"/>
              <w:rPr>
                <w:sz w:val="20"/>
                <w:szCs w:val="20"/>
                <w:color w:val="auto"/>
              </w:rPr>
            </w:pPr>
            <w:r>
              <w:rPr>
                <w:rFonts w:ascii="Arial" w:cs="Arial" w:eastAsia="Arial" w:hAnsi="Arial"/>
                <w:sz w:val="17"/>
                <w:szCs w:val="17"/>
                <w:color w:val="auto"/>
              </w:rPr>
              <w:t>Manufacturing, Engineering,</w:t>
            </w:r>
          </w:p>
        </w:tc>
        <w:tc>
          <w:tcPr>
            <w:tcW w:w="2260" w:type="dxa"/>
            <w:vAlign w:val="bottom"/>
            <w:shd w:val="clear" w:color="auto" w:fill="CCEEFF"/>
          </w:tcPr>
          <w:p>
            <w:pPr>
              <w:ind w:left="100"/>
              <w:spacing w:after="0" w:line="173" w:lineRule="exact"/>
              <w:rPr>
                <w:sz w:val="20"/>
                <w:szCs w:val="20"/>
                <w:color w:val="auto"/>
              </w:rPr>
            </w:pPr>
            <w:r>
              <w:rPr>
                <w:rFonts w:ascii="Arial" w:cs="Arial" w:eastAsia="Arial" w:hAnsi="Arial"/>
                <w:sz w:val="17"/>
                <w:szCs w:val="17"/>
                <w:color w:val="auto"/>
              </w:rPr>
              <w:t>Advanced Sensor</w:t>
            </w:r>
          </w:p>
        </w:tc>
        <w:tc>
          <w:tcPr>
            <w:tcW w:w="1520" w:type="dxa"/>
            <w:vAlign w:val="bottom"/>
            <w:shd w:val="clear" w:color="auto" w:fill="CCEEFF"/>
          </w:tcPr>
          <w:p>
            <w:pPr>
              <w:ind w:left="100"/>
              <w:spacing w:after="0" w:line="173" w:lineRule="exact"/>
              <w:rPr>
                <w:sz w:val="20"/>
                <w:szCs w:val="20"/>
                <w:color w:val="auto"/>
              </w:rPr>
            </w:pPr>
            <w:r>
              <w:rPr>
                <w:rFonts w:ascii="Arial" w:cs="Arial" w:eastAsia="Arial" w:hAnsi="Arial"/>
                <w:sz w:val="17"/>
                <w:szCs w:val="17"/>
                <w:color w:val="auto"/>
              </w:rPr>
              <w:t>32,107</w:t>
            </w:r>
          </w:p>
        </w:tc>
        <w:tc>
          <w:tcPr>
            <w:tcW w:w="2740" w:type="dxa"/>
            <w:vAlign w:val="bottom"/>
            <w:shd w:val="clear" w:color="auto" w:fill="CCEEFF"/>
          </w:tcPr>
          <w:p>
            <w:pPr>
              <w:ind w:left="840"/>
              <w:spacing w:after="0" w:line="173" w:lineRule="exact"/>
              <w:rPr>
                <w:sz w:val="20"/>
                <w:szCs w:val="20"/>
                <w:color w:val="auto"/>
              </w:rPr>
            </w:pPr>
            <w:r>
              <w:rPr>
                <w:rFonts w:ascii="Arial" w:cs="Arial" w:eastAsia="Arial" w:hAnsi="Arial"/>
                <w:sz w:val="17"/>
                <w:szCs w:val="17"/>
                <w:color w:val="auto"/>
              </w:rPr>
              <w:t>Owned</w:t>
            </w:r>
          </w:p>
        </w:tc>
      </w:tr>
      <w:tr>
        <w:trPr>
          <w:trHeight w:val="200"/>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Beach, FL</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r>
      <w:tr>
        <w:trPr>
          <w:trHeight w:val="173"/>
        </w:trPr>
        <w:tc>
          <w:tcPr>
            <w:tcW w:w="2500" w:type="dxa"/>
            <w:vAlign w:val="bottom"/>
            <w:gridSpan w:val="2"/>
          </w:tcPr>
          <w:p>
            <w:pPr>
              <w:ind w:left="20"/>
              <w:spacing w:after="0" w:line="173" w:lineRule="exact"/>
              <w:rPr>
                <w:sz w:val="20"/>
                <w:szCs w:val="20"/>
                <w:color w:val="auto"/>
              </w:rPr>
            </w:pPr>
            <w:r>
              <w:rPr>
                <w:rFonts w:ascii="Arial" w:cs="Arial" w:eastAsia="Arial" w:hAnsi="Arial"/>
                <w:sz w:val="17"/>
                <w:szCs w:val="17"/>
                <w:color w:val="auto"/>
              </w:rPr>
              <w:t>1057 South Sherman,</w:t>
            </w:r>
          </w:p>
        </w:tc>
        <w:tc>
          <w:tcPr>
            <w:tcW w:w="2220" w:type="dxa"/>
            <w:vAlign w:val="bottom"/>
          </w:tcPr>
          <w:p>
            <w:pPr>
              <w:ind w:left="60"/>
              <w:spacing w:after="0" w:line="173" w:lineRule="exact"/>
              <w:rPr>
                <w:sz w:val="20"/>
                <w:szCs w:val="20"/>
                <w:color w:val="auto"/>
              </w:rPr>
            </w:pPr>
            <w:r>
              <w:rPr>
                <w:rFonts w:ascii="Arial" w:cs="Arial" w:eastAsia="Arial" w:hAnsi="Arial"/>
                <w:sz w:val="17"/>
                <w:szCs w:val="17"/>
                <w:color w:val="auto"/>
              </w:rPr>
              <w:t>Engineering, Office</w:t>
            </w:r>
          </w:p>
        </w:tc>
        <w:tc>
          <w:tcPr>
            <w:tcW w:w="2260" w:type="dxa"/>
            <w:vAlign w:val="bottom"/>
          </w:tcPr>
          <w:p>
            <w:pPr>
              <w:ind w:left="100"/>
              <w:spacing w:after="0" w:line="173" w:lineRule="exact"/>
              <w:rPr>
                <w:sz w:val="20"/>
                <w:szCs w:val="20"/>
                <w:color w:val="auto"/>
              </w:rPr>
            </w:pPr>
            <w:r>
              <w:rPr>
                <w:rFonts w:ascii="Arial" w:cs="Arial" w:eastAsia="Arial" w:hAnsi="Arial"/>
                <w:sz w:val="17"/>
                <w:szCs w:val="17"/>
                <w:color w:val="auto"/>
              </w:rPr>
              <w:t>Advanced Sensor</w:t>
            </w:r>
          </w:p>
        </w:tc>
        <w:tc>
          <w:tcPr>
            <w:tcW w:w="1520" w:type="dxa"/>
            <w:vAlign w:val="bottom"/>
          </w:tcPr>
          <w:p>
            <w:pPr>
              <w:ind w:left="100"/>
              <w:spacing w:after="0" w:line="173" w:lineRule="exact"/>
              <w:rPr>
                <w:sz w:val="20"/>
                <w:szCs w:val="20"/>
                <w:color w:val="auto"/>
              </w:rPr>
            </w:pPr>
            <w:r>
              <w:rPr>
                <w:rFonts w:ascii="Arial" w:cs="Arial" w:eastAsia="Arial" w:hAnsi="Arial"/>
                <w:sz w:val="17"/>
                <w:szCs w:val="17"/>
                <w:color w:val="auto"/>
              </w:rPr>
              <w:t>26,696</w:t>
            </w:r>
          </w:p>
        </w:tc>
        <w:tc>
          <w:tcPr>
            <w:tcW w:w="2740" w:type="dxa"/>
            <w:vAlign w:val="bottom"/>
          </w:tcPr>
          <w:p>
            <w:pPr>
              <w:ind w:left="840"/>
              <w:spacing w:after="0" w:line="173" w:lineRule="exact"/>
              <w:rPr>
                <w:sz w:val="20"/>
                <w:szCs w:val="20"/>
                <w:color w:val="auto"/>
              </w:rPr>
            </w:pPr>
            <w:r>
              <w:rPr>
                <w:rFonts w:ascii="Arial" w:cs="Arial" w:eastAsia="Arial" w:hAnsi="Arial"/>
                <w:sz w:val="17"/>
                <w:szCs w:val="17"/>
                <w:color w:val="auto"/>
              </w:rPr>
              <w:t>Leased</w:t>
            </w:r>
          </w:p>
        </w:tc>
      </w:tr>
      <w:tr>
        <w:trPr>
          <w:trHeight w:val="200"/>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Richardson, TX</w:t>
            </w:r>
          </w:p>
        </w:tc>
        <w:tc>
          <w:tcPr>
            <w:tcW w:w="22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73"/>
        </w:trPr>
        <w:tc>
          <w:tcPr>
            <w:tcW w:w="32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w w:val="98"/>
              </w:rPr>
              <w:t>590</w:t>
            </w:r>
          </w:p>
        </w:tc>
        <w:tc>
          <w:tcPr>
            <w:tcW w:w="218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rPr>
              <w:t>Territorial Drive,</w:t>
            </w:r>
          </w:p>
        </w:tc>
        <w:tc>
          <w:tcPr>
            <w:tcW w:w="2220" w:type="dxa"/>
            <w:vAlign w:val="bottom"/>
            <w:shd w:val="clear" w:color="auto" w:fill="CCEEFF"/>
          </w:tcPr>
          <w:p>
            <w:pPr>
              <w:ind w:left="60"/>
              <w:spacing w:after="0" w:line="173" w:lineRule="exact"/>
              <w:rPr>
                <w:sz w:val="20"/>
                <w:szCs w:val="20"/>
                <w:color w:val="auto"/>
              </w:rPr>
            </w:pPr>
            <w:r>
              <w:rPr>
                <w:rFonts w:ascii="Arial" w:cs="Arial" w:eastAsia="Arial" w:hAnsi="Arial"/>
                <w:sz w:val="17"/>
                <w:szCs w:val="17"/>
                <w:color w:val="auto"/>
              </w:rPr>
              <w:t>Manufacturing, Engineering,</w:t>
            </w:r>
          </w:p>
        </w:tc>
        <w:tc>
          <w:tcPr>
            <w:tcW w:w="2260" w:type="dxa"/>
            <w:vAlign w:val="bottom"/>
            <w:shd w:val="clear" w:color="auto" w:fill="CCEEFF"/>
          </w:tcPr>
          <w:p>
            <w:pPr>
              <w:ind w:left="100"/>
              <w:spacing w:after="0" w:line="173" w:lineRule="exact"/>
              <w:rPr>
                <w:sz w:val="20"/>
                <w:szCs w:val="20"/>
                <w:color w:val="auto"/>
              </w:rPr>
            </w:pPr>
            <w:r>
              <w:rPr>
                <w:rFonts w:ascii="Arial" w:cs="Arial" w:eastAsia="Arial" w:hAnsi="Arial"/>
                <w:sz w:val="17"/>
                <w:szCs w:val="17"/>
                <w:color w:val="auto"/>
              </w:rPr>
              <w:t>Advanced Sensor</w:t>
            </w:r>
          </w:p>
        </w:tc>
        <w:tc>
          <w:tcPr>
            <w:tcW w:w="1520" w:type="dxa"/>
            <w:vAlign w:val="bottom"/>
            <w:shd w:val="clear" w:color="auto" w:fill="CCEEFF"/>
          </w:tcPr>
          <w:p>
            <w:pPr>
              <w:ind w:left="100"/>
              <w:spacing w:after="0" w:line="173" w:lineRule="exact"/>
              <w:rPr>
                <w:sz w:val="20"/>
                <w:szCs w:val="20"/>
                <w:color w:val="auto"/>
              </w:rPr>
            </w:pPr>
            <w:r>
              <w:rPr>
                <w:rFonts w:ascii="Arial" w:cs="Arial" w:eastAsia="Arial" w:hAnsi="Arial"/>
                <w:sz w:val="17"/>
                <w:szCs w:val="17"/>
                <w:color w:val="auto"/>
              </w:rPr>
              <w:t>26,460</w:t>
            </w:r>
          </w:p>
        </w:tc>
        <w:tc>
          <w:tcPr>
            <w:tcW w:w="2740" w:type="dxa"/>
            <w:vAlign w:val="bottom"/>
            <w:shd w:val="clear" w:color="auto" w:fill="CCEEFF"/>
          </w:tcPr>
          <w:p>
            <w:pPr>
              <w:ind w:left="840"/>
              <w:spacing w:after="0" w:line="173" w:lineRule="exact"/>
              <w:rPr>
                <w:sz w:val="20"/>
                <w:szCs w:val="20"/>
                <w:color w:val="auto"/>
              </w:rPr>
            </w:pPr>
            <w:r>
              <w:rPr>
                <w:rFonts w:ascii="Arial" w:cs="Arial" w:eastAsia="Arial" w:hAnsi="Arial"/>
                <w:sz w:val="17"/>
                <w:szCs w:val="17"/>
                <w:color w:val="auto"/>
              </w:rPr>
              <w:t>Leased</w:t>
            </w:r>
          </w:p>
        </w:tc>
      </w:tr>
      <w:tr>
        <w:trPr>
          <w:trHeight w:val="200"/>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Bolingbrook, IL</w:t>
            </w:r>
          </w:p>
        </w:tc>
        <w:tc>
          <w:tcPr>
            <w:tcW w:w="2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Office</w:t>
            </w: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r>
      <w:tr>
        <w:trPr>
          <w:trHeight w:val="173"/>
        </w:trPr>
        <w:tc>
          <w:tcPr>
            <w:tcW w:w="320" w:type="dxa"/>
            <w:vAlign w:val="bottom"/>
          </w:tcPr>
          <w:p>
            <w:pPr>
              <w:ind w:left="20"/>
              <w:spacing w:after="0" w:line="173" w:lineRule="exact"/>
              <w:rPr>
                <w:sz w:val="20"/>
                <w:szCs w:val="20"/>
                <w:color w:val="auto"/>
              </w:rPr>
            </w:pPr>
            <w:r>
              <w:rPr>
                <w:rFonts w:ascii="Arial" w:cs="Arial" w:eastAsia="Arial" w:hAnsi="Arial"/>
                <w:sz w:val="17"/>
                <w:szCs w:val="17"/>
                <w:color w:val="auto"/>
                <w:w w:val="98"/>
              </w:rPr>
              <w:t>166</w:t>
            </w:r>
          </w:p>
        </w:tc>
        <w:tc>
          <w:tcPr>
            <w:tcW w:w="2180" w:type="dxa"/>
            <w:vAlign w:val="bottom"/>
          </w:tcPr>
          <w:p>
            <w:pPr>
              <w:ind w:left="20"/>
              <w:spacing w:after="0" w:line="173" w:lineRule="exact"/>
              <w:rPr>
                <w:sz w:val="20"/>
                <w:szCs w:val="20"/>
                <w:color w:val="auto"/>
              </w:rPr>
            </w:pPr>
            <w:r>
              <w:rPr>
                <w:rFonts w:ascii="Arial" w:cs="Arial" w:eastAsia="Arial" w:hAnsi="Arial"/>
                <w:sz w:val="17"/>
                <w:szCs w:val="17"/>
                <w:color w:val="auto"/>
              </w:rPr>
              <w:t>Boulder Drive, Fitchburg,</w:t>
            </w:r>
          </w:p>
        </w:tc>
        <w:tc>
          <w:tcPr>
            <w:tcW w:w="2220" w:type="dxa"/>
            <w:vAlign w:val="bottom"/>
          </w:tcPr>
          <w:p>
            <w:pPr>
              <w:ind w:left="60"/>
              <w:spacing w:after="0" w:line="173" w:lineRule="exact"/>
              <w:rPr>
                <w:sz w:val="20"/>
                <w:szCs w:val="20"/>
                <w:color w:val="auto"/>
              </w:rPr>
            </w:pPr>
            <w:r>
              <w:rPr>
                <w:rFonts w:ascii="Arial" w:cs="Arial" w:eastAsia="Arial" w:hAnsi="Arial"/>
                <w:sz w:val="17"/>
                <w:szCs w:val="17"/>
                <w:color w:val="auto"/>
              </w:rPr>
              <w:t>Engineering, Office</w:t>
            </w:r>
          </w:p>
        </w:tc>
        <w:tc>
          <w:tcPr>
            <w:tcW w:w="2260" w:type="dxa"/>
            <w:vAlign w:val="bottom"/>
          </w:tcPr>
          <w:p>
            <w:pPr>
              <w:ind w:left="100"/>
              <w:spacing w:after="0" w:line="173" w:lineRule="exact"/>
              <w:rPr>
                <w:sz w:val="20"/>
                <w:szCs w:val="20"/>
                <w:color w:val="auto"/>
              </w:rPr>
            </w:pPr>
            <w:r>
              <w:rPr>
                <w:rFonts w:ascii="Arial" w:cs="Arial" w:eastAsia="Arial" w:hAnsi="Arial"/>
                <w:sz w:val="17"/>
                <w:szCs w:val="17"/>
                <w:color w:val="auto"/>
              </w:rPr>
              <w:t>Integrated Mission Systems</w:t>
            </w:r>
          </w:p>
        </w:tc>
        <w:tc>
          <w:tcPr>
            <w:tcW w:w="1520" w:type="dxa"/>
            <w:vAlign w:val="bottom"/>
          </w:tcPr>
          <w:p>
            <w:pPr>
              <w:ind w:left="100"/>
              <w:spacing w:after="0" w:line="173" w:lineRule="exact"/>
              <w:rPr>
                <w:sz w:val="20"/>
                <w:szCs w:val="20"/>
                <w:color w:val="auto"/>
              </w:rPr>
            </w:pPr>
            <w:r>
              <w:rPr>
                <w:rFonts w:ascii="Arial" w:cs="Arial" w:eastAsia="Arial" w:hAnsi="Arial"/>
                <w:sz w:val="17"/>
                <w:szCs w:val="17"/>
                <w:color w:val="auto"/>
              </w:rPr>
              <w:t>22,000</w:t>
            </w:r>
          </w:p>
        </w:tc>
        <w:tc>
          <w:tcPr>
            <w:tcW w:w="2740" w:type="dxa"/>
            <w:vAlign w:val="bottom"/>
          </w:tcPr>
          <w:p>
            <w:pPr>
              <w:ind w:left="840"/>
              <w:spacing w:after="0" w:line="173" w:lineRule="exact"/>
              <w:rPr>
                <w:sz w:val="20"/>
                <w:szCs w:val="20"/>
                <w:color w:val="auto"/>
              </w:rPr>
            </w:pPr>
            <w:r>
              <w:rPr>
                <w:rFonts w:ascii="Arial" w:cs="Arial" w:eastAsia="Arial" w:hAnsi="Arial"/>
                <w:sz w:val="17"/>
                <w:szCs w:val="17"/>
                <w:color w:val="auto"/>
              </w:rPr>
              <w:t>Leased</w:t>
            </w:r>
          </w:p>
        </w:tc>
      </w:tr>
      <w:tr>
        <w:trPr>
          <w:trHeight w:val="200"/>
        </w:trPr>
        <w:tc>
          <w:tcPr>
            <w:tcW w:w="320" w:type="dxa"/>
            <w:vAlign w:val="bottom"/>
          </w:tcPr>
          <w:p>
            <w:pPr>
              <w:ind w:left="20"/>
              <w:spacing w:after="0"/>
              <w:rPr>
                <w:sz w:val="20"/>
                <w:szCs w:val="20"/>
                <w:color w:val="auto"/>
              </w:rPr>
            </w:pPr>
            <w:r>
              <w:rPr>
                <w:rFonts w:ascii="Arial" w:cs="Arial" w:eastAsia="Arial" w:hAnsi="Arial"/>
                <w:sz w:val="17"/>
                <w:szCs w:val="17"/>
                <w:color w:val="auto"/>
              </w:rPr>
              <w:t>MA</w:t>
            </w:r>
          </w:p>
        </w:tc>
        <w:tc>
          <w:tcPr>
            <w:tcW w:w="2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73"/>
        </w:trPr>
        <w:tc>
          <w:tcPr>
            <w:tcW w:w="32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w w:val="98"/>
              </w:rPr>
              <w:t>640</w:t>
            </w:r>
          </w:p>
        </w:tc>
        <w:tc>
          <w:tcPr>
            <w:tcW w:w="218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rPr>
              <w:t>Lovejoy West, Ft. Walton</w:t>
            </w:r>
          </w:p>
        </w:tc>
        <w:tc>
          <w:tcPr>
            <w:tcW w:w="2220" w:type="dxa"/>
            <w:vAlign w:val="bottom"/>
            <w:shd w:val="clear" w:color="auto" w:fill="CCEEFF"/>
          </w:tcPr>
          <w:p>
            <w:pPr>
              <w:ind w:left="60"/>
              <w:spacing w:after="0" w:line="173" w:lineRule="exact"/>
              <w:rPr>
                <w:sz w:val="20"/>
                <w:szCs w:val="20"/>
                <w:color w:val="auto"/>
              </w:rPr>
            </w:pPr>
            <w:r>
              <w:rPr>
                <w:rFonts w:ascii="Arial" w:cs="Arial" w:eastAsia="Arial" w:hAnsi="Arial"/>
                <w:sz w:val="17"/>
                <w:szCs w:val="17"/>
                <w:color w:val="auto"/>
              </w:rPr>
              <w:t>Engineering, Office</w:t>
            </w:r>
          </w:p>
        </w:tc>
        <w:tc>
          <w:tcPr>
            <w:tcW w:w="2260" w:type="dxa"/>
            <w:vAlign w:val="bottom"/>
            <w:shd w:val="clear" w:color="auto" w:fill="CCEEFF"/>
          </w:tcPr>
          <w:p>
            <w:pPr>
              <w:ind w:left="100"/>
              <w:spacing w:after="0" w:line="173" w:lineRule="exact"/>
              <w:rPr>
                <w:sz w:val="20"/>
                <w:szCs w:val="20"/>
                <w:color w:val="auto"/>
              </w:rPr>
            </w:pPr>
            <w:r>
              <w:rPr>
                <w:rFonts w:ascii="Arial" w:cs="Arial" w:eastAsia="Arial" w:hAnsi="Arial"/>
                <w:sz w:val="17"/>
                <w:szCs w:val="17"/>
                <w:color w:val="auto"/>
              </w:rPr>
              <w:t>Advanced Sensor</w:t>
            </w:r>
          </w:p>
        </w:tc>
        <w:tc>
          <w:tcPr>
            <w:tcW w:w="1520" w:type="dxa"/>
            <w:vAlign w:val="bottom"/>
            <w:shd w:val="clear" w:color="auto" w:fill="CCEEFF"/>
          </w:tcPr>
          <w:p>
            <w:pPr>
              <w:ind w:left="100"/>
              <w:spacing w:after="0" w:line="173" w:lineRule="exact"/>
              <w:rPr>
                <w:sz w:val="20"/>
                <w:szCs w:val="20"/>
                <w:color w:val="auto"/>
              </w:rPr>
            </w:pPr>
            <w:r>
              <w:rPr>
                <w:rFonts w:ascii="Arial" w:cs="Arial" w:eastAsia="Arial" w:hAnsi="Arial"/>
                <w:sz w:val="17"/>
                <w:szCs w:val="17"/>
                <w:color w:val="auto"/>
              </w:rPr>
              <w:t>11,226</w:t>
            </w:r>
          </w:p>
        </w:tc>
        <w:tc>
          <w:tcPr>
            <w:tcW w:w="2740" w:type="dxa"/>
            <w:vAlign w:val="bottom"/>
            <w:shd w:val="clear" w:color="auto" w:fill="CCEEFF"/>
          </w:tcPr>
          <w:p>
            <w:pPr>
              <w:ind w:left="840"/>
              <w:spacing w:after="0" w:line="173" w:lineRule="exact"/>
              <w:rPr>
                <w:sz w:val="20"/>
                <w:szCs w:val="20"/>
                <w:color w:val="auto"/>
              </w:rPr>
            </w:pPr>
            <w:r>
              <w:rPr>
                <w:rFonts w:ascii="Arial" w:cs="Arial" w:eastAsia="Arial" w:hAnsi="Arial"/>
                <w:sz w:val="17"/>
                <w:szCs w:val="17"/>
                <w:color w:val="auto"/>
              </w:rPr>
              <w:t>Owned</w:t>
            </w:r>
          </w:p>
        </w:tc>
      </w:tr>
      <w:tr>
        <w:trPr>
          <w:trHeight w:val="200"/>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Beach, FL</w:t>
            </w:r>
          </w:p>
        </w:tc>
        <w:tc>
          <w:tcPr>
            <w:tcW w:w="2220" w:type="dxa"/>
            <w:vAlign w:val="bottom"/>
            <w:shd w:val="clear" w:color="auto" w:fill="CCEEFF"/>
          </w:tcPr>
          <w:p>
            <w:pPr>
              <w:spacing w:after="0"/>
              <w:rPr>
                <w:sz w:val="17"/>
                <w:szCs w:val="17"/>
                <w:color w:val="auto"/>
              </w:rPr>
            </w:pP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Technologies</w:t>
            </w:r>
          </w:p>
        </w:tc>
        <w:tc>
          <w:tcPr>
            <w:tcW w:w="15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73"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we believe that any amounts exceeding our recorded accruals should not materially adversely affect our financial condition or liquidity. It is possible, however, that the ultimate resolution of those matters could result in a material adverse effect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4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our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ind w:firstLine="299"/>
        <w:spacing w:after="0" w:line="262" w:lineRule="auto"/>
        <w:rPr>
          <w:sz w:val="20"/>
          <w:szCs w:val="20"/>
          <w:color w:val="auto"/>
        </w:rPr>
      </w:pPr>
      <w:r>
        <w:rPr>
          <w:rFonts w:ascii="Arial" w:cs="Arial" w:eastAsia="Arial" w:hAnsi="Arial"/>
          <w:sz w:val="16"/>
          <w:szCs w:val="16"/>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our subsidiary’s response to the RFI, the NPS directed it and another alleged former operator to perform an Engineering Evaluation and Cost Analysis (“EE/CA”) of a portion of the site. Our subsidiary made a good faith offer to conduct an alternative EE/CA work plan, but the NPS rejected this offer and opted to perform the EE/CA itself. The NPS previously posted its intention to open a formal public comment period regarding the EE/CA at the end of 2019. To our knowledge, the EE/CA has not been released and a public comment period has yet to be opened.</w:t>
      </w:r>
    </w:p>
    <w:p>
      <w:pPr>
        <w:spacing w:after="0" w:line="134"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We believe that we have legitimate defenses to our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173" w:lineRule="exact"/>
        <w:rPr>
          <w:sz w:val="20"/>
          <w:szCs w:val="20"/>
          <w:color w:val="auto"/>
        </w:rPr>
      </w:pPr>
    </w:p>
    <w:p>
      <w:pPr>
        <w:ind w:right="260" w:firstLine="299"/>
        <w:spacing w:after="0" w:line="250" w:lineRule="auto"/>
        <w:rPr>
          <w:sz w:val="20"/>
          <w:szCs w:val="20"/>
          <w:color w:val="auto"/>
        </w:rPr>
      </w:pPr>
      <w:r>
        <w:rPr>
          <w:rFonts w:ascii="Arial" w:cs="Arial" w:eastAsia="Arial" w:hAnsi="Arial"/>
          <w:sz w:val="17"/>
          <w:szCs w:val="17"/>
          <w:color w:val="auto"/>
        </w:rPr>
        <w:t>The following table sets forth certain information concerning our directors and executive officers. The respective age of each individual in the table below is as of February 26,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Age</w:t>
            </w:r>
          </w:p>
        </w:tc>
        <w:tc>
          <w:tcPr>
            <w:tcW w:w="100" w:type="dxa"/>
            <w:vAlign w:val="bottom"/>
            <w:tcBorders>
              <w:bottom w:val="single" w:sz="8" w:color="CCEEFF"/>
            </w:tcBorders>
          </w:tcPr>
          <w:p>
            <w:pPr>
              <w:spacing w:after="0"/>
              <w:rPr>
                <w:sz w:val="15"/>
                <w:szCs w:val="15"/>
                <w:color w:val="auto"/>
              </w:rPr>
            </w:pP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Position</w:t>
            </w:r>
          </w:p>
        </w:tc>
      </w:tr>
      <w:tr>
        <w:trPr>
          <w:trHeight w:val="226"/>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William J. Lynn III</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67</w:t>
            </w:r>
          </w:p>
        </w:tc>
        <w:tc>
          <w:tcPr>
            <w:tcW w:w="100" w:type="dxa"/>
            <w:vAlign w:val="bottom"/>
            <w:tcBorders>
              <w:bottom w:val="single" w:sz="8" w:color="CCEEFF"/>
            </w:tcBorders>
            <w:shd w:val="clear" w:color="auto" w:fill="CCEEFF"/>
          </w:tcPr>
          <w:p>
            <w:pPr>
              <w:spacing w:after="0"/>
              <w:rPr>
                <w:sz w:val="19"/>
                <w:szCs w:val="19"/>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Chief Executive Officer and Director</w:t>
            </w:r>
          </w:p>
        </w:tc>
      </w:tr>
      <w:tr>
        <w:trPr>
          <w:trHeight w:val="224"/>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David W. Carey*</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76</w:t>
            </w:r>
          </w:p>
        </w:tc>
        <w:tc>
          <w:tcPr>
            <w:tcW w:w="10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5"/>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29"/>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General George W. Casey, Jr. (Ret.)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72</w:t>
            </w:r>
          </w:p>
        </w:tc>
        <w:tc>
          <w:tcPr>
            <w:tcW w:w="100" w:type="dxa"/>
            <w:vAlign w:val="bottom"/>
            <w:tcBorders>
              <w:bottom w:val="single" w:sz="8" w:color="CCEEFF"/>
            </w:tcBorders>
            <w:shd w:val="clear" w:color="auto" w:fill="CCEEFF"/>
          </w:tcPr>
          <w:p>
            <w:pPr>
              <w:spacing w:after="0"/>
              <w:rPr>
                <w:sz w:val="19"/>
                <w:szCs w:val="19"/>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4"/>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Kenneth J. Krieg*</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60</w:t>
            </w:r>
          </w:p>
        </w:tc>
        <w:tc>
          <w:tcPr>
            <w:tcW w:w="10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5"/>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29"/>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Peter A. Marino*</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79</w:t>
            </w:r>
          </w:p>
        </w:tc>
        <w:tc>
          <w:tcPr>
            <w:tcW w:w="100" w:type="dxa"/>
            <w:vAlign w:val="bottom"/>
            <w:tcBorders>
              <w:bottom w:val="single" w:sz="8" w:color="CCEEFF"/>
            </w:tcBorders>
            <w:shd w:val="clear" w:color="auto" w:fill="CCEEFF"/>
          </w:tcPr>
          <w:p>
            <w:pPr>
              <w:spacing w:after="0"/>
              <w:rPr>
                <w:sz w:val="19"/>
                <w:szCs w:val="19"/>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4"/>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Philip A. Odeen*</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85</w:t>
            </w:r>
          </w:p>
        </w:tc>
        <w:tc>
          <w:tcPr>
            <w:tcW w:w="10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5"/>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29"/>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Frances F. Townsend*</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tcBorders>
              <w:bottom w:val="single" w:sz="8" w:color="CCEEFF"/>
            </w:tcBorders>
            <w:shd w:val="clear" w:color="auto" w:fill="CCEEFF"/>
          </w:tcPr>
          <w:p>
            <w:pPr>
              <w:spacing w:after="0"/>
              <w:rPr>
                <w:sz w:val="19"/>
                <w:szCs w:val="19"/>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4"/>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John A. Baylouny</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Executive Vice President, Chief Operating Officer</w:t>
            </w:r>
          </w:p>
        </w:tc>
      </w:tr>
      <w:tr>
        <w:trPr>
          <w:trHeight w:val="25"/>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29"/>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Michael D. Dippold</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40</w:t>
            </w:r>
          </w:p>
        </w:tc>
        <w:tc>
          <w:tcPr>
            <w:tcW w:w="100" w:type="dxa"/>
            <w:vAlign w:val="bottom"/>
            <w:tcBorders>
              <w:bottom w:val="single" w:sz="8" w:color="CCEEFF"/>
            </w:tcBorders>
            <w:shd w:val="clear" w:color="auto" w:fill="CCEEFF"/>
          </w:tcPr>
          <w:p>
            <w:pPr>
              <w:spacing w:after="0"/>
              <w:rPr>
                <w:sz w:val="19"/>
                <w:szCs w:val="19"/>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Executive Vice President, Chief Financial Officer</w:t>
            </w:r>
          </w:p>
        </w:tc>
      </w:tr>
      <w:tr>
        <w:trPr>
          <w:trHeight w:val="212"/>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Mark A. Dorfman</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1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Executive Vice President, General Counsel &amp; Secretary</w:t>
            </w:r>
          </w:p>
        </w:tc>
      </w:tr>
      <w:tr>
        <w:trPr>
          <w:trHeight w:val="212"/>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Sally A. Wallace</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c>
          <w:tcPr>
            <w:tcW w:w="100" w:type="dxa"/>
            <w:vAlign w:val="bottom"/>
            <w:shd w:val="clear" w:color="auto" w:fill="CCEEFF"/>
          </w:tcPr>
          <w:p>
            <w:pPr>
              <w:spacing w:after="0"/>
              <w:rPr>
                <w:sz w:val="18"/>
                <w:szCs w:val="18"/>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Vice President, Business Operations</w:t>
            </w:r>
          </w:p>
        </w:tc>
      </w:tr>
      <w:tr>
        <w:trPr>
          <w:trHeight w:val="176"/>
        </w:trPr>
        <w:tc>
          <w:tcPr>
            <w:tcW w:w="4420" w:type="dxa"/>
            <w:vAlign w:val="bottom"/>
          </w:tcPr>
          <w:p>
            <w:pPr>
              <w:spacing w:after="0"/>
              <w:rPr>
                <w:sz w:val="20"/>
                <w:szCs w:val="20"/>
                <w:color w:val="auto"/>
              </w:rPr>
            </w:pPr>
            <w:r>
              <w:rPr>
                <w:rFonts w:ascii="Arial" w:cs="Arial" w:eastAsia="Arial" w:hAnsi="Arial"/>
                <w:sz w:val="15"/>
                <w:szCs w:val="15"/>
                <w:color w:val="auto"/>
              </w:rPr>
              <w:t>________________</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20" w:type="dxa"/>
            <w:vAlign w:val="bottom"/>
          </w:tcPr>
          <w:p>
            <w:pPr>
              <w:spacing w:after="0"/>
              <w:rPr>
                <w:sz w:val="15"/>
                <w:szCs w:val="15"/>
                <w:color w:val="auto"/>
              </w:rPr>
            </w:pPr>
          </w:p>
        </w:tc>
      </w:tr>
    </w:tbl>
    <w:p>
      <w:pPr>
        <w:ind w:left="300" w:hanging="300"/>
        <w:spacing w:after="0"/>
        <w:tabs>
          <w:tab w:leader="none" w:pos="3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Proxy holder. See “Certain Relationships and Related-Party Transactions—Relationship with Leonardo S.p.A. Following this Offering—Proxy Agreement.”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William J. Lynn III</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Mr. Lynn has been a director since 2012 and has been our Chief Executive Officer since January 2012. Prior to joining DRS in January 2012, Mr. Lynn served as the 30th United States Deputy Secretary of Defense from 2009 to 2011. From 2002 to 2009, Mr. Lynn was Senior Vice President of Government Operations and Strategy at the Raytheon Company. In this position, he directed strategic planning, oversaw merger and acquisition activities and supervised government relations. Previously, he served as the Chief Financial Officer and Under Secretary of Defense (Comptroller) from 1997 to 2001. From 1993 to 1997, he led strategic planning for DoD as Director of Program Analysis and Evaluation. Mr. Lynn worked for Senator Ted Kennedy as counsel to the Senate Armed Services Committee from 1987 to 1993.</w:t>
      </w:r>
    </w:p>
    <w:p>
      <w:pPr>
        <w:spacing w:after="0" w:line="147" w:lineRule="exact"/>
        <w:rPr>
          <w:sz w:val="20"/>
          <w:szCs w:val="20"/>
          <w:color w:val="auto"/>
        </w:rPr>
      </w:pPr>
    </w:p>
    <w:p>
      <w:pPr>
        <w:ind w:right="200" w:firstLine="299"/>
        <w:spacing w:after="0" w:line="245" w:lineRule="auto"/>
        <w:rPr>
          <w:sz w:val="20"/>
          <w:szCs w:val="20"/>
          <w:color w:val="auto"/>
        </w:rPr>
      </w:pPr>
      <w:r>
        <w:rPr>
          <w:rFonts w:ascii="Arial" w:cs="Arial" w:eastAsia="Arial" w:hAnsi="Arial"/>
          <w:sz w:val="17"/>
          <w:szCs w:val="17"/>
          <w:color w:val="auto"/>
        </w:rPr>
        <w:t>Mr. Lynn is a member of the boards of Accenture Federal Systems, the United Service Organizations, the Atlantic Council, the Marshall Legacy Institute and the Center for a New American Security. He has been recognized for numerous professional and service contributions, including four DoD Distinguished Public Service medals and the Distinguished Civilian Service Award from the Chairman of the Joint Chiefs of Staff. A graduate of Dartmouth College, Mr. Lynn holds a law degree from Cornell Law School and a master’s degree from the Princeton School of Public and International Affairs. Mr. Lynn brings to the board his extensive experience in national security, both in government and in industry.</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David W. Carey</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Mr. Carey has been a director since 2009, and a member of our Audit Committee since 2012. Since 2008, Mr. Carey has operated a consulting practice providing business development and strategic advice to U.S. and foreign firms engaged in defense and intelligence electronics. From 2005 to 2008, he was an Executive Director with Blackbird Technologies Inc., and from 2001 to 2005 served as Vice President, Information Assurance for Oracle Corporation where he built and directed Oracle’s Information Assurance Center. Prior to 2001, Mr. Carey held several senior positions during a 32-year career at the Central Intelligence Agency including serving as Executive Director. In this capacity, he oversaw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Agency’s strategic planning, budgetary, procurement, financial, logistics and research and development activities as well as day-to-day operations.</w:t>
      </w:r>
    </w:p>
    <w:p>
      <w:pPr>
        <w:spacing w:after="0" w:line="153" w:lineRule="exact"/>
        <w:rPr>
          <w:sz w:val="20"/>
          <w:szCs w:val="20"/>
          <w:color w:val="auto"/>
        </w:rPr>
      </w:pPr>
    </w:p>
    <w:p>
      <w:pPr>
        <w:ind w:right="100" w:firstLine="299"/>
        <w:spacing w:after="0" w:line="264" w:lineRule="auto"/>
        <w:rPr>
          <w:sz w:val="20"/>
          <w:szCs w:val="20"/>
          <w:color w:val="auto"/>
        </w:rPr>
      </w:pPr>
      <w:r>
        <w:rPr>
          <w:rFonts w:ascii="Arial" w:cs="Arial" w:eastAsia="Arial" w:hAnsi="Arial"/>
          <w:sz w:val="16"/>
          <w:szCs w:val="16"/>
          <w:color w:val="auto"/>
        </w:rPr>
        <w:t>In addition to serving on the board of DRS, Mr. Carey serves on the boards of OnPoint Consulting, Inc., Informatica Federal Operations Corp., and the CIA Officers Memorial Foundation Board. He previously served on the boards of ImageWare Systems, Inc. from 2006 to 2020 and Qinetiq North America from 2014 to 2019, and on the advisory board of Recorded Future Inc. from 2011 to 2019. Mr. Carey is a graduate of Cornell University and the University of Delaware. We consider Mr. Carey’s experience in key operational and leadership positions dealing with critical national security threats and challenges as a significant asset to our board. Mr. Carey is a proxy holder and was appointed to our board in accordance with the proxy agreement.</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General George W. Casey, Jr. (Ret.)</w:t>
      </w:r>
    </w:p>
    <w:p>
      <w:pPr>
        <w:spacing w:after="0" w:line="173"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Gen. Casey has been a director since 2020. Gen. Casey is a published author, and currently serves as a Distinguished Senior Lecturer of Leadership at the SC Johnson College of Business, Cornell University, and as the Rice Family Professor of Practice at the Korbel School, University of Denver. He has lectured on leadership internationally at business schools and to numerous organizations, including Coca-Cola, Caterpillar, the National Australian Bank, Amazon, TDAmeritrade, Pentagon Federal Credit Union and General Electric. Before joining DRS, Gen. Casey served 41-years in the U.S. Army including from 2007 to 2011 as the 36th Chief of Staff of the U.S. Army where he led arguably the world’s largest and most complex organization with over 1.1 million personnel and an annual budget of over $200 billion. From 2004 to 2007 he commanded the Multi-National Force – Iraq, a coalition of more than 30 countries, and in that role worked to build-up Iraqi security institutions while battling an insurgency and sectarian violence.</w:t>
      </w:r>
    </w:p>
    <w:p>
      <w:pPr>
        <w:spacing w:after="0" w:line="132"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Gen. Casey also serves as the Chairman of the Board of Governors of the United Service Organizations, and as a director of Colt Holding Company, LLC. In addition, he serves as a member of the board of advisors for Streetshares, RallyPoint, Techwerks and Sarcos. Gen. Casey holds a master’s degree in international relations from Denver University. Gen. Casey brings to the board a deep knowledge of the military and a demonstrated history of leadership in the armed forces, academia, the non-profit sector and industry.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Kenneth J. Krieg</w:t>
      </w:r>
    </w:p>
    <w:p>
      <w:pPr>
        <w:spacing w:after="0" w:line="173" w:lineRule="exact"/>
        <w:rPr>
          <w:sz w:val="20"/>
          <w:szCs w:val="20"/>
          <w:color w:val="auto"/>
        </w:rPr>
      </w:pPr>
    </w:p>
    <w:p>
      <w:pPr>
        <w:ind w:right="80" w:firstLine="299"/>
        <w:spacing w:after="0" w:line="263" w:lineRule="auto"/>
        <w:rPr>
          <w:sz w:val="20"/>
          <w:szCs w:val="20"/>
          <w:color w:val="auto"/>
        </w:rPr>
      </w:pPr>
      <w:r>
        <w:rPr>
          <w:rFonts w:ascii="Arial" w:cs="Arial" w:eastAsia="Arial" w:hAnsi="Arial"/>
          <w:sz w:val="16"/>
          <w:szCs w:val="16"/>
          <w:color w:val="auto"/>
        </w:rPr>
        <w:t>Mr. Krieg has been a director since 2008. Mr. Krieg serves as the head of Samford Global Strategies, an advisory and consulting practice which he founded in 2007. Since 2010, Mr. Krieg has also held the position of Executive in Residence with Renaissance Strategic Advisors, one of the leading consultancies supporting premier firms in the aerospace, defense, space, intelligence and government services industry. From 2001 to 2007, Mr. Krieg served in several positions within the DoD, including as the Undersecretary of Defense for Acquisition, Technology and Logistics from 2005 to 2007 where he had overall responsibility for the DoD’s procurement, research and development programs. Prior to joining the DoD, he spent 11 years working for the International Paper Company, most recently as Vice President and General Manager of the Office and Consumer Papers Division.</w:t>
      </w:r>
    </w:p>
    <w:p>
      <w:pPr>
        <w:spacing w:after="0" w:line="134" w:lineRule="exact"/>
        <w:rPr>
          <w:sz w:val="20"/>
          <w:szCs w:val="20"/>
          <w:color w:val="auto"/>
        </w:rPr>
      </w:pPr>
    </w:p>
    <w:p>
      <w:pPr>
        <w:ind w:right="60" w:firstLine="299"/>
        <w:spacing w:after="0" w:line="263" w:lineRule="auto"/>
        <w:rPr>
          <w:sz w:val="20"/>
          <w:szCs w:val="20"/>
          <w:color w:val="auto"/>
        </w:rPr>
      </w:pPr>
      <w:r>
        <w:rPr>
          <w:rFonts w:ascii="Arial" w:cs="Arial" w:eastAsia="Arial" w:hAnsi="Arial"/>
          <w:sz w:val="16"/>
          <w:szCs w:val="16"/>
          <w:color w:val="auto"/>
        </w:rPr>
        <w:t>Mr. Krieg currently serves as chair of the board of Logistics Management Institute, and is a director with BWX Technologies, Inc. He has previously served on the boards of Tempus Applied Solutions Holdings, Inc. (2014 to 2016) and API Technologies Corp. (2011 to 2016). Mr. Krieg has a bachelor of arts degree in history from Davidson College and a master’s degree in public policy from the Kennedy School of Government at Harvard University. Mr. Krieg has significant experience overseeing major research, development and procurement programs for the DoD. His background provides our board with valuable insight into acquisition priorities and considerations of the U.S. government and he has significant experience in FOCI mitigation and public company governance. Mr. Krieg is a proxy holder and was appointed to our board in accordance with the proxy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Peter A. Marino</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Mr. Marino has been a director, chair of our Government Security Committee and member of our Audit Committee since 2012. Since 1999, Mr. Marino has operated a sole proprietorship as a private consultant for government and industry on defense and intelligence issues. His clients have included the DoD, Department of Homeland Security, CIA, the Director of National Intelligence and both small and large defense and aerospace companies. From 1996 to 1999, he was CEO and President of Firearms Training Systems, from 1991 to 1996 was Senior VP E-Systems, Inc., from 1988 to 1991 was President and Chief Operating Officer of Fairchild Industries, Inc., and from 1986 to 1988 was President and Chief Operating Office of Lockheed Electronics. Prior to that, Mr. Marino served in several positions with the CIA from technical officer and manager responsible for the design of electronic, mechanical and communications equipment, to senior executive official with responsibility for the support of worldwide technical operations of people and equipment for the Directorate of Operations.</w:t>
      </w:r>
    </w:p>
    <w:p>
      <w:pPr>
        <w:spacing w:after="0" w:line="146"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Mr. Marino currently serves on the boards of QTS Realty Trust, Inc., System &amp; Technology Research, Inmarsat US and RADA Electronic Industries Ltd., as well as several government and non-profit advisory boards. He previously served on the board of Engility Corporation from 2015 to 2018. Mr. Marino has a bachelor of science degree in physics from Rollins College, and a master’s degree from Pennsylvania State University. He also currently serves as a Senior Executive Fellow at Harvard University. Mr. Marino’s broad experience in leadership roles in the defense industry and intelligence community help him bring a valuable perspective to our board. Mr. Marino is a proxy holder and was appointed to our board in accordance with the proxy agreement.</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Philip A. Odeen</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Mr. Odeen has been a director since 2012. Prior to joining DRS, Mr. Odeen served as a director for numerous public companies including Booz Allen Hamilton, from 2008 to 2019, ASC Signal Corporation, from 2009 to 2015, AES Corporation from 2003 to 2013, and Northrop Grumman from 2003 to 2008. From 2005 to 2006, Mr. Odeen served as CEO of Qinetic North America, and from 2004 to 2005 was Chairman and CEO of Reynolds &amp; Reynolds, a provider of software and management services to automotive retailers. Mr. Odeen also held several positions from 1997 to 2002 with TRW Inc. including serving as Chairman and CEO. Mr. Odeen previously served as a senior official with the Office of the Secretary of Defense and the National Security Council. He is a former member of the Defense Science Board, the Defense Business Board and the Chief of Naval Operations Executive Panel.</w:t>
      </w:r>
    </w:p>
    <w:p>
      <w:pPr>
        <w:spacing w:after="0" w:line="146"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In addition to serving on the board of DRS, Mr. Odeen currently serves as a director with Globant, an international information technology and software development company. Mr. Odeen received a bachelor of arts degree in government from the University of South Dakota, is a Fulbright scholar, and earned a master’s degree from the University of Wisconsin. Mr. Odeen provides invaluable guidance to our board from his decades of experience in leadership positions across industry and government. Mr. Odeen is a proxy holder and was appointed to our board in accordance with the proxy agreement.</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Frances F. Townsend</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Ms. Townsend has been a director and chair of our Compensation Committee since 2009. Presently, she is working as the EVP of Corporate Affairs, Corporate Secretary and Chief Compliance Officer at Activision Blizzard. From 2010-2020, Ms. Townsend worked at MacAndrews &amp; Forbes Inc. and concluded her tenure there as Vice Chairman, General Counsel and Chief Administrative Officer. Before that she was Executive Vice President for Worldwide Government, Legal and Business Affairs working across MacAndrew’s portfolio companies focusing on international, legal, compliance and business development issues. Since 2016, Ms. Townsend has also been an on-air senior national security analyst for CBS News. From April 2009 to October 2010, Ms. Townsend was a corporate partner with the law firm of Baker Botts, LLP. Prior to that, Ms. Townsend served as Assistant to President George W. Bush for Homeland Security and Counterterrorism and chaired the Homeland Security Council from 2004 to 2008. She also served as Deputy National Security Advisor for Combatting Terrorism from May 2003 to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43"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color w:val="auto"/>
        </w:rPr>
        <w:t>2004. Ms. Townsend also spent 13 years at the U.S. Department of Justice under the administrations of President George H. W. Bush, President Bill Clinton and President George W. Bush.</w:t>
      </w:r>
    </w:p>
    <w:p>
      <w:pPr>
        <w:spacing w:after="0" w:line="140"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Ms. Townsend currently serves as a director with Chubb Limited, and Freeport-McMoRan Inc. She previously served on the boards of SciPlay Corporation (2019 to 2020), Scientific Games Corporation (2010 to 2020), and Western Union (2013 to 2020). Ms. Townsend serves on several non-profit boards including the Council on Foreign Relations, the Atlantic Council, the Center for Strategic and International Studies, the McCain Institute and the New York City Police Foundation. Ms. Townsend received a bachelor of arts degree in political science and a bachelor of science degree in psychology from American University. She also received a juris doctor degree from the University of San Diego School of Law. Ms. Townsend brings to our board a deep understanding of national security issues and broad experience providing strategic advice in law, business and government. Ms. Townsend is a proxy holder and was appointed to our board in accordance with the proxy agreement.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current executive officers (other than our chief executive officer, whose biography is included above in the directors information) are as follows: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John A. Baylouny</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Mr. Baylouny has been our Executive Vice President and Chief Operating Officer since October 2018. In that role, Mr. Baylouny is responsible for overseeing the business operations and technical strategy of the Company. He is also currently the chairman of the AAC joint venture management committee. Prior to assuming the position of Chief Operating Officer, Mr. Baylouny served as our Chief Technology Officer from January 2017 to October 2018. Prior to that, Mr. Baylouny served as Vice President and General Manager of the Company’s Land Systems and Advanced ISR businesses from January 2014 to January 2017, among other leadership roles. Mr. Baylouny has more than 30 years of experience in the aerospace and defense industry with diverse experience in operational responsibility, general management, technology, product and system design and development, and program management.</w:t>
      </w:r>
    </w:p>
    <w:p>
      <w:pPr>
        <w:spacing w:after="0" w:line="146" w:lineRule="exact"/>
        <w:rPr>
          <w:sz w:val="20"/>
          <w:szCs w:val="20"/>
          <w:color w:val="auto"/>
        </w:rPr>
      </w:pPr>
    </w:p>
    <w:p>
      <w:pPr>
        <w:ind w:right="380" w:firstLine="299"/>
        <w:spacing w:after="0" w:line="250" w:lineRule="auto"/>
        <w:rPr>
          <w:sz w:val="20"/>
          <w:szCs w:val="20"/>
          <w:color w:val="auto"/>
        </w:rPr>
      </w:pPr>
      <w:r>
        <w:rPr>
          <w:rFonts w:ascii="Arial" w:cs="Arial" w:eastAsia="Arial" w:hAnsi="Arial"/>
          <w:sz w:val="17"/>
          <w:szCs w:val="17"/>
          <w:color w:val="auto"/>
        </w:rPr>
        <w:t>Mr. Baylouny has a master’s degree in electrical engineering from Stevens Institute of Technology, and a bachelor of science degree in electrical engineering from Fairleigh Dickinson University.</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Michael D. Dippold</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Michael Dippold has been our Executive Vice President and Chief Financial Officer since January 2017. As the Chief Financial Officer, Mr. Dippold is responsible for overseeing our financial activities and operations, controllership, treasury functions, and economic and business-related strategies. In addition, he is currently treasurer of AAC. Throughout his fifteen years at DRS, Mr. Dippold has held a variety of roles of increasing responsibility. Prior to assuming the position of CFO, Mr. Dippold served as Senior Vice President, Corporate Controller from December 2015 to January 2017, and Vice President, Assistant Controller from December 2010 to December 2015. Prior to joining DRS in 2006, Mr. Dippold spent three years at KPMG where he worked primarily on defense industry client accounts, including DRS.</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Mr. Dippold received a bachelor of science degree in accounting from Pennsylvania State University.</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Mark A. Dorfman</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Mr. Dorfman has been our Executive Vice President, General Counsel and Secretary since February 2011. Mr. Dorfman is responsible for providing advice and counsel to the Company’s board of directors and executive leadership of the Company on legal and business matters. As the Company’s chief legal officer, Mr. Dorfman oversees the Company's legal and regulatory affairs, including transactions, litigation, corporate governance, internal audit, contracts, insurance, intellectual property protection, and ethics and compliance programs (including environmental health and safety, international trade, and industrial and cyber security). Mr. Dorfman joined the Company in 2005 as corporate counsel and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43"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promoted multiple times between 2006 and 2011 to his current executive leadership position. Prior to assuming the position of Executive Vice President, General Counsel and Secretary, Mr. Dorfman served as Senior Vice President, General Counsel and Secretary from December 2009 to February 2011; Vice President, Corporate Counsel from March 2006 to December 2009; and Corporate Counsel from September 2005 to March 2006.</w:t>
      </w:r>
    </w:p>
    <w:p>
      <w:pPr>
        <w:spacing w:after="0" w:line="126" w:lineRule="exact"/>
        <w:rPr>
          <w:sz w:val="20"/>
          <w:szCs w:val="20"/>
          <w:color w:val="auto"/>
        </w:rPr>
      </w:pPr>
    </w:p>
    <w:p>
      <w:pPr>
        <w:jc w:val="both"/>
        <w:ind w:right="60" w:firstLine="299"/>
        <w:spacing w:after="0" w:line="246" w:lineRule="auto"/>
        <w:rPr>
          <w:sz w:val="20"/>
          <w:szCs w:val="20"/>
          <w:color w:val="auto"/>
        </w:rPr>
      </w:pPr>
      <w:r>
        <w:rPr>
          <w:rFonts w:ascii="Arial" w:cs="Arial" w:eastAsia="Arial" w:hAnsi="Arial"/>
          <w:sz w:val="17"/>
          <w:szCs w:val="17"/>
          <w:color w:val="auto"/>
        </w:rPr>
        <w:t>Prior to joining DRS, from 1999 to 2005, Mr. Dorfman was a corporate attorney first at Chadbourne &amp; Parke and then Lowenstein Sandler PC, where his practice included representation of corporate and other clients in connection with mergers and acquisitions, divestitures, public and private securities offerings, joint ventures and other complex transactions and providing advice and counsel on a variety of matters, including securities law and corporate governance.</w:t>
      </w:r>
    </w:p>
    <w:p>
      <w:pPr>
        <w:spacing w:after="0" w:line="144"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Mr. Dorfman holds a bachelor of arts degree in political science from Emory University and a juris doctor degree from New York University School of Law.</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Sally A. Wallace</w:t>
      </w:r>
    </w:p>
    <w:p>
      <w:pPr>
        <w:spacing w:after="0" w:line="173" w:lineRule="exact"/>
        <w:rPr>
          <w:sz w:val="20"/>
          <w:szCs w:val="20"/>
          <w:color w:val="auto"/>
        </w:rPr>
      </w:pPr>
    </w:p>
    <w:p>
      <w:pPr>
        <w:ind w:firstLine="299"/>
        <w:spacing w:after="0" w:line="264" w:lineRule="auto"/>
        <w:rPr>
          <w:sz w:val="20"/>
          <w:szCs w:val="20"/>
          <w:color w:val="auto"/>
        </w:rPr>
      </w:pPr>
      <w:r>
        <w:rPr>
          <w:rFonts w:ascii="Arial" w:cs="Arial" w:eastAsia="Arial" w:hAnsi="Arial"/>
          <w:sz w:val="16"/>
          <w:szCs w:val="16"/>
          <w:color w:val="auto"/>
        </w:rPr>
        <w:t>Ms. Wallace has been our Executive Vice President, Operations since December 2016. As EVP Operations, Ms. Wallace is responsible for overseeing the policies and standards required for effective program execution. Ms. Wallace has more than 30 years’ experience, in roles of increasing responsibility, within the defense industry. Prior to assuming the position of Executive Vice President, Operations, Ms. Wallace was President of the C4ISR Group within DRS from April 2014 to December 2016, Vice President of Business Operations for DRS Maritime and Combat Support Systems Group from July 2008 to April 2014, as well as the Vice President and General Manager of DRS Power and Control Technologies from 2004 to July 2008.</w:t>
      </w:r>
    </w:p>
    <w:p>
      <w:pPr>
        <w:spacing w:after="0" w:line="133" w:lineRule="exact"/>
        <w:rPr>
          <w:sz w:val="20"/>
          <w:szCs w:val="20"/>
          <w:color w:val="auto"/>
        </w:rPr>
      </w:pPr>
    </w:p>
    <w:p>
      <w:pPr>
        <w:ind w:right="200" w:firstLine="299"/>
        <w:spacing w:after="0" w:line="250" w:lineRule="auto"/>
        <w:rPr>
          <w:sz w:val="20"/>
          <w:szCs w:val="20"/>
          <w:color w:val="auto"/>
        </w:rPr>
      </w:pPr>
      <w:r>
        <w:rPr>
          <w:rFonts w:ascii="Arial" w:cs="Arial" w:eastAsia="Arial" w:hAnsi="Arial"/>
          <w:sz w:val="17"/>
          <w:szCs w:val="17"/>
          <w:color w:val="auto"/>
        </w:rPr>
        <w:t>Ms. Wallace has a master’s degree in business from the University of Chicago, a master’s degree in mechanical engineering from the University of Connecticut and a bachelor of science degree in engineering physics from Grove City College.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are no family relationships among any of our directors or executive officers.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Board Composition and Director Independence</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board is composed of seven directors. Our directors will be elected annually to serve until the next annual meeting of stockholders or until their successors are duly elected and qualified. Pursuant to the proxy agreement, Leonardo S.p.A., US Holding, the DCSA and the proxy holders will have specified board designation and/or approval rights following this offering. The proxy agreement requires that our board include the five proxy holders appointed by US Holding after consultation with Leonardo S.p.A. and approval by the DCSA. The proxy agreement also requires that our board to include four additional directors consisting of our chief executive officer and three additional candidates, selected by the proxy holders in their sole discretion from candidates proposed by US Holding, after reasonable consultation with the nominating and corporate governance committee, subject to approval of the DCSA in certain circumstances. See “Certain Relationships and Related-Party Transactions—Relationship with Leonardo S.p.A Following this Offering— Proxy Agreement.”</w:t>
      </w:r>
    </w:p>
    <w:p>
      <w:pPr>
        <w:spacing w:after="0" w:line="146"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While the proxy agreement remains in effect, the number of members on our board will be determined in accordance with the proxy agreement and therefore a fully constituted board will consist of nine directors. During any period when the proxy agreement is not in effect, the number of members on our board may be fixed by majority vote of the members of our board. While the proxy agreement remains in effect, any vacancy in the board that results from the death, disability, resignation, disqualification or removal, or expiration of the term of (i) any proxy holder shall be filled by the new proxy holder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43"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to take such proxy holder’s place in accordance with the proxy agreement and (ii) any director who is not a proxy holder shall be filled by candidates determined in accordance with the proxy agreement, by the majority vote of the proxy holders, subject to approval of the DCSA in certain circumstances. During any period when the proxy agreement is not in effect, any vacancy in the board shall be filled by an affirmative vote of at least a majority of the directors then in office, even if less than a quorum, or by a sole remaining director. Each director shall hold office until his or her successor has been duly elected and qualified, or until his or her earlier death, resignation or removal.</w:t>
      </w:r>
    </w:p>
    <w:p>
      <w:pPr>
        <w:spacing w:after="0" w:line="147" w:lineRule="exact"/>
        <w:rPr>
          <w:sz w:val="20"/>
          <w:szCs w:val="20"/>
          <w:color w:val="auto"/>
        </w:rPr>
      </w:pPr>
    </w:p>
    <w:p>
      <w:pPr>
        <w:ind w:right="400" w:firstLine="299"/>
        <w:spacing w:after="0" w:line="250" w:lineRule="auto"/>
        <w:rPr>
          <w:sz w:val="20"/>
          <w:szCs w:val="20"/>
          <w:color w:val="auto"/>
        </w:rPr>
      </w:pPr>
      <w:r>
        <w:rPr>
          <w:rFonts w:ascii="Arial" w:cs="Arial" w:eastAsia="Arial" w:hAnsi="Arial"/>
          <w:sz w:val="17"/>
          <w:szCs w:val="17"/>
          <w:color w:val="auto"/>
        </w:rPr>
        <w:t>Our board has determined that the proxy holders and Gen. Casey are “independent” as defined under the rules and the Exchange Act rules and regulations.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Controlled Company</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Leonardo S.p.A., through US Holding, will own approximately % of our common stock following this offering (or approximately % if the underwriters exercise in full their option to purchase additional shares from the selling stockholder). Accordingly, we expect to be a “controlled company” within the meaning of the NYSE corporate governance standards. Under NYSE rules, a company of which more than 50% of the voting power is held by an individual, group or another company is a “controlled company” and may elect not to comply with certain NYSE corporate governance standards, including:</w:t>
      </w:r>
    </w:p>
    <w:p>
      <w:pPr>
        <w:spacing w:after="0" w:line="147" w:lineRule="exact"/>
        <w:rPr>
          <w:sz w:val="20"/>
          <w:szCs w:val="20"/>
          <w:color w:val="auto"/>
        </w:rPr>
      </w:pPr>
    </w:p>
    <w:p>
      <w:pPr>
        <w:ind w:left="600" w:hanging="302"/>
        <w:spacing w:after="0"/>
        <w:tabs>
          <w:tab w:leader="none" w:pos="6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requirement that a majority of the board consist of independent directors;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independent directors;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requirement that our nominating and corporate governance committee be composed entirely of independent directors;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153" w:lineRule="exact"/>
        <w:rPr>
          <w:sz w:val="20"/>
          <w:szCs w:val="20"/>
          <w:color w:val="auto"/>
        </w:rPr>
      </w:pPr>
    </w:p>
    <w:p>
      <w:pPr>
        <w:ind w:right="60" w:firstLine="299"/>
        <w:spacing w:after="0" w:line="199" w:lineRule="exact"/>
        <w:rPr>
          <w:sz w:val="20"/>
          <w:szCs w:val="20"/>
          <w:color w:val="auto"/>
        </w:rPr>
      </w:pPr>
      <w:r>
        <w:rPr>
          <w:rFonts w:ascii="Arial" w:cs="Arial" w:eastAsia="Arial" w:hAnsi="Arial"/>
          <w:sz w:val="17"/>
          <w:szCs w:val="17"/>
          <w:color w:val="auto"/>
        </w:rPr>
        <w:t>While we do not currently intend to use these exemptions, we may in the future decide to do so. Accordingly, you may not have the same protections afforded to stockholders of companies that are subject to all of the NYSE corporate governance rules and requirements. The “controlled company” exception does not modify audit committee independence requirements of Rule 10A</w:t>
      </w:r>
      <w:r>
        <w:rPr>
          <w:rFonts w:ascii="MS PGothic" w:cs="MS PGothic" w:eastAsia="MS PGothic" w:hAnsi="MS PGothic"/>
          <w:sz w:val="17"/>
          <w:szCs w:val="17"/>
          <w:color w:val="auto"/>
        </w:rPr>
        <w:t>‑</w:t>
      </w:r>
      <w:r>
        <w:rPr>
          <w:rFonts w:ascii="Arial" w:cs="Arial" w:eastAsia="Arial" w:hAnsi="Arial"/>
          <w:sz w:val="17"/>
          <w:szCs w:val="17"/>
          <w:color w:val="auto"/>
        </w:rPr>
        <w:t>3 under the Exchange Act and NYSE rules.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Board Committees</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Prior to the completion of this offering, our board will maintain an audit committee, a compensation committee, a nominating and corporate governance committee and a government security committee. Under NYSE rules, our audit committee will be required to be composed entirely of independent directors within one year from the date of this prospectus. As a controlled company, we are not required to have independent compensation or nominating and corporate governance committees. The composition of our government security committee is governed by the proxy agreement. The following is a brief description of our committees.</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Audit Committee</w:t>
      </w:r>
    </w:p>
    <w:p>
      <w:pPr>
        <w:spacing w:after="0" w:line="171" w:lineRule="exact"/>
        <w:rPr>
          <w:sz w:val="20"/>
          <w:szCs w:val="20"/>
          <w:color w:val="auto"/>
        </w:rPr>
      </w:pPr>
    </w:p>
    <w:p>
      <w:pPr>
        <w:ind w:firstLine="299"/>
        <w:spacing w:after="0" w:line="259" w:lineRule="auto"/>
        <w:rPr>
          <w:sz w:val="20"/>
          <w:szCs w:val="20"/>
          <w:color w:val="auto"/>
        </w:rPr>
      </w:pPr>
      <w:r>
        <w:rPr>
          <w:rFonts w:ascii="Arial" w:cs="Arial" w:eastAsia="Arial" w:hAnsi="Arial"/>
          <w:sz w:val="16"/>
          <w:szCs w:val="16"/>
          <w:color w:val="auto"/>
        </w:rPr>
        <w:t>The primary purposes of the audit committee will be to: (i) to assist the board in overseeing (a) the quality and integrity of our financial statements, (b) the qualifications, independence and performance of our independent auditor, (c) our accounting, financial and external reporting policies and practices,</w:t>
      </w:r>
    </w:p>
    <w:p>
      <w:pPr>
        <w:spacing w:after="0" w:line="1" w:lineRule="exact"/>
        <w:rPr>
          <w:sz w:val="20"/>
          <w:szCs w:val="20"/>
          <w:color w:val="auto"/>
        </w:rPr>
      </w:pPr>
    </w:p>
    <w:p>
      <w:pPr>
        <w:ind w:right="200"/>
        <w:spacing w:after="0" w:line="246" w:lineRule="auto"/>
        <w:tabs>
          <w:tab w:leader="none" w:pos="24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performance of our internal audit function and (e) our compliance with legal and regulatory requirements, including without limitation any requirements promulgated by the Public Company Accounting Oversight Board and the Financial Accounting Standards Board; and (ii) to prepare the report of the audit committee required to be included in our annual proxy statement. The charter of our audit committee will be available without charge on the investor relations portion of our website upon the listing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43" w:lineRule="exact"/>
        <w:rPr>
          <w:sz w:val="20"/>
          <w:szCs w:val="20"/>
          <w:color w:val="auto"/>
        </w:rPr>
      </w:pPr>
    </w:p>
    <w:p>
      <w:pPr>
        <w:jc w:val="both"/>
        <w:ind w:right="460" w:firstLine="299"/>
        <w:spacing w:after="0" w:line="247" w:lineRule="auto"/>
        <w:rPr>
          <w:sz w:val="20"/>
          <w:szCs w:val="20"/>
          <w:color w:val="auto"/>
        </w:rPr>
      </w:pPr>
      <w:r>
        <w:rPr>
          <w:rFonts w:ascii="Arial" w:cs="Arial" w:eastAsia="Arial" w:hAnsi="Arial"/>
          <w:sz w:val="17"/>
          <w:szCs w:val="17"/>
          <w:color w:val="auto"/>
        </w:rPr>
        <w:t>Upon the completion of this offering, the members of our Audit Committee will be . Our board has designated as “audit committee financial experts,” and each of has been determined to be “financially literate” under NYSE rules. Our board has also determined are “independent” as defined under and Exchange Act rules and regulations.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Compensation Committee</w:t>
      </w:r>
    </w:p>
    <w:p>
      <w:pPr>
        <w:spacing w:after="0" w:line="171" w:lineRule="exact"/>
        <w:rPr>
          <w:sz w:val="20"/>
          <w:szCs w:val="20"/>
          <w:color w:val="auto"/>
        </w:rPr>
      </w:pPr>
    </w:p>
    <w:p>
      <w:pPr>
        <w:ind w:firstLine="299"/>
        <w:spacing w:after="0" w:line="199" w:lineRule="exact"/>
        <w:rPr>
          <w:sz w:val="20"/>
          <w:szCs w:val="20"/>
          <w:color w:val="auto"/>
        </w:rPr>
      </w:pPr>
      <w:r>
        <w:rPr>
          <w:rFonts w:ascii="Arial" w:cs="Arial" w:eastAsia="Arial" w:hAnsi="Arial"/>
          <w:sz w:val="17"/>
          <w:szCs w:val="17"/>
          <w:color w:val="auto"/>
        </w:rPr>
        <w:t>The primary purpose of the compensation committee will be to: (i) be responsible for general oversight of compensation and compensation-related matters; (ii) prepare any report on executive compensation required by the rules and regulations of the SEC for inclusion in our annual proxy statement or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(iii) take such other actions relating to our compensation and benefits structure as the compensation committee deems necessary or appropriate. The charter of our compensation committee will be available without charge on the investor relations portion of our website upon the listing of our common stock.</w:t>
      </w:r>
    </w:p>
    <w:p>
      <w:pPr>
        <w:spacing w:after="0" w:line="15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Upon the completion of this offering, the members of our compensation committee will be . Our board has also determined that are “independent” as defined under NYSE and Exchange Act rules and regulations. In light of our status as a “controlled company” within the meaning of the corporate governance standards of the NYSE following this offering, we are exempt from the requirement that our compensation committee be composed entirely of independent directors under listing standards applicable to membership on the compensation committee. We do not currently intend to use this exemption, but we may in the future decide to do so.</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Nominating and Corporate Governance Committee</w:t>
      </w:r>
    </w:p>
    <w:p>
      <w:pPr>
        <w:spacing w:after="0" w:line="171" w:lineRule="exact"/>
        <w:rPr>
          <w:sz w:val="20"/>
          <w:szCs w:val="20"/>
          <w:color w:val="auto"/>
        </w:rPr>
      </w:pPr>
    </w:p>
    <w:p>
      <w:pPr>
        <w:ind w:right="300" w:firstLine="299"/>
        <w:spacing w:after="0" w:line="262" w:lineRule="auto"/>
        <w:rPr>
          <w:sz w:val="20"/>
          <w:szCs w:val="20"/>
          <w:color w:val="auto"/>
        </w:rPr>
      </w:pPr>
      <w:r>
        <w:rPr>
          <w:rFonts w:ascii="Arial" w:cs="Arial" w:eastAsia="Arial" w:hAnsi="Arial"/>
          <w:sz w:val="16"/>
          <w:szCs w:val="16"/>
          <w:color w:val="auto"/>
        </w:rPr>
        <w:t>Our nominating and corporate governance committee will be responsible, among its other duties and responsibilities, for: (i) identifying individuals qualified and suitable to become board members and recommending to the board the director nominees for each annual meeting of stockholders; (ii) regularly review our corporate governance policies and practices, including compliance with existing laws and regulations, corporate governance developments, emerging trends and best practices and recommend any proposed changes to the board of directors; and (iii) otherwise taking a leadership role in shaping our corporate governance policies. While the proxy agreement is in effect, (x) the nominating and corporate governance committee will consist solely of proxy holders, each of whom will be appointed by US Holding after reasonable consultation with Leonardo S.p.A. and subject to DCSA approval, and (y) US Holding, in consultation with the nominating and corporate governance committee (and subject to approval of DCSA in certain circumstances), will have the right to identify non-proxy holder director candidates. The charter of our nominating and corporate governance committee will be available without charge on the investor relations portion of our website following this offering.</w:t>
      </w:r>
    </w:p>
    <w:p>
      <w:pPr>
        <w:spacing w:after="0" w:line="134"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Upon the completion of this offering, the the members of our nominating and corporate governance committee will be . Our board has also determined that are “independent” as defined under NYSE and Exchange Act rules and regulations. In light of our status as a “controlled company” within the meaning of the corporate governance standards of the NYSE following this offering, we are exempt from the requirement that our nominating and corporate governance committee be composed entirely of independent directors. We do not currently intend to use this exemption, but we may in the future decide to do so.</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Government Security Committee</w:t>
      </w:r>
    </w:p>
    <w:p>
      <w:pPr>
        <w:spacing w:after="0" w:line="171" w:lineRule="exact"/>
        <w:rPr>
          <w:sz w:val="20"/>
          <w:szCs w:val="20"/>
          <w:color w:val="auto"/>
        </w:rPr>
      </w:pPr>
    </w:p>
    <w:p>
      <w:pPr>
        <w:ind w:right="240" w:firstLine="299"/>
        <w:spacing w:after="0" w:line="245" w:lineRule="auto"/>
        <w:rPr>
          <w:sz w:val="20"/>
          <w:szCs w:val="20"/>
          <w:color w:val="auto"/>
        </w:rPr>
      </w:pPr>
      <w:r>
        <w:rPr>
          <w:rFonts w:ascii="Arial" w:cs="Arial" w:eastAsia="Arial" w:hAnsi="Arial"/>
          <w:sz w:val="17"/>
          <w:szCs w:val="17"/>
          <w:color w:val="auto"/>
        </w:rPr>
        <w:t>The proxy agreement requires our board to establish a government security committee (the “GSC”), consisting of all proxy holders, our chief executive officer, our general counsel, our corporate facility security officer (“CFSO”) and our technology control officer (“TCO”), to the extent that such officers have adequate security clearances. The primary purpose of the GSC is to ensure that we maintain policies and procedures, including a technology control plan, to safeguard classified information in our possession and to ensure that we comply with the proxy agreement, the ITAR, the EAR, and the NISPOM.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43" w:lineRule="exact"/>
        <w:rPr>
          <w:sz w:val="20"/>
          <w:szCs w:val="20"/>
          <w:color w:val="auto"/>
        </w:rPr>
      </w:pPr>
    </w:p>
    <w:p>
      <w:pPr>
        <w:ind w:left="300"/>
        <w:spacing w:after="0"/>
        <w:tabs>
          <w:tab w:leader="none" w:pos="5540" w:val="left"/>
        </w:tabs>
        <w:rPr>
          <w:sz w:val="20"/>
          <w:szCs w:val="20"/>
          <w:color w:val="auto"/>
        </w:rPr>
      </w:pPr>
      <w:r>
        <w:rPr>
          <w:rFonts w:ascii="Arial" w:cs="Arial" w:eastAsia="Arial" w:hAnsi="Arial"/>
          <w:sz w:val="17"/>
          <w:szCs w:val="17"/>
          <w:color w:val="auto"/>
        </w:rPr>
        <w:t>Upon the completion of this offering, the members of the GSC will be</w:t>
        <w:tab/>
        <w:t>.</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Compensation Committee Interlocks and Insider Participation</w:t>
      </w:r>
    </w:p>
    <w:p>
      <w:pPr>
        <w:spacing w:after="0" w:line="171" w:lineRule="exact"/>
        <w:rPr>
          <w:sz w:val="20"/>
          <w:szCs w:val="20"/>
          <w:color w:val="auto"/>
        </w:rPr>
      </w:pPr>
    </w:p>
    <w:p>
      <w:pPr>
        <w:ind w:right="280" w:firstLine="299"/>
        <w:spacing w:after="0" w:line="247" w:lineRule="auto"/>
        <w:rPr>
          <w:sz w:val="20"/>
          <w:szCs w:val="20"/>
          <w:color w:val="auto"/>
        </w:rPr>
      </w:pPr>
      <w:r>
        <w:rPr>
          <w:rFonts w:ascii="Arial" w:cs="Arial" w:eastAsia="Arial" w:hAnsi="Arial"/>
          <w:sz w:val="17"/>
          <w:szCs w:val="17"/>
          <w:color w:val="auto"/>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has ever been, an officer or employee of our company.</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Board Oversight of Risk Management</w:t>
      </w:r>
    </w:p>
    <w:p>
      <w:pPr>
        <w:spacing w:after="0" w:line="173" w:lineRule="exact"/>
        <w:rPr>
          <w:sz w:val="20"/>
          <w:szCs w:val="20"/>
          <w:color w:val="auto"/>
        </w:rPr>
      </w:pPr>
    </w:p>
    <w:p>
      <w:pPr>
        <w:ind w:right="120" w:firstLine="299"/>
        <w:spacing w:after="0" w:line="246" w:lineRule="auto"/>
        <w:rPr>
          <w:sz w:val="20"/>
          <w:szCs w:val="20"/>
          <w:color w:val="auto"/>
        </w:rPr>
      </w:pPr>
      <w:r>
        <w:rPr>
          <w:rFonts w:ascii="Arial" w:cs="Arial" w:eastAsia="Arial" w:hAnsi="Arial"/>
          <w:sz w:val="17"/>
          <w:szCs w:val="17"/>
          <w:color w:val="auto"/>
        </w:rPr>
        <w:t>Our board believes that effective risk management and control processes are critical to our safety and soundness, our ability to predict and manage the challenges that we face and, ultimately, our long-term corporate success. Our board, both directly and through its committees, is responsible for overseeing our risk management processes, with each of the committees of our board assuming a different and important role in overseeing the management of the risks we face.</w:t>
      </w:r>
    </w:p>
    <w:p>
      <w:pPr>
        <w:spacing w:after="0" w:line="144" w:lineRule="exact"/>
        <w:rPr>
          <w:sz w:val="20"/>
          <w:szCs w:val="20"/>
          <w:color w:val="auto"/>
        </w:rPr>
      </w:pPr>
    </w:p>
    <w:p>
      <w:pPr>
        <w:ind w:right="240" w:firstLine="299"/>
        <w:spacing w:after="0" w:line="245" w:lineRule="auto"/>
        <w:rPr>
          <w:sz w:val="20"/>
          <w:szCs w:val="20"/>
          <w:color w:val="auto"/>
        </w:rPr>
      </w:pPr>
      <w:r>
        <w:rPr>
          <w:rFonts w:ascii="Arial" w:cs="Arial" w:eastAsia="Arial" w:hAnsi="Arial"/>
          <w:sz w:val="17"/>
          <w:szCs w:val="17"/>
          <w:color w:val="auto"/>
        </w:rPr>
        <w:t>Our audit committee is responsible for overseeing risks associated with financial matters including financial reporting, accounting practices and policies, disclosure controls and procedures and internal control over financial reporting. The compensation committee of our board has primary responsibility for risks and exposures associated with our compensation policies, plans and practices, regarding both executive compensation and the compensation structure generally. The nominating and corporate governance committee of our board of directors oversees risks associated with the independence of our board of directors, potential conflicts of interest and overall enterprise risk. The government security committee of our board oversees risks associated with our obligation to safeguard classified information in our possession and our compliance with the proxy agreement and applicable law and regulation including ITAR, EAR, and NISPOM.</w:t>
      </w:r>
    </w:p>
    <w:p>
      <w:pPr>
        <w:spacing w:after="0" w:line="146" w:lineRule="exact"/>
        <w:rPr>
          <w:sz w:val="20"/>
          <w:szCs w:val="20"/>
          <w:color w:val="auto"/>
        </w:rPr>
      </w:pPr>
    </w:p>
    <w:p>
      <w:pPr>
        <w:ind w:firstLine="299"/>
        <w:spacing w:after="0" w:line="264" w:lineRule="auto"/>
        <w:rPr>
          <w:sz w:val="20"/>
          <w:szCs w:val="20"/>
          <w:color w:val="auto"/>
        </w:rPr>
      </w:pPr>
      <w:r>
        <w:rPr>
          <w:rFonts w:ascii="Arial" w:cs="Arial" w:eastAsia="Arial" w:hAnsi="Arial"/>
          <w:sz w:val="16"/>
          <w:szCs w:val="16"/>
          <w:color w:val="auto"/>
        </w:rPr>
        <w:t>Our senior management is responsible for implementing and reporting to our board regarding our risk management processes, including by assessing and managing the risks we face on a day-to-day basis. The role of our board in our risk oversight is consistent with our leadership structure, with our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Code of Ethics</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Upon completion of this offering, our board will adopt a code of business conduct and ethics that will apply to all of our directors, officers and employees and is intended to comply with the relevant requirements for a code of conduct as well as qualify as a “code of ethics” as defined by the rules of the SEC. The code will contain general guidelines for conducting 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as required by applicable law or NYSE requirements. The code of business conduct and ethics will be available without charge on the investor relations portion of our website following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73" w:lineRule="exact"/>
        <w:rPr>
          <w:sz w:val="20"/>
          <w:szCs w:val="20"/>
          <w:color w:val="auto"/>
        </w:rPr>
      </w:pPr>
    </w:p>
    <w:p>
      <w:pPr>
        <w:ind w:right="140" w:firstLine="299"/>
        <w:spacing w:after="0" w:line="250" w:lineRule="auto"/>
        <w:rPr>
          <w:sz w:val="20"/>
          <w:szCs w:val="20"/>
          <w:color w:val="auto"/>
        </w:rPr>
      </w:pPr>
      <w:r>
        <w:rPr>
          <w:rFonts w:ascii="Arial" w:cs="Arial" w:eastAsia="Arial" w:hAnsi="Arial"/>
          <w:sz w:val="17"/>
          <w:szCs w:val="17"/>
          <w:color w:val="auto"/>
        </w:rPr>
        <w:t>The Compensation Discussion and Analysis provides the details of our executive compensation program and the decisions made as they relate to the Company’s Named Executive Officers (“NEOs”). The discussion below relates to compensation programs in effect for 2020.</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 Overview</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Executive Compensation Philosophy</w:t>
      </w:r>
    </w:p>
    <w:p>
      <w:pPr>
        <w:spacing w:after="0" w:line="173" w:lineRule="exact"/>
        <w:rPr>
          <w:sz w:val="20"/>
          <w:szCs w:val="20"/>
          <w:color w:val="auto"/>
        </w:rPr>
      </w:pPr>
    </w:p>
    <w:p>
      <w:pPr>
        <w:ind w:right="140" w:firstLine="299"/>
        <w:spacing w:after="0" w:line="245" w:lineRule="auto"/>
        <w:rPr>
          <w:sz w:val="20"/>
          <w:szCs w:val="20"/>
          <w:color w:val="auto"/>
        </w:rPr>
      </w:pPr>
      <w:r>
        <w:rPr>
          <w:rFonts w:ascii="Arial" w:cs="Arial" w:eastAsia="Arial" w:hAnsi="Arial"/>
          <w:sz w:val="17"/>
          <w:szCs w:val="17"/>
          <w:color w:val="auto"/>
        </w:rPr>
        <w:t>Our executive compensation philosophy is to provide market-based competitive total compensation to support our strategic plan for growth and success, attract and retain executives and other key employees to drive a superior performance culture, and closely link pay to the performance of our executives. Our management team strives to deliver optimal results through focused operational excellence, management of costs and investments, optimization of human capital, leadership, and driving collaboration across our businesses to achieve our strategic goals. The executive compensation and benefit programs are guided by the following principles:</w:t>
      </w:r>
    </w:p>
    <w:p>
      <w:pPr>
        <w:spacing w:after="0" w:line="147" w:lineRule="exact"/>
        <w:rPr>
          <w:sz w:val="20"/>
          <w:szCs w:val="20"/>
          <w:color w:val="auto"/>
        </w:rPr>
      </w:pPr>
    </w:p>
    <w:p>
      <w:pPr>
        <w:jc w:val="both"/>
        <w:ind w:left="600" w:hanging="302"/>
        <w:spacing w:after="0" w:line="247" w:lineRule="auto"/>
        <w:tabs>
          <w:tab w:leader="none" w:pos="596" w:val="left"/>
        </w:tabs>
        <w:numPr>
          <w:ilvl w:val="0"/>
          <w:numId w:val="70"/>
        </w:numPr>
        <w:rPr>
          <w:rFonts w:ascii="Arial" w:cs="Arial" w:eastAsia="Arial" w:hAnsi="Arial"/>
          <w:sz w:val="17"/>
          <w:szCs w:val="17"/>
          <w:color w:val="auto"/>
        </w:rPr>
      </w:pPr>
      <w:r>
        <w:rPr>
          <w:rFonts w:ascii="Arial" w:cs="Arial" w:eastAsia="Arial" w:hAnsi="Arial"/>
          <w:sz w:val="17"/>
          <w:szCs w:val="17"/>
          <w:color w:val="auto"/>
        </w:rPr>
        <w:t>Pay for Performance. Our program is intended to reward superior past performance and create incentives for future exemplary performance that will create long-term value. To achieve these objectives, our compensation program is designed to reward long-term strategic management and to create a performance-oriented environment.</w:t>
      </w:r>
    </w:p>
    <w:p>
      <w:pPr>
        <w:spacing w:after="0" w:line="143" w:lineRule="exact"/>
        <w:rPr>
          <w:rFonts w:ascii="Arial" w:cs="Arial" w:eastAsia="Arial" w:hAnsi="Arial"/>
          <w:sz w:val="17"/>
          <w:szCs w:val="17"/>
          <w:color w:val="auto"/>
        </w:rPr>
      </w:pPr>
    </w:p>
    <w:p>
      <w:pPr>
        <w:ind w:left="600" w:right="60" w:hanging="302"/>
        <w:spacing w:after="0" w:line="247" w:lineRule="auto"/>
        <w:tabs>
          <w:tab w:leader="none" w:pos="596"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Competitive Pay. We target NEO total direct compensation, base salary, annual incentive compensation, and long-term incentive compensation at or around the median of our peers. Our program provides the opportunity for above-median pay for above-median performance and below-median pay for below-median performance.</w:t>
      </w:r>
    </w:p>
    <w:p>
      <w:pPr>
        <w:spacing w:after="0" w:line="143" w:lineRule="exact"/>
        <w:rPr>
          <w:rFonts w:ascii="Arial" w:cs="Arial" w:eastAsia="Arial" w:hAnsi="Arial"/>
          <w:sz w:val="17"/>
          <w:szCs w:val="17"/>
          <w:color w:val="auto"/>
        </w:rPr>
      </w:pPr>
    </w:p>
    <w:p>
      <w:pPr>
        <w:ind w:left="600" w:hanging="302"/>
        <w:spacing w:after="0" w:line="246" w:lineRule="auto"/>
        <w:tabs>
          <w:tab w:leader="none" w:pos="596" w:val="left"/>
        </w:tabs>
        <w:numPr>
          <w:ilvl w:val="0"/>
          <w:numId w:val="70"/>
        </w:numPr>
        <w:rPr>
          <w:rFonts w:ascii="Arial" w:cs="Arial" w:eastAsia="Arial" w:hAnsi="Arial"/>
          <w:sz w:val="17"/>
          <w:szCs w:val="17"/>
          <w:color w:val="auto"/>
        </w:rPr>
      </w:pPr>
      <w:r>
        <w:rPr>
          <w:rFonts w:ascii="Arial" w:cs="Arial" w:eastAsia="Arial" w:hAnsi="Arial"/>
          <w:sz w:val="17"/>
          <w:szCs w:val="17"/>
          <w:color w:val="auto"/>
        </w:rPr>
        <w:t>Strategic Goals and Metrics. Annual Incentive Compensation (IC) metrics and targets are driven by the Company’s strategic, financial, and operational business goals. Long-Term Incentives (LTI) provide NEOs with a significant personal stake in the long-term success of the business by tying earned amounts to three-year financial performance cycles, facilitating retention of key talent, and aligning incentives with our long-term strategic goals.</w:t>
      </w:r>
    </w:p>
    <w:p>
      <w:pPr>
        <w:spacing w:after="0" w:line="144" w:lineRule="exact"/>
        <w:rPr>
          <w:rFonts w:ascii="Arial" w:cs="Arial" w:eastAsia="Arial" w:hAnsi="Arial"/>
          <w:sz w:val="17"/>
          <w:szCs w:val="17"/>
          <w:color w:val="auto"/>
        </w:rPr>
      </w:pPr>
    </w:p>
    <w:p>
      <w:pPr>
        <w:ind w:left="600" w:right="20" w:hanging="302"/>
        <w:spacing w:after="0" w:line="280" w:lineRule="auto"/>
        <w:tabs>
          <w:tab w:leader="none" w:pos="596" w:val="left"/>
        </w:tabs>
        <w:numPr>
          <w:ilvl w:val="0"/>
          <w:numId w:val="70"/>
        </w:numPr>
        <w:rPr>
          <w:rFonts w:ascii="Arial" w:cs="Arial" w:eastAsia="Arial" w:hAnsi="Arial"/>
          <w:sz w:val="16"/>
          <w:szCs w:val="16"/>
          <w:color w:val="auto"/>
        </w:rPr>
      </w:pPr>
      <w:r>
        <w:rPr>
          <w:rFonts w:ascii="Arial" w:cs="Arial" w:eastAsia="Arial" w:hAnsi="Arial"/>
          <w:sz w:val="16"/>
          <w:szCs w:val="16"/>
          <w:color w:val="auto"/>
        </w:rPr>
        <w:t>Leadership Recruitment and Retention. Compensation is designed to be competitive within our industry and to retain top talent. Our compensation program is designed to recruit, motivate, retain, and reward NEOs for delivering operational and strategic performance over time.</w:t>
      </w:r>
    </w:p>
    <w:p>
      <w:pPr>
        <w:spacing w:after="0" w:line="118"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The compensation committee of the Company’s board of directors (the “compensation committee”) intends to provide a balanced mix of short- and long-term compensation. When the compensation committee considers any component of the NEOs’ compensation, the aggregate value and mix of all components are taken into consideration. The compensation committee believes that each component of compensation is important and that it is the appropriate combination of these components that enable us to appropriately compensate and retain executives.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Compensation Components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To support our compensation philosophy, our NEO compensation program for 2020 provided a mix of fixed and variable compensation components that based the majority of each executive’s compensation on the success of the Company’s operating performance as measured by the financial metrics of bookings, revenue, adjusted earnings before interest, taxes and amortization (EBITA), and free cash flow from continuing operations, as well as the executive’s individual performance relative to the Company’s business goals of execution of our strategic operating plan, growth, and taking care of our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140"/>
          </w:cols>
          <w:pgMar w:left="320" w:top="1440" w:right="439" w:bottom="1440" w:gutter="0" w:footer="0" w:header="0"/>
        </w:sectPr>
      </w:pPr>
    </w:p>
    <w:bookmarkStart w:id="139" w:name="page140"/>
    <w:bookmarkEnd w:id="139"/>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auto"/>
              <w:left w:val="single" w:sz="8" w:color="auto"/>
              <w:bottom w:val="single" w:sz="8" w:color="auto"/>
              <w:right w:val="single" w:sz="8" w:color="auto"/>
            </w:tcBorders>
            <w:shd w:val="clear" w:color="auto" w:fill="D9D9D9"/>
          </w:tcPr>
          <w:p>
            <w:pPr>
              <w:ind w:left="760"/>
              <w:spacing w:after="0"/>
              <w:rPr>
                <w:sz w:val="20"/>
                <w:szCs w:val="20"/>
                <w:color w:val="auto"/>
              </w:rPr>
            </w:pPr>
            <w:r>
              <w:rPr>
                <w:rFonts w:ascii="Arial" w:cs="Arial" w:eastAsia="Arial" w:hAnsi="Arial"/>
                <w:sz w:val="17"/>
                <w:szCs w:val="17"/>
                <w:b w:val="1"/>
                <w:bCs w:val="1"/>
                <w:color w:val="auto"/>
              </w:rPr>
              <w:t>Compensation Components</w:t>
            </w:r>
          </w:p>
        </w:tc>
        <w:tc>
          <w:tcPr>
            <w:tcW w:w="3760" w:type="dxa"/>
            <w:vAlign w:val="bottom"/>
            <w:tcBorders>
              <w:top w:val="single" w:sz="8" w:color="auto"/>
              <w:bottom w:val="single" w:sz="8" w:color="auto"/>
              <w:right w:val="single" w:sz="8" w:color="auto"/>
            </w:tcBorders>
            <w:shd w:val="clear" w:color="auto" w:fill="D9D9D9"/>
          </w:tcPr>
          <w:p>
            <w:pPr>
              <w:ind w:left="1520"/>
              <w:spacing w:after="0"/>
              <w:rPr>
                <w:sz w:val="20"/>
                <w:szCs w:val="20"/>
                <w:color w:val="auto"/>
              </w:rPr>
            </w:pPr>
            <w:r>
              <w:rPr>
                <w:rFonts w:ascii="Arial" w:cs="Arial" w:eastAsia="Arial" w:hAnsi="Arial"/>
                <w:sz w:val="17"/>
                <w:szCs w:val="17"/>
                <w:b w:val="1"/>
                <w:bCs w:val="1"/>
                <w:color w:val="auto"/>
              </w:rPr>
              <w:t>Purpose</w:t>
            </w:r>
          </w:p>
        </w:tc>
        <w:tc>
          <w:tcPr>
            <w:tcW w:w="840" w:type="dxa"/>
            <w:vAlign w:val="bottom"/>
            <w:tcBorders>
              <w:top w:val="single" w:sz="8" w:color="auto"/>
              <w:bottom w:val="single" w:sz="8" w:color="auto"/>
            </w:tcBorders>
            <w:shd w:val="clear" w:color="auto" w:fill="D9D9D9"/>
          </w:tcPr>
          <w:p>
            <w:pPr>
              <w:spacing w:after="0"/>
              <w:rPr>
                <w:sz w:val="19"/>
                <w:szCs w:val="19"/>
                <w:color w:val="auto"/>
              </w:rPr>
            </w:pPr>
          </w:p>
        </w:tc>
        <w:tc>
          <w:tcPr>
            <w:tcW w:w="2900" w:type="dxa"/>
            <w:vAlign w:val="bottom"/>
            <w:tcBorders>
              <w:top w:val="single" w:sz="8" w:color="auto"/>
              <w:bottom w:val="single" w:sz="8" w:color="auto"/>
              <w:right w:val="single" w:sz="8" w:color="auto"/>
            </w:tcBorders>
            <w:shd w:val="clear" w:color="auto" w:fill="D9D9D9"/>
          </w:tcPr>
          <w:p>
            <w:pPr>
              <w:ind w:left="56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66"/>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7"/>
                <w:szCs w:val="17"/>
                <w:color w:val="auto"/>
              </w:rPr>
              <w:t>Base Salary is set at or around the median of our</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Provides competitive, fixed-rate cash</w:t>
            </w:r>
          </w:p>
        </w:tc>
        <w:tc>
          <w:tcPr>
            <w:tcW w:w="3740" w:type="dxa"/>
            <w:vAlign w:val="bottom"/>
            <w:tcBorders>
              <w:right w:val="single" w:sz="8" w:color="auto"/>
            </w:tcBorders>
            <w:gridSpan w:val="2"/>
          </w:tcPr>
          <w:p>
            <w:pPr>
              <w:spacing w:after="0" w:line="162" w:lineRule="exact"/>
              <w:rPr>
                <w:sz w:val="20"/>
                <w:szCs w:val="20"/>
                <w:color w:val="auto"/>
              </w:rPr>
            </w:pPr>
            <w:r>
              <w:rPr>
                <w:rFonts w:ascii="Arial" w:cs="Arial" w:eastAsia="Arial" w:hAnsi="Arial"/>
                <w:sz w:val="17"/>
                <w:szCs w:val="17"/>
                <w:color w:val="auto"/>
              </w:rPr>
              <w:t>peers, with consideration given to level of</w:t>
            </w:r>
          </w:p>
        </w:tc>
        <w:tc>
          <w:tcPr>
            <w:tcW w:w="0" w:type="dxa"/>
            <w:vAlign w:val="bottom"/>
          </w:tcPr>
          <w:p>
            <w:pPr>
              <w:spacing w:after="0"/>
              <w:rPr>
                <w:sz w:val="1"/>
                <w:szCs w:val="1"/>
                <w:color w:val="auto"/>
              </w:rPr>
            </w:pPr>
          </w:p>
        </w:tc>
      </w:tr>
      <w:tr>
        <w:trPr>
          <w:trHeight w:val="75"/>
        </w:trPr>
        <w:tc>
          <w:tcPr>
            <w:tcW w:w="3760" w:type="dxa"/>
            <w:vAlign w:val="bottom"/>
            <w:tcBorders>
              <w:left w:val="single" w:sz="8" w:color="auto"/>
              <w:right w:val="single" w:sz="8" w:color="auto"/>
            </w:tcBorders>
            <w:vMerge w:val="restart"/>
          </w:tcPr>
          <w:p>
            <w:pPr>
              <w:ind w:left="20"/>
              <w:spacing w:after="0" w:line="162" w:lineRule="exact"/>
              <w:rPr>
                <w:sz w:val="20"/>
                <w:szCs w:val="20"/>
                <w:color w:val="auto"/>
              </w:rPr>
            </w:pPr>
            <w:r>
              <w:rPr>
                <w:rFonts w:ascii="Arial" w:cs="Arial" w:eastAsia="Arial" w:hAnsi="Arial"/>
                <w:sz w:val="17"/>
                <w:szCs w:val="17"/>
                <w:color w:val="auto"/>
              </w:rPr>
              <w:t>Annual Base Salary</w:t>
            </w: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gridSpan w:val="2"/>
            <w:vMerge w:val="restart"/>
          </w:tcPr>
          <w:p>
            <w:pPr>
              <w:spacing w:after="0" w:line="162" w:lineRule="exact"/>
              <w:rPr>
                <w:sz w:val="20"/>
                <w:szCs w:val="20"/>
                <w:color w:val="auto"/>
              </w:rPr>
            </w:pPr>
            <w:r>
              <w:rPr>
                <w:rFonts w:ascii="Arial" w:cs="Arial" w:eastAsia="Arial" w:hAnsi="Arial"/>
                <w:sz w:val="17"/>
                <w:szCs w:val="17"/>
                <w:color w:val="auto"/>
              </w:rPr>
              <w:t>responsibility, position held, job performance,</w:t>
            </w:r>
          </w:p>
        </w:tc>
        <w:tc>
          <w:tcPr>
            <w:tcW w:w="0" w:type="dxa"/>
            <w:vAlign w:val="bottom"/>
          </w:tcPr>
          <w:p>
            <w:pPr>
              <w:spacing w:after="0"/>
              <w:rPr>
                <w:sz w:val="1"/>
                <w:szCs w:val="1"/>
                <w:color w:val="auto"/>
              </w:rPr>
            </w:pPr>
          </w:p>
        </w:tc>
      </w:tr>
      <w:tr>
        <w:trPr>
          <w:trHeight w:val="87"/>
        </w:trPr>
        <w:tc>
          <w:tcPr>
            <w:tcW w:w="3760" w:type="dxa"/>
            <w:vAlign w:val="bottom"/>
            <w:tcBorders>
              <w:left w:val="single" w:sz="8" w:color="auto"/>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compensation.</w:t>
            </w:r>
          </w:p>
        </w:tc>
        <w:tc>
          <w:tcPr>
            <w:tcW w:w="37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760" w:type="dxa"/>
            <w:vAlign w:val="bottom"/>
            <w:tcBorders>
              <w:left w:val="single" w:sz="8" w:color="auto"/>
              <w:right w:val="single" w:sz="8" w:color="auto"/>
            </w:tcBorders>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3740" w:type="dxa"/>
            <w:vAlign w:val="bottom"/>
            <w:tcBorders>
              <w:right w:val="single" w:sz="8" w:color="auto"/>
            </w:tcBorders>
            <w:gridSpan w:val="2"/>
            <w:vMerge w:val="restart"/>
          </w:tcPr>
          <w:p>
            <w:pPr>
              <w:spacing w:after="0" w:line="162" w:lineRule="exact"/>
              <w:rPr>
                <w:sz w:val="20"/>
                <w:szCs w:val="20"/>
                <w:color w:val="auto"/>
              </w:rPr>
            </w:pPr>
            <w:r>
              <w:rPr>
                <w:rFonts w:ascii="Arial" w:cs="Arial" w:eastAsia="Arial" w:hAnsi="Arial"/>
                <w:sz w:val="17"/>
                <w:szCs w:val="17"/>
                <w:color w:val="auto"/>
              </w:rPr>
              <w:t>years of experience in the position, and market</w:t>
            </w:r>
          </w:p>
        </w:tc>
        <w:tc>
          <w:tcPr>
            <w:tcW w:w="0" w:type="dxa"/>
            <w:vAlign w:val="bottom"/>
          </w:tcPr>
          <w:p>
            <w:pPr>
              <w:spacing w:after="0"/>
              <w:rPr>
                <w:sz w:val="1"/>
                <w:szCs w:val="1"/>
                <w:color w:val="auto"/>
              </w:rPr>
            </w:pPr>
          </w:p>
        </w:tc>
      </w:tr>
      <w:tr>
        <w:trPr>
          <w:trHeight w:val="49"/>
        </w:trPr>
        <w:tc>
          <w:tcPr>
            <w:tcW w:w="3760" w:type="dxa"/>
            <w:vAlign w:val="bottom"/>
            <w:tcBorders>
              <w:left w:val="single" w:sz="8" w:color="auto"/>
              <w:right w:val="single" w:sz="8" w:color="auto"/>
            </w:tcBorders>
          </w:tcPr>
          <w:p>
            <w:pPr>
              <w:spacing w:after="0"/>
              <w:rPr>
                <w:sz w:val="4"/>
                <w:szCs w:val="4"/>
                <w:color w:val="auto"/>
              </w:rPr>
            </w:pPr>
          </w:p>
        </w:tc>
        <w:tc>
          <w:tcPr>
            <w:tcW w:w="3760" w:type="dxa"/>
            <w:vAlign w:val="bottom"/>
            <w:tcBorders>
              <w:right w:val="single" w:sz="8" w:color="auto"/>
            </w:tcBorders>
          </w:tcPr>
          <w:p>
            <w:pPr>
              <w:spacing w:after="0"/>
              <w:rPr>
                <w:sz w:val="4"/>
                <w:szCs w:val="4"/>
                <w:color w:val="auto"/>
              </w:rPr>
            </w:pPr>
          </w:p>
        </w:tc>
        <w:tc>
          <w:tcPr>
            <w:tcW w:w="374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value.</w:t>
            </w:r>
          </w:p>
        </w:tc>
        <w:tc>
          <w:tcPr>
            <w:tcW w:w="2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7"/>
                <w:szCs w:val="17"/>
                <w:color w:val="auto"/>
              </w:rPr>
              <w:t>•   2020 annual incentives were tied to financial</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ind w:left="300"/>
              <w:spacing w:after="0" w:line="162" w:lineRule="exact"/>
              <w:rPr>
                <w:sz w:val="20"/>
                <w:szCs w:val="20"/>
                <w:color w:val="auto"/>
              </w:rPr>
            </w:pPr>
            <w:r>
              <w:rPr>
                <w:rFonts w:ascii="Arial" w:cs="Arial" w:eastAsia="Arial" w:hAnsi="Arial"/>
                <w:sz w:val="17"/>
                <w:szCs w:val="17"/>
                <w:color w:val="auto"/>
              </w:rPr>
              <w:t>metrics (75%) and individual performance</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ind w:left="300"/>
              <w:spacing w:after="0" w:line="162" w:lineRule="exact"/>
              <w:rPr>
                <w:sz w:val="20"/>
                <w:szCs w:val="20"/>
                <w:color w:val="auto"/>
              </w:rPr>
            </w:pPr>
            <w:r>
              <w:rPr>
                <w:rFonts w:ascii="Arial" w:cs="Arial" w:eastAsia="Arial" w:hAnsi="Arial"/>
                <w:sz w:val="17"/>
                <w:szCs w:val="17"/>
                <w:color w:val="auto"/>
              </w:rPr>
              <w:t>objectives (25%).</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ind w:left="600"/>
              <w:spacing w:after="0" w:line="162" w:lineRule="exact"/>
              <w:rPr>
                <w:sz w:val="20"/>
                <w:szCs w:val="20"/>
                <w:color w:val="auto"/>
              </w:rPr>
            </w:pPr>
            <w:r>
              <w:rPr>
                <w:rFonts w:ascii="Arial" w:cs="Arial" w:eastAsia="Arial" w:hAnsi="Arial"/>
                <w:sz w:val="17"/>
                <w:szCs w:val="17"/>
                <w:color w:val="auto"/>
              </w:rPr>
              <w:t>◦   Financial metrics were based on</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rPr>
              <w:t>Designed to provide a cash incentive based on</w:t>
            </w: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bookings (25%), revenue (25%),</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7"/>
                <w:szCs w:val="17"/>
                <w:color w:val="auto"/>
              </w:rPr>
              <w:t>Annual Incentive Compensation</w:t>
            </w: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rPr>
              <w:t>annual business performance aligned with our</w:t>
            </w: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adjusted earnings before interest,</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rPr>
              <w:t>financial, strategic, and operational goals.</w:t>
            </w: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taxes and amortization (25%), and</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free cash flow (25%).*</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840" w:type="dxa"/>
            <w:vAlign w:val="bottom"/>
          </w:tcPr>
          <w:p>
            <w:pPr>
              <w:ind w:left="600"/>
              <w:spacing w:after="0" w:line="162" w:lineRule="exact"/>
              <w:rPr>
                <w:sz w:val="20"/>
                <w:szCs w:val="20"/>
                <w:color w:val="auto"/>
              </w:rPr>
            </w:pPr>
            <w:r>
              <w:rPr>
                <w:rFonts w:ascii="Arial" w:cs="Arial" w:eastAsia="Arial" w:hAnsi="Arial"/>
                <w:sz w:val="17"/>
                <w:szCs w:val="17"/>
                <w:color w:val="auto"/>
              </w:rPr>
              <w:t>◦</w:t>
            </w: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Individual performance objectives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(25%) were aligned with 2020</w:t>
            </w:r>
          </w:p>
        </w:tc>
        <w:tc>
          <w:tcPr>
            <w:tcW w:w="0" w:type="dxa"/>
            <w:vAlign w:val="bottom"/>
          </w:tcPr>
          <w:p>
            <w:pPr>
              <w:spacing w:after="0"/>
              <w:rPr>
                <w:sz w:val="1"/>
                <w:szCs w:val="1"/>
                <w:color w:val="auto"/>
              </w:rPr>
            </w:pPr>
          </w:p>
        </w:tc>
      </w:tr>
      <w:tr>
        <w:trPr>
          <w:trHeight w:val="200"/>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strategic and operational objectives.</w:t>
            </w:r>
          </w:p>
        </w:tc>
        <w:tc>
          <w:tcPr>
            <w:tcW w:w="0" w:type="dxa"/>
            <w:vAlign w:val="bottom"/>
          </w:tcPr>
          <w:p>
            <w:pPr>
              <w:spacing w:after="0"/>
              <w:rPr>
                <w:sz w:val="1"/>
                <w:szCs w:val="1"/>
                <w:color w:val="auto"/>
              </w:rPr>
            </w:pPr>
          </w:p>
        </w:tc>
      </w:tr>
      <w:tr>
        <w:trPr>
          <w:trHeight w:val="166"/>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spacing w:after="0" w:line="166" w:lineRule="exact"/>
              <w:rPr>
                <w:sz w:val="20"/>
                <w:szCs w:val="20"/>
                <w:color w:val="auto"/>
              </w:rPr>
            </w:pPr>
            <w:r>
              <w:rPr>
                <w:rFonts w:ascii="Arial" w:cs="Arial" w:eastAsia="Arial" w:hAnsi="Arial"/>
                <w:sz w:val="17"/>
                <w:szCs w:val="17"/>
                <w:color w:val="auto"/>
              </w:rPr>
              <w:t>•   The LTIP provides participants with an annual</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ind w:left="300"/>
              <w:spacing w:after="0" w:line="162" w:lineRule="exact"/>
              <w:rPr>
                <w:sz w:val="20"/>
                <w:szCs w:val="20"/>
                <w:color w:val="auto"/>
              </w:rPr>
            </w:pPr>
            <w:r>
              <w:rPr>
                <w:rFonts w:ascii="Arial" w:cs="Arial" w:eastAsia="Arial" w:hAnsi="Arial"/>
                <w:sz w:val="17"/>
                <w:szCs w:val="17"/>
                <w:color w:val="auto"/>
              </w:rPr>
              <w:t>award target distributed over a three-year</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ind w:left="300"/>
              <w:spacing w:after="0" w:line="162" w:lineRule="exact"/>
              <w:rPr>
                <w:sz w:val="20"/>
                <w:szCs w:val="20"/>
                <w:color w:val="auto"/>
              </w:rPr>
            </w:pPr>
            <w:r>
              <w:rPr>
                <w:rFonts w:ascii="Arial" w:cs="Arial" w:eastAsia="Arial" w:hAnsi="Arial"/>
                <w:sz w:val="17"/>
                <w:szCs w:val="17"/>
                <w:color w:val="auto"/>
              </w:rPr>
              <w:t>performance cycle, with earned awards paid</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ind w:left="300"/>
              <w:spacing w:after="0" w:line="162" w:lineRule="exact"/>
              <w:rPr>
                <w:sz w:val="20"/>
                <w:szCs w:val="20"/>
                <w:color w:val="auto"/>
              </w:rPr>
            </w:pPr>
            <w:r>
              <w:rPr>
                <w:rFonts w:ascii="Arial" w:cs="Arial" w:eastAsia="Arial" w:hAnsi="Arial"/>
                <w:sz w:val="17"/>
                <w:szCs w:val="17"/>
                <w:color w:val="auto"/>
              </w:rPr>
              <w:t>on an annual basis.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spacing w:after="0" w:line="162" w:lineRule="exact"/>
              <w:rPr>
                <w:sz w:val="20"/>
                <w:szCs w:val="20"/>
                <w:color w:val="auto"/>
              </w:rPr>
            </w:pPr>
            <w:r>
              <w:rPr>
                <w:rFonts w:ascii="Arial" w:cs="Arial" w:eastAsia="Arial" w:hAnsi="Arial"/>
                <w:sz w:val="17"/>
                <w:szCs w:val="17"/>
                <w:color w:val="auto"/>
              </w:rPr>
              <w:t>•   The LTIP awards earned in 2020 were based</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ind w:left="300"/>
              <w:spacing w:after="0" w:line="162" w:lineRule="exact"/>
              <w:rPr>
                <w:sz w:val="20"/>
                <w:szCs w:val="20"/>
                <w:color w:val="auto"/>
              </w:rPr>
            </w:pPr>
            <w:r>
              <w:rPr>
                <w:rFonts w:ascii="Arial" w:cs="Arial" w:eastAsia="Arial" w:hAnsi="Arial"/>
                <w:sz w:val="17"/>
                <w:szCs w:val="17"/>
                <w:color w:val="auto"/>
                <w:w w:val="97"/>
              </w:rPr>
              <w:t>on participants’ target awards granted in 2018,</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ind w:left="300"/>
              <w:spacing w:after="0" w:line="162" w:lineRule="exact"/>
              <w:rPr>
                <w:sz w:val="20"/>
                <w:szCs w:val="20"/>
                <w:color w:val="auto"/>
              </w:rPr>
            </w:pPr>
            <w:r>
              <w:rPr>
                <w:rFonts w:ascii="Arial" w:cs="Arial" w:eastAsia="Arial" w:hAnsi="Arial"/>
                <w:sz w:val="17"/>
                <w:szCs w:val="17"/>
                <w:color w:val="auto"/>
              </w:rPr>
              <w:t>2019, and 2020.</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spacing w:after="0" w:line="162" w:lineRule="exact"/>
              <w:rPr>
                <w:sz w:val="20"/>
                <w:szCs w:val="20"/>
                <w:color w:val="auto"/>
              </w:rPr>
            </w:pPr>
            <w:r>
              <w:rPr>
                <w:rFonts w:ascii="Arial" w:cs="Arial" w:eastAsia="Arial" w:hAnsi="Arial"/>
                <w:sz w:val="17"/>
                <w:szCs w:val="17"/>
                <w:color w:val="auto"/>
              </w:rPr>
              <w:t>•   The LTIP is comprised of two components: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rPr>
              <w:t>Provides our NEOs with a significant personal</w:t>
            </w:r>
          </w:p>
        </w:tc>
        <w:tc>
          <w:tcPr>
            <w:tcW w:w="3740" w:type="dxa"/>
            <w:vAlign w:val="bottom"/>
            <w:tcBorders>
              <w:right w:val="single" w:sz="8" w:color="auto"/>
            </w:tcBorders>
            <w:gridSpan w:val="2"/>
          </w:tcPr>
          <w:p>
            <w:pPr>
              <w:ind w:left="300"/>
              <w:spacing w:after="0" w:line="162" w:lineRule="exact"/>
              <w:rPr>
                <w:sz w:val="20"/>
                <w:szCs w:val="20"/>
                <w:color w:val="auto"/>
              </w:rPr>
            </w:pPr>
            <w:r>
              <w:rPr>
                <w:rFonts w:ascii="Arial" w:cs="Arial" w:eastAsia="Arial" w:hAnsi="Arial"/>
                <w:sz w:val="17"/>
                <w:szCs w:val="17"/>
                <w:color w:val="auto"/>
              </w:rPr>
              <w:t>Company performance (70%) and retention</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rPr>
              <w:t>stake in the long-term success of the business,</w:t>
            </w:r>
          </w:p>
        </w:tc>
        <w:tc>
          <w:tcPr>
            <w:tcW w:w="840" w:type="dxa"/>
            <w:vAlign w:val="bottom"/>
          </w:tcPr>
          <w:p>
            <w:pPr>
              <w:ind w:left="300"/>
              <w:spacing w:after="0" w:line="162" w:lineRule="exact"/>
              <w:rPr>
                <w:sz w:val="20"/>
                <w:szCs w:val="20"/>
                <w:color w:val="auto"/>
              </w:rPr>
            </w:pPr>
            <w:r>
              <w:rPr>
                <w:rFonts w:ascii="Arial" w:cs="Arial" w:eastAsia="Arial" w:hAnsi="Arial"/>
                <w:sz w:val="17"/>
                <w:szCs w:val="17"/>
                <w:color w:val="auto"/>
              </w:rPr>
              <w:t>(30%).</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7"/>
                <w:szCs w:val="17"/>
                <w:color w:val="auto"/>
                <w:w w:val="99"/>
              </w:rPr>
              <w:t>Long-Term Incentive Plan (“LTIP”) Compensation</w:t>
            </w: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rPr>
              <w:t>aligns the incentive to support our long-term</w:t>
            </w:r>
          </w:p>
        </w:tc>
        <w:tc>
          <w:tcPr>
            <w:tcW w:w="3740" w:type="dxa"/>
            <w:vAlign w:val="bottom"/>
            <w:tcBorders>
              <w:right w:val="single" w:sz="8" w:color="auto"/>
            </w:tcBorders>
            <w:gridSpan w:val="2"/>
          </w:tcPr>
          <w:p>
            <w:pPr>
              <w:ind w:left="600"/>
              <w:spacing w:after="0" w:line="162" w:lineRule="exact"/>
              <w:rPr>
                <w:sz w:val="20"/>
                <w:szCs w:val="20"/>
                <w:color w:val="auto"/>
              </w:rPr>
            </w:pPr>
            <w:r>
              <w:rPr>
                <w:rFonts w:ascii="Arial" w:cs="Arial" w:eastAsia="Arial" w:hAnsi="Arial"/>
                <w:sz w:val="17"/>
                <w:szCs w:val="17"/>
                <w:color w:val="auto"/>
              </w:rPr>
              <w:t>◦   Company performance component of</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w w:val="99"/>
              </w:rPr>
              <w:t>strategic goals, and facilitates the retention of key</w:t>
            </w: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w w:val="97"/>
              </w:rPr>
              <w:t>the annual target is distributed equally</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rPr>
              <w:t>talent over the long-term.</w:t>
            </w: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w w:val="97"/>
              </w:rPr>
              <w:t>over the three-year cycle and is based</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on bookings (60% weighting) and</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economic value added (40%</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weighting).*</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840" w:type="dxa"/>
            <w:vAlign w:val="bottom"/>
          </w:tcPr>
          <w:p>
            <w:pPr>
              <w:ind w:left="600"/>
              <w:spacing w:after="0" w:line="162" w:lineRule="exact"/>
              <w:rPr>
                <w:sz w:val="20"/>
                <w:szCs w:val="20"/>
                <w:color w:val="auto"/>
              </w:rPr>
            </w:pPr>
            <w:r>
              <w:rPr>
                <w:rFonts w:ascii="Arial" w:cs="Arial" w:eastAsia="Arial" w:hAnsi="Arial"/>
                <w:sz w:val="17"/>
                <w:szCs w:val="17"/>
                <w:color w:val="auto"/>
              </w:rPr>
              <w:t>◦</w:t>
            </w: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Retention component requires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continued employment for three</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years.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2"/>
          </w:tcPr>
          <w:p>
            <w:pPr>
              <w:spacing w:after="0" w:line="162" w:lineRule="exact"/>
              <w:rPr>
                <w:sz w:val="20"/>
                <w:szCs w:val="20"/>
                <w:color w:val="auto"/>
              </w:rPr>
            </w:pPr>
            <w:r>
              <w:rPr>
                <w:rFonts w:ascii="Arial" w:cs="Arial" w:eastAsia="Arial" w:hAnsi="Arial"/>
                <w:sz w:val="17"/>
                <w:szCs w:val="17"/>
                <w:color w:val="auto"/>
              </w:rPr>
              <w:t>•   Entirely cash-based plan prior to the</w:t>
            </w:r>
          </w:p>
        </w:tc>
        <w:tc>
          <w:tcPr>
            <w:tcW w:w="0" w:type="dxa"/>
            <w:vAlign w:val="bottom"/>
          </w:tcPr>
          <w:p>
            <w:pPr>
              <w:spacing w:after="0"/>
              <w:rPr>
                <w:sz w:val="1"/>
                <w:szCs w:val="1"/>
                <w:color w:val="auto"/>
              </w:rPr>
            </w:pPr>
          </w:p>
        </w:tc>
      </w:tr>
      <w:tr>
        <w:trPr>
          <w:trHeight w:val="200"/>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7"/>
                <w:szCs w:val="17"/>
                <w:color w:val="auto"/>
              </w:rPr>
              <w:t>Company’s initial public offering.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60"/>
          </w:cols>
          <w:pgMar w:left="320" w:top="1440" w:right="319" w:bottom="1440" w:gutter="0" w:footer="0" w:header="0"/>
        </w:sectPr>
      </w:pPr>
    </w:p>
    <w:bookmarkStart w:id="140" w:name="page141"/>
    <w:bookmarkEnd w:id="140"/>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760" w:type="dxa"/>
            <w:vAlign w:val="bottom"/>
            <w:tcBorders>
              <w:top w:val="single" w:sz="8" w:color="auto"/>
              <w:left w:val="single" w:sz="8" w:color="auto"/>
              <w:right w:val="single" w:sz="8" w:color="auto"/>
            </w:tcBorders>
          </w:tcPr>
          <w:p>
            <w:pPr>
              <w:spacing w:after="0"/>
              <w:rPr>
                <w:sz w:val="16"/>
                <w:szCs w:val="16"/>
                <w:color w:val="auto"/>
              </w:rPr>
            </w:pPr>
          </w:p>
        </w:tc>
        <w:tc>
          <w:tcPr>
            <w:tcW w:w="3760" w:type="dxa"/>
            <w:vAlign w:val="bottom"/>
            <w:tcBorders>
              <w:top w:val="single" w:sz="8" w:color="auto"/>
              <w:right w:val="single" w:sz="8" w:color="auto"/>
            </w:tcBorders>
          </w:tcPr>
          <w:p>
            <w:pPr>
              <w:spacing w:after="0" w:line="186" w:lineRule="exact"/>
              <w:rPr>
                <w:sz w:val="20"/>
                <w:szCs w:val="20"/>
                <w:color w:val="auto"/>
              </w:rPr>
            </w:pPr>
            <w:r>
              <w:rPr>
                <w:rFonts w:ascii="Arial" w:cs="Arial" w:eastAsia="Arial" w:hAnsi="Arial"/>
                <w:sz w:val="17"/>
                <w:szCs w:val="17"/>
                <w:color w:val="auto"/>
              </w:rPr>
              <w:t>A 401(k) Plan provides all eligible employees,</w:t>
            </w:r>
          </w:p>
        </w:tc>
        <w:tc>
          <w:tcPr>
            <w:tcW w:w="3740" w:type="dxa"/>
            <w:vAlign w:val="bottom"/>
            <w:tcBorders>
              <w:top w:val="single" w:sz="8" w:color="auto"/>
              <w:right w:val="single" w:sz="8" w:color="auto"/>
            </w:tcBorders>
          </w:tcPr>
          <w:p>
            <w:pPr>
              <w:spacing w:after="0" w:line="186" w:lineRule="exact"/>
              <w:rPr>
                <w:sz w:val="20"/>
                <w:szCs w:val="20"/>
                <w:color w:val="auto"/>
              </w:rPr>
            </w:pPr>
            <w:r>
              <w:rPr>
                <w:rFonts w:ascii="Arial" w:cs="Arial" w:eastAsia="Arial" w:hAnsi="Arial"/>
                <w:sz w:val="17"/>
                <w:szCs w:val="17"/>
                <w:color w:val="auto"/>
              </w:rPr>
              <w:t>•   401(k) Plan provides a discretionary Company</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rPr>
              <w:t>including executive officers, with the ability to set</w:t>
            </w:r>
          </w:p>
        </w:tc>
        <w:tc>
          <w:tcPr>
            <w:tcW w:w="3740" w:type="dxa"/>
            <w:vAlign w:val="bottom"/>
            <w:tcBorders>
              <w:right w:val="single" w:sz="8" w:color="auto"/>
            </w:tcBorders>
          </w:tcPr>
          <w:p>
            <w:pPr>
              <w:ind w:left="300"/>
              <w:spacing w:after="0" w:line="162" w:lineRule="exact"/>
              <w:rPr>
                <w:sz w:val="20"/>
                <w:szCs w:val="20"/>
                <w:color w:val="auto"/>
              </w:rPr>
            </w:pPr>
            <w:r>
              <w:rPr>
                <w:rFonts w:ascii="Arial" w:cs="Arial" w:eastAsia="Arial" w:hAnsi="Arial"/>
                <w:sz w:val="17"/>
                <w:szCs w:val="17"/>
                <w:color w:val="auto"/>
              </w:rPr>
              <w:t>match contribution, which is immediately</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line="162" w:lineRule="exact"/>
              <w:rPr>
                <w:sz w:val="20"/>
                <w:szCs w:val="20"/>
                <w:color w:val="auto"/>
              </w:rPr>
            </w:pPr>
            <w:r>
              <w:rPr>
                <w:rFonts w:ascii="Arial" w:cs="Arial" w:eastAsia="Arial" w:hAnsi="Arial"/>
                <w:sz w:val="17"/>
                <w:szCs w:val="17"/>
                <w:color w:val="auto"/>
              </w:rPr>
              <w:t>aside compensation on a pre-tax or Roth basis</w:t>
            </w:r>
          </w:p>
        </w:tc>
        <w:tc>
          <w:tcPr>
            <w:tcW w:w="3740" w:type="dxa"/>
            <w:vAlign w:val="bottom"/>
            <w:tcBorders>
              <w:right w:val="single" w:sz="8" w:color="auto"/>
            </w:tcBorders>
          </w:tcPr>
          <w:p>
            <w:pPr>
              <w:ind w:left="300"/>
              <w:spacing w:after="0" w:line="162" w:lineRule="exact"/>
              <w:rPr>
                <w:sz w:val="20"/>
                <w:szCs w:val="20"/>
                <w:color w:val="auto"/>
              </w:rPr>
            </w:pPr>
            <w:r>
              <w:rPr>
                <w:rFonts w:ascii="Arial" w:cs="Arial" w:eastAsia="Arial" w:hAnsi="Arial"/>
                <w:sz w:val="17"/>
                <w:szCs w:val="17"/>
                <w:color w:val="auto"/>
              </w:rPr>
              <w:t>vested.</w:t>
            </w:r>
          </w:p>
        </w:tc>
        <w:tc>
          <w:tcPr>
            <w:tcW w:w="0" w:type="dxa"/>
            <w:vAlign w:val="bottom"/>
          </w:tcPr>
          <w:p>
            <w:pPr>
              <w:spacing w:after="0"/>
              <w:rPr>
                <w:sz w:val="1"/>
                <w:szCs w:val="1"/>
                <w:color w:val="auto"/>
              </w:rPr>
            </w:pPr>
          </w:p>
        </w:tc>
      </w:tr>
      <w:tr>
        <w:trPr>
          <w:trHeight w:val="200"/>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Retirement Benefits</w:t>
            </w:r>
          </w:p>
        </w:tc>
        <w:tc>
          <w:tcPr>
            <w:tcW w:w="37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and receive competitive matching contributions.</w:t>
            </w:r>
          </w:p>
        </w:tc>
        <w:tc>
          <w:tcPr>
            <w:tcW w:w="3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Benefit accruals under the legacy frozen</w:t>
            </w:r>
          </w:p>
        </w:tc>
        <w:tc>
          <w:tcPr>
            <w:tcW w:w="0" w:type="dxa"/>
            <w:vAlign w:val="bottom"/>
          </w:tcPr>
          <w:p>
            <w:pPr>
              <w:spacing w:after="0"/>
              <w:rPr>
                <w:sz w:val="1"/>
                <w:szCs w:val="1"/>
                <w:color w:val="auto"/>
              </w:rPr>
            </w:pPr>
          </w:p>
        </w:tc>
      </w:tr>
      <w:tr>
        <w:trPr>
          <w:trHeight w:val="124"/>
        </w:trPr>
        <w:tc>
          <w:tcPr>
            <w:tcW w:w="3760" w:type="dxa"/>
            <w:vAlign w:val="bottom"/>
            <w:tcBorders>
              <w:left w:val="single" w:sz="8" w:color="auto"/>
              <w:right w:val="single" w:sz="8" w:color="auto"/>
            </w:tcBorders>
          </w:tcPr>
          <w:p>
            <w:pPr>
              <w:spacing w:after="0"/>
              <w:rPr>
                <w:sz w:val="10"/>
                <w:szCs w:val="10"/>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Certain employees participate in a legacy frozen</w:t>
            </w:r>
          </w:p>
        </w:tc>
        <w:tc>
          <w:tcPr>
            <w:tcW w:w="3740" w:type="dxa"/>
            <w:vAlign w:val="bottom"/>
            <w:tcBorders>
              <w:right w:val="single" w:sz="8" w:color="auto"/>
            </w:tcBorders>
          </w:tcPr>
          <w:p>
            <w:pPr>
              <w:ind w:left="300"/>
              <w:spacing w:after="0" w:line="124" w:lineRule="exact"/>
              <w:rPr>
                <w:sz w:val="20"/>
                <w:szCs w:val="20"/>
                <w:color w:val="auto"/>
              </w:rPr>
            </w:pPr>
            <w:r>
              <w:rPr>
                <w:rFonts w:ascii="Arial" w:cs="Arial" w:eastAsia="Arial" w:hAnsi="Arial"/>
                <w:sz w:val="13"/>
                <w:szCs w:val="13"/>
                <w:color w:val="auto"/>
              </w:rPr>
              <w:t>defined benefit pension plan for eligible</w:t>
            </w:r>
          </w:p>
        </w:tc>
        <w:tc>
          <w:tcPr>
            <w:tcW w:w="0" w:type="dxa"/>
            <w:vAlign w:val="bottom"/>
          </w:tcPr>
          <w:p>
            <w:pPr>
              <w:spacing w:after="0"/>
              <w:rPr>
                <w:sz w:val="1"/>
                <w:szCs w:val="1"/>
                <w:color w:val="auto"/>
              </w:rPr>
            </w:pPr>
          </w:p>
        </w:tc>
      </w:tr>
      <w:tr>
        <w:trPr>
          <w:trHeight w:val="100"/>
        </w:trPr>
        <w:tc>
          <w:tcPr>
            <w:tcW w:w="3760" w:type="dxa"/>
            <w:vAlign w:val="bottom"/>
            <w:tcBorders>
              <w:left w:val="single" w:sz="8" w:color="auto"/>
              <w:right w:val="single" w:sz="8" w:color="auto"/>
            </w:tcBorders>
          </w:tcPr>
          <w:p>
            <w:pPr>
              <w:spacing w:after="0"/>
              <w:rPr>
                <w:sz w:val="8"/>
                <w:szCs w:val="8"/>
                <w:color w:val="auto"/>
              </w:rPr>
            </w:pPr>
          </w:p>
        </w:tc>
        <w:tc>
          <w:tcPr>
            <w:tcW w:w="3760" w:type="dxa"/>
            <w:vAlign w:val="bottom"/>
            <w:tcBorders>
              <w:right w:val="single" w:sz="8" w:color="auto"/>
            </w:tcBorders>
            <w:vMerge w:val="continue"/>
          </w:tcPr>
          <w:p>
            <w:pPr>
              <w:spacing w:after="0"/>
              <w:rPr>
                <w:sz w:val="8"/>
                <w:szCs w:val="8"/>
                <w:color w:val="auto"/>
              </w:rPr>
            </w:pPr>
          </w:p>
        </w:tc>
        <w:tc>
          <w:tcPr>
            <w:tcW w:w="37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color w:val="auto"/>
              </w:rPr>
              <w:t>employees were frozen at the end of 2011.</w:t>
            </w:r>
          </w:p>
        </w:tc>
        <w:tc>
          <w:tcPr>
            <w:tcW w:w="0" w:type="dxa"/>
            <w:vAlign w:val="bottom"/>
          </w:tcPr>
          <w:p>
            <w:pPr>
              <w:spacing w:after="0"/>
              <w:rPr>
                <w:sz w:val="1"/>
                <w:szCs w:val="1"/>
                <w:color w:val="auto"/>
              </w:rPr>
            </w:pPr>
          </w:p>
        </w:tc>
      </w:tr>
      <w:tr>
        <w:trPr>
          <w:trHeight w:val="101"/>
        </w:trPr>
        <w:tc>
          <w:tcPr>
            <w:tcW w:w="3760" w:type="dxa"/>
            <w:vAlign w:val="bottom"/>
            <w:tcBorders>
              <w:left w:val="single" w:sz="8" w:color="auto"/>
              <w:right w:val="single" w:sz="8" w:color="auto"/>
            </w:tcBorders>
          </w:tcPr>
          <w:p>
            <w:pPr>
              <w:spacing w:after="0"/>
              <w:rPr>
                <w:sz w:val="8"/>
                <w:szCs w:val="8"/>
                <w:color w:val="auto"/>
              </w:rPr>
            </w:pPr>
          </w:p>
        </w:tc>
        <w:tc>
          <w:tcPr>
            <w:tcW w:w="37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7"/>
                <w:szCs w:val="17"/>
                <w:color w:val="auto"/>
              </w:rPr>
              <w:t>defined benefit pension plan from a prior</w:t>
            </w:r>
          </w:p>
        </w:tc>
        <w:tc>
          <w:tcPr>
            <w:tcW w:w="3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760" w:type="dxa"/>
            <w:vAlign w:val="bottom"/>
            <w:tcBorders>
              <w:left w:val="single" w:sz="8" w:color="auto"/>
              <w:right w:val="single" w:sz="8" w:color="auto"/>
            </w:tcBorders>
          </w:tcPr>
          <w:p>
            <w:pPr>
              <w:spacing w:after="0"/>
              <w:rPr>
                <w:sz w:val="5"/>
                <w:szCs w:val="5"/>
                <w:color w:val="auto"/>
              </w:rPr>
            </w:pPr>
          </w:p>
        </w:tc>
        <w:tc>
          <w:tcPr>
            <w:tcW w:w="3760" w:type="dxa"/>
            <w:vAlign w:val="bottom"/>
            <w:tcBorders>
              <w:right w:val="single" w:sz="8" w:color="auto"/>
            </w:tcBorders>
            <w:vMerge w:val="continue"/>
          </w:tcPr>
          <w:p>
            <w:pPr>
              <w:spacing w:after="0"/>
              <w:rPr>
                <w:sz w:val="5"/>
                <w:szCs w:val="5"/>
                <w:color w:val="auto"/>
              </w:rPr>
            </w:pPr>
          </w:p>
        </w:tc>
        <w:tc>
          <w:tcPr>
            <w:tcW w:w="3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acquisition.</w:t>
            </w:r>
          </w:p>
        </w:tc>
        <w:tc>
          <w:tcPr>
            <w:tcW w:w="3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6" w:lineRule="exact"/>
              <w:rPr>
                <w:sz w:val="20"/>
                <w:szCs w:val="20"/>
                <w:color w:val="auto"/>
              </w:rPr>
            </w:pPr>
            <w:r>
              <w:rPr>
                <w:rFonts w:ascii="Arial" w:cs="Arial" w:eastAsia="Arial" w:hAnsi="Arial"/>
                <w:sz w:val="17"/>
                <w:szCs w:val="17"/>
                <w:color w:val="auto"/>
              </w:rPr>
              <w:t>•   In 2020, participating executives received an</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Eligible executives participate in the Executive</w:t>
            </w:r>
          </w:p>
        </w:tc>
        <w:tc>
          <w:tcPr>
            <w:tcW w:w="3740" w:type="dxa"/>
            <w:vAlign w:val="bottom"/>
            <w:tcBorders>
              <w:right w:val="single" w:sz="8" w:color="auto"/>
            </w:tcBorders>
          </w:tcPr>
          <w:p>
            <w:pPr>
              <w:ind w:left="300"/>
              <w:spacing w:after="0" w:line="162" w:lineRule="exact"/>
              <w:rPr>
                <w:sz w:val="20"/>
                <w:szCs w:val="20"/>
                <w:color w:val="auto"/>
              </w:rPr>
            </w:pPr>
            <w:r>
              <w:rPr>
                <w:rFonts w:ascii="Arial" w:cs="Arial" w:eastAsia="Arial" w:hAnsi="Arial"/>
                <w:sz w:val="17"/>
                <w:szCs w:val="17"/>
                <w:color w:val="auto"/>
              </w:rPr>
              <w:t>annual fixed amount, paid on a bi-weekly</w:t>
            </w:r>
          </w:p>
        </w:tc>
        <w:tc>
          <w:tcPr>
            <w:tcW w:w="0" w:type="dxa"/>
            <w:vAlign w:val="bottom"/>
          </w:tcPr>
          <w:p>
            <w:pPr>
              <w:spacing w:after="0"/>
              <w:rPr>
                <w:sz w:val="1"/>
                <w:szCs w:val="1"/>
                <w:color w:val="auto"/>
              </w:rPr>
            </w:pPr>
          </w:p>
        </w:tc>
      </w:tr>
      <w:tr>
        <w:trPr>
          <w:trHeight w:val="75"/>
        </w:trPr>
        <w:tc>
          <w:tcPr>
            <w:tcW w:w="3760" w:type="dxa"/>
            <w:vAlign w:val="bottom"/>
            <w:tcBorders>
              <w:left w:val="single" w:sz="8" w:color="auto"/>
              <w:right w:val="single" w:sz="8" w:color="auto"/>
            </w:tcBorders>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300"/>
              <w:spacing w:after="0" w:line="162" w:lineRule="exact"/>
              <w:rPr>
                <w:sz w:val="20"/>
                <w:szCs w:val="20"/>
                <w:color w:val="auto"/>
              </w:rPr>
            </w:pPr>
            <w:r>
              <w:rPr>
                <w:rFonts w:ascii="Arial" w:cs="Arial" w:eastAsia="Arial" w:hAnsi="Arial"/>
                <w:sz w:val="17"/>
                <w:szCs w:val="17"/>
                <w:color w:val="auto"/>
              </w:rPr>
              <w:t>basis.</w:t>
            </w:r>
          </w:p>
        </w:tc>
        <w:tc>
          <w:tcPr>
            <w:tcW w:w="0" w:type="dxa"/>
            <w:vAlign w:val="bottom"/>
          </w:tcPr>
          <w:p>
            <w:pPr>
              <w:spacing w:after="0"/>
              <w:rPr>
                <w:sz w:val="1"/>
                <w:szCs w:val="1"/>
                <w:color w:val="auto"/>
              </w:rPr>
            </w:pPr>
          </w:p>
        </w:tc>
      </w:tr>
      <w:tr>
        <w:trPr>
          <w:trHeight w:val="87"/>
        </w:trPr>
        <w:tc>
          <w:tcPr>
            <w:tcW w:w="3760" w:type="dxa"/>
            <w:vAlign w:val="bottom"/>
            <w:tcBorders>
              <w:left w:val="single" w:sz="8" w:color="auto"/>
              <w:right w:val="single" w:sz="8" w:color="auto"/>
            </w:tcBorders>
          </w:tcPr>
          <w:p>
            <w:pPr>
              <w:spacing w:after="0"/>
              <w:rPr>
                <w:sz w:val="7"/>
                <w:szCs w:val="7"/>
                <w:color w:val="auto"/>
              </w:rPr>
            </w:pPr>
          </w:p>
        </w:tc>
        <w:tc>
          <w:tcPr>
            <w:tcW w:w="37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7"/>
                <w:szCs w:val="17"/>
                <w:color w:val="auto"/>
                <w:w w:val="99"/>
              </w:rPr>
              <w:t>Allowance Program. This allowance program was</w:t>
            </w:r>
          </w:p>
        </w:tc>
        <w:tc>
          <w:tcPr>
            <w:tcW w:w="3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760" w:type="dxa"/>
            <w:vAlign w:val="bottom"/>
            <w:tcBorders>
              <w:left w:val="single" w:sz="8" w:color="auto"/>
              <w:right w:val="single" w:sz="8" w:color="auto"/>
            </w:tcBorders>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   The allowance covered expenses associated</w:t>
            </w:r>
          </w:p>
        </w:tc>
        <w:tc>
          <w:tcPr>
            <w:tcW w:w="0" w:type="dxa"/>
            <w:vAlign w:val="bottom"/>
          </w:tcPr>
          <w:p>
            <w:pPr>
              <w:spacing w:after="0"/>
              <w:rPr>
                <w:sz w:val="1"/>
                <w:szCs w:val="1"/>
                <w:color w:val="auto"/>
              </w:rPr>
            </w:pPr>
          </w:p>
        </w:tc>
      </w:tr>
      <w:tr>
        <w:trPr>
          <w:trHeight w:val="150"/>
        </w:trPr>
        <w:tc>
          <w:tcPr>
            <w:tcW w:w="376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7"/>
                <w:szCs w:val="17"/>
                <w:color w:val="auto"/>
              </w:rPr>
              <w:t>Limited Executive Perquisites</w:t>
            </w:r>
          </w:p>
        </w:tc>
        <w:tc>
          <w:tcPr>
            <w:tcW w:w="3760" w:type="dxa"/>
            <w:vAlign w:val="bottom"/>
            <w:tcBorders>
              <w:right w:val="single" w:sz="8" w:color="auto"/>
            </w:tcBorders>
          </w:tcPr>
          <w:p>
            <w:pPr>
              <w:spacing w:after="0" w:line="150" w:lineRule="exact"/>
              <w:rPr>
                <w:sz w:val="20"/>
                <w:szCs w:val="20"/>
                <w:color w:val="auto"/>
              </w:rPr>
            </w:pPr>
            <w:r>
              <w:rPr>
                <w:rFonts w:ascii="Arial" w:cs="Arial" w:eastAsia="Arial" w:hAnsi="Arial"/>
                <w:sz w:val="17"/>
                <w:szCs w:val="17"/>
                <w:color w:val="auto"/>
              </w:rPr>
              <w:t>designed to provide limited benefits to assist with</w:t>
            </w:r>
          </w:p>
        </w:tc>
        <w:tc>
          <w:tcPr>
            <w:tcW w:w="3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760" w:type="dxa"/>
            <w:vAlign w:val="bottom"/>
            <w:tcBorders>
              <w:left w:val="single" w:sz="8" w:color="auto"/>
              <w:right w:val="single" w:sz="8" w:color="auto"/>
            </w:tcBorders>
          </w:tcPr>
          <w:p>
            <w:pPr>
              <w:spacing w:after="0"/>
              <w:rPr>
                <w:sz w:val="8"/>
                <w:szCs w:val="8"/>
                <w:color w:val="auto"/>
              </w:rPr>
            </w:pPr>
          </w:p>
        </w:tc>
        <w:tc>
          <w:tcPr>
            <w:tcW w:w="3760" w:type="dxa"/>
            <w:vAlign w:val="bottom"/>
            <w:tcBorders>
              <w:right w:val="single" w:sz="8" w:color="auto"/>
            </w:tcBorders>
            <w:vMerge w:val="restart"/>
          </w:tcPr>
          <w:p>
            <w:pPr>
              <w:spacing w:after="0" w:line="173" w:lineRule="exact"/>
              <w:rPr>
                <w:sz w:val="20"/>
                <w:szCs w:val="20"/>
                <w:color w:val="auto"/>
              </w:rPr>
            </w:pPr>
            <w:r>
              <w:rPr>
                <w:rFonts w:ascii="Arial" w:cs="Arial" w:eastAsia="Arial" w:hAnsi="Arial"/>
                <w:sz w:val="17"/>
                <w:szCs w:val="17"/>
                <w:color w:val="auto"/>
              </w:rPr>
              <w:t>costs associated with personal, physical, and</w:t>
            </w:r>
          </w:p>
        </w:tc>
        <w:tc>
          <w:tcPr>
            <w:tcW w:w="3740" w:type="dxa"/>
            <w:vAlign w:val="bottom"/>
            <w:tcBorders>
              <w:right w:val="single" w:sz="8" w:color="auto"/>
            </w:tcBorders>
          </w:tcPr>
          <w:p>
            <w:pPr>
              <w:ind w:left="300"/>
              <w:spacing w:after="0" w:line="99" w:lineRule="exact"/>
              <w:rPr>
                <w:sz w:val="20"/>
                <w:szCs w:val="20"/>
                <w:color w:val="auto"/>
              </w:rPr>
            </w:pPr>
            <w:r>
              <w:rPr>
                <w:rFonts w:ascii="Arial" w:cs="Arial" w:eastAsia="Arial" w:hAnsi="Arial"/>
                <w:sz w:val="11"/>
                <w:szCs w:val="11"/>
                <w:color w:val="auto"/>
              </w:rPr>
              <w:t>with such needs as executive physical exams,</w:t>
            </w:r>
          </w:p>
        </w:tc>
        <w:tc>
          <w:tcPr>
            <w:tcW w:w="0" w:type="dxa"/>
            <w:vAlign w:val="bottom"/>
          </w:tcPr>
          <w:p>
            <w:pPr>
              <w:spacing w:after="0"/>
              <w:rPr>
                <w:sz w:val="1"/>
                <w:szCs w:val="1"/>
                <w:color w:val="auto"/>
              </w:rPr>
            </w:pPr>
          </w:p>
        </w:tc>
      </w:tr>
      <w:tr>
        <w:trPr>
          <w:trHeight w:val="75"/>
        </w:trPr>
        <w:tc>
          <w:tcPr>
            <w:tcW w:w="3760" w:type="dxa"/>
            <w:vAlign w:val="bottom"/>
            <w:tcBorders>
              <w:left w:val="single" w:sz="8" w:color="auto"/>
              <w:right w:val="single" w:sz="8" w:color="auto"/>
            </w:tcBorders>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300"/>
              <w:spacing w:after="0" w:line="162" w:lineRule="exact"/>
              <w:rPr>
                <w:sz w:val="20"/>
                <w:szCs w:val="20"/>
                <w:color w:val="auto"/>
              </w:rPr>
            </w:pPr>
            <w:r>
              <w:rPr>
                <w:rFonts w:ascii="Arial" w:cs="Arial" w:eastAsia="Arial" w:hAnsi="Arial"/>
                <w:sz w:val="17"/>
                <w:szCs w:val="17"/>
                <w:color w:val="auto"/>
              </w:rPr>
              <w:t>life insurance, disability and/or liability</w:t>
            </w:r>
          </w:p>
        </w:tc>
        <w:tc>
          <w:tcPr>
            <w:tcW w:w="0" w:type="dxa"/>
            <w:vAlign w:val="bottom"/>
          </w:tcPr>
          <w:p>
            <w:pPr>
              <w:spacing w:after="0"/>
              <w:rPr>
                <w:sz w:val="1"/>
                <w:szCs w:val="1"/>
                <w:color w:val="auto"/>
              </w:rPr>
            </w:pPr>
          </w:p>
        </w:tc>
      </w:tr>
      <w:tr>
        <w:trPr>
          <w:trHeight w:val="87"/>
        </w:trPr>
        <w:tc>
          <w:tcPr>
            <w:tcW w:w="3760" w:type="dxa"/>
            <w:vAlign w:val="bottom"/>
            <w:tcBorders>
              <w:left w:val="single" w:sz="8" w:color="auto"/>
              <w:right w:val="single" w:sz="8" w:color="auto"/>
            </w:tcBorders>
          </w:tcPr>
          <w:p>
            <w:pPr>
              <w:spacing w:after="0"/>
              <w:rPr>
                <w:sz w:val="7"/>
                <w:szCs w:val="7"/>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fiscal fitness.</w:t>
            </w:r>
          </w:p>
        </w:tc>
        <w:tc>
          <w:tcPr>
            <w:tcW w:w="3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760" w:type="dxa"/>
            <w:vAlign w:val="bottom"/>
            <w:tcBorders>
              <w:left w:val="single" w:sz="8" w:color="auto"/>
              <w:right w:val="single" w:sz="8" w:color="auto"/>
            </w:tcBorders>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ind w:left="300"/>
              <w:spacing w:after="0" w:line="162" w:lineRule="exact"/>
              <w:rPr>
                <w:sz w:val="20"/>
                <w:szCs w:val="20"/>
                <w:color w:val="auto"/>
              </w:rPr>
            </w:pPr>
            <w:r>
              <w:rPr>
                <w:rFonts w:ascii="Arial" w:cs="Arial" w:eastAsia="Arial" w:hAnsi="Arial"/>
                <w:sz w:val="17"/>
                <w:szCs w:val="17"/>
                <w:color w:val="auto"/>
              </w:rPr>
              <w:t>insurance, tax preparation services, financial</w:t>
            </w:r>
          </w:p>
        </w:tc>
        <w:tc>
          <w:tcPr>
            <w:tcW w:w="0" w:type="dxa"/>
            <w:vAlign w:val="bottom"/>
          </w:tcPr>
          <w:p>
            <w:pPr>
              <w:spacing w:after="0"/>
              <w:rPr>
                <w:sz w:val="1"/>
                <w:szCs w:val="1"/>
                <w:color w:val="auto"/>
              </w:rPr>
            </w:pPr>
          </w:p>
        </w:tc>
      </w:tr>
      <w:tr>
        <w:trPr>
          <w:trHeight w:val="49"/>
        </w:trPr>
        <w:tc>
          <w:tcPr>
            <w:tcW w:w="3760" w:type="dxa"/>
            <w:vAlign w:val="bottom"/>
            <w:tcBorders>
              <w:left w:val="single" w:sz="8" w:color="auto"/>
              <w:right w:val="single" w:sz="8" w:color="auto"/>
            </w:tcBorders>
          </w:tcPr>
          <w:p>
            <w:pPr>
              <w:spacing w:after="0"/>
              <w:rPr>
                <w:sz w:val="4"/>
                <w:szCs w:val="4"/>
                <w:color w:val="auto"/>
              </w:rPr>
            </w:pPr>
          </w:p>
        </w:tc>
        <w:tc>
          <w:tcPr>
            <w:tcW w:w="3760" w:type="dxa"/>
            <w:vAlign w:val="bottom"/>
            <w:tcBorders>
              <w:right w:val="single" w:sz="8" w:color="auto"/>
            </w:tcBorders>
          </w:tcPr>
          <w:p>
            <w:pPr>
              <w:spacing w:after="0"/>
              <w:rPr>
                <w:sz w:val="4"/>
                <w:szCs w:val="4"/>
                <w:color w:val="auto"/>
              </w:rPr>
            </w:pPr>
          </w:p>
        </w:tc>
        <w:tc>
          <w:tcPr>
            <w:tcW w:w="3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7"/>
                <w:szCs w:val="17"/>
                <w:color w:val="auto"/>
              </w:rPr>
              <w:t>planning.</w:t>
            </w:r>
          </w:p>
        </w:tc>
        <w:tc>
          <w:tcPr>
            <w:tcW w:w="0" w:type="dxa"/>
            <w:vAlign w:val="bottom"/>
          </w:tcPr>
          <w:p>
            <w:pPr>
              <w:spacing w:after="0"/>
              <w:rPr>
                <w:sz w:val="1"/>
                <w:szCs w:val="1"/>
                <w:color w:val="auto"/>
              </w:rPr>
            </w:pPr>
          </w:p>
        </w:tc>
      </w:tr>
      <w:tr>
        <w:trPr>
          <w:trHeight w:val="166"/>
        </w:trPr>
        <w:tc>
          <w:tcPr>
            <w:tcW w:w="376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The Change in Control Agreement is intended to</w:t>
            </w:r>
          </w:p>
        </w:tc>
        <w:tc>
          <w:tcPr>
            <w:tcW w:w="3740" w:type="dxa"/>
            <w:vAlign w:val="bottom"/>
            <w:tcBorders>
              <w:right w:val="single" w:sz="8" w:color="auto"/>
            </w:tcBorders>
          </w:tcPr>
          <w:p>
            <w:pPr>
              <w:spacing w:after="0" w:line="166" w:lineRule="exact"/>
              <w:rPr>
                <w:sz w:val="20"/>
                <w:szCs w:val="20"/>
                <w:color w:val="auto"/>
              </w:rPr>
            </w:pPr>
            <w:r>
              <w:rPr>
                <w:rFonts w:ascii="Arial" w:cs="Arial" w:eastAsia="Arial" w:hAnsi="Arial"/>
                <w:sz w:val="17"/>
                <w:szCs w:val="17"/>
                <w:color w:val="auto"/>
              </w:rPr>
              <w:t>•   The Change in Control Agreements provide</w:t>
            </w:r>
          </w:p>
        </w:tc>
        <w:tc>
          <w:tcPr>
            <w:tcW w:w="0" w:type="dxa"/>
            <w:vAlign w:val="bottom"/>
          </w:tcPr>
          <w:p>
            <w:pPr>
              <w:spacing w:after="0"/>
              <w:rPr>
                <w:sz w:val="1"/>
                <w:szCs w:val="1"/>
                <w:color w:val="auto"/>
              </w:rPr>
            </w:pPr>
          </w:p>
        </w:tc>
      </w:tr>
      <w:tr>
        <w:trPr>
          <w:trHeight w:val="75"/>
        </w:trPr>
        <w:tc>
          <w:tcPr>
            <w:tcW w:w="3760" w:type="dxa"/>
            <w:vAlign w:val="bottom"/>
            <w:tcBorders>
              <w:left w:val="single" w:sz="8" w:color="auto"/>
              <w:right w:val="single" w:sz="8" w:color="auto"/>
            </w:tcBorders>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300"/>
              <w:spacing w:after="0" w:line="162" w:lineRule="exact"/>
              <w:rPr>
                <w:sz w:val="20"/>
                <w:szCs w:val="20"/>
                <w:color w:val="auto"/>
              </w:rPr>
            </w:pPr>
            <w:r>
              <w:rPr>
                <w:rFonts w:ascii="Arial" w:cs="Arial" w:eastAsia="Arial" w:hAnsi="Arial"/>
                <w:sz w:val="17"/>
                <w:szCs w:val="17"/>
                <w:color w:val="auto"/>
              </w:rPr>
              <w:t>“double-trigger” severance if an executive’s</w:t>
            </w:r>
          </w:p>
        </w:tc>
        <w:tc>
          <w:tcPr>
            <w:tcW w:w="0" w:type="dxa"/>
            <w:vAlign w:val="bottom"/>
          </w:tcPr>
          <w:p>
            <w:pPr>
              <w:spacing w:after="0"/>
              <w:rPr>
                <w:sz w:val="1"/>
                <w:szCs w:val="1"/>
                <w:color w:val="auto"/>
              </w:rPr>
            </w:pPr>
          </w:p>
        </w:tc>
      </w:tr>
      <w:tr>
        <w:trPr>
          <w:trHeight w:val="87"/>
        </w:trPr>
        <w:tc>
          <w:tcPr>
            <w:tcW w:w="3760" w:type="dxa"/>
            <w:vAlign w:val="bottom"/>
            <w:tcBorders>
              <w:left w:val="single" w:sz="8" w:color="auto"/>
              <w:right w:val="single" w:sz="8" w:color="auto"/>
            </w:tcBorders>
          </w:tcPr>
          <w:p>
            <w:pPr>
              <w:spacing w:after="0"/>
              <w:rPr>
                <w:sz w:val="7"/>
                <w:szCs w:val="7"/>
                <w:color w:val="auto"/>
              </w:rPr>
            </w:pPr>
          </w:p>
        </w:tc>
        <w:tc>
          <w:tcPr>
            <w:tcW w:w="37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7"/>
                <w:szCs w:val="17"/>
                <w:color w:val="auto"/>
                <w:w w:val="99"/>
              </w:rPr>
              <w:t>retain qualified executives, maintain a stable work</w:t>
            </w:r>
          </w:p>
        </w:tc>
        <w:tc>
          <w:tcPr>
            <w:tcW w:w="3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760" w:type="dxa"/>
            <w:vAlign w:val="bottom"/>
            <w:tcBorders>
              <w:left w:val="single" w:sz="8" w:color="auto"/>
              <w:right w:val="single" w:sz="8" w:color="auto"/>
            </w:tcBorders>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300"/>
              <w:spacing w:after="0" w:line="162" w:lineRule="exact"/>
              <w:rPr>
                <w:sz w:val="20"/>
                <w:szCs w:val="20"/>
                <w:color w:val="auto"/>
              </w:rPr>
            </w:pPr>
            <w:r>
              <w:rPr>
                <w:rFonts w:ascii="Arial" w:cs="Arial" w:eastAsia="Arial" w:hAnsi="Arial"/>
                <w:sz w:val="17"/>
                <w:szCs w:val="17"/>
                <w:color w:val="auto"/>
              </w:rPr>
              <w:t>employment is terminated by the Company</w:t>
            </w:r>
          </w:p>
        </w:tc>
        <w:tc>
          <w:tcPr>
            <w:tcW w:w="0" w:type="dxa"/>
            <w:vAlign w:val="bottom"/>
          </w:tcPr>
          <w:p>
            <w:pPr>
              <w:spacing w:after="0"/>
              <w:rPr>
                <w:sz w:val="1"/>
                <w:szCs w:val="1"/>
                <w:color w:val="auto"/>
              </w:rPr>
            </w:pPr>
          </w:p>
        </w:tc>
      </w:tr>
      <w:tr>
        <w:trPr>
          <w:trHeight w:val="87"/>
        </w:trPr>
        <w:tc>
          <w:tcPr>
            <w:tcW w:w="3760" w:type="dxa"/>
            <w:vAlign w:val="bottom"/>
            <w:tcBorders>
              <w:left w:val="single" w:sz="8" w:color="auto"/>
              <w:right w:val="single" w:sz="8" w:color="auto"/>
            </w:tcBorders>
            <w:vMerge w:val="restart"/>
          </w:tcPr>
          <w:p>
            <w:pPr>
              <w:ind w:left="20"/>
              <w:spacing w:after="0" w:line="162" w:lineRule="exact"/>
              <w:rPr>
                <w:sz w:val="20"/>
                <w:szCs w:val="20"/>
                <w:color w:val="auto"/>
              </w:rPr>
            </w:pPr>
            <w:r>
              <w:rPr>
                <w:rFonts w:ascii="Arial" w:cs="Arial" w:eastAsia="Arial" w:hAnsi="Arial"/>
                <w:sz w:val="17"/>
                <w:szCs w:val="17"/>
                <w:color w:val="auto"/>
              </w:rPr>
              <w:t>Double-Trigger Change in Control Benefits</w:t>
            </w:r>
          </w:p>
        </w:tc>
        <w:tc>
          <w:tcPr>
            <w:tcW w:w="37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7"/>
                <w:szCs w:val="17"/>
                <w:color w:val="auto"/>
                <w:w w:val="98"/>
              </w:rPr>
              <w:t>environment, and provide economic security in the</w:t>
            </w:r>
          </w:p>
        </w:tc>
        <w:tc>
          <w:tcPr>
            <w:tcW w:w="3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760" w:type="dxa"/>
            <w:vAlign w:val="bottom"/>
            <w:tcBorders>
              <w:left w:val="single" w:sz="8" w:color="auto"/>
              <w:right w:val="single" w:sz="8" w:color="auto"/>
            </w:tcBorders>
            <w:vMerge w:val="continue"/>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300"/>
              <w:spacing w:after="0" w:line="162" w:lineRule="exact"/>
              <w:rPr>
                <w:sz w:val="20"/>
                <w:szCs w:val="20"/>
                <w:color w:val="auto"/>
              </w:rPr>
            </w:pPr>
            <w:r>
              <w:rPr>
                <w:rFonts w:ascii="Arial" w:cs="Arial" w:eastAsia="Arial" w:hAnsi="Arial"/>
                <w:sz w:val="17"/>
                <w:szCs w:val="17"/>
                <w:color w:val="auto"/>
              </w:rPr>
              <w:t>without cause or by the executive for good</w:t>
            </w:r>
          </w:p>
        </w:tc>
        <w:tc>
          <w:tcPr>
            <w:tcW w:w="0" w:type="dxa"/>
            <w:vAlign w:val="bottom"/>
          </w:tcPr>
          <w:p>
            <w:pPr>
              <w:spacing w:after="0"/>
              <w:rPr>
                <w:sz w:val="1"/>
                <w:szCs w:val="1"/>
                <w:color w:val="auto"/>
              </w:rPr>
            </w:pPr>
          </w:p>
        </w:tc>
      </w:tr>
      <w:tr>
        <w:trPr>
          <w:trHeight w:val="87"/>
        </w:trPr>
        <w:tc>
          <w:tcPr>
            <w:tcW w:w="3760" w:type="dxa"/>
            <w:vAlign w:val="bottom"/>
            <w:tcBorders>
              <w:left w:val="single" w:sz="8" w:color="auto"/>
              <w:right w:val="single" w:sz="8" w:color="auto"/>
            </w:tcBorders>
          </w:tcPr>
          <w:p>
            <w:pPr>
              <w:spacing w:after="0"/>
              <w:rPr>
                <w:sz w:val="7"/>
                <w:szCs w:val="7"/>
                <w:color w:val="auto"/>
              </w:rPr>
            </w:pPr>
          </w:p>
        </w:tc>
        <w:tc>
          <w:tcPr>
            <w:tcW w:w="37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7"/>
                <w:szCs w:val="17"/>
                <w:color w:val="auto"/>
              </w:rPr>
              <w:t>event of certain terminations of employment as a</w:t>
            </w:r>
          </w:p>
        </w:tc>
        <w:tc>
          <w:tcPr>
            <w:tcW w:w="3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760" w:type="dxa"/>
            <w:vAlign w:val="bottom"/>
            <w:tcBorders>
              <w:left w:val="single" w:sz="8" w:color="auto"/>
              <w:right w:val="single" w:sz="8" w:color="auto"/>
            </w:tcBorders>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300"/>
              <w:spacing w:after="0" w:line="162" w:lineRule="exact"/>
              <w:rPr>
                <w:sz w:val="20"/>
                <w:szCs w:val="20"/>
                <w:color w:val="auto"/>
              </w:rPr>
            </w:pPr>
            <w:r>
              <w:rPr>
                <w:rFonts w:ascii="Arial" w:cs="Arial" w:eastAsia="Arial" w:hAnsi="Arial"/>
                <w:sz w:val="17"/>
                <w:szCs w:val="17"/>
                <w:color w:val="auto"/>
                <w:w w:val="99"/>
              </w:rPr>
              <w:t>reason within two years following a change in</w:t>
            </w:r>
          </w:p>
        </w:tc>
        <w:tc>
          <w:tcPr>
            <w:tcW w:w="0" w:type="dxa"/>
            <w:vAlign w:val="bottom"/>
          </w:tcPr>
          <w:p>
            <w:pPr>
              <w:spacing w:after="0"/>
              <w:rPr>
                <w:sz w:val="1"/>
                <w:szCs w:val="1"/>
                <w:color w:val="auto"/>
              </w:rPr>
            </w:pPr>
          </w:p>
        </w:tc>
      </w:tr>
      <w:tr>
        <w:trPr>
          <w:trHeight w:val="87"/>
        </w:trPr>
        <w:tc>
          <w:tcPr>
            <w:tcW w:w="3760" w:type="dxa"/>
            <w:vAlign w:val="bottom"/>
            <w:tcBorders>
              <w:left w:val="single" w:sz="8" w:color="auto"/>
              <w:right w:val="single" w:sz="8" w:color="auto"/>
            </w:tcBorders>
          </w:tcPr>
          <w:p>
            <w:pPr>
              <w:spacing w:after="0"/>
              <w:rPr>
                <w:sz w:val="7"/>
                <w:szCs w:val="7"/>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result of a change in control.</w:t>
            </w:r>
          </w:p>
        </w:tc>
        <w:tc>
          <w:tcPr>
            <w:tcW w:w="3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760" w:type="dxa"/>
            <w:vAlign w:val="bottom"/>
            <w:tcBorders>
              <w:left w:val="single" w:sz="8" w:color="auto"/>
              <w:right w:val="single" w:sz="8" w:color="auto"/>
            </w:tcBorders>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color w:val="auto"/>
              </w:rPr>
              <w:t>control.</w:t>
            </w:r>
          </w:p>
        </w:tc>
        <w:tc>
          <w:tcPr>
            <w:tcW w:w="0" w:type="dxa"/>
            <w:vAlign w:val="bottom"/>
          </w:tcPr>
          <w:p>
            <w:pPr>
              <w:spacing w:after="0"/>
              <w:rPr>
                <w:sz w:val="1"/>
                <w:szCs w:val="1"/>
                <w:color w:val="auto"/>
              </w:rPr>
            </w:pPr>
          </w:p>
        </w:tc>
      </w:tr>
      <w:tr>
        <w:trPr>
          <w:trHeight w:val="87"/>
        </w:trPr>
        <w:tc>
          <w:tcPr>
            <w:tcW w:w="3760" w:type="dxa"/>
            <w:vAlign w:val="bottom"/>
            <w:tcBorders>
              <w:left w:val="single" w:sz="8" w:color="auto"/>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00" w:hanging="300"/>
        <w:spacing w:after="0"/>
        <w:tabs>
          <w:tab w:leader="none" w:pos="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Certain of the Company performance metrics are non-GAAP measures, as discussed in more detail under “Components of Compensation Program” below.</w:t>
      </w:r>
    </w:p>
    <w:p>
      <w:pPr>
        <w:spacing w:after="0" w:line="148"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80" w:type="dxa"/>
            <w:vAlign w:val="bottom"/>
          </w:tcPr>
          <w:p>
            <w:pPr>
              <w:spacing w:after="0"/>
              <w:rPr>
                <w:sz w:val="21"/>
                <w:szCs w:val="21"/>
                <w:color w:val="auto"/>
              </w:rPr>
            </w:pPr>
          </w:p>
        </w:tc>
        <w:tc>
          <w:tcPr>
            <w:tcW w:w="1660" w:type="dxa"/>
            <w:vAlign w:val="bottom"/>
          </w:tcPr>
          <w:p>
            <w:pPr>
              <w:ind w:left="700"/>
              <w:spacing w:after="0"/>
              <w:rPr>
                <w:sz w:val="20"/>
                <w:szCs w:val="20"/>
                <w:color w:val="auto"/>
              </w:rPr>
            </w:pPr>
            <w:r>
              <w:rPr>
                <w:rFonts w:ascii="Arial" w:cs="Arial" w:eastAsia="Arial" w:hAnsi="Arial"/>
                <w:sz w:val="20"/>
                <w:szCs w:val="20"/>
                <w:b w:val="1"/>
                <w:bCs w:val="1"/>
                <w:color w:val="auto"/>
              </w:rPr>
              <w:t>CEO</w:t>
            </w:r>
          </w:p>
        </w:tc>
        <w:tc>
          <w:tcPr>
            <w:tcW w:w="16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140" w:type="dxa"/>
            <w:vAlign w:val="bottom"/>
            <w:gridSpan w:val="3"/>
          </w:tcPr>
          <w:p>
            <w:pPr>
              <w:ind w:left="40"/>
              <w:spacing w:after="0"/>
              <w:rPr>
                <w:sz w:val="20"/>
                <w:szCs w:val="20"/>
                <w:color w:val="auto"/>
              </w:rPr>
            </w:pPr>
            <w:r>
              <w:rPr>
                <w:rFonts w:ascii="Arial" w:cs="Arial" w:eastAsia="Arial" w:hAnsi="Arial"/>
                <w:sz w:val="20"/>
                <w:szCs w:val="20"/>
                <w:b w:val="1"/>
                <w:bCs w:val="1"/>
                <w:color w:val="auto"/>
                <w:w w:val="98"/>
              </w:rPr>
              <w:t>Other NEOs - Average</w:t>
            </w:r>
          </w:p>
        </w:tc>
        <w:tc>
          <w:tcPr>
            <w:tcW w:w="1380" w:type="dxa"/>
            <w:vAlign w:val="bottom"/>
          </w:tcPr>
          <w:p>
            <w:pPr>
              <w:spacing w:after="0"/>
              <w:rPr>
                <w:sz w:val="21"/>
                <w:szCs w:val="21"/>
                <w:color w:val="auto"/>
              </w:rPr>
            </w:pPr>
          </w:p>
        </w:tc>
      </w:tr>
      <w:tr>
        <w:trPr>
          <w:trHeight w:val="204"/>
        </w:trPr>
        <w:tc>
          <w:tcPr>
            <w:tcW w:w="1480" w:type="dxa"/>
            <w:vAlign w:val="bottom"/>
          </w:tcPr>
          <w:p>
            <w:pPr>
              <w:jc w:val="center"/>
              <w:spacing w:after="0" w:line="205" w:lineRule="exact"/>
              <w:rPr>
                <w:sz w:val="20"/>
                <w:szCs w:val="20"/>
                <w:color w:val="auto"/>
              </w:rPr>
            </w:pPr>
            <w:r>
              <w:rPr>
                <w:rFonts w:ascii="Arial" w:cs="Arial" w:eastAsia="Arial" w:hAnsi="Arial"/>
                <w:sz w:val="20"/>
                <w:szCs w:val="20"/>
                <w:b w:val="1"/>
                <w:bCs w:val="1"/>
                <w:color w:val="auto"/>
                <w:w w:val="98"/>
              </w:rPr>
              <w:t>Base Salary</w:t>
            </w:r>
          </w:p>
        </w:tc>
        <w:tc>
          <w:tcPr>
            <w:tcW w:w="1660" w:type="dxa"/>
            <w:vAlign w:val="bottom"/>
          </w:tcPr>
          <w:p>
            <w:pPr>
              <w:jc w:val="center"/>
              <w:spacing w:after="0" w:line="205" w:lineRule="exact"/>
              <w:rPr>
                <w:sz w:val="20"/>
                <w:szCs w:val="20"/>
                <w:color w:val="auto"/>
              </w:rPr>
            </w:pPr>
            <w:r>
              <w:rPr>
                <w:rFonts w:ascii="Arial" w:cs="Arial" w:eastAsia="Arial" w:hAnsi="Arial"/>
                <w:sz w:val="20"/>
                <w:szCs w:val="20"/>
                <w:b w:val="1"/>
                <w:bCs w:val="1"/>
                <w:color w:val="auto"/>
                <w:w w:val="99"/>
              </w:rPr>
              <w:t>Annual Cash</w:t>
            </w:r>
          </w:p>
        </w:tc>
        <w:tc>
          <w:tcPr>
            <w:tcW w:w="1660" w:type="dxa"/>
            <w:vAlign w:val="bottom"/>
          </w:tcPr>
          <w:p>
            <w:pPr>
              <w:jc w:val="center"/>
              <w:spacing w:after="0" w:line="205" w:lineRule="exact"/>
              <w:rPr>
                <w:sz w:val="20"/>
                <w:szCs w:val="20"/>
                <w:color w:val="auto"/>
              </w:rPr>
            </w:pPr>
            <w:r>
              <w:rPr>
                <w:rFonts w:ascii="Arial" w:cs="Arial" w:eastAsia="Arial" w:hAnsi="Arial"/>
                <w:sz w:val="20"/>
                <w:szCs w:val="20"/>
                <w:b w:val="1"/>
                <w:bCs w:val="1"/>
                <w:color w:val="auto"/>
                <w:w w:val="97"/>
              </w:rPr>
              <w:t>Long-Term</w:t>
            </w:r>
          </w:p>
        </w:tc>
        <w:tc>
          <w:tcPr>
            <w:tcW w:w="1560" w:type="dxa"/>
            <w:vAlign w:val="bottom"/>
          </w:tcPr>
          <w:p>
            <w:pPr>
              <w:spacing w:after="0"/>
              <w:rPr>
                <w:sz w:val="17"/>
                <w:szCs w:val="17"/>
                <w:color w:val="auto"/>
              </w:rPr>
            </w:pPr>
          </w:p>
        </w:tc>
        <w:tc>
          <w:tcPr>
            <w:tcW w:w="1360" w:type="dxa"/>
            <w:vAlign w:val="bottom"/>
          </w:tcPr>
          <w:p>
            <w:pPr>
              <w:jc w:val="center"/>
              <w:ind w:left="40"/>
              <w:spacing w:after="0" w:line="205" w:lineRule="exact"/>
              <w:rPr>
                <w:sz w:val="20"/>
                <w:szCs w:val="20"/>
                <w:color w:val="auto"/>
              </w:rPr>
            </w:pPr>
            <w:r>
              <w:rPr>
                <w:rFonts w:ascii="Arial" w:cs="Arial" w:eastAsia="Arial" w:hAnsi="Arial"/>
                <w:sz w:val="20"/>
                <w:szCs w:val="20"/>
                <w:b w:val="1"/>
                <w:bCs w:val="1"/>
                <w:color w:val="auto"/>
              </w:rPr>
              <w:t>Base Salary</w:t>
            </w:r>
          </w:p>
        </w:tc>
        <w:tc>
          <w:tcPr>
            <w:tcW w:w="140" w:type="dxa"/>
            <w:vAlign w:val="bottom"/>
          </w:tcPr>
          <w:p>
            <w:pPr>
              <w:spacing w:after="0"/>
              <w:rPr>
                <w:sz w:val="17"/>
                <w:szCs w:val="17"/>
                <w:color w:val="auto"/>
              </w:rPr>
            </w:pPr>
          </w:p>
        </w:tc>
        <w:tc>
          <w:tcPr>
            <w:tcW w:w="2000" w:type="dxa"/>
            <w:vAlign w:val="bottom"/>
            <w:gridSpan w:val="2"/>
          </w:tcPr>
          <w:p>
            <w:pPr>
              <w:jc w:val="center"/>
              <w:ind w:right="240"/>
              <w:spacing w:after="0" w:line="205" w:lineRule="exact"/>
              <w:rPr>
                <w:sz w:val="20"/>
                <w:szCs w:val="20"/>
                <w:color w:val="auto"/>
              </w:rPr>
            </w:pPr>
            <w:r>
              <w:rPr>
                <w:rFonts w:ascii="Arial" w:cs="Arial" w:eastAsia="Arial" w:hAnsi="Arial"/>
                <w:sz w:val="20"/>
                <w:szCs w:val="20"/>
                <w:b w:val="1"/>
                <w:bCs w:val="1"/>
                <w:color w:val="auto"/>
                <w:w w:val="99"/>
              </w:rPr>
              <w:t>Annual Cash</w:t>
            </w:r>
          </w:p>
        </w:tc>
        <w:tc>
          <w:tcPr>
            <w:tcW w:w="1380" w:type="dxa"/>
            <w:vAlign w:val="bottom"/>
          </w:tcPr>
          <w:p>
            <w:pPr>
              <w:jc w:val="center"/>
              <w:ind w:right="220"/>
              <w:spacing w:after="0" w:line="205" w:lineRule="exact"/>
              <w:rPr>
                <w:sz w:val="20"/>
                <w:szCs w:val="20"/>
                <w:color w:val="auto"/>
              </w:rPr>
            </w:pPr>
            <w:r>
              <w:rPr>
                <w:rFonts w:ascii="Arial" w:cs="Arial" w:eastAsia="Arial" w:hAnsi="Arial"/>
                <w:sz w:val="20"/>
                <w:szCs w:val="20"/>
                <w:b w:val="1"/>
                <w:bCs w:val="1"/>
                <w:color w:val="auto"/>
                <w:w w:val="97"/>
              </w:rPr>
              <w:t>Long-Term</w:t>
            </w:r>
          </w:p>
        </w:tc>
      </w:tr>
      <w:tr>
        <w:trPr>
          <w:trHeight w:val="261"/>
        </w:trPr>
        <w:tc>
          <w:tcPr>
            <w:tcW w:w="14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9"/>
              </w:rPr>
              <w:t>Incentive</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9"/>
              </w:rPr>
              <w:t>Incentive</w:t>
            </w:r>
          </w:p>
        </w:tc>
        <w:tc>
          <w:tcPr>
            <w:tcW w:w="1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9"/>
              </w:rPr>
              <w:t>Incentive</w:t>
            </w:r>
          </w:p>
        </w:tc>
        <w:tc>
          <w:tcPr>
            <w:tcW w:w="1380" w:type="dxa"/>
            <w:vAlign w:val="bottom"/>
          </w:tcPr>
          <w:p>
            <w:pPr>
              <w:jc w:val="center"/>
              <w:ind w:right="220"/>
              <w:spacing w:after="0"/>
              <w:rPr>
                <w:sz w:val="20"/>
                <w:szCs w:val="20"/>
                <w:color w:val="auto"/>
              </w:rPr>
            </w:pPr>
            <w:r>
              <w:rPr>
                <w:rFonts w:ascii="Arial" w:cs="Arial" w:eastAsia="Arial" w:hAnsi="Arial"/>
                <w:sz w:val="20"/>
                <w:szCs w:val="20"/>
                <w:b w:val="1"/>
                <w:bCs w:val="1"/>
                <w:color w:val="auto"/>
                <w:w w:val="99"/>
              </w:rPr>
              <w:t>Incentive</w:t>
            </w:r>
          </w:p>
        </w:tc>
      </w:tr>
      <w:tr>
        <w:trPr>
          <w:trHeight w:val="249"/>
        </w:trPr>
        <w:tc>
          <w:tcPr>
            <w:tcW w:w="1480" w:type="dxa"/>
            <w:vAlign w:val="bottom"/>
            <w:shd w:val="clear" w:color="auto" w:fill="D9D9D9"/>
          </w:tcPr>
          <w:p>
            <w:pPr>
              <w:jc w:val="right"/>
              <w:ind w:right="440"/>
              <w:spacing w:after="0"/>
              <w:rPr>
                <w:sz w:val="20"/>
                <w:szCs w:val="20"/>
                <w:color w:val="auto"/>
              </w:rPr>
            </w:pPr>
            <w:r>
              <w:rPr>
                <w:rFonts w:ascii="Arial" w:cs="Arial" w:eastAsia="Arial" w:hAnsi="Arial"/>
                <w:sz w:val="20"/>
                <w:szCs w:val="20"/>
                <w:b w:val="1"/>
                <w:bCs w:val="1"/>
                <w:color w:val="auto"/>
              </w:rPr>
              <w:t>23%</w:t>
            </w:r>
          </w:p>
        </w:tc>
        <w:tc>
          <w:tcPr>
            <w:tcW w:w="1660" w:type="dxa"/>
            <w:vAlign w:val="bottom"/>
            <w:shd w:val="clear" w:color="auto" w:fill="BFBFBF"/>
          </w:tcPr>
          <w:p>
            <w:pPr>
              <w:jc w:val="center"/>
              <w:spacing w:after="0"/>
              <w:rPr>
                <w:sz w:val="20"/>
                <w:szCs w:val="20"/>
                <w:color w:val="auto"/>
              </w:rPr>
            </w:pPr>
            <w:r>
              <w:rPr>
                <w:rFonts w:ascii="Arial" w:cs="Arial" w:eastAsia="Arial" w:hAnsi="Arial"/>
                <w:sz w:val="20"/>
                <w:szCs w:val="20"/>
                <w:b w:val="1"/>
                <w:bCs w:val="1"/>
                <w:color w:val="auto"/>
                <w:w w:val="99"/>
              </w:rPr>
              <w:t>26%</w:t>
            </w:r>
          </w:p>
        </w:tc>
        <w:tc>
          <w:tcPr>
            <w:tcW w:w="1660" w:type="dxa"/>
            <w:vAlign w:val="bottom"/>
            <w:shd w:val="clear" w:color="auto" w:fill="808080"/>
          </w:tcPr>
          <w:p>
            <w:pPr>
              <w:jc w:val="center"/>
              <w:spacing w:after="0"/>
              <w:rPr>
                <w:sz w:val="20"/>
                <w:szCs w:val="20"/>
                <w:color w:val="auto"/>
              </w:rPr>
            </w:pPr>
            <w:r>
              <w:rPr>
                <w:rFonts w:ascii="Arial" w:cs="Arial" w:eastAsia="Arial" w:hAnsi="Arial"/>
                <w:sz w:val="20"/>
                <w:szCs w:val="20"/>
                <w:b w:val="1"/>
                <w:bCs w:val="1"/>
                <w:color w:val="auto"/>
                <w:w w:val="99"/>
              </w:rPr>
              <w:t>51%</w:t>
            </w:r>
          </w:p>
        </w:tc>
        <w:tc>
          <w:tcPr>
            <w:tcW w:w="1560" w:type="dxa"/>
            <w:vAlign w:val="bottom"/>
          </w:tcPr>
          <w:p>
            <w:pPr>
              <w:spacing w:after="0"/>
              <w:rPr>
                <w:sz w:val="21"/>
                <w:szCs w:val="21"/>
                <w:color w:val="auto"/>
              </w:rPr>
            </w:pPr>
          </w:p>
        </w:tc>
        <w:tc>
          <w:tcPr>
            <w:tcW w:w="1360" w:type="dxa"/>
            <w:vAlign w:val="bottom"/>
            <w:shd w:val="clear" w:color="auto" w:fill="D9D9D9"/>
          </w:tcPr>
          <w:p>
            <w:pPr>
              <w:jc w:val="right"/>
              <w:ind w:right="300"/>
              <w:spacing w:after="0"/>
              <w:rPr>
                <w:sz w:val="20"/>
                <w:szCs w:val="20"/>
                <w:color w:val="auto"/>
              </w:rPr>
            </w:pPr>
            <w:r>
              <w:rPr>
                <w:rFonts w:ascii="Arial" w:cs="Arial" w:eastAsia="Arial" w:hAnsi="Arial"/>
                <w:sz w:val="20"/>
                <w:szCs w:val="20"/>
                <w:b w:val="1"/>
                <w:bCs w:val="1"/>
                <w:color w:val="auto"/>
              </w:rPr>
              <w:t>33%</w:t>
            </w:r>
          </w:p>
        </w:tc>
        <w:tc>
          <w:tcPr>
            <w:tcW w:w="140" w:type="dxa"/>
            <w:vAlign w:val="bottom"/>
            <w:shd w:val="clear" w:color="auto" w:fill="D9D9D9"/>
          </w:tcPr>
          <w:p>
            <w:pPr>
              <w:spacing w:after="0"/>
              <w:rPr>
                <w:sz w:val="21"/>
                <w:szCs w:val="21"/>
                <w:color w:val="auto"/>
              </w:rPr>
            </w:pPr>
          </w:p>
        </w:tc>
        <w:tc>
          <w:tcPr>
            <w:tcW w:w="1680" w:type="dxa"/>
            <w:vAlign w:val="bottom"/>
            <w:shd w:val="clear" w:color="auto" w:fill="BFBFBF"/>
          </w:tcPr>
          <w:p>
            <w:pPr>
              <w:jc w:val="center"/>
              <w:spacing w:after="0"/>
              <w:rPr>
                <w:sz w:val="20"/>
                <w:szCs w:val="20"/>
                <w:color w:val="auto"/>
              </w:rPr>
            </w:pPr>
            <w:r>
              <w:rPr>
                <w:rFonts w:ascii="Arial" w:cs="Arial" w:eastAsia="Arial" w:hAnsi="Arial"/>
                <w:sz w:val="20"/>
                <w:szCs w:val="20"/>
                <w:b w:val="1"/>
                <w:bCs w:val="1"/>
                <w:color w:val="auto"/>
                <w:w w:val="99"/>
              </w:rPr>
              <w:t>23%</w:t>
            </w:r>
          </w:p>
        </w:tc>
        <w:tc>
          <w:tcPr>
            <w:tcW w:w="320" w:type="dxa"/>
            <w:vAlign w:val="bottom"/>
            <w:shd w:val="clear" w:color="auto" w:fill="808080"/>
          </w:tcPr>
          <w:p>
            <w:pPr>
              <w:spacing w:after="0"/>
              <w:rPr>
                <w:sz w:val="21"/>
                <w:szCs w:val="21"/>
                <w:color w:val="auto"/>
              </w:rPr>
            </w:pPr>
          </w:p>
        </w:tc>
        <w:tc>
          <w:tcPr>
            <w:tcW w:w="1380" w:type="dxa"/>
            <w:vAlign w:val="bottom"/>
            <w:shd w:val="clear" w:color="auto" w:fill="808080"/>
          </w:tcPr>
          <w:p>
            <w:pPr>
              <w:jc w:val="center"/>
              <w:ind w:right="220"/>
              <w:spacing w:after="0"/>
              <w:rPr>
                <w:sz w:val="20"/>
                <w:szCs w:val="20"/>
                <w:color w:val="auto"/>
              </w:rPr>
            </w:pPr>
            <w:r>
              <w:rPr>
                <w:rFonts w:ascii="Arial" w:cs="Arial" w:eastAsia="Arial" w:hAnsi="Arial"/>
                <w:sz w:val="20"/>
                <w:szCs w:val="20"/>
                <w:b w:val="1"/>
                <w:bCs w:val="1"/>
                <w:color w:val="auto"/>
                <w:w w:val="94"/>
              </w:rPr>
              <w:t>44%</w:t>
            </w:r>
          </w:p>
        </w:tc>
      </w:tr>
      <w:tr>
        <w:trPr>
          <w:trHeight w:val="261"/>
        </w:trPr>
        <w:tc>
          <w:tcPr>
            <w:tcW w:w="1480" w:type="dxa"/>
            <w:vAlign w:val="bottom"/>
          </w:tcPr>
          <w:p>
            <w:pPr>
              <w:spacing w:after="0"/>
              <w:rPr>
                <w:sz w:val="22"/>
                <w:szCs w:val="22"/>
                <w:color w:val="auto"/>
              </w:rPr>
            </w:pPr>
          </w:p>
        </w:tc>
        <w:tc>
          <w:tcPr>
            <w:tcW w:w="1660" w:type="dxa"/>
            <w:vAlign w:val="bottom"/>
            <w:shd w:val="clear" w:color="auto" w:fill="DBDBDB"/>
          </w:tcPr>
          <w:p>
            <w:pPr>
              <w:ind w:left="720"/>
              <w:spacing w:after="0"/>
              <w:rPr>
                <w:sz w:val="20"/>
                <w:szCs w:val="20"/>
                <w:color w:val="auto"/>
              </w:rPr>
            </w:pPr>
            <w:r>
              <w:rPr>
                <w:rFonts w:ascii="Arial" w:cs="Arial" w:eastAsia="Arial" w:hAnsi="Arial"/>
                <w:sz w:val="20"/>
                <w:szCs w:val="20"/>
                <w:b w:val="1"/>
                <w:bCs w:val="1"/>
                <w:color w:val="auto"/>
                <w:w w:val="75"/>
              </w:rPr>
              <w:t>Performance</w:t>
            </w:r>
          </w:p>
        </w:tc>
        <w:tc>
          <w:tcPr>
            <w:tcW w:w="1660" w:type="dxa"/>
            <w:vAlign w:val="bottom"/>
            <w:shd w:val="clear" w:color="auto" w:fill="DBDBDB"/>
          </w:tcPr>
          <w:p>
            <w:pPr>
              <w:ind w:left="280"/>
              <w:spacing w:after="0"/>
              <w:rPr>
                <w:sz w:val="20"/>
                <w:szCs w:val="20"/>
                <w:color w:val="auto"/>
              </w:rPr>
            </w:pPr>
            <w:r>
              <w:rPr>
                <w:rFonts w:ascii="Arial" w:cs="Arial" w:eastAsia="Arial" w:hAnsi="Arial"/>
                <w:sz w:val="20"/>
                <w:szCs w:val="20"/>
                <w:b w:val="1"/>
                <w:bCs w:val="1"/>
                <w:color w:val="auto"/>
              </w:rPr>
              <w:t>-Based</w:t>
            </w:r>
          </w:p>
        </w:tc>
        <w:tc>
          <w:tcPr>
            <w:tcW w:w="1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shd w:val="clear" w:color="auto" w:fill="DBDBDB"/>
          </w:tcPr>
          <w:p>
            <w:pPr>
              <w:ind w:left="760"/>
              <w:spacing w:after="0"/>
              <w:rPr>
                <w:sz w:val="20"/>
                <w:szCs w:val="20"/>
                <w:color w:val="auto"/>
              </w:rPr>
            </w:pPr>
            <w:r>
              <w:rPr>
                <w:rFonts w:ascii="Arial" w:cs="Arial" w:eastAsia="Arial" w:hAnsi="Arial"/>
                <w:sz w:val="20"/>
                <w:szCs w:val="20"/>
                <w:b w:val="1"/>
                <w:bCs w:val="1"/>
                <w:color w:val="auto"/>
                <w:w w:val="73"/>
              </w:rPr>
              <w:t>Performance</w:t>
            </w:r>
          </w:p>
        </w:tc>
        <w:tc>
          <w:tcPr>
            <w:tcW w:w="1700" w:type="dxa"/>
            <w:vAlign w:val="bottom"/>
            <w:gridSpan w:val="2"/>
            <w:shd w:val="clear" w:color="auto" w:fill="DBDBDB"/>
          </w:tcPr>
          <w:p>
            <w:pPr>
              <w:ind w:left="300"/>
              <w:spacing w:after="0"/>
              <w:rPr>
                <w:sz w:val="20"/>
                <w:szCs w:val="20"/>
                <w:color w:val="auto"/>
              </w:rPr>
            </w:pPr>
            <w:r>
              <w:rPr>
                <w:rFonts w:ascii="Arial" w:cs="Arial" w:eastAsia="Arial" w:hAnsi="Arial"/>
                <w:sz w:val="20"/>
                <w:szCs w:val="20"/>
                <w:b w:val="1"/>
                <w:bCs w:val="1"/>
                <w:color w:val="auto"/>
              </w:rPr>
              <w:t>-Based</w:t>
            </w:r>
          </w:p>
        </w:tc>
      </w:tr>
      <w:tr>
        <w:trPr>
          <w:trHeight w:val="264"/>
        </w:trPr>
        <w:tc>
          <w:tcPr>
            <w:tcW w:w="1480" w:type="dxa"/>
            <w:vAlign w:val="bottom"/>
          </w:tcPr>
          <w:p>
            <w:pPr>
              <w:spacing w:after="0"/>
              <w:rPr>
                <w:sz w:val="22"/>
                <w:szCs w:val="22"/>
                <w:color w:val="auto"/>
              </w:rPr>
            </w:pPr>
          </w:p>
        </w:tc>
        <w:tc>
          <w:tcPr>
            <w:tcW w:w="3320" w:type="dxa"/>
            <w:vAlign w:val="bottom"/>
            <w:gridSpan w:val="2"/>
          </w:tcPr>
          <w:p>
            <w:pPr>
              <w:ind w:left="1080"/>
              <w:spacing w:after="0"/>
              <w:rPr>
                <w:sz w:val="20"/>
                <w:szCs w:val="20"/>
                <w:color w:val="auto"/>
              </w:rPr>
            </w:pPr>
            <w:r>
              <w:rPr>
                <w:rFonts w:ascii="Arial" w:cs="Arial" w:eastAsia="Arial" w:hAnsi="Arial"/>
                <w:sz w:val="20"/>
                <w:szCs w:val="20"/>
                <w:b w:val="1"/>
                <w:bCs w:val="1"/>
                <w:color w:val="auto"/>
              </w:rPr>
              <w:t>77% At Risk</w:t>
            </w:r>
          </w:p>
        </w:tc>
        <w:tc>
          <w:tcPr>
            <w:tcW w:w="1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gridSpan w:val="3"/>
          </w:tcPr>
          <w:p>
            <w:pPr>
              <w:ind w:left="1120"/>
              <w:spacing w:after="0"/>
              <w:rPr>
                <w:sz w:val="20"/>
                <w:szCs w:val="20"/>
                <w:color w:val="auto"/>
              </w:rPr>
            </w:pPr>
            <w:r>
              <w:rPr>
                <w:rFonts w:ascii="Arial" w:cs="Arial" w:eastAsia="Arial" w:hAnsi="Arial"/>
                <w:sz w:val="20"/>
                <w:szCs w:val="20"/>
                <w:b w:val="1"/>
                <w:bCs w:val="1"/>
                <w:color w:val="auto"/>
              </w:rPr>
              <w:t>67% At Risk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260"/>
          </w:cols>
          <w:pgMar w:left="320" w:top="1440" w:right="319" w:bottom="1440" w:gutter="0" w:footer="0" w:header="0"/>
        </w:sectPr>
      </w:pPr>
    </w:p>
    <w:bookmarkStart w:id="141" w:name="page142"/>
    <w:bookmarkEnd w:id="141"/>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Practices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WHAT WE DO</w:t>
      </w:r>
    </w:p>
    <w:p>
      <w:pPr>
        <w:spacing w:after="0" w:line="86" w:lineRule="exact"/>
        <w:rPr>
          <w:sz w:val="20"/>
          <w:szCs w:val="20"/>
          <w:color w:val="auto"/>
        </w:rPr>
      </w:pPr>
    </w:p>
    <w:p>
      <w:pPr>
        <w:ind w:left="320" w:hanging="304"/>
        <w:spacing w:after="0" w:line="236" w:lineRule="auto"/>
        <w:tabs>
          <w:tab w:leader="none" w:pos="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External compensation consultant to review and advise on executive compensation with annual reporting to the compensation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WE DON’T DO</w:t>
      </w:r>
    </w:p>
    <w:p>
      <w:pPr>
        <w:spacing w:after="0" w:line="86" w:lineRule="exact"/>
        <w:rPr>
          <w:sz w:val="20"/>
          <w:szCs w:val="20"/>
          <w:color w:val="auto"/>
        </w:rPr>
      </w:pPr>
    </w:p>
    <w:p>
      <w:pPr>
        <w:ind w:left="300" w:right="480" w:hanging="292"/>
        <w:spacing w:after="0" w:line="222" w:lineRule="auto"/>
        <w:tabs>
          <w:tab w:leader="none" w:pos="1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Do not engage in executive compensation practices that encourage excessive risk</w:t>
      </w:r>
    </w:p>
    <w:p>
      <w:pPr>
        <w:spacing w:after="0" w:line="61" w:lineRule="exact"/>
        <w:rPr>
          <w:sz w:val="20"/>
          <w:szCs w:val="20"/>
          <w:color w:val="auto"/>
        </w:rPr>
      </w:pPr>
    </w:p>
    <w:p>
      <w:pPr>
        <w:sectPr>
          <w:pgSz w:w="11900" w:h="16838" w:orient="portrait"/>
          <w:cols w:equalWidth="0" w:num="2">
            <w:col w:w="5280" w:space="340"/>
            <w:col w:w="5580"/>
          </w:cols>
          <w:pgMar w:left="320" w:top="1440" w:right="379" w:bottom="1440" w:gutter="0" w:footer="0" w:header="0"/>
        </w:sectPr>
      </w:pPr>
    </w:p>
    <w:p>
      <w:pPr>
        <w:ind w:left="320" w:right="3600" w:hanging="304"/>
        <w:spacing w:after="0" w:line="222" w:lineRule="auto"/>
        <w:tabs>
          <w:tab w:leader="none" w:pos="1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Conduct annual proactive engagement with the compensation committee û No excessive perquisites to discuss executive pay program</w:t>
      </w:r>
    </w:p>
    <w:p>
      <w:pPr>
        <w:spacing w:after="0" w:line="28"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ü Align pay and performance using annual and multi-year measures of</w:t>
      </w:r>
      <w:r>
        <w:rPr>
          <w:sz w:val="20"/>
          <w:szCs w:val="20"/>
          <w:color w:val="auto"/>
        </w:rPr>
        <w:tab/>
      </w:r>
      <w:r>
        <w:rPr>
          <w:rFonts w:ascii="Arial" w:cs="Arial" w:eastAsia="Arial" w:hAnsi="Arial"/>
          <w:sz w:val="16"/>
          <w:szCs w:val="16"/>
          <w:color w:val="auto"/>
        </w:rPr>
        <w:t>û No excise tax gross-ups</w:t>
      </w:r>
    </w:p>
    <w:p>
      <w:pPr>
        <w:ind w:left="320"/>
        <w:spacing w:after="0"/>
        <w:rPr>
          <w:sz w:val="20"/>
          <w:szCs w:val="20"/>
          <w:color w:val="auto"/>
        </w:rPr>
      </w:pPr>
      <w:r>
        <w:rPr>
          <w:rFonts w:ascii="Arial" w:cs="Arial" w:eastAsia="Arial" w:hAnsi="Arial"/>
          <w:sz w:val="17"/>
          <w:szCs w:val="17"/>
          <w:color w:val="auto"/>
        </w:rPr>
        <w:t>financial, operational, and business objectives</w:t>
      </w:r>
    </w:p>
    <w:p>
      <w:pPr>
        <w:spacing w:after="0" w:line="3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ü Short and long-term incentives based on clear, measurable goals tied to</w:t>
      </w:r>
      <w:r>
        <w:rPr>
          <w:sz w:val="20"/>
          <w:szCs w:val="20"/>
          <w:color w:val="auto"/>
        </w:rPr>
        <w:tab/>
      </w:r>
      <w:r>
        <w:rPr>
          <w:rFonts w:ascii="Arial" w:cs="Arial" w:eastAsia="Arial" w:hAnsi="Arial"/>
          <w:sz w:val="16"/>
          <w:szCs w:val="16"/>
          <w:color w:val="auto"/>
        </w:rPr>
        <w:t>û No excessive change in control provisions</w:t>
      </w:r>
    </w:p>
    <w:p>
      <w:pPr>
        <w:ind w:left="320"/>
        <w:spacing w:after="0" w:line="198" w:lineRule="auto"/>
        <w:rPr>
          <w:sz w:val="20"/>
          <w:szCs w:val="20"/>
          <w:color w:val="auto"/>
        </w:rPr>
      </w:pPr>
      <w:r>
        <w:rPr>
          <w:rFonts w:ascii="Arial" w:cs="Arial" w:eastAsia="Arial" w:hAnsi="Arial"/>
          <w:sz w:val="17"/>
          <w:szCs w:val="17"/>
          <w:color w:val="auto"/>
        </w:rPr>
        <w:t>key financial and operational metrics that drive current and future</w:t>
      </w:r>
    </w:p>
    <w:p>
      <w:pPr>
        <w:ind w:left="320"/>
        <w:spacing w:after="0"/>
        <w:rPr>
          <w:sz w:val="20"/>
          <w:szCs w:val="20"/>
          <w:color w:val="auto"/>
        </w:rPr>
      </w:pPr>
      <w:r>
        <w:rPr>
          <w:rFonts w:ascii="Arial" w:cs="Arial" w:eastAsia="Arial" w:hAnsi="Arial"/>
          <w:sz w:val="17"/>
          <w:szCs w:val="17"/>
          <w:color w:val="auto"/>
        </w:rPr>
        <w:t>business performance and value creation</w:t>
      </w:r>
    </w:p>
    <w:p>
      <w:pPr>
        <w:spacing w:after="0" w:line="3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ü Place maximum caps on incentive payouts consistent with market</w:t>
      </w:r>
      <w:r>
        <w:rPr>
          <w:sz w:val="20"/>
          <w:szCs w:val="20"/>
          <w:color w:val="auto"/>
        </w:rPr>
        <w:tab/>
      </w:r>
      <w:r>
        <w:rPr>
          <w:rFonts w:ascii="Arial" w:cs="Arial" w:eastAsia="Arial" w:hAnsi="Arial"/>
          <w:sz w:val="16"/>
          <w:szCs w:val="16"/>
          <w:color w:val="auto"/>
        </w:rPr>
        <w:t>û No deferred compensation offerings</w:t>
      </w:r>
    </w:p>
    <w:p>
      <w:pPr>
        <w:ind w:left="320"/>
        <w:spacing w:after="0"/>
        <w:rPr>
          <w:sz w:val="20"/>
          <w:szCs w:val="20"/>
          <w:color w:val="auto"/>
        </w:rPr>
      </w:pPr>
      <w:r>
        <w:rPr>
          <w:rFonts w:ascii="Arial" w:cs="Arial" w:eastAsia="Arial" w:hAnsi="Arial"/>
          <w:sz w:val="17"/>
          <w:szCs w:val="17"/>
          <w:color w:val="auto"/>
        </w:rPr>
        <w:t>competitive practice</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ü Include a clawback in all incentive compensation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ü Double-trigger change in control agreements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ü Thoughtfully selected peer group consisting of other aerospace and</w:t>
      </w:r>
    </w:p>
    <w:p>
      <w:pPr>
        <w:ind w:left="320"/>
        <w:spacing w:after="0" w:line="198" w:lineRule="auto"/>
        <w:rPr>
          <w:sz w:val="20"/>
          <w:szCs w:val="20"/>
          <w:color w:val="auto"/>
        </w:rPr>
      </w:pPr>
      <w:r>
        <w:rPr>
          <w:rFonts w:ascii="Arial" w:cs="Arial" w:eastAsia="Arial" w:hAnsi="Arial"/>
          <w:sz w:val="17"/>
          <w:szCs w:val="17"/>
          <w:color w:val="auto"/>
        </w:rPr>
        <w:t>defense firms as well as other mid/large-cap companies in related</w:t>
      </w:r>
    </w:p>
    <w:p>
      <w:pPr>
        <w:ind w:left="320"/>
        <w:spacing w:after="0"/>
        <w:rPr>
          <w:sz w:val="20"/>
          <w:szCs w:val="20"/>
          <w:color w:val="auto"/>
        </w:rPr>
      </w:pPr>
      <w:r>
        <w:rPr>
          <w:rFonts w:ascii="Arial" w:cs="Arial" w:eastAsia="Arial" w:hAnsi="Arial"/>
          <w:sz w:val="17"/>
          <w:szCs w:val="17"/>
          <w:color w:val="auto"/>
        </w:rPr>
        <w:t>industries with annual compensation committee review</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COMPENSATION PROCESS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Role of the Compensation Committee</w:t>
      </w:r>
    </w:p>
    <w:p>
      <w:pPr>
        <w:spacing w:after="0" w:line="173" w:lineRule="exact"/>
        <w:rPr>
          <w:sz w:val="20"/>
          <w:szCs w:val="20"/>
          <w:color w:val="auto"/>
        </w:rPr>
      </w:pPr>
    </w:p>
    <w:p>
      <w:pPr>
        <w:ind w:right="180" w:firstLine="299"/>
        <w:spacing w:after="0" w:line="247" w:lineRule="auto"/>
        <w:rPr>
          <w:sz w:val="20"/>
          <w:szCs w:val="20"/>
          <w:color w:val="auto"/>
        </w:rPr>
      </w:pPr>
      <w:r>
        <w:rPr>
          <w:rFonts w:ascii="Arial" w:cs="Arial" w:eastAsia="Arial" w:hAnsi="Arial"/>
          <w:sz w:val="17"/>
          <w:szCs w:val="17"/>
          <w:color w:val="auto"/>
        </w:rPr>
        <w:t>The board of directors has delegated its authority to the compensation committee for certain compensation related matters. The compensation committee approves and is actively engaged in the design and implementation of the Company’s executive compensation program, with the support of the compensation consultant and Company management. In performing its duties, the compensation committee:</w:t>
      </w:r>
    </w:p>
    <w:p>
      <w:pPr>
        <w:spacing w:after="0" w:line="143" w:lineRule="exact"/>
        <w:rPr>
          <w:sz w:val="20"/>
          <w:szCs w:val="20"/>
          <w:color w:val="auto"/>
        </w:rPr>
      </w:pPr>
    </w:p>
    <w:p>
      <w:pPr>
        <w:ind w:left="600" w:hanging="30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Oversees the administration of the Company’s executive compensation program.</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Reviews, determines and approves the compensation levels for all NEOs annually.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Receives advice from Willis Towers Watson, the Company’s compensation consultant.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Reviews peer group and benchmarking data and other survey input from the compensation consultant.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Evaluates the competitiveness of each executive officer’s total compensation package.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Oversees and approves the cost and design of the Company’s retirement plans.</w:t>
      </w:r>
    </w:p>
    <w:p>
      <w:pPr>
        <w:spacing w:after="0" w:line="152" w:lineRule="exact"/>
        <w:rPr>
          <w:rFonts w:ascii="Arial" w:cs="Arial" w:eastAsia="Arial" w:hAnsi="Arial"/>
          <w:sz w:val="17"/>
          <w:szCs w:val="17"/>
          <w:color w:val="auto"/>
        </w:rPr>
      </w:pPr>
    </w:p>
    <w:p>
      <w:pPr>
        <w:ind w:left="600" w:hanging="302"/>
        <w:spacing w:after="0" w:line="250" w:lineRule="auto"/>
        <w:tabs>
          <w:tab w:leader="none" w:pos="596"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Reviews and approves the individual and Company annual and long-term goals and objectives for the NEOs, evaluates the Company’s strategic, financial, and operational performance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200"/>
          </w:cols>
          <w:pgMar w:left="320" w:top="1440" w:right="379" w:bottom="1440" w:gutter="0" w:footer="0" w:header="0"/>
          <w:type w:val="continuous"/>
        </w:sectPr>
      </w:pPr>
    </w:p>
    <w:bookmarkStart w:id="142" w:name="page143"/>
    <w:bookmarkEnd w:id="142"/>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those goals and objectives, and determines and approves all annual and long-term compensation earned by the NEOs based on this evaluation.</w:t>
      </w:r>
    </w:p>
    <w:p>
      <w:pPr>
        <w:spacing w:after="0" w:line="164" w:lineRule="exact"/>
        <w:rPr>
          <w:sz w:val="20"/>
          <w:szCs w:val="20"/>
          <w:color w:val="auto"/>
        </w:rPr>
      </w:pPr>
    </w:p>
    <w:p>
      <w:pPr>
        <w:ind w:left="600" w:hanging="302"/>
        <w:spacing w:after="0"/>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Reviews competitiveness and business fit of overall executive compensation plans, philosophies, and policies.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Role of the Compensation Consultant</w:t>
      </w:r>
    </w:p>
    <w:p>
      <w:pPr>
        <w:spacing w:after="0" w:line="173" w:lineRule="exact"/>
        <w:rPr>
          <w:sz w:val="20"/>
          <w:szCs w:val="20"/>
          <w:color w:val="auto"/>
        </w:rPr>
      </w:pPr>
    </w:p>
    <w:p>
      <w:pPr>
        <w:ind w:right="280" w:firstLine="299"/>
        <w:spacing w:after="0" w:line="250" w:lineRule="auto"/>
        <w:rPr>
          <w:sz w:val="20"/>
          <w:szCs w:val="20"/>
          <w:color w:val="auto"/>
        </w:rPr>
      </w:pPr>
      <w:r>
        <w:rPr>
          <w:rFonts w:ascii="Arial" w:cs="Arial" w:eastAsia="Arial" w:hAnsi="Arial"/>
          <w:sz w:val="17"/>
          <w:szCs w:val="17"/>
          <w:color w:val="auto"/>
        </w:rPr>
        <w:t>The Company retains Willis Towers Watson as its compensation consultant to provide advice on executive compensation matters. The role of the compensation consultant includes:</w:t>
      </w:r>
    </w:p>
    <w:p>
      <w:pPr>
        <w:spacing w:after="0" w:line="140" w:lineRule="exact"/>
        <w:rPr>
          <w:sz w:val="20"/>
          <w:szCs w:val="20"/>
          <w:color w:val="auto"/>
        </w:rPr>
      </w:pPr>
    </w:p>
    <w:p>
      <w:pPr>
        <w:ind w:left="600" w:hanging="302"/>
        <w:spacing w:after="0"/>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Provides information on competitive market data in general executive compensation as it impacts NEOs.</w:t>
      </w:r>
    </w:p>
    <w:p>
      <w:pPr>
        <w:spacing w:after="0" w:line="152" w:lineRule="exact"/>
        <w:rPr>
          <w:rFonts w:ascii="Arial" w:cs="Arial" w:eastAsia="Arial" w:hAnsi="Arial"/>
          <w:sz w:val="17"/>
          <w:szCs w:val="17"/>
          <w:color w:val="auto"/>
        </w:rPr>
      </w:pPr>
    </w:p>
    <w:p>
      <w:pPr>
        <w:ind w:left="600" w:right="380" w:hanging="302"/>
        <w:spacing w:after="0" w:line="250" w:lineRule="auto"/>
        <w:tabs>
          <w:tab w:leader="none" w:pos="596"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consultation with management, develops peer group proxy data and provides survey data from likely sources of competition for executive talent to assess competitive levels and target positioning.</w:t>
      </w:r>
    </w:p>
    <w:p>
      <w:pPr>
        <w:spacing w:after="0" w:line="140" w:lineRule="exact"/>
        <w:rPr>
          <w:rFonts w:ascii="Arial" w:cs="Arial" w:eastAsia="Arial" w:hAnsi="Arial"/>
          <w:sz w:val="17"/>
          <w:szCs w:val="17"/>
          <w:color w:val="auto"/>
        </w:rPr>
      </w:pPr>
    </w:p>
    <w:p>
      <w:pPr>
        <w:ind w:left="600" w:right="120" w:hanging="302"/>
        <w:spacing w:after="0" w:line="250" w:lineRule="auto"/>
        <w:tabs>
          <w:tab w:leader="none" w:pos="596"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Reviews and advises the compensation committee on executive compensation philosophy and programs, pay and performance alignment, and program design.</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Identifies market trends and practices and advises the compensation committee on program design implications.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Advises compensation committee on other topics as the compensation committee deems appropriate.</w:t>
      </w:r>
    </w:p>
    <w:p>
      <w:pPr>
        <w:spacing w:after="0" w:line="153" w:lineRule="exact"/>
        <w:rPr>
          <w:sz w:val="20"/>
          <w:szCs w:val="20"/>
          <w:color w:val="auto"/>
        </w:rPr>
      </w:pPr>
    </w:p>
    <w:p>
      <w:pPr>
        <w:jc w:val="both"/>
        <w:ind w:right="180" w:firstLine="299"/>
        <w:spacing w:after="0" w:line="247" w:lineRule="auto"/>
        <w:rPr>
          <w:sz w:val="20"/>
          <w:szCs w:val="20"/>
          <w:color w:val="auto"/>
        </w:rPr>
      </w:pPr>
      <w:r>
        <w:rPr>
          <w:rFonts w:ascii="Arial" w:cs="Arial" w:eastAsia="Arial" w:hAnsi="Arial"/>
          <w:sz w:val="17"/>
          <w:szCs w:val="17"/>
          <w:color w:val="auto"/>
        </w:rPr>
        <w:t>The Company retained Willis Towers Watson to provide perspectives about market practices for executive compensation, peer Company analysis and selection, the levels and structure of the compensation program and compensation governance. During 2020, Willis Towers Watson performed the following specific services:</w:t>
      </w:r>
    </w:p>
    <w:p>
      <w:pPr>
        <w:spacing w:after="0" w:line="143" w:lineRule="exact"/>
        <w:rPr>
          <w:sz w:val="20"/>
          <w:szCs w:val="20"/>
          <w:color w:val="auto"/>
        </w:rPr>
      </w:pPr>
    </w:p>
    <w:p>
      <w:pPr>
        <w:ind w:left="600" w:right="60" w:hanging="302"/>
        <w:spacing w:after="0" w:line="250" w:lineRule="auto"/>
        <w:tabs>
          <w:tab w:leader="none" w:pos="596"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Attended compensation committee meeting held in January for review and discussion of the compensation processes and to present the market benchmarking analysis.</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Provided regulatory education to the compensation committee.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Provided information and advice relating to executive compensation matters.</w:t>
      </w:r>
    </w:p>
    <w:p>
      <w:pPr>
        <w:spacing w:after="0" w:line="153"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Willis Towers Watson also provided communication services and consulting and broker services to the Company in 2019. In 2019, the Company paid fees to Willis Towers Watson for its services as a compensation consultant of approximately $34,500, for its communication services of approximately $182,500 and for its consulting and broker services of approximately $390,000.</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Role of Management</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 Company’s chief executive officer evaluates the performance of other NEOs and makes recommendations to the compensation committee regarding base salary, annual compensation targets, and long-term cash incentive compensation targets for the NEOs other than himself. Other members of the Company’s management, including the chief financial officer; chief operating officer; general counsel; and senior vice president, human resources, make recommendations to the chief executive officer regarding annual and long-term incentive plan design and performance metrics, provide NEO analysis in collaboration with the compensation consultant and provide information and recommendations regarding board of director pay with guidance from the compensation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00"/>
          </w:cols>
          <w:pgMar w:left="320" w:top="1440" w:right="379" w:bottom="1440" w:gutter="0" w:footer="0" w:header="0"/>
        </w:sectPr>
      </w:pPr>
    </w:p>
    <w:bookmarkStart w:id="143" w:name="page144"/>
    <w:bookmarkEnd w:id="143"/>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Use of Competitive Compensation Data</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We demonstrate our commitment to aligning compensation with Company performance by strongly linking compensation to the strategic, financial and operational performance of the Company. The Company targets NEO total direct compensation at or around the median percentile of the peer group by component, with consideration given to level of responsibility, position held, job performance, years of experience in the position, internal pay equity, and market value. Realized compensation from other factors of wealth accumulation are not considered in setting current compensation levels. Our program provides for above-median pay for above-median performance and below-median pay for below-median performance. To the extent total compensation exceeds targeted levels, it is directly attributable to performance that increases Company value and exceeds measurable, clearly defined performance goals. Conversely, total compensation can be substantially less than target for performance that falls significantly short of pre-established targets.</w:t>
      </w:r>
    </w:p>
    <w:p>
      <w:pPr>
        <w:spacing w:after="0" w:line="146"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The compensation committee analyzed competitive market data utilizing peer group and industry survey data when evaluating NEO compensation levels. The peer group is representative of competitors within similar markets and industries and with comparable annual revenue. Peer group performance is a key relative measure for the Company’s annual incentive plan and performance-based LTIP metrics. The compensation committee, with guidance from Willis Towers Watson and management, used a 2019 peer group consisting of the following 16 companies: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2640" w:type="dxa"/>
            <w:vAlign w:val="bottom"/>
            <w:vMerge w:val="restart"/>
          </w:tcPr>
          <w:p>
            <w:pPr>
              <w:jc w:val="center"/>
              <w:ind w:left="119"/>
              <w:spacing w:after="0"/>
              <w:rPr>
                <w:sz w:val="20"/>
                <w:szCs w:val="20"/>
                <w:color w:val="auto"/>
              </w:rPr>
            </w:pPr>
            <w:r>
              <w:rPr>
                <w:rFonts w:ascii="Arial" w:cs="Arial" w:eastAsia="Arial" w:hAnsi="Arial"/>
                <w:sz w:val="13"/>
                <w:szCs w:val="13"/>
                <w:b w:val="1"/>
                <w:bCs w:val="1"/>
                <w:color w:val="auto"/>
              </w:rPr>
              <w:t>Revenue</w:t>
            </w:r>
          </w:p>
        </w:tc>
        <w:tc>
          <w:tcPr>
            <w:tcW w:w="23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Employee</w:t>
            </w:r>
          </w:p>
        </w:tc>
        <w:tc>
          <w:tcPr>
            <w:tcW w:w="244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24"/>
        </w:trPr>
        <w:tc>
          <w:tcPr>
            <w:tcW w:w="3820" w:type="dxa"/>
            <w:vAlign w:val="bottom"/>
            <w:vMerge w:val="restart"/>
          </w:tcPr>
          <w:p>
            <w:pPr>
              <w:ind w:left="1280"/>
              <w:spacing w:after="0"/>
              <w:rPr>
                <w:sz w:val="20"/>
                <w:szCs w:val="20"/>
                <w:color w:val="auto"/>
              </w:rPr>
            </w:pPr>
            <w:r>
              <w:rPr>
                <w:rFonts w:ascii="Arial" w:cs="Arial" w:eastAsia="Arial" w:hAnsi="Arial"/>
                <w:sz w:val="13"/>
                <w:szCs w:val="13"/>
                <w:b w:val="1"/>
                <w:bCs w:val="1"/>
                <w:color w:val="auto"/>
              </w:rPr>
              <w:t>Peer Group Companies</w:t>
            </w:r>
          </w:p>
        </w:tc>
        <w:tc>
          <w:tcPr>
            <w:tcW w:w="264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24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Capitalization</w:t>
            </w:r>
          </w:p>
        </w:tc>
        <w:tc>
          <w:tcPr>
            <w:tcW w:w="0" w:type="dxa"/>
            <w:vAlign w:val="bottom"/>
          </w:tcPr>
          <w:p>
            <w:pPr>
              <w:spacing w:after="0"/>
              <w:rPr>
                <w:sz w:val="1"/>
                <w:szCs w:val="1"/>
                <w:color w:val="auto"/>
              </w:rPr>
            </w:pPr>
          </w:p>
        </w:tc>
      </w:tr>
      <w:tr>
        <w:trPr>
          <w:trHeight w:val="162"/>
        </w:trPr>
        <w:tc>
          <w:tcPr>
            <w:tcW w:w="3820" w:type="dxa"/>
            <w:vAlign w:val="bottom"/>
            <w:tcBorders>
              <w:bottom w:val="single" w:sz="8" w:color="auto"/>
            </w:tcBorders>
            <w:vMerge w:val="continue"/>
          </w:tcPr>
          <w:p>
            <w:pPr>
              <w:spacing w:after="0"/>
              <w:rPr>
                <w:sz w:val="14"/>
                <w:szCs w:val="14"/>
                <w:color w:val="auto"/>
              </w:rPr>
            </w:pPr>
          </w:p>
        </w:tc>
        <w:tc>
          <w:tcPr>
            <w:tcW w:w="2640" w:type="dxa"/>
            <w:vAlign w:val="bottom"/>
            <w:tcBorders>
              <w:bottom w:val="single" w:sz="8" w:color="auto"/>
            </w:tcBorders>
          </w:tcPr>
          <w:p>
            <w:pPr>
              <w:jc w:val="center"/>
              <w:ind w:left="139"/>
              <w:spacing w:after="0"/>
              <w:rPr>
                <w:sz w:val="20"/>
                <w:szCs w:val="20"/>
                <w:color w:val="auto"/>
              </w:rPr>
            </w:pPr>
            <w:r>
              <w:rPr>
                <w:rFonts w:ascii="Arial" w:cs="Arial" w:eastAsia="Arial" w:hAnsi="Arial"/>
                <w:sz w:val="13"/>
                <w:szCs w:val="13"/>
                <w:b w:val="1"/>
                <w:bCs w:val="1"/>
                <w:color w:val="auto"/>
              </w:rPr>
              <w:t>(in millions)</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Population</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AAR Corp.</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$2,051.8</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5,650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$1,537.3</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Aerojet Rocketdyne Holdings, Inc.</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$1,895.9</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5,004</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$3,409.7</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CACI International Inc.</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$4,986.3</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22,100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$5,885.1</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Crane Co.</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$3,345.5</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12,000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$4,968.7</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Cubic Corporation</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$1,496.5</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6,200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$2,302.1</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Curtiss-Wright Corporation</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$2,411.8</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9,000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$5,962.8</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FLIR Systems, Inc.</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$1,775.7</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3,649</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$7,145.0</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ManTech International Corporation</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$1,958.6</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7,800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$3,225.8</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Moog Inc.</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$2,904.7</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12,809</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$3,031.3</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QinetiQ Group plc</w:t>
            </w:r>
          </w:p>
        </w:tc>
        <w:tc>
          <w:tcPr>
            <w:tcW w:w="2640" w:type="dxa"/>
            <w:vAlign w:val="bottom"/>
            <w:tcBorders>
              <w:bottom w:val="single" w:sz="8" w:color="auto"/>
            </w:tcBorders>
          </w:tcPr>
          <w:p>
            <w:pPr>
              <w:jc w:val="center"/>
              <w:ind w:left="139"/>
              <w:spacing w:after="0"/>
              <w:rPr>
                <w:sz w:val="20"/>
                <w:szCs w:val="20"/>
                <w:color w:val="auto"/>
              </w:rPr>
            </w:pPr>
            <w:r>
              <w:rPr>
                <w:rFonts w:ascii="Arial" w:cs="Arial" w:eastAsia="Arial" w:hAnsi="Arial"/>
                <w:sz w:val="17"/>
                <w:szCs w:val="17"/>
                <w:color w:val="auto"/>
                <w:w w:val="96"/>
              </w:rPr>
              <w:t>$911.1</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6,061</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$1,912.3</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SAIC, Inc.</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$4,659.0</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23,000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$4,863.1</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Teledyne Technologies Inc.</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$2,901.8</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10,850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$12,635.5</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Triumph Group, Inc.</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$3,364.9</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10,776</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$1,421.9</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Unisys Corporation</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$2,825.0</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21,700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$675.7</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Viasat, Inc.</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$2,068.3</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5,600</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$4,540.1</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Woodward, Inc.</w:t>
            </w:r>
          </w:p>
        </w:tc>
        <w:tc>
          <w:tcPr>
            <w:tcW w:w="264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6"/>
              </w:rPr>
              <w:t>$2,900.2</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9,023</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$6,888.4</w:t>
            </w:r>
          </w:p>
        </w:tc>
        <w:tc>
          <w:tcPr>
            <w:tcW w:w="0" w:type="dxa"/>
            <w:vAlign w:val="bottom"/>
          </w:tcPr>
          <w:p>
            <w:pPr>
              <w:spacing w:after="0"/>
              <w:rPr>
                <w:sz w:val="1"/>
                <w:szCs w:val="1"/>
                <w:color w:val="auto"/>
              </w:rPr>
            </w:pPr>
          </w:p>
        </w:tc>
      </w:tr>
      <w:tr>
        <w:trPr>
          <w:trHeight w:val="211"/>
        </w:trPr>
        <w:tc>
          <w:tcPr>
            <w:tcW w:w="3820" w:type="dxa"/>
            <w:vAlign w:val="bottom"/>
          </w:tcPr>
          <w:p>
            <w:pPr>
              <w:ind w:left="20"/>
              <w:spacing w:after="0"/>
              <w:rPr>
                <w:sz w:val="20"/>
                <w:szCs w:val="20"/>
                <w:color w:val="auto"/>
              </w:rPr>
            </w:pPr>
            <w:r>
              <w:rPr>
                <w:rFonts w:ascii="Arial" w:cs="Arial" w:eastAsia="Arial" w:hAnsi="Arial"/>
                <w:sz w:val="17"/>
                <w:szCs w:val="17"/>
                <w:i w:val="1"/>
                <w:iCs w:val="1"/>
                <w:color w:val="auto"/>
              </w:rPr>
              <w:t>Leonardo DRS</w:t>
            </w:r>
          </w:p>
        </w:tc>
        <w:tc>
          <w:tcPr>
            <w:tcW w:w="2640" w:type="dxa"/>
            <w:vAlign w:val="bottom"/>
          </w:tcPr>
          <w:p>
            <w:pPr>
              <w:jc w:val="center"/>
              <w:ind w:left="119"/>
              <w:spacing w:after="0"/>
              <w:rPr>
                <w:sz w:val="20"/>
                <w:szCs w:val="20"/>
                <w:color w:val="auto"/>
              </w:rPr>
            </w:pPr>
            <w:r>
              <w:rPr>
                <w:rFonts w:ascii="Arial" w:cs="Arial" w:eastAsia="Arial" w:hAnsi="Arial"/>
                <w:sz w:val="17"/>
                <w:szCs w:val="17"/>
                <w:i w:val="1"/>
                <w:iCs w:val="1"/>
                <w:color w:val="auto"/>
                <w:w w:val="96"/>
              </w:rPr>
              <w:t>$2,714.0</w:t>
            </w:r>
          </w:p>
        </w:tc>
        <w:tc>
          <w:tcPr>
            <w:tcW w:w="2340" w:type="dxa"/>
            <w:vAlign w:val="bottom"/>
          </w:tcPr>
          <w:p>
            <w:pPr>
              <w:jc w:val="center"/>
              <w:spacing w:after="0"/>
              <w:rPr>
                <w:sz w:val="20"/>
                <w:szCs w:val="20"/>
                <w:color w:val="auto"/>
              </w:rPr>
            </w:pPr>
            <w:r>
              <w:rPr>
                <w:rFonts w:ascii="Arial" w:cs="Arial" w:eastAsia="Arial" w:hAnsi="Arial"/>
                <w:sz w:val="17"/>
                <w:szCs w:val="17"/>
                <w:i w:val="1"/>
                <w:iCs w:val="1"/>
                <w:color w:val="auto"/>
                <w:w w:val="98"/>
              </w:rPr>
              <w:t>6,700</w:t>
            </w:r>
          </w:p>
        </w:tc>
        <w:tc>
          <w:tcPr>
            <w:tcW w:w="2440" w:type="dxa"/>
            <w:vAlign w:val="bottom"/>
          </w:tcPr>
          <w:p>
            <w:pPr>
              <w:jc w:val="center"/>
              <w:spacing w:after="0"/>
              <w:rPr>
                <w:sz w:val="20"/>
                <w:szCs w:val="20"/>
                <w:color w:val="auto"/>
              </w:rPr>
            </w:pPr>
            <w:r>
              <w:rPr>
                <w:rFonts w:ascii="Arial" w:cs="Arial" w:eastAsia="Arial" w:hAnsi="Arial"/>
                <w:sz w:val="17"/>
                <w:szCs w:val="17"/>
                <w:i w:val="1"/>
                <w:iCs w:val="1"/>
                <w:color w:val="auto"/>
                <w:w w:val="92"/>
              </w:rPr>
              <w:t>n/a</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Note: Data from Standard &amp; Poor’s Capital IQ database and reflects the 2018 fiscal year.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5"/>
          <w:szCs w:val="15"/>
          <w:color w:val="auto"/>
        </w:rPr>
        <w:t>Engility Holdings, Inc. was acquired by SAIC, Inc. in 2019.</w:t>
      </w:r>
    </w:p>
    <w:p>
      <w:pPr>
        <w:spacing w:after="0" w:line="103"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For purposes of evaluating market pay for 2020, an alternative peer group for benchmarking purposes was used as a source of supplemental information for the chief executive officer position only, utilizing the Division President level of larger aerospace and defense companies. This additional peer group consisted of BAE Systems Plc, The Boeing Company, General Dynamics Corporation, Honeywell International, Inc., Huntington Ingalls Industries, Inc., L3Harris Technologies, Inc., Leidos Holdings, Inc., Lockheed Martin Corporation, Northrop Grumman Corporation, Raytheon Company, and 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COMPENSATION PROGRAM</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Annual Base Salary</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goal of our base salary is to provide a competitive, fixed rate of cash compensation. Accordingly, we pay each NEO a base salary that is set at or around the median of our peers, and take into consideration the position held, the executive’s career experience, the scope of the position’s responsibilities and the executive’s own performance. Base salaries are reviewed annually, and increases, when they occur, are driven primarily by changes in the market. For 2020, we adjusted the salaries for all of our NEOs. We believe that organizations perform well over the long term when they make an effort to pay salaries at or near the market median and create opportunities for executives to earn above-median compensation through annual and long-term incentives that are awarded based on performance relative to challenging and clear performance goals. The base salary earned by each NEO was:</w:t>
      </w:r>
    </w:p>
    <w:p>
      <w:pPr>
        <w:spacing w:after="0" w:line="152" w:lineRule="exact"/>
        <w:rPr>
          <w:sz w:val="20"/>
          <w:szCs w:val="20"/>
          <w:color w:val="auto"/>
        </w:rPr>
      </w:pPr>
    </w:p>
    <w:tbl>
      <w:tblPr>
        <w:tblLayout w:type="fixed"/>
        <w:tblInd w:w="3410" w:type="dxa"/>
        <w:tblCellMar>
          <w:top w:w="0" w:type="dxa"/>
          <w:left w:w="0" w:type="dxa"/>
          <w:bottom w:w="0" w:type="dxa"/>
          <w:right w:w="0" w:type="dxa"/>
        </w:tblCellMar>
      </w:tblPr>
      <w:tr>
        <w:trPr>
          <w:trHeight w:val="207"/>
        </w:trPr>
        <w:tc>
          <w:tcPr>
            <w:tcW w:w="2240" w:type="dxa"/>
            <w:vAlign w:val="bottom"/>
            <w:tcBorders>
              <w:top w:val="single" w:sz="8" w:color="auto"/>
              <w:left w:val="single" w:sz="8" w:color="auto"/>
              <w:bottom w:val="single" w:sz="8" w:color="auto"/>
              <w:right w:val="single" w:sz="8" w:color="auto"/>
            </w:tcBorders>
            <w:shd w:val="clear" w:color="auto" w:fill="C7C8CA"/>
          </w:tcPr>
          <w:p>
            <w:pPr>
              <w:ind w:left="920"/>
              <w:spacing w:after="0"/>
              <w:rPr>
                <w:sz w:val="20"/>
                <w:szCs w:val="20"/>
                <w:color w:val="auto"/>
              </w:rPr>
            </w:pPr>
            <w:r>
              <w:rPr>
                <w:rFonts w:ascii="Arial" w:cs="Arial" w:eastAsia="Arial" w:hAnsi="Arial"/>
                <w:sz w:val="13"/>
                <w:szCs w:val="13"/>
                <w:b w:val="1"/>
                <w:bCs w:val="1"/>
                <w:color w:val="auto"/>
              </w:rPr>
              <w:t>Name</w:t>
            </w:r>
          </w:p>
        </w:tc>
        <w:tc>
          <w:tcPr>
            <w:tcW w:w="2240" w:type="dxa"/>
            <w:vAlign w:val="bottom"/>
            <w:tcBorders>
              <w:top w:val="single" w:sz="8" w:color="auto"/>
              <w:bottom w:val="single" w:sz="8" w:color="auto"/>
              <w:right w:val="single" w:sz="8" w:color="auto"/>
            </w:tcBorders>
            <w:shd w:val="clear" w:color="auto" w:fill="C7C8CA"/>
          </w:tcPr>
          <w:p>
            <w:pPr>
              <w:ind w:left="720"/>
              <w:spacing w:after="0"/>
              <w:rPr>
                <w:sz w:val="20"/>
                <w:szCs w:val="20"/>
                <w:color w:val="auto"/>
              </w:rPr>
            </w:pPr>
            <w:r>
              <w:rPr>
                <w:rFonts w:ascii="Arial" w:cs="Arial" w:eastAsia="Arial" w:hAnsi="Arial"/>
                <w:sz w:val="13"/>
                <w:szCs w:val="13"/>
                <w:b w:val="1"/>
                <w:bCs w:val="1"/>
                <w:color w:val="auto"/>
              </w:rPr>
              <w:t>Base Salary</w:t>
            </w:r>
          </w:p>
        </w:tc>
      </w:tr>
      <w:tr>
        <w:trPr>
          <w:trHeight w:val="22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William J. Lynn</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$1,134,558</w:t>
            </w:r>
          </w:p>
        </w:tc>
      </w:tr>
      <w:tr>
        <w:trPr>
          <w:trHeight w:val="25"/>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17"/>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John Baylouny</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$475,000</w:t>
            </w:r>
          </w:p>
        </w:tc>
      </w:tr>
      <w:tr>
        <w:trPr>
          <w:trHeight w:val="25"/>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17"/>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Mike Dippold</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$425,000</w:t>
            </w:r>
          </w:p>
        </w:tc>
      </w:tr>
      <w:tr>
        <w:trPr>
          <w:trHeight w:val="25"/>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17"/>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Mark Dorfman</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$418,000</w:t>
            </w:r>
          </w:p>
        </w:tc>
      </w:tr>
      <w:tr>
        <w:trPr>
          <w:trHeight w:val="25"/>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17"/>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Sally Wallace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$428,000</w:t>
            </w:r>
          </w:p>
        </w:tc>
      </w:tr>
      <w:tr>
        <w:trPr>
          <w:trHeight w:val="25"/>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Annual Incentive Compensation</w:t>
      </w:r>
    </w:p>
    <w:p>
      <w:pPr>
        <w:spacing w:after="0" w:line="173" w:lineRule="exact"/>
        <w:rPr>
          <w:sz w:val="20"/>
          <w:szCs w:val="20"/>
          <w:color w:val="auto"/>
        </w:rPr>
      </w:pPr>
    </w:p>
    <w:p>
      <w:pPr>
        <w:ind w:right="40" w:firstLine="299"/>
        <w:spacing w:after="0" w:line="263" w:lineRule="auto"/>
        <w:rPr>
          <w:sz w:val="20"/>
          <w:szCs w:val="20"/>
          <w:color w:val="auto"/>
        </w:rPr>
      </w:pPr>
      <w:r>
        <w:rPr>
          <w:rFonts w:ascii="Arial" w:cs="Arial" w:eastAsia="Arial" w:hAnsi="Arial"/>
          <w:sz w:val="16"/>
          <w:szCs w:val="16"/>
          <w:color w:val="auto"/>
        </w:rPr>
        <w:t>The NEOs were eligible to earn an annual cash incentive award under our Incentive Compensation Plan (the “ICP”) for performance in 2020. The ICP is designed to make a significant portion of each NEO’s total cash compensation contingent upon the successful achievement of certain annual company financial and individual strategic and operational goals. For that reason, 75% of the NEOs’ annual incentive target is tied to financial performance, while the remaining 25% is tied to significant individual strategic and operational goals. The incentive received is based on both Company and individual performance against specific, measurable goals established at the beginning of the year and approved by the compensation committee. For individual performance, the chief executive officer assesses the other NEOs’ individual contributions, and the compensation committee assesses and approves the chief executive officer’s contributions and approves the chief executive officer’s assessment of each NEO’s contributions.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Targets for Annual Incentive</w:t>
      </w:r>
    </w:p>
    <w:p>
      <w:pPr>
        <w:spacing w:after="0" w:line="171"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Each NEO’s target annual incentive, as a percentage of base salary, was determined during our annual compensation benchmarking process and is generally designed to provide total cash compensation at or around the market median and balances other considerations such as Company performance, complexity of the role, length of service, future expected contributions, and impact to the Company’s annual growth and profitability. Consistent with peer and market practice, the maximum incentive award that can be earned under the ICP is two times the target amount. For performance that falls significantly short of the pre-established target, there may be no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740" w:type="dxa"/>
            <w:vAlign w:val="bottom"/>
            <w:tcBorders>
              <w:top w:val="single" w:sz="8" w:color="auto"/>
              <w:left w:val="single" w:sz="8" w:color="auto"/>
              <w:right w:val="single" w:sz="8" w:color="auto"/>
            </w:tcBorders>
            <w:shd w:val="clear" w:color="auto" w:fill="F2F2F2"/>
          </w:tcPr>
          <w:p>
            <w:pPr>
              <w:ind w:left="640"/>
              <w:spacing w:after="0"/>
              <w:rPr>
                <w:sz w:val="20"/>
                <w:szCs w:val="20"/>
                <w:color w:val="auto"/>
              </w:rPr>
            </w:pPr>
            <w:r>
              <w:rPr>
                <w:rFonts w:ascii="Arial" w:cs="Arial" w:eastAsia="Arial" w:hAnsi="Arial"/>
                <w:sz w:val="17"/>
                <w:szCs w:val="17"/>
                <w:b w:val="1"/>
                <w:bCs w:val="1"/>
                <w:color w:val="auto"/>
              </w:rPr>
              <w:t>Name</w:t>
            </w:r>
          </w:p>
        </w:tc>
        <w:tc>
          <w:tcPr>
            <w:tcW w:w="1520" w:type="dxa"/>
            <w:vAlign w:val="bottom"/>
            <w:tcBorders>
              <w:top w:val="single" w:sz="8" w:color="auto"/>
              <w:right w:val="single" w:sz="8" w:color="auto"/>
            </w:tcBorders>
            <w:shd w:val="clear" w:color="auto" w:fill="F2F2F2"/>
          </w:tcPr>
          <w:p>
            <w:pPr>
              <w:ind w:left="280"/>
              <w:spacing w:after="0"/>
              <w:rPr>
                <w:sz w:val="20"/>
                <w:szCs w:val="20"/>
                <w:color w:val="auto"/>
              </w:rPr>
            </w:pPr>
            <w:r>
              <w:rPr>
                <w:rFonts w:ascii="Arial" w:cs="Arial" w:eastAsia="Arial" w:hAnsi="Arial"/>
                <w:sz w:val="17"/>
                <w:szCs w:val="17"/>
                <w:b w:val="1"/>
                <w:bCs w:val="1"/>
                <w:color w:val="auto"/>
              </w:rPr>
              <w:t>Base Salary</w:t>
            </w:r>
          </w:p>
        </w:tc>
        <w:tc>
          <w:tcPr>
            <w:tcW w:w="200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7"/>
                <w:szCs w:val="17"/>
                <w:b w:val="1"/>
                <w:bCs w:val="1"/>
                <w:color w:val="auto"/>
                <w:w w:val="97"/>
              </w:rPr>
              <w:t>Target Incentive (% of</w:t>
            </w:r>
          </w:p>
        </w:tc>
        <w:tc>
          <w:tcPr>
            <w:tcW w:w="2000" w:type="dxa"/>
            <w:vAlign w:val="bottom"/>
            <w:tcBorders>
              <w:top w:val="single" w:sz="8" w:color="auto"/>
              <w:right w:val="single" w:sz="8" w:color="auto"/>
            </w:tcBorders>
            <w:shd w:val="clear" w:color="auto" w:fill="F2F2F2"/>
          </w:tcPr>
          <w:p>
            <w:pPr>
              <w:ind w:left="360"/>
              <w:spacing w:after="0"/>
              <w:rPr>
                <w:sz w:val="20"/>
                <w:szCs w:val="20"/>
                <w:color w:val="auto"/>
              </w:rPr>
            </w:pPr>
            <w:r>
              <w:rPr>
                <w:rFonts w:ascii="Arial" w:cs="Arial" w:eastAsia="Arial" w:hAnsi="Arial"/>
                <w:sz w:val="17"/>
                <w:szCs w:val="17"/>
                <w:b w:val="1"/>
                <w:bCs w:val="1"/>
                <w:color w:val="auto"/>
              </w:rPr>
              <w:t>Target Incentive</w:t>
            </w:r>
          </w:p>
        </w:tc>
        <w:tc>
          <w:tcPr>
            <w:tcW w:w="200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7"/>
                <w:szCs w:val="17"/>
                <w:b w:val="1"/>
                <w:bCs w:val="1"/>
                <w:color w:val="auto"/>
                <w:w w:val="97"/>
              </w:rPr>
              <w:t>Maximum Incentive (%</w:t>
            </w:r>
          </w:p>
        </w:tc>
        <w:tc>
          <w:tcPr>
            <w:tcW w:w="2000" w:type="dxa"/>
            <w:vAlign w:val="bottom"/>
            <w:tcBorders>
              <w:top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7"/>
                <w:szCs w:val="17"/>
                <w:b w:val="1"/>
                <w:bCs w:val="1"/>
                <w:color w:val="auto"/>
              </w:rPr>
              <w:t>Maximum Incentive $</w:t>
            </w:r>
          </w:p>
        </w:tc>
      </w:tr>
      <w:tr>
        <w:trPr>
          <w:trHeight w:val="226"/>
        </w:trPr>
        <w:tc>
          <w:tcPr>
            <w:tcW w:w="174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1520" w:type="dxa"/>
            <w:vAlign w:val="bottom"/>
            <w:tcBorders>
              <w:bottom w:val="single" w:sz="8" w:color="auto"/>
              <w:right w:val="single" w:sz="8" w:color="auto"/>
            </w:tcBorders>
            <w:shd w:val="clear" w:color="auto" w:fill="F2F2F2"/>
          </w:tcPr>
          <w:p>
            <w:pPr>
              <w:spacing w:after="0"/>
              <w:rPr>
                <w:sz w:val="19"/>
                <w:szCs w:val="19"/>
                <w:color w:val="auto"/>
              </w:rPr>
            </w:pPr>
          </w:p>
        </w:tc>
        <w:tc>
          <w:tcPr>
            <w:tcW w:w="20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7"/>
                <w:szCs w:val="17"/>
                <w:b w:val="1"/>
                <w:bCs w:val="1"/>
                <w:color w:val="auto"/>
                <w:w w:val="94"/>
              </w:rPr>
              <w:t>Base)</w:t>
            </w:r>
          </w:p>
        </w:tc>
        <w:tc>
          <w:tcPr>
            <w:tcW w:w="2000" w:type="dxa"/>
            <w:vAlign w:val="bottom"/>
            <w:tcBorders>
              <w:bottom w:val="single" w:sz="8" w:color="auto"/>
              <w:right w:val="single" w:sz="8" w:color="auto"/>
            </w:tcBorders>
            <w:shd w:val="clear" w:color="auto" w:fill="F2F2F2"/>
          </w:tcPr>
          <w:p>
            <w:pPr>
              <w:spacing w:after="0"/>
              <w:rPr>
                <w:sz w:val="19"/>
                <w:szCs w:val="19"/>
                <w:color w:val="auto"/>
              </w:rPr>
            </w:pPr>
          </w:p>
        </w:tc>
        <w:tc>
          <w:tcPr>
            <w:tcW w:w="20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7"/>
                <w:szCs w:val="17"/>
                <w:b w:val="1"/>
                <w:bCs w:val="1"/>
                <w:color w:val="auto"/>
                <w:w w:val="98"/>
              </w:rPr>
              <w:t>of Base)</w:t>
            </w:r>
          </w:p>
        </w:tc>
        <w:tc>
          <w:tcPr>
            <w:tcW w:w="20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9"/>
        </w:trPr>
        <w:tc>
          <w:tcPr>
            <w:tcW w:w="1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William J. Lynn</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$1,134,558</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110%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$1,248,014</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$2,496,028</w:t>
            </w:r>
          </w:p>
        </w:tc>
      </w:tr>
      <w:tr>
        <w:trPr>
          <w:trHeight w:val="229"/>
        </w:trPr>
        <w:tc>
          <w:tcPr>
            <w:tcW w:w="1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John Baylouny</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$475,000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75%</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$356,250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150%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$712,500</w:t>
            </w:r>
          </w:p>
        </w:tc>
      </w:tr>
      <w:tr>
        <w:trPr>
          <w:trHeight w:val="229"/>
        </w:trPr>
        <w:tc>
          <w:tcPr>
            <w:tcW w:w="1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Mike Dippold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$425,000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70%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$297,500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140%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$595,000</w:t>
            </w:r>
          </w:p>
        </w:tc>
      </w:tr>
      <w:tr>
        <w:trPr>
          <w:trHeight w:val="229"/>
        </w:trPr>
        <w:tc>
          <w:tcPr>
            <w:tcW w:w="1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Mark Dorfman</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$418,000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65%</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$271,700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130%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$543,400</w:t>
            </w:r>
          </w:p>
        </w:tc>
      </w:tr>
      <w:tr>
        <w:trPr>
          <w:trHeight w:val="229"/>
        </w:trPr>
        <w:tc>
          <w:tcPr>
            <w:tcW w:w="1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Sally Wallace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$428,000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65%</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$278,200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130%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$556,400</w:t>
            </w:r>
          </w:p>
        </w:tc>
      </w:tr>
    </w:tbl>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Performance Metrics for Annual Incentive</w:t>
      </w:r>
    </w:p>
    <w:p>
      <w:pPr>
        <w:spacing w:after="0" w:line="171" w:lineRule="exact"/>
        <w:rPr>
          <w:sz w:val="20"/>
          <w:szCs w:val="20"/>
          <w:color w:val="auto"/>
        </w:rPr>
      </w:pPr>
    </w:p>
    <w:p>
      <w:pPr>
        <w:ind w:right="260" w:firstLine="299"/>
        <w:spacing w:after="0" w:line="245" w:lineRule="auto"/>
        <w:rPr>
          <w:sz w:val="20"/>
          <w:szCs w:val="20"/>
          <w:color w:val="auto"/>
        </w:rPr>
      </w:pPr>
      <w:r>
        <w:rPr>
          <w:rFonts w:ascii="Arial" w:cs="Arial" w:eastAsia="Arial" w:hAnsi="Arial"/>
          <w:sz w:val="17"/>
          <w:szCs w:val="17"/>
          <w:color w:val="auto"/>
        </w:rPr>
        <w:t>For 2020, the annual incentive for each NEO was determined based on two categories of performance metrics: four equally weighted financial metrics totaling 75% of the award opportunity; and individual strategic and operational goals, both strategic and operational, weighted at 25% of the award opportunity. At the beginning of 2020, the Company performance objectives were approved by the compensation committee to align our annual operating plan, reflect the Company’s strategic plan, and to ensure challenging goal-setting. Individual strategic and operational goals were developed independently between the respective NEO and chief executive officer. The individual strategic and operational goals for the chief executive officer’s annual incentive were developed by the chief executive officer and presented to the compensation committee for consideration and approval. All goals are tied to strategic business needs for the coming year and are pushed down through the organization to align all incentive pay participants with Company goals and objectives. The compensation committee determines the final payout by considering the NEOs’ achievements and contributions during the year as well as Company performance, market conditions and difficulty of achieving the goals.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2020 Financial and Individual Performance Targets and Achievement for Annual Incentive</w:t>
      </w:r>
    </w:p>
    <w:p>
      <w:pPr>
        <w:spacing w:after="0" w:line="171" w:lineRule="exact"/>
        <w:rPr>
          <w:sz w:val="20"/>
          <w:szCs w:val="20"/>
          <w:color w:val="auto"/>
        </w:rPr>
      </w:pPr>
    </w:p>
    <w:p>
      <w:pPr>
        <w:ind w:right="320" w:firstLine="299"/>
        <w:spacing w:after="0" w:line="250" w:lineRule="auto"/>
        <w:rPr>
          <w:sz w:val="20"/>
          <w:szCs w:val="20"/>
          <w:color w:val="auto"/>
        </w:rPr>
      </w:pPr>
      <w:r>
        <w:rPr>
          <w:rFonts w:ascii="Arial" w:cs="Arial" w:eastAsia="Arial" w:hAnsi="Arial"/>
          <w:sz w:val="17"/>
          <w:szCs w:val="17"/>
          <w:u w:val="single" w:color="auto"/>
          <w:color w:val="auto"/>
        </w:rPr>
        <w:t>Financial Performance Metric</w:t>
      </w:r>
      <w:r>
        <w:rPr>
          <w:rFonts w:ascii="Arial" w:cs="Arial" w:eastAsia="Arial" w:hAnsi="Arial"/>
          <w:sz w:val="17"/>
          <w:szCs w:val="17"/>
          <w:color w:val="auto"/>
        </w:rPr>
        <w:t>. Each financial performance metric is weighted equally at 25%, with the performance thresholds and payout ranges shown in the table below and no payout earned for performance below the minimum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89535</wp:posOffset>
            </wp:positionV>
            <wp:extent cx="3950970" cy="805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5097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2020 Company financial performance objectives are set forth in the table below:</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300" w:type="dxa"/>
            <w:vAlign w:val="bottom"/>
            <w:tcBorders>
              <w:top w:val="single" w:sz="8" w:color="auto"/>
              <w:left w:val="single" w:sz="8" w:color="auto"/>
              <w:bottom w:val="single" w:sz="8" w:color="auto"/>
              <w:right w:val="single" w:sz="8" w:color="auto"/>
            </w:tcBorders>
            <w:shd w:val="clear" w:color="auto" w:fill="F2F2F2"/>
          </w:tcPr>
          <w:p>
            <w:pPr>
              <w:ind w:left="480"/>
              <w:spacing w:after="0"/>
              <w:rPr>
                <w:sz w:val="20"/>
                <w:szCs w:val="20"/>
                <w:color w:val="auto"/>
              </w:rPr>
            </w:pPr>
            <w:r>
              <w:rPr>
                <w:rFonts w:ascii="Arial" w:cs="Arial" w:eastAsia="Arial" w:hAnsi="Arial"/>
                <w:sz w:val="13"/>
                <w:szCs w:val="13"/>
                <w:b w:val="1"/>
                <w:bCs w:val="1"/>
                <w:color w:val="auto"/>
              </w:rPr>
              <w:t>Performance Metric</w:t>
            </w:r>
            <w:r>
              <w:rPr>
                <w:rFonts w:ascii="Arial" w:cs="Arial" w:eastAsia="Arial" w:hAnsi="Arial"/>
                <w:sz w:val="17"/>
                <w:szCs w:val="17"/>
                <w:b w:val="1"/>
                <w:bCs w:val="1"/>
                <w:color w:val="auto"/>
                <w:vertAlign w:val="superscript"/>
              </w:rPr>
              <w:t>(1)</w:t>
            </w:r>
          </w:p>
        </w:tc>
        <w:tc>
          <w:tcPr>
            <w:tcW w:w="224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Weighting</w:t>
            </w:r>
          </w:p>
        </w:tc>
        <w:tc>
          <w:tcPr>
            <w:tcW w:w="2240" w:type="dxa"/>
            <w:vAlign w:val="bottom"/>
            <w:tcBorders>
              <w:top w:val="single" w:sz="8" w:color="auto"/>
              <w:bottom w:val="single" w:sz="8" w:color="auto"/>
              <w:right w:val="single" w:sz="8" w:color="auto"/>
            </w:tcBorders>
            <w:shd w:val="clear" w:color="auto" w:fill="F2F2F2"/>
          </w:tcPr>
          <w:p>
            <w:pPr>
              <w:ind w:left="440"/>
              <w:spacing w:after="0"/>
              <w:rPr>
                <w:sz w:val="20"/>
                <w:szCs w:val="20"/>
                <w:color w:val="auto"/>
              </w:rPr>
            </w:pPr>
            <w:r>
              <w:rPr>
                <w:rFonts w:ascii="Arial" w:cs="Arial" w:eastAsia="Arial" w:hAnsi="Arial"/>
                <w:sz w:val="13"/>
                <w:szCs w:val="13"/>
                <w:b w:val="1"/>
                <w:bCs w:val="1"/>
                <w:color w:val="auto"/>
              </w:rPr>
              <w:t>Minimum (in millions)</w:t>
            </w:r>
          </w:p>
        </w:tc>
        <w:tc>
          <w:tcPr>
            <w:tcW w:w="2240" w:type="dxa"/>
            <w:vAlign w:val="bottom"/>
            <w:tcBorders>
              <w:top w:val="single" w:sz="8" w:color="auto"/>
              <w:bottom w:val="single" w:sz="8" w:color="auto"/>
              <w:right w:val="single" w:sz="8" w:color="auto"/>
            </w:tcBorders>
            <w:shd w:val="clear" w:color="auto" w:fill="F2F2F2"/>
          </w:tcPr>
          <w:p>
            <w:pPr>
              <w:ind w:left="360"/>
              <w:spacing w:after="0"/>
              <w:rPr>
                <w:sz w:val="20"/>
                <w:szCs w:val="20"/>
                <w:color w:val="auto"/>
              </w:rPr>
            </w:pPr>
            <w:r>
              <w:rPr>
                <w:rFonts w:ascii="Arial" w:cs="Arial" w:eastAsia="Arial" w:hAnsi="Arial"/>
                <w:sz w:val="13"/>
                <w:szCs w:val="13"/>
                <w:b w:val="1"/>
                <w:bCs w:val="1"/>
                <w:color w:val="auto"/>
              </w:rPr>
              <w:t>2020 Target (in millions)</w:t>
            </w:r>
          </w:p>
        </w:tc>
        <w:tc>
          <w:tcPr>
            <w:tcW w:w="2240" w:type="dxa"/>
            <w:vAlign w:val="bottom"/>
            <w:tcBorders>
              <w:top w:val="single" w:sz="8" w:color="auto"/>
              <w:bottom w:val="single" w:sz="8" w:color="auto"/>
              <w:right w:val="single" w:sz="8" w:color="auto"/>
            </w:tcBorders>
            <w:shd w:val="clear" w:color="auto" w:fill="F2F2F2"/>
          </w:tcPr>
          <w:p>
            <w:pPr>
              <w:ind w:left="400"/>
              <w:spacing w:after="0"/>
              <w:rPr>
                <w:sz w:val="20"/>
                <w:szCs w:val="20"/>
                <w:color w:val="auto"/>
              </w:rPr>
            </w:pPr>
            <w:r>
              <w:rPr>
                <w:rFonts w:ascii="Arial" w:cs="Arial" w:eastAsia="Arial" w:hAnsi="Arial"/>
                <w:sz w:val="13"/>
                <w:szCs w:val="13"/>
                <w:b w:val="1"/>
                <w:bCs w:val="1"/>
                <w:color w:val="auto"/>
              </w:rPr>
              <w:t>Maximum ( in millions)</w:t>
            </w:r>
          </w:p>
        </w:tc>
      </w:tr>
      <w:tr>
        <w:trPr>
          <w:trHeight w:val="241"/>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Bookings</w:t>
            </w:r>
            <w:r>
              <w:rPr>
                <w:rFonts w:ascii="Arial" w:cs="Arial" w:eastAsia="Arial" w:hAnsi="Arial"/>
                <w:sz w:val="21"/>
                <w:szCs w:val="21"/>
                <w:color w:val="auto"/>
                <w:vertAlign w:val="superscript"/>
              </w:rPr>
              <w:t>(2)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$2,340.00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$2,600.0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$3,250.00</w:t>
            </w:r>
          </w:p>
        </w:tc>
      </w:tr>
      <w:tr>
        <w:trPr>
          <w:trHeight w:val="241"/>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Revenue</w:t>
            </w:r>
            <w:r>
              <w:rPr>
                <w:rFonts w:ascii="Arial" w:cs="Arial" w:eastAsia="Arial" w:hAnsi="Arial"/>
                <w:sz w:val="21"/>
                <w:szCs w:val="21"/>
                <w:color w:val="auto"/>
                <w:vertAlign w:val="superscript"/>
              </w:rPr>
              <w:t>(3)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$2,520.00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$2,800.0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$3,500.00</w:t>
            </w:r>
          </w:p>
        </w:tc>
      </w:tr>
      <w:tr>
        <w:trPr>
          <w:trHeight w:val="241"/>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Adjusted EBITA</w:t>
            </w:r>
            <w:r>
              <w:rPr>
                <w:rFonts w:ascii="Arial" w:cs="Arial" w:eastAsia="Arial" w:hAnsi="Arial"/>
                <w:sz w:val="21"/>
                <w:szCs w:val="21"/>
                <w:color w:val="auto"/>
                <w:vertAlign w:val="superscript"/>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$220.90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$245.4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$306.80</w:t>
            </w:r>
          </w:p>
        </w:tc>
      </w:tr>
      <w:tr>
        <w:trPr>
          <w:trHeight w:val="241"/>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Free Cash Flow</w:t>
            </w:r>
            <w:r>
              <w:rPr>
                <w:rFonts w:ascii="Arial" w:cs="Arial" w:eastAsia="Arial" w:hAnsi="Arial"/>
                <w:sz w:val="21"/>
                <w:szCs w:val="21"/>
                <w:color w:val="auto"/>
                <w:vertAlign w:val="superscript"/>
              </w:rPr>
              <w:t>(5)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$108.00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$120.0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$150.00</w:t>
            </w:r>
          </w:p>
        </w:tc>
      </w:tr>
      <w:tr>
        <w:trPr>
          <w:trHeight w:val="168"/>
        </w:trPr>
        <w:tc>
          <w:tcPr>
            <w:tcW w:w="2300" w:type="dxa"/>
            <w:vAlign w:val="bottom"/>
          </w:tcPr>
          <w:p>
            <w:pPr>
              <w:spacing w:after="0" w:line="169" w:lineRule="exact"/>
              <w:rPr>
                <w:sz w:val="20"/>
                <w:szCs w:val="20"/>
                <w:color w:val="auto"/>
              </w:rPr>
            </w:pPr>
            <w:r>
              <w:rPr>
                <w:rFonts w:ascii="Arial" w:cs="Arial" w:eastAsia="Arial" w:hAnsi="Arial"/>
                <w:sz w:val="15"/>
                <w:szCs w:val="15"/>
                <w:color w:val="auto"/>
              </w:rPr>
              <w:t>________________</w:t>
            </w:r>
          </w:p>
        </w:tc>
        <w:tc>
          <w:tcPr>
            <w:tcW w:w="2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spacing w:after="0"/>
              <w:rPr>
                <w:sz w:val="14"/>
                <w:szCs w:val="14"/>
                <w:color w:val="auto"/>
              </w:rPr>
            </w:pPr>
          </w:p>
        </w:tc>
      </w:tr>
    </w:tbl>
    <w:p>
      <w:pPr>
        <w:ind w:left="300" w:hanging="300"/>
        <w:spacing w:after="0"/>
        <w:tabs>
          <w:tab w:leader="none" w:pos="3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Targets calculated in accordance with International Financial Reporting Standards (IFRS). The Company used IFRS as its principal method of accounting.</w:t>
      </w:r>
    </w:p>
    <w:p>
      <w:pPr>
        <w:spacing w:after="0" w:line="1" w:lineRule="exact"/>
        <w:rPr>
          <w:rFonts w:ascii="Arial" w:cs="Arial" w:eastAsia="Arial" w:hAnsi="Arial"/>
          <w:sz w:val="15"/>
          <w:szCs w:val="15"/>
          <w:color w:val="auto"/>
        </w:rPr>
      </w:pPr>
    </w:p>
    <w:p>
      <w:pPr>
        <w:ind w:left="300" w:right="120" w:hanging="300"/>
        <w:spacing w:after="0" w:line="251" w:lineRule="auto"/>
        <w:tabs>
          <w:tab w:leader="none" w:pos="296" w:val="left"/>
        </w:tabs>
        <w:numPr>
          <w:ilvl w:val="0"/>
          <w:numId w:val="79"/>
        </w:numPr>
        <w:rPr>
          <w:rFonts w:ascii="Arial" w:cs="Arial" w:eastAsia="Arial" w:hAnsi="Arial"/>
          <w:sz w:val="15"/>
          <w:szCs w:val="15"/>
          <w:color w:val="auto"/>
        </w:rPr>
      </w:pPr>
      <w:r>
        <w:rPr>
          <w:rFonts w:ascii="Arial" w:cs="Arial" w:eastAsia="Arial" w:hAnsi="Arial"/>
          <w:sz w:val="15"/>
          <w:szCs w:val="15"/>
          <w:color w:val="auto"/>
        </w:rPr>
        <w:t>“Bookings” is calculated as the total value of contract awards received from the U.S. government for which it has appropriated funds and legally obligated such funds to the Company through a contract or purchase order, plus the value of contract awards and orders received from customers other than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260"/>
          </w:cols>
          <w:pgMar w:left="320" w:top="1440" w:right="319" w:bottom="1440" w:gutter="0" w:footer="0" w:header="0"/>
        </w:sectPr>
      </w:pPr>
    </w:p>
    <w:bookmarkStart w:id="146" w:name="page147"/>
    <w:bookmarkEnd w:id="146"/>
    <w:p>
      <w:pPr>
        <w:spacing w:after="0" w:line="46" w:lineRule="exact"/>
        <w:rPr>
          <w:sz w:val="20"/>
          <w:szCs w:val="20"/>
          <w:color w:val="auto"/>
        </w:rPr>
      </w:pPr>
    </w:p>
    <w:p>
      <w:pPr>
        <w:ind w:left="300" w:hanging="300"/>
        <w:spacing w:after="0"/>
        <w:tabs>
          <w:tab w:leader="none" w:pos="3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For purposes of the ICP, Revenue is calculated as the revenue results achieved during 2020 as reported in the Company’s audited financials.</w:t>
      </w:r>
    </w:p>
    <w:p>
      <w:pPr>
        <w:spacing w:after="0" w:line="1" w:lineRule="exact"/>
        <w:rPr>
          <w:rFonts w:ascii="Arial" w:cs="Arial" w:eastAsia="Arial" w:hAnsi="Arial"/>
          <w:sz w:val="15"/>
          <w:szCs w:val="15"/>
          <w:color w:val="auto"/>
        </w:rPr>
      </w:pPr>
    </w:p>
    <w:p>
      <w:pPr>
        <w:ind w:left="300" w:right="100" w:hanging="300"/>
        <w:spacing w:after="0" w:line="242" w:lineRule="auto"/>
        <w:tabs>
          <w:tab w:leader="none" w:pos="296" w:val="left"/>
        </w:tabs>
        <w:numPr>
          <w:ilvl w:val="0"/>
          <w:numId w:val="80"/>
        </w:numPr>
        <w:rPr>
          <w:rFonts w:ascii="Arial" w:cs="Arial" w:eastAsia="Arial" w:hAnsi="Arial"/>
          <w:sz w:val="15"/>
          <w:szCs w:val="15"/>
          <w:color w:val="auto"/>
        </w:rPr>
      </w:pPr>
      <w:r>
        <w:rPr>
          <w:rFonts w:ascii="Arial" w:cs="Arial" w:eastAsia="Arial" w:hAnsi="Arial"/>
          <w:sz w:val="15"/>
          <w:szCs w:val="15"/>
          <w:color w:val="auto"/>
        </w:rPr>
        <w:t>Adjusted EBITA is calculated as our net earnings before income taxes, amortization of acquired intangible assets, depreciation, restructuring costs, interest, transaction costs related to this offering, acquisition and divestiture related expenses, foreign exchange, non-service pension expenditures and other one-time non-operational events.</w:t>
      </w:r>
    </w:p>
    <w:p>
      <w:pPr>
        <w:ind w:left="300" w:right="520" w:hanging="300"/>
        <w:spacing w:after="0" w:line="251" w:lineRule="auto"/>
        <w:tabs>
          <w:tab w:leader="none" w:pos="296" w:val="left"/>
        </w:tabs>
        <w:numPr>
          <w:ilvl w:val="0"/>
          <w:numId w:val="80"/>
        </w:numPr>
        <w:rPr>
          <w:rFonts w:ascii="Arial" w:cs="Arial" w:eastAsia="Arial" w:hAnsi="Arial"/>
          <w:sz w:val="15"/>
          <w:szCs w:val="15"/>
          <w:color w:val="auto"/>
        </w:rPr>
      </w:pPr>
      <w:r>
        <w:rPr>
          <w:rFonts w:ascii="Arial" w:cs="Arial" w:eastAsia="Arial" w:hAnsi="Arial"/>
          <w:sz w:val="15"/>
          <w:szCs w:val="15"/>
          <w:color w:val="auto"/>
        </w:rPr>
        <w:t>“Free Cash Flow” is calculated as cash flows provided by operating activities and the cash flows provided by (used in) investing activities pertaining to capital expenditures and proceeds generated from the sale of assets.</w:t>
      </w:r>
    </w:p>
    <w:p>
      <w:pPr>
        <w:spacing w:after="0" w:line="134" w:lineRule="exact"/>
        <w:rPr>
          <w:sz w:val="20"/>
          <w:szCs w:val="20"/>
          <w:color w:val="auto"/>
        </w:rPr>
      </w:pPr>
    </w:p>
    <w:p>
      <w:pPr>
        <w:ind w:right="80" w:firstLine="299"/>
        <w:spacing w:after="0" w:line="263" w:lineRule="auto"/>
        <w:rPr>
          <w:sz w:val="20"/>
          <w:szCs w:val="20"/>
          <w:color w:val="auto"/>
        </w:rPr>
      </w:pPr>
      <w:r>
        <w:rPr>
          <w:rFonts w:ascii="Arial" w:cs="Arial" w:eastAsia="Arial" w:hAnsi="Arial"/>
          <w:sz w:val="16"/>
          <w:szCs w:val="16"/>
          <w:color w:val="auto"/>
        </w:rPr>
        <w:t>The ICP financial performance objectives were subject to adjustment by the compensation committee, as recommended by the chief executive officer, for any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acquisitions or divestitures; foreign exchange gains and losses; a change in the Company’s fiscal year; and any other nonrecurring events. The chief executive officer with the approval of the compensation committee, had the discretion to determine that no award would be earned by a participant if the Company’s Adjusted EBITA for the year did not exceed 50% of the Adjusted EBITA target established for the 2020 ICP.</w:t>
      </w:r>
    </w:p>
    <w:p>
      <w:pPr>
        <w:spacing w:after="0" w:line="134"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u w:val="single" w:color="auto"/>
          <w:color w:val="auto"/>
        </w:rPr>
        <w:t>Individual Performance Objectives (25% of Incentive Opportunity)</w:t>
      </w:r>
      <w:r>
        <w:rPr>
          <w:rFonts w:ascii="Arial" w:cs="Arial" w:eastAsia="Arial" w:hAnsi="Arial"/>
          <w:sz w:val="16"/>
          <w:szCs w:val="16"/>
          <w:color w:val="auto"/>
        </w:rPr>
        <w:t>. The individual strategic and operational goals are specific, measurable goals, can be quantitative or more subjective, and are evaluated based on their relative importance to the strategic and operational performance, solid execution, and success of the Company. The chief executive officer provides a goal rating from 0% to 200% for each of the other NEO’s individual strategic and operational goals, and the goal ratings are averaged to determine each NEO’s overall goal rating. The compensation committee is presented with each NEO’s achievement of his or her individual strategic and operational goals, and the overall goal rating for review and approval. For the chief executive officer, the compensation committee reviews the individual strategic and operational goal performance, and approves an overall goal rating.</w:t>
      </w:r>
    </w:p>
    <w:p>
      <w:pPr>
        <w:spacing w:after="0" w:line="134" w:lineRule="exact"/>
        <w:rPr>
          <w:sz w:val="20"/>
          <w:szCs w:val="20"/>
          <w:color w:val="auto"/>
        </w:rPr>
      </w:pPr>
    </w:p>
    <w:p>
      <w:pPr>
        <w:jc w:val="both"/>
        <w:ind w:right="120" w:firstLine="299"/>
        <w:spacing w:after="0" w:line="247" w:lineRule="auto"/>
        <w:rPr>
          <w:sz w:val="20"/>
          <w:szCs w:val="20"/>
          <w:color w:val="auto"/>
        </w:rPr>
      </w:pPr>
      <w:r>
        <w:rPr>
          <w:rFonts w:ascii="Arial" w:cs="Arial" w:eastAsia="Arial" w:hAnsi="Arial"/>
          <w:sz w:val="17"/>
          <w:szCs w:val="17"/>
          <w:u w:val="single" w:color="auto"/>
          <w:color w:val="auto"/>
        </w:rPr>
        <w:t>Earned Awards</w:t>
      </w:r>
      <w:r>
        <w:rPr>
          <w:rFonts w:ascii="Arial" w:cs="Arial" w:eastAsia="Arial" w:hAnsi="Arial"/>
          <w:sz w:val="17"/>
          <w:szCs w:val="17"/>
          <w:color w:val="auto"/>
        </w:rPr>
        <w:t>. In January 2021, the level at which each of the NEOs earned the award opportunity under the ICP was recommended by the chief executive officer (for NEOs other than the chief executive officer) and approved by the compensation committee, and determined by the compensation committee for the chief executive officer. The 2020 ICP awards will be paid in March 2021.</w:t>
      </w:r>
    </w:p>
    <w:p>
      <w:pPr>
        <w:spacing w:after="0" w:line="14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The chief executive officer, with compensation committee consent, has the ability to apply an additional factor to the ICP earned award for the other NEOs, referred to as a discretionary factor, which is an increase or decrease to an ICP earned award. The discretionary factor adjusts the ICP earned award under the ICP performance objectives (Company and individual) for an NEO when there is outstanding performance, or when an NEO has fallen short of expectations in the plan year. The compensation committee has the sole authority to apply a discretionary factor to the chief executive officer’s ICP earned award.</w:t>
      </w:r>
    </w:p>
    <w:p>
      <w:pPr>
        <w:spacing w:after="0" w:line="147" w:lineRule="exact"/>
        <w:rPr>
          <w:sz w:val="20"/>
          <w:szCs w:val="20"/>
          <w:color w:val="auto"/>
        </w:rPr>
      </w:pPr>
    </w:p>
    <w:p>
      <w:pPr>
        <w:ind w:right="20" w:firstLine="299"/>
        <w:spacing w:after="0" w:line="250" w:lineRule="auto"/>
        <w:rPr>
          <w:sz w:val="20"/>
          <w:szCs w:val="20"/>
          <w:color w:val="auto"/>
        </w:rPr>
      </w:pPr>
      <w:r>
        <w:rPr>
          <w:rFonts w:ascii="Arial" w:cs="Arial" w:eastAsia="Arial" w:hAnsi="Arial"/>
          <w:sz w:val="17"/>
          <w:szCs w:val="17"/>
          <w:color w:val="auto"/>
        </w:rPr>
        <w:t>The Compensation Committee approved the final ICP earned award for each of the NEOs, based on Company and individual performance, and any discretionary factor. In no event may the ICP final earned award exceed 200% of the NEO’s target award opportunity.</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2020 Incentive Performance Achievement</w:t>
      </w:r>
    </w:p>
    <w:p>
      <w:pPr>
        <w:spacing w:after="0" w:line="171" w:lineRule="exact"/>
        <w:rPr>
          <w:sz w:val="20"/>
          <w:szCs w:val="20"/>
          <w:color w:val="auto"/>
        </w:rPr>
      </w:pPr>
    </w:p>
    <w:p>
      <w:pPr>
        <w:ind w:right="400" w:firstLine="299"/>
        <w:spacing w:after="0" w:line="250" w:lineRule="auto"/>
        <w:rPr>
          <w:sz w:val="20"/>
          <w:szCs w:val="20"/>
          <w:color w:val="auto"/>
        </w:rPr>
      </w:pPr>
      <w:r>
        <w:rPr>
          <w:rFonts w:ascii="Arial" w:cs="Arial" w:eastAsia="Arial" w:hAnsi="Arial"/>
          <w:sz w:val="17"/>
          <w:szCs w:val="17"/>
          <w:u w:val="single" w:color="auto"/>
          <w:color w:val="auto"/>
        </w:rPr>
        <w:t>Company Performance (75% of Incentive Opportunity)</w:t>
      </w:r>
      <w:r>
        <w:rPr>
          <w:rFonts w:ascii="Arial" w:cs="Arial" w:eastAsia="Arial" w:hAnsi="Arial"/>
          <w:sz w:val="17"/>
          <w:szCs w:val="17"/>
          <w:color w:val="auto"/>
        </w:rPr>
        <w:t>. The compensation committee determined that the achieved ICP company performance objectives for 2020 were as follows, reflecting above-target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160"/>
          </w:cols>
          <w:pgMar w:left="320" w:top="1440" w:right="419" w:bottom="1440" w:gutter="0" w:footer="0" w:header="0"/>
        </w:sectPr>
      </w:pPr>
    </w:p>
    <w:bookmarkStart w:id="147" w:name="page148"/>
    <w:bookmarkEnd w:id="147"/>
    <w:p>
      <w:pPr>
        <w:spacing w:after="0" w:line="4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achievement of bookings, slightly below target level achievement of revenue, and below minimum level achievement of the Adjusted EBITA and free cash flow metric:</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980" w:type="dxa"/>
            <w:vAlign w:val="bottom"/>
            <w:tcBorders>
              <w:top w:val="single" w:sz="8" w:color="auto"/>
              <w:left w:val="single" w:sz="8" w:color="auto"/>
              <w:right w:val="single" w:sz="8" w:color="auto"/>
            </w:tcBorders>
            <w:vMerge w:val="restart"/>
            <w:shd w:val="clear" w:color="auto" w:fill="F2F2F2"/>
          </w:tcPr>
          <w:p>
            <w:pPr>
              <w:ind w:left="580"/>
              <w:spacing w:after="0"/>
              <w:rPr>
                <w:sz w:val="20"/>
                <w:szCs w:val="20"/>
                <w:color w:val="auto"/>
              </w:rPr>
            </w:pPr>
            <w:r>
              <w:rPr>
                <w:rFonts w:ascii="Arial" w:cs="Arial" w:eastAsia="Arial" w:hAnsi="Arial"/>
                <w:sz w:val="13"/>
                <w:szCs w:val="13"/>
                <w:b w:val="1"/>
                <w:bCs w:val="1"/>
                <w:color w:val="auto"/>
              </w:rPr>
              <w:t>Performance</w:t>
            </w:r>
          </w:p>
        </w:tc>
        <w:tc>
          <w:tcPr>
            <w:tcW w:w="126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2020 Plan (in</w:t>
            </w:r>
          </w:p>
        </w:tc>
        <w:tc>
          <w:tcPr>
            <w:tcW w:w="1200" w:type="dxa"/>
            <w:vAlign w:val="bottom"/>
            <w:tcBorders>
              <w:top w:val="single" w:sz="8" w:color="auto"/>
            </w:tcBorders>
            <w:shd w:val="clear" w:color="auto" w:fill="F2F2F2"/>
          </w:tcPr>
          <w:p>
            <w:pPr>
              <w:jc w:val="center"/>
              <w:ind w:left="24"/>
              <w:spacing w:after="0"/>
              <w:rPr>
                <w:sz w:val="20"/>
                <w:szCs w:val="20"/>
                <w:color w:val="auto"/>
              </w:rPr>
            </w:pPr>
            <w:r>
              <w:rPr>
                <w:rFonts w:ascii="Arial" w:cs="Arial" w:eastAsia="Arial" w:hAnsi="Arial"/>
                <w:sz w:val="13"/>
                <w:szCs w:val="13"/>
                <w:b w:val="1"/>
                <w:bCs w:val="1"/>
                <w:color w:val="auto"/>
              </w:rPr>
              <w:t>Actual 2020</w:t>
            </w:r>
          </w:p>
        </w:tc>
        <w:tc>
          <w:tcPr>
            <w:tcW w:w="140" w:type="dxa"/>
            <w:vAlign w:val="bottom"/>
            <w:tcBorders>
              <w:top w:val="single" w:sz="8" w:color="auto"/>
              <w:right w:val="single" w:sz="8" w:color="auto"/>
            </w:tcBorders>
            <w:shd w:val="clear" w:color="auto" w:fill="F2F2F2"/>
          </w:tcPr>
          <w:p>
            <w:pPr>
              <w:spacing w:after="0"/>
              <w:rPr>
                <w:sz w:val="15"/>
                <w:szCs w:val="15"/>
                <w:color w:val="auto"/>
              </w:rPr>
            </w:pPr>
          </w:p>
        </w:tc>
        <w:tc>
          <w:tcPr>
            <w:tcW w:w="14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 Performance</w:t>
            </w:r>
          </w:p>
        </w:tc>
        <w:tc>
          <w:tcPr>
            <w:tcW w:w="156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ICP Performance</w:t>
            </w:r>
          </w:p>
        </w:tc>
        <w:tc>
          <w:tcPr>
            <w:tcW w:w="1920" w:type="dxa"/>
            <w:vAlign w:val="bottom"/>
            <w:tcBorders>
              <w:top w:val="single" w:sz="8" w:color="auto"/>
              <w:right w:val="single" w:sz="8" w:color="auto"/>
            </w:tcBorders>
            <w:shd w:val="clear" w:color="auto" w:fill="F2F2F2"/>
          </w:tcPr>
          <w:p>
            <w:pPr>
              <w:spacing w:after="0"/>
              <w:rPr>
                <w:sz w:val="15"/>
                <w:szCs w:val="15"/>
                <w:color w:val="auto"/>
              </w:rPr>
            </w:pPr>
          </w:p>
        </w:tc>
        <w:tc>
          <w:tcPr>
            <w:tcW w:w="1780" w:type="dxa"/>
            <w:vAlign w:val="bottom"/>
            <w:tcBorders>
              <w:top w:val="single" w:sz="8" w:color="auto"/>
              <w:right w:val="single" w:sz="8" w:color="auto"/>
            </w:tcBorders>
            <w:gridSpan w:val="2"/>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Weighted Performance</w:t>
            </w: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shd w:val="clear" w:color="auto" w:fill="F2F2F2"/>
          </w:tcPr>
          <w:p>
            <w:pPr>
              <w:spacing w:after="0"/>
              <w:rPr>
                <w:sz w:val="6"/>
                <w:szCs w:val="6"/>
                <w:color w:val="auto"/>
              </w:rPr>
            </w:pPr>
          </w:p>
        </w:tc>
        <w:tc>
          <w:tcPr>
            <w:tcW w:w="1260" w:type="dxa"/>
            <w:vAlign w:val="bottom"/>
            <w:tcBorders>
              <w:right w:val="single" w:sz="8" w:color="auto"/>
            </w:tcBorders>
            <w:vMerge w:val="continue"/>
            <w:shd w:val="clear" w:color="auto" w:fill="F2F2F2"/>
          </w:tcPr>
          <w:p>
            <w:pPr>
              <w:spacing w:after="0"/>
              <w:rPr>
                <w:sz w:val="6"/>
                <w:szCs w:val="6"/>
                <w:color w:val="auto"/>
              </w:rPr>
            </w:pPr>
          </w:p>
        </w:tc>
        <w:tc>
          <w:tcPr>
            <w:tcW w:w="1200" w:type="dxa"/>
            <w:vAlign w:val="bottom"/>
            <w:vMerge w:val="restart"/>
            <w:shd w:val="clear" w:color="auto" w:fill="F2F2F2"/>
          </w:tcPr>
          <w:p>
            <w:pPr>
              <w:jc w:val="center"/>
              <w:ind w:left="24"/>
              <w:spacing w:after="0" w:line="136" w:lineRule="exact"/>
              <w:rPr>
                <w:sz w:val="20"/>
                <w:szCs w:val="20"/>
                <w:color w:val="auto"/>
              </w:rPr>
            </w:pPr>
            <w:r>
              <w:rPr>
                <w:rFonts w:ascii="Arial" w:cs="Arial" w:eastAsia="Arial" w:hAnsi="Arial"/>
                <w:sz w:val="13"/>
                <w:szCs w:val="13"/>
                <w:b w:val="1"/>
                <w:bCs w:val="1"/>
                <w:color w:val="auto"/>
              </w:rPr>
              <w:t>Performance (in</w:t>
            </w:r>
          </w:p>
        </w:tc>
        <w:tc>
          <w:tcPr>
            <w:tcW w:w="140" w:type="dxa"/>
            <w:vAlign w:val="bottom"/>
            <w:tcBorders>
              <w:right w:val="single" w:sz="8" w:color="auto"/>
            </w:tcBorders>
            <w:shd w:val="clear" w:color="auto" w:fill="F2F2F2"/>
          </w:tcPr>
          <w:p>
            <w:pPr>
              <w:spacing w:after="0"/>
              <w:rPr>
                <w:sz w:val="6"/>
                <w:szCs w:val="6"/>
                <w:color w:val="auto"/>
              </w:rPr>
            </w:pPr>
          </w:p>
        </w:tc>
        <w:tc>
          <w:tcPr>
            <w:tcW w:w="1420" w:type="dxa"/>
            <w:vAlign w:val="bottom"/>
            <w:tcBorders>
              <w:right w:val="single" w:sz="8" w:color="auto"/>
            </w:tcBorders>
            <w:vMerge w:val="continue"/>
            <w:shd w:val="clear" w:color="auto" w:fill="F2F2F2"/>
          </w:tcPr>
          <w:p>
            <w:pPr>
              <w:spacing w:after="0"/>
              <w:rPr>
                <w:sz w:val="6"/>
                <w:szCs w:val="6"/>
                <w:color w:val="auto"/>
              </w:rPr>
            </w:pPr>
          </w:p>
        </w:tc>
        <w:tc>
          <w:tcPr>
            <w:tcW w:w="1560" w:type="dxa"/>
            <w:vAlign w:val="bottom"/>
            <w:tcBorders>
              <w:right w:val="single" w:sz="8" w:color="auto"/>
            </w:tcBorders>
            <w:vMerge w:val="continue"/>
            <w:shd w:val="clear" w:color="auto" w:fill="F2F2F2"/>
          </w:tcPr>
          <w:p>
            <w:pPr>
              <w:spacing w:after="0"/>
              <w:rPr>
                <w:sz w:val="6"/>
                <w:szCs w:val="6"/>
                <w:color w:val="auto"/>
              </w:rPr>
            </w:pPr>
          </w:p>
        </w:tc>
        <w:tc>
          <w:tcPr>
            <w:tcW w:w="1920" w:type="dxa"/>
            <w:vAlign w:val="bottom"/>
            <w:tcBorders>
              <w:right w:val="single" w:sz="8" w:color="auto"/>
            </w:tcBorders>
            <w:vMerge w:val="restart"/>
            <w:shd w:val="clear" w:color="auto" w:fill="F2F2F2"/>
          </w:tcPr>
          <w:p>
            <w:pPr>
              <w:jc w:val="center"/>
              <w:spacing w:after="0" w:line="136" w:lineRule="exact"/>
              <w:rPr>
                <w:sz w:val="20"/>
                <w:szCs w:val="20"/>
                <w:color w:val="auto"/>
              </w:rPr>
            </w:pPr>
            <w:r>
              <w:rPr>
                <w:rFonts w:ascii="Arial" w:cs="Arial" w:eastAsia="Arial" w:hAnsi="Arial"/>
                <w:sz w:val="13"/>
                <w:szCs w:val="13"/>
                <w:b w:val="1"/>
                <w:bCs w:val="1"/>
                <w:color w:val="auto"/>
              </w:rPr>
              <w:t>Weighting</w:t>
            </w:r>
          </w:p>
        </w:tc>
        <w:tc>
          <w:tcPr>
            <w:tcW w:w="1780" w:type="dxa"/>
            <w:vAlign w:val="bottom"/>
            <w:tcBorders>
              <w:right w:val="single" w:sz="8" w:color="auto"/>
            </w:tcBorders>
            <w:gridSpan w:val="2"/>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980" w:type="dxa"/>
            <w:vAlign w:val="bottom"/>
            <w:tcBorders>
              <w:left w:val="single" w:sz="8" w:color="auto"/>
              <w:right w:val="single" w:sz="8" w:color="auto"/>
            </w:tcBorders>
            <w:shd w:val="clear" w:color="auto" w:fill="F2F2F2"/>
          </w:tcPr>
          <w:p>
            <w:pPr>
              <w:spacing w:after="0"/>
              <w:rPr>
                <w:sz w:val="5"/>
                <w:szCs w:val="5"/>
                <w:color w:val="auto"/>
              </w:rPr>
            </w:pPr>
          </w:p>
        </w:tc>
        <w:tc>
          <w:tcPr>
            <w:tcW w:w="1260" w:type="dxa"/>
            <w:vAlign w:val="bottom"/>
            <w:tcBorders>
              <w:right w:val="single" w:sz="8" w:color="auto"/>
            </w:tcBorders>
            <w:shd w:val="clear" w:color="auto" w:fill="F2F2F2"/>
          </w:tcPr>
          <w:p>
            <w:pPr>
              <w:spacing w:after="0"/>
              <w:rPr>
                <w:sz w:val="5"/>
                <w:szCs w:val="5"/>
                <w:color w:val="auto"/>
              </w:rPr>
            </w:pPr>
          </w:p>
        </w:tc>
        <w:tc>
          <w:tcPr>
            <w:tcW w:w="1200" w:type="dxa"/>
            <w:vAlign w:val="bottom"/>
            <w:vMerge w:val="continue"/>
            <w:shd w:val="clear" w:color="auto" w:fill="F2F2F2"/>
          </w:tcPr>
          <w:p>
            <w:pPr>
              <w:spacing w:after="0"/>
              <w:rPr>
                <w:sz w:val="5"/>
                <w:szCs w:val="5"/>
                <w:color w:val="auto"/>
              </w:rPr>
            </w:pPr>
          </w:p>
        </w:tc>
        <w:tc>
          <w:tcPr>
            <w:tcW w:w="140" w:type="dxa"/>
            <w:vAlign w:val="bottom"/>
            <w:tcBorders>
              <w:right w:val="single" w:sz="8" w:color="auto"/>
            </w:tcBorders>
            <w:shd w:val="clear" w:color="auto" w:fill="F2F2F2"/>
          </w:tcPr>
          <w:p>
            <w:pPr>
              <w:spacing w:after="0"/>
              <w:rPr>
                <w:sz w:val="5"/>
                <w:szCs w:val="5"/>
                <w:color w:val="auto"/>
              </w:rPr>
            </w:pPr>
          </w:p>
        </w:tc>
        <w:tc>
          <w:tcPr>
            <w:tcW w:w="1420" w:type="dxa"/>
            <w:vAlign w:val="bottom"/>
            <w:tcBorders>
              <w:right w:val="single" w:sz="8" w:color="auto"/>
            </w:tcBorders>
            <w:shd w:val="clear" w:color="auto" w:fill="F2F2F2"/>
          </w:tcPr>
          <w:p>
            <w:pPr>
              <w:spacing w:after="0"/>
              <w:rPr>
                <w:sz w:val="5"/>
                <w:szCs w:val="5"/>
                <w:color w:val="auto"/>
              </w:rPr>
            </w:pPr>
          </w:p>
        </w:tc>
        <w:tc>
          <w:tcPr>
            <w:tcW w:w="1560" w:type="dxa"/>
            <w:vAlign w:val="bottom"/>
            <w:tcBorders>
              <w:right w:val="single" w:sz="8" w:color="auto"/>
            </w:tcBorders>
            <w:shd w:val="clear" w:color="auto" w:fill="F2F2F2"/>
          </w:tcPr>
          <w:p>
            <w:pPr>
              <w:jc w:val="right"/>
              <w:ind w:right="509"/>
              <w:spacing w:after="0" w:line="63" w:lineRule="exact"/>
              <w:rPr>
                <w:sz w:val="20"/>
                <w:szCs w:val="20"/>
                <w:color w:val="auto"/>
              </w:rPr>
            </w:pPr>
            <w:r>
              <w:rPr>
                <w:rFonts w:ascii="Arial" w:cs="Arial" w:eastAsia="Arial" w:hAnsi="Arial"/>
                <w:sz w:val="6"/>
                <w:szCs w:val="6"/>
                <w:b w:val="1"/>
                <w:bCs w:val="1"/>
                <w:color w:val="auto"/>
              </w:rPr>
              <w:t>2</w:t>
            </w:r>
          </w:p>
        </w:tc>
        <w:tc>
          <w:tcPr>
            <w:tcW w:w="1920" w:type="dxa"/>
            <w:vAlign w:val="bottom"/>
            <w:tcBorders>
              <w:right w:val="single" w:sz="8" w:color="auto"/>
            </w:tcBorders>
            <w:vMerge w:val="continue"/>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c>
          <w:tcPr>
            <w:tcW w:w="720" w:type="dxa"/>
            <w:vAlign w:val="bottom"/>
            <w:tcBorders>
              <w:right w:val="single" w:sz="8" w:color="auto"/>
            </w:tcBorders>
            <w:shd w:val="clear" w:color="auto" w:fill="F2F2F2"/>
          </w:tcPr>
          <w:p>
            <w:pPr>
              <w:jc w:val="right"/>
              <w:ind w:right="602"/>
              <w:spacing w:after="0" w:line="63" w:lineRule="exact"/>
              <w:rPr>
                <w:sz w:val="20"/>
                <w:szCs w:val="20"/>
                <w:color w:val="auto"/>
              </w:rPr>
            </w:pPr>
            <w:r>
              <w:rPr>
                <w:rFonts w:ascii="Arial" w:cs="Arial" w:eastAsia="Arial" w:hAnsi="Arial"/>
                <w:sz w:val="6"/>
                <w:szCs w:val="6"/>
                <w:b w:val="1"/>
                <w:bCs w:val="1"/>
                <w:color w:val="auto"/>
              </w:rPr>
              <w:t>3</w:t>
            </w:r>
          </w:p>
        </w:tc>
        <w:tc>
          <w:tcPr>
            <w:tcW w:w="0" w:type="dxa"/>
            <w:vAlign w:val="bottom"/>
          </w:tcPr>
          <w:p>
            <w:pPr>
              <w:spacing w:after="0"/>
              <w:rPr>
                <w:sz w:val="1"/>
                <w:szCs w:val="1"/>
                <w:color w:val="auto"/>
              </w:rPr>
            </w:pPr>
          </w:p>
        </w:tc>
      </w:tr>
      <w:tr>
        <w:trPr>
          <w:trHeight w:val="199"/>
        </w:trPr>
        <w:tc>
          <w:tcPr>
            <w:tcW w:w="1980" w:type="dxa"/>
            <w:vAlign w:val="bottom"/>
            <w:tcBorders>
              <w:left w:val="single" w:sz="8" w:color="auto"/>
              <w:bottom w:val="single" w:sz="8" w:color="auto"/>
              <w:right w:val="single" w:sz="8" w:color="auto"/>
            </w:tcBorders>
            <w:shd w:val="clear" w:color="auto" w:fill="F2F2F2"/>
          </w:tcPr>
          <w:p>
            <w:pPr>
              <w:ind w:left="700"/>
              <w:spacing w:after="0"/>
              <w:rPr>
                <w:sz w:val="20"/>
                <w:szCs w:val="20"/>
                <w:color w:val="auto"/>
              </w:rPr>
            </w:pPr>
            <w:r>
              <w:rPr>
                <w:rFonts w:ascii="Arial" w:cs="Arial" w:eastAsia="Arial" w:hAnsi="Arial"/>
                <w:sz w:val="13"/>
                <w:szCs w:val="13"/>
                <w:b w:val="1"/>
                <w:bCs w:val="1"/>
                <w:color w:val="auto"/>
              </w:rPr>
              <w:t>Objective</w:t>
            </w:r>
          </w:p>
        </w:tc>
        <w:tc>
          <w:tcPr>
            <w:tcW w:w="12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millions)</w:t>
            </w:r>
          </w:p>
        </w:tc>
        <w:tc>
          <w:tcPr>
            <w:tcW w:w="1200" w:type="dxa"/>
            <w:vAlign w:val="bottom"/>
            <w:tcBorders>
              <w:bottom w:val="single" w:sz="8" w:color="auto"/>
            </w:tcBorders>
            <w:shd w:val="clear" w:color="auto" w:fill="F2F2F2"/>
          </w:tcPr>
          <w:p>
            <w:pPr>
              <w:jc w:val="center"/>
              <w:ind w:left="44"/>
              <w:spacing w:after="0"/>
              <w:rPr>
                <w:sz w:val="20"/>
                <w:szCs w:val="20"/>
                <w:color w:val="auto"/>
              </w:rPr>
            </w:pPr>
            <w:r>
              <w:rPr>
                <w:rFonts w:ascii="Arial" w:cs="Arial" w:eastAsia="Arial" w:hAnsi="Arial"/>
                <w:sz w:val="13"/>
                <w:szCs w:val="13"/>
                <w:b w:val="1"/>
                <w:bCs w:val="1"/>
                <w:color w:val="auto"/>
              </w:rPr>
              <w:t>millions)</w:t>
            </w:r>
            <w:r>
              <w:rPr>
                <w:rFonts w:ascii="Arial" w:cs="Arial" w:eastAsia="Arial" w:hAnsi="Arial"/>
                <w:sz w:val="17"/>
                <w:szCs w:val="17"/>
                <w:b w:val="1"/>
                <w:bCs w:val="1"/>
                <w:color w:val="auto"/>
                <w:vertAlign w:val="superscript"/>
              </w:rPr>
              <w:t>1</w:t>
            </w:r>
          </w:p>
        </w:tc>
        <w:tc>
          <w:tcPr>
            <w:tcW w:w="140" w:type="dxa"/>
            <w:vAlign w:val="bottom"/>
            <w:tcBorders>
              <w:bottom w:val="single" w:sz="8" w:color="auto"/>
              <w:right w:val="single" w:sz="8" w:color="auto"/>
            </w:tcBorders>
            <w:shd w:val="clear" w:color="auto" w:fill="F2F2F2"/>
          </w:tcPr>
          <w:p>
            <w:pPr>
              <w:spacing w:after="0"/>
              <w:rPr>
                <w:sz w:val="17"/>
                <w:szCs w:val="17"/>
                <w:color w:val="auto"/>
              </w:rPr>
            </w:pPr>
          </w:p>
        </w:tc>
        <w:tc>
          <w:tcPr>
            <w:tcW w:w="14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Achieved</w:t>
            </w:r>
          </w:p>
        </w:tc>
        <w:tc>
          <w:tcPr>
            <w:tcW w:w="1560" w:type="dxa"/>
            <w:vAlign w:val="bottom"/>
            <w:tcBorders>
              <w:bottom w:val="single" w:sz="8" w:color="auto"/>
              <w:right w:val="single" w:sz="8" w:color="auto"/>
            </w:tcBorders>
            <w:shd w:val="clear" w:color="auto" w:fill="F2F2F2"/>
          </w:tcPr>
          <w:p>
            <w:pPr>
              <w:jc w:val="center"/>
              <w:ind w:right="9"/>
              <w:spacing w:after="0"/>
              <w:rPr>
                <w:sz w:val="20"/>
                <w:szCs w:val="20"/>
                <w:color w:val="auto"/>
              </w:rPr>
            </w:pPr>
            <w:r>
              <w:rPr>
                <w:rFonts w:ascii="Arial" w:cs="Arial" w:eastAsia="Arial" w:hAnsi="Arial"/>
                <w:sz w:val="13"/>
                <w:szCs w:val="13"/>
                <w:b w:val="1"/>
                <w:bCs w:val="1"/>
                <w:color w:val="auto"/>
              </w:rPr>
              <w:t>Factor</w:t>
            </w:r>
          </w:p>
        </w:tc>
        <w:tc>
          <w:tcPr>
            <w:tcW w:w="1920" w:type="dxa"/>
            <w:vAlign w:val="bottom"/>
            <w:tcBorders>
              <w:bottom w:val="single" w:sz="8" w:color="auto"/>
              <w:right w:val="single" w:sz="8" w:color="auto"/>
            </w:tcBorders>
            <w:shd w:val="clear" w:color="auto" w:fill="F2F2F2"/>
          </w:tcPr>
          <w:p>
            <w:pPr>
              <w:spacing w:after="0"/>
              <w:rPr>
                <w:sz w:val="17"/>
                <w:szCs w:val="17"/>
                <w:color w:val="auto"/>
              </w:rPr>
            </w:pPr>
          </w:p>
        </w:tc>
        <w:tc>
          <w:tcPr>
            <w:tcW w:w="1060" w:type="dxa"/>
            <w:vAlign w:val="bottom"/>
            <w:tcBorders>
              <w:bottom w:val="single" w:sz="8" w:color="auto"/>
            </w:tcBorders>
            <w:shd w:val="clear" w:color="auto" w:fill="F2F2F2"/>
          </w:tcPr>
          <w:p>
            <w:pPr>
              <w:jc w:val="center"/>
              <w:ind w:left="583"/>
              <w:spacing w:after="0"/>
              <w:rPr>
                <w:sz w:val="20"/>
                <w:szCs w:val="20"/>
                <w:color w:val="auto"/>
              </w:rPr>
            </w:pPr>
            <w:r>
              <w:rPr>
                <w:rFonts w:ascii="Arial" w:cs="Arial" w:eastAsia="Arial" w:hAnsi="Arial"/>
                <w:sz w:val="13"/>
                <w:szCs w:val="13"/>
                <w:b w:val="1"/>
                <w:bCs w:val="1"/>
                <w:color w:val="auto"/>
              </w:rPr>
              <w:t>Factor</w:t>
            </w:r>
          </w:p>
        </w:tc>
        <w:tc>
          <w:tcPr>
            <w:tcW w:w="720" w:type="dxa"/>
            <w:vAlign w:val="bottom"/>
            <w:tcBorders>
              <w:bottom w:val="single" w:sz="8" w:color="auto"/>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Bookings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$2,600</w:t>
            </w:r>
          </w:p>
        </w:tc>
        <w:tc>
          <w:tcPr>
            <w:tcW w:w="1200" w:type="dxa"/>
            <w:vAlign w:val="bottom"/>
          </w:tcPr>
          <w:p>
            <w:pPr>
              <w:jc w:val="center"/>
              <w:ind w:left="24"/>
              <w:spacing w:after="0"/>
              <w:rPr>
                <w:sz w:val="20"/>
                <w:szCs w:val="20"/>
                <w:color w:val="auto"/>
              </w:rPr>
            </w:pPr>
            <w:r>
              <w:rPr>
                <w:rFonts w:ascii="Arial" w:cs="Arial" w:eastAsia="Arial" w:hAnsi="Arial"/>
                <w:sz w:val="17"/>
                <w:szCs w:val="17"/>
                <w:color w:val="auto"/>
                <w:w w:val="96"/>
              </w:rPr>
              <w:t>$3,055</w:t>
            </w:r>
          </w:p>
        </w:tc>
        <w:tc>
          <w:tcPr>
            <w:tcW w:w="1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117%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168%</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25%</w:t>
            </w:r>
          </w:p>
        </w:tc>
        <w:tc>
          <w:tcPr>
            <w:tcW w:w="1060" w:type="dxa"/>
            <w:vAlign w:val="bottom"/>
          </w:tcPr>
          <w:p>
            <w:pPr>
              <w:jc w:val="center"/>
              <w:ind w:left="643"/>
              <w:spacing w:after="0"/>
              <w:rPr>
                <w:sz w:val="20"/>
                <w:szCs w:val="20"/>
                <w:color w:val="auto"/>
              </w:rPr>
            </w:pPr>
            <w:r>
              <w:rPr>
                <w:rFonts w:ascii="Arial" w:cs="Arial" w:eastAsia="Arial" w:hAnsi="Arial"/>
                <w:sz w:val="17"/>
                <w:szCs w:val="17"/>
                <w:color w:val="auto"/>
                <w:w w:val="99"/>
              </w:rPr>
              <w:t>42%</w:t>
            </w: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Revenue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$2,800</w:t>
            </w:r>
          </w:p>
        </w:tc>
        <w:tc>
          <w:tcPr>
            <w:tcW w:w="1200" w:type="dxa"/>
            <w:vAlign w:val="bottom"/>
          </w:tcPr>
          <w:p>
            <w:pPr>
              <w:jc w:val="center"/>
              <w:ind w:left="24"/>
              <w:spacing w:after="0"/>
              <w:rPr>
                <w:sz w:val="20"/>
                <w:szCs w:val="20"/>
                <w:color w:val="auto"/>
              </w:rPr>
            </w:pPr>
            <w:r>
              <w:rPr>
                <w:rFonts w:ascii="Arial" w:cs="Arial" w:eastAsia="Arial" w:hAnsi="Arial"/>
                <w:sz w:val="17"/>
                <w:szCs w:val="17"/>
                <w:color w:val="auto"/>
                <w:w w:val="96"/>
              </w:rPr>
              <w:t>$2,757</w:t>
            </w:r>
          </w:p>
        </w:tc>
        <w:tc>
          <w:tcPr>
            <w:tcW w:w="1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98%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88%</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25%</w:t>
            </w:r>
          </w:p>
        </w:tc>
        <w:tc>
          <w:tcPr>
            <w:tcW w:w="1060" w:type="dxa"/>
            <w:vAlign w:val="bottom"/>
          </w:tcPr>
          <w:p>
            <w:pPr>
              <w:jc w:val="center"/>
              <w:ind w:left="643"/>
              <w:spacing w:after="0"/>
              <w:rPr>
                <w:sz w:val="20"/>
                <w:szCs w:val="20"/>
                <w:color w:val="auto"/>
              </w:rPr>
            </w:pPr>
            <w:r>
              <w:rPr>
                <w:rFonts w:ascii="Arial" w:cs="Arial" w:eastAsia="Arial" w:hAnsi="Arial"/>
                <w:sz w:val="17"/>
                <w:szCs w:val="17"/>
                <w:color w:val="auto"/>
                <w:w w:val="99"/>
              </w:rPr>
              <w:t>22%</w:t>
            </w: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Adjusted EBITA</w:t>
            </w:r>
            <w:r>
              <w:rPr>
                <w:rFonts w:ascii="Arial" w:cs="Arial" w:eastAsia="Arial" w:hAnsi="Arial"/>
                <w:sz w:val="21"/>
                <w:szCs w:val="21"/>
                <w:color w:val="auto"/>
                <w:vertAlign w:val="superscript"/>
              </w:rPr>
              <w:t>(1)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$245</w:t>
            </w:r>
          </w:p>
        </w:tc>
        <w:tc>
          <w:tcPr>
            <w:tcW w:w="1200" w:type="dxa"/>
            <w:vAlign w:val="bottom"/>
            <w:tcBorders>
              <w:bottom w:val="single" w:sz="8" w:color="auto"/>
            </w:tcBorders>
          </w:tcPr>
          <w:p>
            <w:pPr>
              <w:jc w:val="center"/>
              <w:ind w:left="24"/>
              <w:spacing w:after="0"/>
              <w:rPr>
                <w:sz w:val="20"/>
                <w:szCs w:val="20"/>
                <w:color w:val="auto"/>
              </w:rPr>
            </w:pPr>
            <w:r>
              <w:rPr>
                <w:rFonts w:ascii="Arial" w:cs="Arial" w:eastAsia="Arial" w:hAnsi="Arial"/>
                <w:sz w:val="17"/>
                <w:szCs w:val="17"/>
                <w:color w:val="auto"/>
              </w:rPr>
              <w:t>$203</w:t>
            </w:r>
          </w:p>
        </w:tc>
        <w:tc>
          <w:tcPr>
            <w:tcW w:w="1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83%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25%</w:t>
            </w:r>
          </w:p>
        </w:tc>
        <w:tc>
          <w:tcPr>
            <w:tcW w:w="1060" w:type="dxa"/>
            <w:vAlign w:val="bottom"/>
            <w:tcBorders>
              <w:bottom w:val="single" w:sz="8" w:color="auto"/>
            </w:tcBorders>
          </w:tcPr>
          <w:p>
            <w:pPr>
              <w:jc w:val="center"/>
              <w:ind w:left="623"/>
              <w:spacing w:after="0"/>
              <w:rPr>
                <w:sz w:val="20"/>
                <w:szCs w:val="20"/>
                <w:color w:val="auto"/>
              </w:rPr>
            </w:pPr>
            <w:r>
              <w:rPr>
                <w:rFonts w:ascii="Arial" w:cs="Arial" w:eastAsia="Arial" w:hAnsi="Arial"/>
                <w:sz w:val="17"/>
                <w:szCs w:val="17"/>
                <w:color w:val="auto"/>
                <w:w w:val="97"/>
              </w:rPr>
              <w:t>0%</w:t>
            </w: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Free Cash Flow</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$120</w:t>
            </w:r>
          </w:p>
        </w:tc>
        <w:tc>
          <w:tcPr>
            <w:tcW w:w="1200" w:type="dxa"/>
            <w:vAlign w:val="bottom"/>
          </w:tcPr>
          <w:p>
            <w:pPr>
              <w:jc w:val="center"/>
              <w:ind w:left="44"/>
              <w:spacing w:after="0"/>
              <w:rPr>
                <w:sz w:val="20"/>
                <w:szCs w:val="20"/>
                <w:color w:val="auto"/>
              </w:rPr>
            </w:pPr>
            <w:r>
              <w:rPr>
                <w:rFonts w:ascii="Arial" w:cs="Arial" w:eastAsia="Arial" w:hAnsi="Arial"/>
                <w:sz w:val="17"/>
                <w:szCs w:val="17"/>
                <w:color w:val="auto"/>
                <w:w w:val="98"/>
              </w:rPr>
              <w:t>$97</w:t>
            </w:r>
          </w:p>
        </w:tc>
        <w:tc>
          <w:tcPr>
            <w:tcW w:w="1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81%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25%</w:t>
            </w:r>
          </w:p>
        </w:tc>
        <w:tc>
          <w:tcPr>
            <w:tcW w:w="1060" w:type="dxa"/>
            <w:vAlign w:val="bottom"/>
          </w:tcPr>
          <w:p>
            <w:pPr>
              <w:jc w:val="center"/>
              <w:ind w:left="623"/>
              <w:spacing w:after="0"/>
              <w:rPr>
                <w:sz w:val="20"/>
                <w:szCs w:val="20"/>
                <w:color w:val="auto"/>
              </w:rPr>
            </w:pPr>
            <w:r>
              <w:rPr>
                <w:rFonts w:ascii="Arial" w:cs="Arial" w:eastAsia="Arial" w:hAnsi="Arial"/>
                <w:sz w:val="17"/>
                <w:szCs w:val="17"/>
                <w:color w:val="auto"/>
                <w:w w:val="97"/>
              </w:rPr>
              <w:t>0%</w:t>
            </w: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980" w:type="dxa"/>
            <w:vAlign w:val="bottom"/>
            <w:tcBorders>
              <w:left w:val="single" w:sz="8" w:color="auto"/>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7"/>
                <w:szCs w:val="17"/>
                <w:color w:val="auto"/>
                <w:w w:val="96"/>
              </w:rPr>
              <w:t>Total Financial Performance Achievement</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168"/>
        </w:trPr>
        <w:tc>
          <w:tcPr>
            <w:tcW w:w="1980" w:type="dxa"/>
            <w:vAlign w:val="bottom"/>
          </w:tcPr>
          <w:p>
            <w:pPr>
              <w:spacing w:after="0" w:line="169" w:lineRule="exact"/>
              <w:rPr>
                <w:sz w:val="20"/>
                <w:szCs w:val="20"/>
                <w:color w:val="auto"/>
              </w:rPr>
            </w:pPr>
            <w:r>
              <w:rPr>
                <w:rFonts w:ascii="Arial" w:cs="Arial" w:eastAsia="Arial" w:hAnsi="Arial"/>
                <w:sz w:val="15"/>
                <w:szCs w:val="15"/>
                <w:color w:val="auto"/>
              </w:rPr>
              <w:t>________________</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Actual performance was calculated in accordance with IFRS. The company used IFRS as its principal method of accounting.</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After the Percentage of Performance Achieved is calculated for each metric, an interpolation table is used to determine the ICP Performance Factor.</w:t>
      </w:r>
    </w:p>
    <w:p>
      <w:pPr>
        <w:spacing w:after="0" w:line="1" w:lineRule="exact"/>
        <w:rPr>
          <w:rFonts w:ascii="Arial" w:cs="Arial" w:eastAsia="Arial" w:hAnsi="Arial"/>
          <w:sz w:val="15"/>
          <w:szCs w:val="15"/>
          <w:color w:val="auto"/>
        </w:rPr>
      </w:pPr>
    </w:p>
    <w:p>
      <w:pPr>
        <w:ind w:left="300" w:right="200" w:hanging="300"/>
        <w:spacing w:after="0" w:line="286" w:lineRule="auto"/>
        <w:tabs>
          <w:tab w:leader="none" w:pos="226"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Weighted Performance Factor is calculated for each metric based on applying the Weighting to the ICP Performance Factor. The Financial Performance Achievement is the total of the Weighted Performance Factors, and is used along with the Individual Performance Achievement to determine the Calculated Award.</w:t>
      </w:r>
    </w:p>
    <w:p>
      <w:pPr>
        <w:spacing w:after="0" w:line="335" w:lineRule="exact"/>
        <w:rPr>
          <w:sz w:val="20"/>
          <w:szCs w:val="20"/>
          <w:color w:val="auto"/>
        </w:rPr>
      </w:pPr>
    </w:p>
    <w:p>
      <w:pPr>
        <w:ind w:right="100" w:firstLine="299"/>
        <w:spacing w:after="0" w:line="264" w:lineRule="auto"/>
        <w:rPr>
          <w:sz w:val="20"/>
          <w:szCs w:val="20"/>
          <w:color w:val="auto"/>
        </w:rPr>
      </w:pPr>
      <w:r>
        <w:rPr>
          <w:rFonts w:ascii="Arial" w:cs="Arial" w:eastAsia="Arial" w:hAnsi="Arial"/>
          <w:sz w:val="16"/>
          <w:szCs w:val="16"/>
          <w:u w:val="single" w:color="auto"/>
          <w:color w:val="auto"/>
        </w:rPr>
        <w:t>Individual Performance (25% of Incentive Opportunity)</w:t>
      </w:r>
      <w:r>
        <w:rPr>
          <w:rFonts w:ascii="Arial" w:cs="Arial" w:eastAsia="Arial" w:hAnsi="Arial"/>
          <w:sz w:val="16"/>
          <w:szCs w:val="16"/>
          <w:color w:val="auto"/>
        </w:rPr>
        <w:t>. The individual strategic and operational goals for each NEO were designed to reflect the significant individual performance expectations for the NEO and reward notable achievements that exceeded expectations. Each NEO is expected to contribute to the financial performance of the Company beyond that specifically recognized in the financial performance metrics listed in the table above. The NEO’s results of their individual strategic and operational goals were taken into consideration by the compensation committee to determine the individual performance achievement. for each NEO and are reflected in the level at which the individual performance metric was achieved.</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640" w:type="dxa"/>
            <w:vAlign w:val="bottom"/>
            <w:tcBorders>
              <w:top w:val="single" w:sz="8" w:color="auto"/>
              <w:left w:val="single" w:sz="8" w:color="auto"/>
              <w:right w:val="single" w:sz="8" w:color="auto"/>
            </w:tcBorders>
            <w:vMerge w:val="restart"/>
            <w:shd w:val="clear" w:color="auto" w:fill="F2F2F2"/>
          </w:tcPr>
          <w:p>
            <w:pPr>
              <w:ind w:left="320"/>
              <w:spacing w:after="0"/>
              <w:rPr>
                <w:sz w:val="20"/>
                <w:szCs w:val="20"/>
                <w:color w:val="auto"/>
              </w:rPr>
            </w:pPr>
            <w:r>
              <w:rPr>
                <w:rFonts w:ascii="Arial" w:cs="Arial" w:eastAsia="Arial" w:hAnsi="Arial"/>
                <w:sz w:val="17"/>
                <w:szCs w:val="17"/>
                <w:color w:val="auto"/>
              </w:rPr>
              <w:t>Name</w:t>
            </w:r>
          </w:p>
        </w:tc>
        <w:tc>
          <w:tcPr>
            <w:tcW w:w="1800" w:type="dxa"/>
            <w:vAlign w:val="bottom"/>
            <w:tcBorders>
              <w:top w:val="single" w:sz="8" w:color="auto"/>
              <w:right w:val="single" w:sz="8" w:color="auto"/>
            </w:tcBorders>
            <w:shd w:val="clear" w:color="auto" w:fill="F2F2F2"/>
          </w:tcPr>
          <w:p>
            <w:pPr>
              <w:spacing w:after="0"/>
              <w:rPr>
                <w:sz w:val="20"/>
                <w:szCs w:val="20"/>
                <w:color w:val="auto"/>
              </w:rPr>
            </w:pPr>
            <w:r>
              <w:rPr>
                <w:rFonts w:ascii="Arial" w:cs="Arial" w:eastAsia="Arial" w:hAnsi="Arial"/>
                <w:sz w:val="17"/>
                <w:szCs w:val="17"/>
                <w:color w:val="auto"/>
              </w:rPr>
              <w:t>Individual Performance</w:t>
            </w:r>
          </w:p>
        </w:tc>
        <w:tc>
          <w:tcPr>
            <w:tcW w:w="6820" w:type="dxa"/>
            <w:vAlign w:val="bottom"/>
            <w:tcBorders>
              <w:top w:val="single" w:sz="8" w:color="auto"/>
              <w:right w:val="single" w:sz="8" w:color="auto"/>
            </w:tcBorders>
            <w:vMerge w:val="restart"/>
            <w:shd w:val="clear" w:color="auto" w:fill="F2F2F2"/>
          </w:tcPr>
          <w:p>
            <w:pPr>
              <w:ind w:left="300"/>
              <w:spacing w:after="0"/>
              <w:rPr>
                <w:sz w:val="20"/>
                <w:szCs w:val="20"/>
                <w:color w:val="auto"/>
              </w:rPr>
            </w:pPr>
            <w:r>
              <w:rPr>
                <w:rFonts w:ascii="Arial" w:cs="Arial" w:eastAsia="Arial" w:hAnsi="Arial"/>
                <w:sz w:val="17"/>
                <w:szCs w:val="17"/>
                <w:color w:val="auto"/>
              </w:rPr>
              <w:t>Individual Performance Summary</w:t>
            </w:r>
          </w:p>
        </w:tc>
        <w:tc>
          <w:tcPr>
            <w:tcW w:w="0" w:type="dxa"/>
            <w:vAlign w:val="bottom"/>
          </w:tcPr>
          <w:p>
            <w:pPr>
              <w:spacing w:after="0"/>
              <w:rPr>
                <w:sz w:val="1"/>
                <w:szCs w:val="1"/>
                <w:color w:val="auto"/>
              </w:rPr>
            </w:pPr>
          </w:p>
        </w:tc>
      </w:tr>
      <w:tr>
        <w:trPr>
          <w:trHeight w:val="276"/>
        </w:trPr>
        <w:tc>
          <w:tcPr>
            <w:tcW w:w="2640" w:type="dxa"/>
            <w:vAlign w:val="bottom"/>
            <w:tcBorders>
              <w:left w:val="single" w:sz="8" w:color="auto"/>
              <w:right w:val="single" w:sz="8" w:color="auto"/>
            </w:tcBorders>
            <w:vMerge w:val="continue"/>
            <w:shd w:val="clear" w:color="auto" w:fill="F2F2F2"/>
          </w:tcPr>
          <w:p>
            <w:pPr>
              <w:spacing w:after="0"/>
              <w:rPr>
                <w:sz w:val="23"/>
                <w:szCs w:val="23"/>
                <w:color w:val="auto"/>
              </w:rPr>
            </w:pPr>
          </w:p>
        </w:tc>
        <w:tc>
          <w:tcPr>
            <w:tcW w:w="1800" w:type="dxa"/>
            <w:vAlign w:val="bottom"/>
            <w:tcBorders>
              <w:right w:val="single" w:sz="8" w:color="auto"/>
            </w:tcBorders>
            <w:shd w:val="clear" w:color="auto" w:fill="F2F2F2"/>
          </w:tcPr>
          <w:p>
            <w:pPr>
              <w:spacing w:after="0"/>
              <w:rPr>
                <w:sz w:val="20"/>
                <w:szCs w:val="20"/>
                <w:color w:val="auto"/>
              </w:rPr>
            </w:pPr>
            <w:r>
              <w:rPr>
                <w:rFonts w:ascii="Arial" w:cs="Arial" w:eastAsia="Arial" w:hAnsi="Arial"/>
                <w:sz w:val="17"/>
                <w:szCs w:val="17"/>
                <w:color w:val="auto"/>
              </w:rPr>
              <w:t xml:space="preserve">Achievement </w:t>
            </w:r>
            <w:r>
              <w:rPr>
                <w:rFonts w:ascii="Arial" w:cs="Arial" w:eastAsia="Arial" w:hAnsi="Arial"/>
                <w:sz w:val="21"/>
                <w:szCs w:val="21"/>
                <w:color w:val="auto"/>
                <w:vertAlign w:val="superscript"/>
              </w:rPr>
              <w:t>(1)</w:t>
            </w:r>
          </w:p>
        </w:tc>
        <w:tc>
          <w:tcPr>
            <w:tcW w:w="6820" w:type="dxa"/>
            <w:vAlign w:val="bottom"/>
            <w:tcBorders>
              <w:right w:val="single" w:sz="8" w:color="auto"/>
            </w:tcBorders>
            <w:vMerge w:val="continue"/>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1800" w:type="dxa"/>
            <w:vAlign w:val="bottom"/>
            <w:tcBorders>
              <w:bottom w:val="single" w:sz="8" w:color="auto"/>
              <w:right w:val="single" w:sz="8" w:color="auto"/>
            </w:tcBorders>
            <w:shd w:val="clear" w:color="auto" w:fill="F2F2F2"/>
          </w:tcPr>
          <w:p>
            <w:pPr>
              <w:spacing w:after="0"/>
              <w:rPr>
                <w:sz w:val="9"/>
                <w:szCs w:val="9"/>
                <w:color w:val="auto"/>
              </w:rPr>
            </w:pPr>
          </w:p>
        </w:tc>
        <w:tc>
          <w:tcPr>
            <w:tcW w:w="6820" w:type="dxa"/>
            <w:vAlign w:val="bottom"/>
            <w:tcBorders>
              <w:bottom w:val="single" w:sz="8" w:color="auto"/>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Prepared for an Initial Public Offering (IPO) for Leonardo DRS by leading our team</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through intensive organizational, financial, and legal processes.</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Achieved bookings of over $3 billion, which was $550 million or about 21 percent</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above plan. Our book-to-bill ratio was over 1.1 to 1.</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Implemented mitigation plans for Covid-19 that minimized risk to our employees,</w:t>
            </w:r>
          </w:p>
        </w:tc>
        <w:tc>
          <w:tcPr>
            <w:tcW w:w="0" w:type="dxa"/>
            <w:vAlign w:val="bottom"/>
          </w:tcPr>
          <w:p>
            <w:pPr>
              <w:spacing w:after="0"/>
              <w:rPr>
                <w:sz w:val="1"/>
                <w:szCs w:val="1"/>
                <w:color w:val="auto"/>
              </w:rPr>
            </w:pPr>
          </w:p>
        </w:tc>
      </w:tr>
      <w:tr>
        <w:trPr>
          <w:trHeight w:val="199"/>
        </w:trPr>
        <w:tc>
          <w:tcPr>
            <w:tcW w:w="2640" w:type="dxa"/>
            <w:vAlign w:val="bottom"/>
            <w:tcBorders>
              <w:left w:val="single" w:sz="8" w:color="auto"/>
              <w:right w:val="single" w:sz="8" w:color="auto"/>
            </w:tcBorders>
            <w:vMerge w:val="restart"/>
          </w:tcPr>
          <w:p>
            <w:pPr>
              <w:ind w:left="320"/>
              <w:spacing w:after="0"/>
              <w:rPr>
                <w:sz w:val="20"/>
                <w:szCs w:val="20"/>
                <w:color w:val="auto"/>
              </w:rPr>
            </w:pPr>
            <w:r>
              <w:rPr>
                <w:rFonts w:ascii="Arial" w:cs="Arial" w:eastAsia="Arial" w:hAnsi="Arial"/>
                <w:sz w:val="17"/>
                <w:szCs w:val="17"/>
                <w:color w:val="auto"/>
              </w:rPr>
              <w:t>William J. Lynn</w:t>
            </w:r>
          </w:p>
        </w:tc>
        <w:tc>
          <w:tcPr>
            <w:tcW w:w="1800" w:type="dxa"/>
            <w:vAlign w:val="bottom"/>
            <w:tcBorders>
              <w:right w:val="single" w:sz="8" w:color="auto"/>
            </w:tcBorders>
            <w:vMerge w:val="restart"/>
          </w:tcPr>
          <w:p>
            <w:pPr>
              <w:jc w:val="right"/>
              <w:ind w:right="997"/>
              <w:spacing w:after="0"/>
              <w:rPr>
                <w:sz w:val="20"/>
                <w:szCs w:val="20"/>
                <w:color w:val="auto"/>
              </w:rPr>
            </w:pPr>
            <w:r>
              <w:rPr>
                <w:rFonts w:ascii="Arial" w:cs="Arial" w:eastAsia="Arial" w:hAnsi="Arial"/>
                <w:sz w:val="17"/>
                <w:szCs w:val="17"/>
                <w:color w:val="auto"/>
              </w:rPr>
              <w:t>200%</w:t>
            </w: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continued the delivery of critical product to customers, and reduced the financial</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vMerge w:val="continue"/>
          </w:tcPr>
          <w:p>
            <w:pPr>
              <w:spacing w:after="0"/>
              <w:rPr>
                <w:sz w:val="17"/>
                <w:szCs w:val="17"/>
                <w:color w:val="auto"/>
              </w:rPr>
            </w:pPr>
          </w:p>
        </w:tc>
        <w:tc>
          <w:tcPr>
            <w:tcW w:w="1800" w:type="dxa"/>
            <w:vAlign w:val="bottom"/>
            <w:tcBorders>
              <w:right w:val="single" w:sz="8" w:color="auto"/>
            </w:tcBorders>
            <w:vMerge w:val="continue"/>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impact to our business.</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Managed succession planning through several senior leadership transitions and</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provided key guidance and oversight to new leaders.</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Expanded our diversity and inclusion program by instituting action teams at each of</w:t>
            </w:r>
          </w:p>
        </w:tc>
        <w:tc>
          <w:tcPr>
            <w:tcW w:w="0" w:type="dxa"/>
            <w:vAlign w:val="bottom"/>
          </w:tcPr>
          <w:p>
            <w:pPr>
              <w:spacing w:after="0"/>
              <w:rPr>
                <w:sz w:val="1"/>
                <w:szCs w:val="1"/>
                <w:color w:val="auto"/>
              </w:rPr>
            </w:pPr>
          </w:p>
        </w:tc>
      </w:tr>
      <w:tr>
        <w:trPr>
          <w:trHeight w:val="199"/>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our locations, and continued to progress our hiring and promotion of women and</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minorities.</w:t>
            </w:r>
          </w:p>
        </w:tc>
        <w:tc>
          <w:tcPr>
            <w:tcW w:w="0" w:type="dxa"/>
            <w:vAlign w:val="bottom"/>
          </w:tcPr>
          <w:p>
            <w:pPr>
              <w:spacing w:after="0"/>
              <w:rPr>
                <w:sz w:val="1"/>
                <w:szCs w:val="1"/>
                <w:color w:val="auto"/>
              </w:rPr>
            </w:pPr>
          </w:p>
        </w:tc>
      </w:tr>
      <w:tr>
        <w:trPr>
          <w:trHeight w:val="174"/>
        </w:trPr>
        <w:tc>
          <w:tcPr>
            <w:tcW w:w="264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6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260"/>
          </w:cols>
          <w:pgMar w:left="320" w:top="1440" w:right="319" w:bottom="1440" w:gutter="0" w:footer="0" w:header="0"/>
        </w:sectPr>
      </w:pPr>
    </w:p>
    <w:bookmarkStart w:id="148" w:name="page149"/>
    <w:bookmarkEnd w:id="148"/>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640" w:type="dxa"/>
            <w:vAlign w:val="bottom"/>
            <w:tcBorders>
              <w:top w:val="single" w:sz="8" w:color="auto"/>
              <w:left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spacing w:after="0"/>
              <w:rPr>
                <w:sz w:val="20"/>
                <w:szCs w:val="20"/>
                <w:color w:val="auto"/>
              </w:rPr>
            </w:pPr>
          </w:p>
        </w:tc>
        <w:tc>
          <w:tcPr>
            <w:tcW w:w="6820" w:type="dxa"/>
            <w:vAlign w:val="bottom"/>
            <w:tcBorders>
              <w:top w:val="single" w:sz="8" w:color="auto"/>
              <w:right w:val="single" w:sz="8" w:color="auto"/>
            </w:tcBorders>
            <w:gridSpan w:val="2"/>
          </w:tcPr>
          <w:p>
            <w:pPr>
              <w:ind w:left="300"/>
              <w:spacing w:after="0"/>
              <w:rPr>
                <w:sz w:val="20"/>
                <w:szCs w:val="20"/>
                <w:color w:val="auto"/>
              </w:rPr>
            </w:pPr>
            <w:r>
              <w:rPr>
                <w:rFonts w:ascii="Arial" w:cs="Arial" w:eastAsia="Arial" w:hAnsi="Arial"/>
                <w:sz w:val="17"/>
                <w:szCs w:val="17"/>
                <w:color w:val="auto"/>
              </w:rPr>
              <w:t>•   Improved key customer relationships, leading to new awards, by retiring legacy</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issues and improving program performance and execution.</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Together with Human Resources and Legal, developed and implemented the</w:t>
            </w:r>
          </w:p>
        </w:tc>
        <w:tc>
          <w:tcPr>
            <w:tcW w:w="0" w:type="dxa"/>
            <w:vAlign w:val="bottom"/>
          </w:tcPr>
          <w:p>
            <w:pPr>
              <w:spacing w:after="0"/>
              <w:rPr>
                <w:sz w:val="1"/>
                <w:szCs w:val="1"/>
                <w:color w:val="auto"/>
              </w:rPr>
            </w:pPr>
          </w:p>
        </w:tc>
      </w:tr>
      <w:tr>
        <w:trPr>
          <w:trHeight w:val="199"/>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company’s COVID plans to maintain business continuity while prioritizing</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employee’s safety.</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Improved our risk and opportunity management and bid processes to reduce the</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vMerge w:val="restart"/>
          </w:tcPr>
          <w:p>
            <w:pPr>
              <w:ind w:left="320"/>
              <w:spacing w:after="0"/>
              <w:rPr>
                <w:sz w:val="20"/>
                <w:szCs w:val="20"/>
                <w:color w:val="auto"/>
              </w:rPr>
            </w:pPr>
            <w:r>
              <w:rPr>
                <w:rFonts w:ascii="Arial" w:cs="Arial" w:eastAsia="Arial" w:hAnsi="Arial"/>
                <w:sz w:val="17"/>
                <w:szCs w:val="17"/>
                <w:color w:val="auto"/>
              </w:rPr>
              <w:t>John Baylouny</w:t>
            </w:r>
          </w:p>
        </w:tc>
        <w:tc>
          <w:tcPr>
            <w:tcW w:w="1800" w:type="dxa"/>
            <w:vAlign w:val="bottom"/>
            <w:tcBorders>
              <w:right w:val="single" w:sz="8" w:color="auto"/>
            </w:tcBorders>
            <w:vMerge w:val="restart"/>
          </w:tcPr>
          <w:p>
            <w:pPr>
              <w:jc w:val="right"/>
              <w:ind w:right="997"/>
              <w:spacing w:after="0"/>
              <w:rPr>
                <w:sz w:val="20"/>
                <w:szCs w:val="20"/>
                <w:color w:val="auto"/>
              </w:rPr>
            </w:pPr>
            <w:r>
              <w:rPr>
                <w:rFonts w:ascii="Arial" w:cs="Arial" w:eastAsia="Arial" w:hAnsi="Arial"/>
                <w:sz w:val="17"/>
                <w:szCs w:val="17"/>
                <w:color w:val="auto"/>
              </w:rPr>
              <w:t>200%</w:t>
            </w: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risk on new and existing programs.</w:t>
            </w:r>
          </w:p>
        </w:tc>
        <w:tc>
          <w:tcPr>
            <w:tcW w:w="0" w:type="dxa"/>
            <w:vAlign w:val="bottom"/>
          </w:tcPr>
          <w:p>
            <w:pPr>
              <w:spacing w:after="0"/>
              <w:rPr>
                <w:sz w:val="1"/>
                <w:szCs w:val="1"/>
                <w:color w:val="auto"/>
              </w:rPr>
            </w:pPr>
          </w:p>
        </w:tc>
      </w:tr>
      <w:tr>
        <w:trPr>
          <w:trHeight w:val="149"/>
        </w:trPr>
        <w:tc>
          <w:tcPr>
            <w:tcW w:w="2640" w:type="dxa"/>
            <w:vAlign w:val="bottom"/>
            <w:tcBorders>
              <w:left w:val="single" w:sz="8" w:color="auto"/>
              <w:right w:val="single" w:sz="8" w:color="auto"/>
            </w:tcBorders>
            <w:vMerge w:val="continue"/>
          </w:tcPr>
          <w:p>
            <w:pPr>
              <w:spacing w:after="0"/>
              <w:rPr>
                <w:sz w:val="12"/>
                <w:szCs w:val="12"/>
                <w:color w:val="auto"/>
              </w:rPr>
            </w:pPr>
          </w:p>
        </w:tc>
        <w:tc>
          <w:tcPr>
            <w:tcW w:w="1800" w:type="dxa"/>
            <w:vAlign w:val="bottom"/>
            <w:tcBorders>
              <w:right w:val="single" w:sz="8" w:color="auto"/>
            </w:tcBorders>
            <w:vMerge w:val="continue"/>
          </w:tcPr>
          <w:p>
            <w:pPr>
              <w:spacing w:after="0"/>
              <w:rPr>
                <w:sz w:val="12"/>
                <w:szCs w:val="12"/>
                <w:color w:val="auto"/>
              </w:rPr>
            </w:pPr>
          </w:p>
        </w:tc>
        <w:tc>
          <w:tcPr>
            <w:tcW w:w="682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7"/>
                <w:szCs w:val="17"/>
                <w:color w:val="auto"/>
              </w:rPr>
              <w:t>•   Led the company’s operational excellence program to increase quality and</w:t>
            </w:r>
          </w:p>
        </w:tc>
        <w:tc>
          <w:tcPr>
            <w:tcW w:w="0" w:type="dxa"/>
            <w:vAlign w:val="bottom"/>
          </w:tcPr>
          <w:p>
            <w:pPr>
              <w:spacing w:after="0"/>
              <w:rPr>
                <w:sz w:val="1"/>
                <w:szCs w:val="1"/>
                <w:color w:val="auto"/>
              </w:rPr>
            </w:pPr>
          </w:p>
        </w:tc>
      </w:tr>
      <w:tr>
        <w:trPr>
          <w:trHeight w:val="198"/>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uniformity across the business in execution with the goal of increased margins.</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Provided significant direction to ensure succession-planning efforts were timely</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executed without management disruption.</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Led the operational leadership team for the company, and provided guidance and</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removed barriers to enable the team to succeed.</w:t>
            </w:r>
          </w:p>
        </w:tc>
        <w:tc>
          <w:tcPr>
            <w:tcW w:w="0" w:type="dxa"/>
            <w:vAlign w:val="bottom"/>
          </w:tcPr>
          <w:p>
            <w:pPr>
              <w:spacing w:after="0"/>
              <w:rPr>
                <w:sz w:val="1"/>
                <w:szCs w:val="1"/>
                <w:color w:val="auto"/>
              </w:rPr>
            </w:pPr>
          </w:p>
        </w:tc>
      </w:tr>
      <w:tr>
        <w:trPr>
          <w:trHeight w:val="174"/>
        </w:trPr>
        <w:tc>
          <w:tcPr>
            <w:tcW w:w="264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682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   Drove and implemented financial business operations strategies and managed</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financial resources to ensure the achievement of the company’s business plans</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7"/>
                <w:szCs w:val="17"/>
                <w:color w:val="auto"/>
              </w:rPr>
              <w:t>•</w:t>
            </w:r>
          </w:p>
        </w:tc>
        <w:tc>
          <w:tcPr>
            <w:tcW w:w="634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Led the financial direction of cost reduction and cash maximization efforts across</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the company to achieve margin and net profit improvement.</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7"/>
                <w:szCs w:val="17"/>
                <w:color w:val="auto"/>
              </w:rPr>
              <w:t>Mike Dippold</w:t>
            </w:r>
          </w:p>
        </w:tc>
        <w:tc>
          <w:tcPr>
            <w:tcW w:w="1800" w:type="dxa"/>
            <w:vAlign w:val="bottom"/>
            <w:tcBorders>
              <w:right w:val="single" w:sz="8" w:color="auto"/>
            </w:tcBorders>
          </w:tcPr>
          <w:p>
            <w:pPr>
              <w:jc w:val="right"/>
              <w:ind w:right="997"/>
              <w:spacing w:after="0"/>
              <w:rPr>
                <w:sz w:val="20"/>
                <w:szCs w:val="20"/>
                <w:color w:val="auto"/>
              </w:rPr>
            </w:pPr>
            <w:r>
              <w:rPr>
                <w:rFonts w:ascii="Arial" w:cs="Arial" w:eastAsia="Arial" w:hAnsi="Arial"/>
                <w:sz w:val="17"/>
                <w:szCs w:val="17"/>
                <w:color w:val="auto"/>
              </w:rPr>
              <w:t>200%</w:t>
            </w:r>
          </w:p>
        </w:tc>
        <w:tc>
          <w:tcPr>
            <w:tcW w:w="480" w:type="dxa"/>
            <w:vAlign w:val="bottom"/>
          </w:tcPr>
          <w:p>
            <w:pPr>
              <w:ind w:left="300"/>
              <w:spacing w:after="0"/>
              <w:rPr>
                <w:sz w:val="20"/>
                <w:szCs w:val="20"/>
                <w:color w:val="auto"/>
              </w:rPr>
            </w:pPr>
            <w:r>
              <w:rPr>
                <w:rFonts w:ascii="Arial" w:cs="Arial" w:eastAsia="Arial" w:hAnsi="Arial"/>
                <w:sz w:val="17"/>
                <w:szCs w:val="17"/>
                <w:color w:val="auto"/>
              </w:rPr>
              <w:t>•</w:t>
            </w: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w w:val="98"/>
              </w:rPr>
              <w:t>Converted our restatement of financial statements under GAAP standards, modified</w:t>
            </w:r>
          </w:p>
        </w:tc>
        <w:tc>
          <w:tcPr>
            <w:tcW w:w="0" w:type="dxa"/>
            <w:vAlign w:val="bottom"/>
          </w:tcPr>
          <w:p>
            <w:pPr>
              <w:spacing w:after="0"/>
              <w:rPr>
                <w:sz w:val="1"/>
                <w:szCs w:val="1"/>
                <w:color w:val="auto"/>
              </w:rPr>
            </w:pPr>
          </w:p>
        </w:tc>
      </w:tr>
      <w:tr>
        <w:trPr>
          <w:trHeight w:val="199"/>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the financial reporting structure, updated financial processes, and worked closely</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with the chief executive officer in preparation to become a public company.</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w w:val="99"/>
              </w:rPr>
              <w:t>•   Provided the leadership, oversight, and succession planning guidance to the finance</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function.</w:t>
            </w:r>
          </w:p>
        </w:tc>
        <w:tc>
          <w:tcPr>
            <w:tcW w:w="0" w:type="dxa"/>
            <w:vAlign w:val="bottom"/>
          </w:tcPr>
          <w:p>
            <w:pPr>
              <w:spacing w:after="0"/>
              <w:rPr>
                <w:sz w:val="1"/>
                <w:szCs w:val="1"/>
                <w:color w:val="auto"/>
              </w:rPr>
            </w:pPr>
          </w:p>
        </w:tc>
      </w:tr>
      <w:tr>
        <w:trPr>
          <w:trHeight w:val="174"/>
        </w:trPr>
        <w:tc>
          <w:tcPr>
            <w:tcW w:w="264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3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60"/>
          </w:cols>
          <w:pgMar w:left="320" w:top="1440" w:right="319" w:bottom="1440" w:gutter="0" w:footer="0" w:header="0"/>
        </w:sectPr>
      </w:pPr>
    </w:p>
    <w:bookmarkStart w:id="149" w:name="page150"/>
    <w:bookmarkEnd w:id="149"/>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640" w:type="dxa"/>
            <w:vAlign w:val="bottom"/>
            <w:tcBorders>
              <w:top w:val="single" w:sz="8" w:color="auto"/>
              <w:left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spacing w:after="0"/>
              <w:rPr>
                <w:sz w:val="20"/>
                <w:szCs w:val="20"/>
                <w:color w:val="auto"/>
              </w:rPr>
            </w:pPr>
          </w:p>
        </w:tc>
        <w:tc>
          <w:tcPr>
            <w:tcW w:w="68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7"/>
                <w:szCs w:val="17"/>
                <w:color w:val="auto"/>
              </w:rPr>
              <w:t>•   Prepared for an Initial Public Offering (IPO) for Leonardo DRS by leading our team</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through intensive organizational, financial, and legal processes.</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Supported the chief executive officer’s strategic and business priorities by providing</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stellar advice, counsel and leadership.</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Led the DRS legal team to achieve outstanding results in critical business</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engagements and negotiations.</w:t>
            </w:r>
          </w:p>
        </w:tc>
        <w:tc>
          <w:tcPr>
            <w:tcW w:w="0" w:type="dxa"/>
            <w:vAlign w:val="bottom"/>
          </w:tcPr>
          <w:p>
            <w:pPr>
              <w:spacing w:after="0"/>
              <w:rPr>
                <w:sz w:val="1"/>
                <w:szCs w:val="1"/>
                <w:color w:val="auto"/>
              </w:rPr>
            </w:pPr>
          </w:p>
        </w:tc>
      </w:tr>
      <w:tr>
        <w:trPr>
          <w:trHeight w:val="348"/>
        </w:trPr>
        <w:tc>
          <w:tcPr>
            <w:tcW w:w="2640" w:type="dxa"/>
            <w:vAlign w:val="bottom"/>
            <w:tcBorders>
              <w:left w:val="single" w:sz="8" w:color="auto"/>
              <w:right w:val="single" w:sz="8" w:color="auto"/>
            </w:tcBorders>
            <w:vMerge w:val="restart"/>
          </w:tcPr>
          <w:p>
            <w:pPr>
              <w:ind w:left="320"/>
              <w:spacing w:after="0"/>
              <w:rPr>
                <w:sz w:val="20"/>
                <w:szCs w:val="20"/>
                <w:color w:val="auto"/>
              </w:rPr>
            </w:pPr>
            <w:r>
              <w:rPr>
                <w:rFonts w:ascii="Arial" w:cs="Arial" w:eastAsia="Arial" w:hAnsi="Arial"/>
                <w:sz w:val="17"/>
                <w:szCs w:val="17"/>
                <w:color w:val="auto"/>
              </w:rPr>
              <w:t>Mark Dorfman</w:t>
            </w:r>
          </w:p>
        </w:tc>
        <w:tc>
          <w:tcPr>
            <w:tcW w:w="1800" w:type="dxa"/>
            <w:vAlign w:val="bottom"/>
            <w:tcBorders>
              <w:right w:val="single" w:sz="8" w:color="auto"/>
            </w:tcBorders>
            <w:vMerge w:val="restart"/>
          </w:tcPr>
          <w:p>
            <w:pPr>
              <w:jc w:val="right"/>
              <w:ind w:right="997"/>
              <w:spacing w:after="0"/>
              <w:rPr>
                <w:sz w:val="20"/>
                <w:szCs w:val="20"/>
                <w:color w:val="auto"/>
              </w:rPr>
            </w:pPr>
            <w:r>
              <w:rPr>
                <w:rFonts w:ascii="Arial" w:cs="Arial" w:eastAsia="Arial" w:hAnsi="Arial"/>
                <w:sz w:val="17"/>
                <w:szCs w:val="17"/>
                <w:color w:val="auto"/>
              </w:rPr>
              <w:t>200%</w:t>
            </w: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Favorably resolved company litigation and other significant legal matters.</w:t>
            </w:r>
          </w:p>
        </w:tc>
        <w:tc>
          <w:tcPr>
            <w:tcW w:w="0" w:type="dxa"/>
            <w:vAlign w:val="bottom"/>
          </w:tcPr>
          <w:p>
            <w:pPr>
              <w:spacing w:after="0"/>
              <w:rPr>
                <w:sz w:val="1"/>
                <w:szCs w:val="1"/>
                <w:color w:val="auto"/>
              </w:rPr>
            </w:pPr>
          </w:p>
        </w:tc>
      </w:tr>
      <w:tr>
        <w:trPr>
          <w:trHeight w:val="174"/>
        </w:trPr>
        <w:tc>
          <w:tcPr>
            <w:tcW w:w="2640" w:type="dxa"/>
            <w:vAlign w:val="bottom"/>
            <w:tcBorders>
              <w:left w:val="single" w:sz="8" w:color="auto"/>
              <w:right w:val="single" w:sz="8" w:color="auto"/>
            </w:tcBorders>
            <w:vMerge w:val="continue"/>
          </w:tcPr>
          <w:p>
            <w:pPr>
              <w:spacing w:after="0"/>
              <w:rPr>
                <w:sz w:val="15"/>
                <w:szCs w:val="15"/>
                <w:color w:val="auto"/>
              </w:rPr>
            </w:pPr>
          </w:p>
        </w:tc>
        <w:tc>
          <w:tcPr>
            <w:tcW w:w="1800" w:type="dxa"/>
            <w:vAlign w:val="bottom"/>
            <w:tcBorders>
              <w:right w:val="single" w:sz="8" w:color="auto"/>
            </w:tcBorders>
            <w:vMerge w:val="continue"/>
          </w:tcPr>
          <w:p>
            <w:pPr>
              <w:spacing w:after="0"/>
              <w:rPr>
                <w:sz w:val="15"/>
                <w:szCs w:val="15"/>
                <w:color w:val="auto"/>
              </w:rPr>
            </w:pPr>
          </w:p>
        </w:tc>
        <w:tc>
          <w:tcPr>
            <w:tcW w:w="682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color w:val="auto"/>
              </w:rPr>
              <w:t>•   Reduced overall enterprise risk through active engagement with company leaders</w:t>
            </w:r>
          </w:p>
        </w:tc>
        <w:tc>
          <w:tcPr>
            <w:tcW w:w="0" w:type="dxa"/>
            <w:vAlign w:val="bottom"/>
          </w:tcPr>
          <w:p>
            <w:pPr>
              <w:spacing w:after="0"/>
              <w:rPr>
                <w:sz w:val="1"/>
                <w:szCs w:val="1"/>
                <w:color w:val="auto"/>
              </w:rPr>
            </w:pPr>
          </w:p>
        </w:tc>
      </w:tr>
      <w:tr>
        <w:trPr>
          <w:trHeight w:val="173"/>
        </w:trPr>
        <w:tc>
          <w:tcPr>
            <w:tcW w:w="264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6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and innovative problem-solving.</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Provided exceptional oversight of our internal audit, international trade compliance,</w:t>
            </w:r>
          </w:p>
        </w:tc>
        <w:tc>
          <w:tcPr>
            <w:tcW w:w="0" w:type="dxa"/>
            <w:vAlign w:val="bottom"/>
          </w:tcPr>
          <w:p>
            <w:pPr>
              <w:spacing w:after="0"/>
              <w:rPr>
                <w:sz w:val="1"/>
                <w:szCs w:val="1"/>
                <w:color w:val="auto"/>
              </w:rPr>
            </w:pPr>
          </w:p>
        </w:tc>
      </w:tr>
      <w:tr>
        <w:trPr>
          <w:trHeight w:val="199"/>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w w:val="98"/>
              </w:rPr>
              <w:t>and industrial and cyber security functions, including an industrial security team that</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was awarded five Cogswell Awards.</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Fostered and cultivated a strong culture of ethics, compliance and integrity across</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the enterprise.</w:t>
            </w:r>
          </w:p>
        </w:tc>
        <w:tc>
          <w:tcPr>
            <w:tcW w:w="0" w:type="dxa"/>
            <w:vAlign w:val="bottom"/>
          </w:tcPr>
          <w:p>
            <w:pPr>
              <w:spacing w:after="0"/>
              <w:rPr>
                <w:sz w:val="1"/>
                <w:szCs w:val="1"/>
                <w:color w:val="auto"/>
              </w:rPr>
            </w:pPr>
          </w:p>
        </w:tc>
      </w:tr>
      <w:tr>
        <w:trPr>
          <w:trHeight w:val="174"/>
        </w:trPr>
        <w:tc>
          <w:tcPr>
            <w:tcW w:w="264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6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Led the efforts to standardize planning, risk and opportunity management and EAC</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development.</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w w:val="99"/>
              </w:rPr>
              <w:t>•   Led the program analysis for the company to allow better insight into the company’s</w:t>
            </w:r>
          </w:p>
        </w:tc>
        <w:tc>
          <w:tcPr>
            <w:tcW w:w="0" w:type="dxa"/>
            <w:vAlign w:val="bottom"/>
          </w:tcPr>
          <w:p>
            <w:pPr>
              <w:spacing w:after="0"/>
              <w:rPr>
                <w:sz w:val="1"/>
                <w:szCs w:val="1"/>
                <w:color w:val="auto"/>
              </w:rPr>
            </w:pPr>
          </w:p>
        </w:tc>
      </w:tr>
      <w:tr>
        <w:trPr>
          <w:trHeight w:val="199"/>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w w:val="99"/>
              </w:rPr>
              <w:t>key business drivers, and analyzed and developed roadmap to mitigate impact and</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achieve the financial operating plan.</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vMerge w:val="restart"/>
          </w:tcPr>
          <w:p>
            <w:pPr>
              <w:ind w:left="320"/>
              <w:spacing w:after="0"/>
              <w:rPr>
                <w:sz w:val="20"/>
                <w:szCs w:val="20"/>
                <w:color w:val="auto"/>
              </w:rPr>
            </w:pPr>
            <w:r>
              <w:rPr>
                <w:rFonts w:ascii="Arial" w:cs="Arial" w:eastAsia="Arial" w:hAnsi="Arial"/>
                <w:sz w:val="17"/>
                <w:szCs w:val="17"/>
                <w:color w:val="auto"/>
              </w:rPr>
              <w:t>Sally Wallace</w:t>
            </w:r>
          </w:p>
        </w:tc>
        <w:tc>
          <w:tcPr>
            <w:tcW w:w="1800" w:type="dxa"/>
            <w:vAlign w:val="bottom"/>
            <w:tcBorders>
              <w:right w:val="single" w:sz="8" w:color="auto"/>
            </w:tcBorders>
            <w:vMerge w:val="restart"/>
          </w:tcPr>
          <w:p>
            <w:pPr>
              <w:jc w:val="right"/>
              <w:ind w:right="997"/>
              <w:spacing w:after="0"/>
              <w:rPr>
                <w:sz w:val="20"/>
                <w:szCs w:val="20"/>
                <w:color w:val="auto"/>
              </w:rPr>
            </w:pPr>
            <w:r>
              <w:rPr>
                <w:rFonts w:ascii="Arial" w:cs="Arial" w:eastAsia="Arial" w:hAnsi="Arial"/>
                <w:sz w:val="17"/>
                <w:szCs w:val="17"/>
                <w:color w:val="auto"/>
              </w:rPr>
              <w:t>180%</w:t>
            </w: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Instrumental in bringing our management processes to the next level by working</w:t>
            </w:r>
          </w:p>
        </w:tc>
        <w:tc>
          <w:tcPr>
            <w:tcW w:w="0" w:type="dxa"/>
            <w:vAlign w:val="bottom"/>
          </w:tcPr>
          <w:p>
            <w:pPr>
              <w:spacing w:after="0"/>
              <w:rPr>
                <w:sz w:val="1"/>
                <w:szCs w:val="1"/>
                <w:color w:val="auto"/>
              </w:rPr>
            </w:pPr>
          </w:p>
        </w:tc>
      </w:tr>
      <w:tr>
        <w:trPr>
          <w:trHeight w:val="199"/>
        </w:trPr>
        <w:tc>
          <w:tcPr>
            <w:tcW w:w="2640" w:type="dxa"/>
            <w:vAlign w:val="bottom"/>
            <w:tcBorders>
              <w:left w:val="single" w:sz="8" w:color="auto"/>
              <w:right w:val="single" w:sz="8" w:color="auto"/>
            </w:tcBorders>
            <w:vMerge w:val="continue"/>
          </w:tcPr>
          <w:p>
            <w:pPr>
              <w:spacing w:after="0"/>
              <w:rPr>
                <w:sz w:val="17"/>
                <w:szCs w:val="17"/>
                <w:color w:val="auto"/>
              </w:rPr>
            </w:pPr>
          </w:p>
        </w:tc>
        <w:tc>
          <w:tcPr>
            <w:tcW w:w="1800" w:type="dxa"/>
            <w:vAlign w:val="bottom"/>
            <w:tcBorders>
              <w:right w:val="single" w:sz="8" w:color="auto"/>
            </w:tcBorders>
            <w:vMerge w:val="continue"/>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with IT, Enterprise Resource Planning and Program teams to better align with the</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strategic initiatives of the company.</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Supported the transition of a new business leader to include strategy, customer</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relationships, and negotiations of new contracts.</w:t>
            </w:r>
          </w:p>
        </w:tc>
        <w:tc>
          <w:tcPr>
            <w:tcW w:w="0" w:type="dxa"/>
            <w:vAlign w:val="bottom"/>
          </w:tcPr>
          <w:p>
            <w:pPr>
              <w:spacing w:after="0"/>
              <w:rPr>
                <w:sz w:val="1"/>
                <w:szCs w:val="1"/>
                <w:color w:val="auto"/>
              </w:rPr>
            </w:pPr>
          </w:p>
        </w:tc>
      </w:tr>
      <w:tr>
        <w:trPr>
          <w:trHeight w:val="34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   Provided leadership guidance as the executive sponsor for the company’s Diversity</w:t>
            </w:r>
          </w:p>
        </w:tc>
        <w:tc>
          <w:tcPr>
            <w:tcW w:w="0" w:type="dxa"/>
            <w:vAlign w:val="bottom"/>
          </w:tcPr>
          <w:p>
            <w:pPr>
              <w:spacing w:after="0"/>
              <w:rPr>
                <w:sz w:val="1"/>
                <w:szCs w:val="1"/>
                <w:color w:val="auto"/>
              </w:rPr>
            </w:pPr>
          </w:p>
        </w:tc>
      </w:tr>
      <w:tr>
        <w:trPr>
          <w:trHeight w:val="200"/>
        </w:trPr>
        <w:tc>
          <w:tcPr>
            <w:tcW w:w="26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ind w:left="600"/>
              <w:spacing w:after="0"/>
              <w:rPr>
                <w:sz w:val="20"/>
                <w:szCs w:val="20"/>
                <w:color w:val="auto"/>
              </w:rPr>
            </w:pPr>
            <w:r>
              <w:rPr>
                <w:rFonts w:ascii="Arial" w:cs="Arial" w:eastAsia="Arial" w:hAnsi="Arial"/>
                <w:sz w:val="17"/>
                <w:szCs w:val="17"/>
                <w:color w:val="auto"/>
              </w:rPr>
              <w:t>Advisory Group.</w:t>
            </w:r>
          </w:p>
        </w:tc>
        <w:tc>
          <w:tcPr>
            <w:tcW w:w="0" w:type="dxa"/>
            <w:vAlign w:val="bottom"/>
          </w:tcPr>
          <w:p>
            <w:pPr>
              <w:spacing w:after="0"/>
              <w:rPr>
                <w:sz w:val="1"/>
                <w:szCs w:val="1"/>
                <w:color w:val="auto"/>
              </w:rPr>
            </w:pPr>
          </w:p>
        </w:tc>
      </w:tr>
      <w:tr>
        <w:trPr>
          <w:trHeight w:val="174"/>
        </w:trPr>
        <w:tc>
          <w:tcPr>
            <w:tcW w:w="264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6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00" w:right="360" w:hanging="300"/>
        <w:spacing w:after="0" w:line="251" w:lineRule="auto"/>
        <w:tabs>
          <w:tab w:leader="none" w:pos="296" w:val="left"/>
        </w:tabs>
        <w:numPr>
          <w:ilvl w:val="0"/>
          <w:numId w:val="82"/>
        </w:numPr>
        <w:rPr>
          <w:rFonts w:ascii="Arial" w:cs="Arial" w:eastAsia="Arial" w:hAnsi="Arial"/>
          <w:sz w:val="15"/>
          <w:szCs w:val="15"/>
          <w:color w:val="auto"/>
        </w:rPr>
      </w:pPr>
      <w:r>
        <w:rPr>
          <w:rFonts w:ascii="Arial" w:cs="Arial" w:eastAsia="Arial" w:hAnsi="Arial"/>
          <w:sz w:val="15"/>
          <w:szCs w:val="15"/>
          <w:color w:val="auto"/>
        </w:rPr>
        <w:t>Individual Performance Achievement can range from 0% to 200%. As referenced in the Individual Performance Objectives section, this component is weighted at 25%, and when multiplied by the Individual Performance Achievement determines an Individual’s Performance Achievement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260"/>
          </w:cols>
          <w:pgMar w:left="320" w:top="1440" w:right="319" w:bottom="1440" w:gutter="0" w:footer="0" w:header="0"/>
        </w:sectPr>
      </w:pPr>
    </w:p>
    <w:bookmarkStart w:id="150" w:name="page151"/>
    <w:bookmarkEnd w:id="150"/>
    <w:p>
      <w:pPr>
        <w:spacing w:after="0" w:line="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Annual Incentive Plan (ICP) Earned Award Payment</w:t>
      </w:r>
    </w:p>
    <w:p>
      <w:pPr>
        <w:spacing w:after="0" w:line="171" w:lineRule="exact"/>
        <w:rPr>
          <w:sz w:val="20"/>
          <w:szCs w:val="20"/>
          <w:color w:val="auto"/>
        </w:rPr>
      </w:pPr>
    </w:p>
    <w:p>
      <w:pPr>
        <w:ind w:right="480" w:firstLine="299"/>
        <w:spacing w:after="0" w:line="250" w:lineRule="auto"/>
        <w:rPr>
          <w:sz w:val="20"/>
          <w:szCs w:val="20"/>
          <w:color w:val="auto"/>
        </w:rPr>
      </w:pPr>
      <w:r>
        <w:rPr>
          <w:rFonts w:ascii="Arial" w:cs="Arial" w:eastAsia="Arial" w:hAnsi="Arial"/>
          <w:sz w:val="17"/>
          <w:szCs w:val="17"/>
          <w:color w:val="auto"/>
        </w:rPr>
        <w:t>The table below summarizes the NEOs’ targets and the compensation committee’s determination of ICP earned awards based on financial and individual performance achievement.</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420" w:type="dxa"/>
            <w:vAlign w:val="bottom"/>
            <w:tcBorders>
              <w:top w:val="single" w:sz="8" w:color="auto"/>
              <w:left w:val="single" w:sz="8" w:color="auto"/>
              <w:right w:val="single" w:sz="8" w:color="auto"/>
            </w:tcBorders>
            <w:shd w:val="clear" w:color="auto" w:fill="F2F2F2"/>
          </w:tcPr>
          <w:p>
            <w:pPr>
              <w:ind w:left="540"/>
              <w:spacing w:after="0" w:line="137" w:lineRule="exact"/>
              <w:rPr>
                <w:sz w:val="20"/>
                <w:szCs w:val="20"/>
                <w:color w:val="auto"/>
              </w:rPr>
            </w:pPr>
            <w:r>
              <w:rPr>
                <w:rFonts w:ascii="Arial" w:cs="Arial" w:eastAsia="Arial" w:hAnsi="Arial"/>
                <w:sz w:val="12"/>
                <w:szCs w:val="12"/>
                <w:b w:val="1"/>
                <w:bCs w:val="1"/>
                <w:color w:val="auto"/>
              </w:rPr>
              <w:t>Name</w:t>
            </w:r>
          </w:p>
        </w:tc>
        <w:tc>
          <w:tcPr>
            <w:tcW w:w="1220" w:type="dxa"/>
            <w:vAlign w:val="bottom"/>
            <w:tcBorders>
              <w:top w:val="single" w:sz="8" w:color="auto"/>
              <w:right w:val="single" w:sz="8" w:color="auto"/>
            </w:tcBorders>
            <w:shd w:val="clear" w:color="auto" w:fill="F2F2F2"/>
          </w:tcPr>
          <w:p>
            <w:pPr>
              <w:jc w:val="center"/>
              <w:spacing w:after="0" w:line="137" w:lineRule="exact"/>
              <w:rPr>
                <w:sz w:val="20"/>
                <w:szCs w:val="20"/>
                <w:color w:val="auto"/>
              </w:rPr>
            </w:pPr>
            <w:r>
              <w:rPr>
                <w:rFonts w:ascii="Arial" w:cs="Arial" w:eastAsia="Arial" w:hAnsi="Arial"/>
                <w:sz w:val="12"/>
                <w:szCs w:val="12"/>
                <w:b w:val="1"/>
                <w:bCs w:val="1"/>
                <w:color w:val="auto"/>
                <w:w w:val="96"/>
              </w:rPr>
              <w:t>Target Incentive (%</w:t>
            </w:r>
          </w:p>
        </w:tc>
        <w:tc>
          <w:tcPr>
            <w:tcW w:w="1220" w:type="dxa"/>
            <w:vAlign w:val="bottom"/>
            <w:tcBorders>
              <w:top w:val="single" w:sz="8" w:color="auto"/>
              <w:right w:val="single" w:sz="8" w:color="auto"/>
            </w:tcBorders>
            <w:shd w:val="clear" w:color="auto" w:fill="F2F2F2"/>
          </w:tcPr>
          <w:p>
            <w:pPr>
              <w:ind w:left="140"/>
              <w:spacing w:after="0" w:line="137" w:lineRule="exact"/>
              <w:rPr>
                <w:sz w:val="20"/>
                <w:szCs w:val="20"/>
                <w:color w:val="auto"/>
              </w:rPr>
            </w:pPr>
            <w:r>
              <w:rPr>
                <w:rFonts w:ascii="Arial" w:cs="Arial" w:eastAsia="Arial" w:hAnsi="Arial"/>
                <w:sz w:val="12"/>
                <w:szCs w:val="12"/>
                <w:b w:val="1"/>
                <w:bCs w:val="1"/>
                <w:color w:val="auto"/>
              </w:rPr>
              <w:t>Target Incentive</w:t>
            </w:r>
          </w:p>
        </w:tc>
        <w:tc>
          <w:tcPr>
            <w:tcW w:w="1220" w:type="dxa"/>
            <w:vAlign w:val="bottom"/>
            <w:tcBorders>
              <w:top w:val="single" w:sz="8" w:color="auto"/>
              <w:right w:val="single" w:sz="8" w:color="auto"/>
            </w:tcBorders>
            <w:shd w:val="clear" w:color="auto" w:fill="F2F2F2"/>
          </w:tcPr>
          <w:p>
            <w:pPr>
              <w:jc w:val="center"/>
              <w:spacing w:after="0" w:line="137" w:lineRule="exact"/>
              <w:rPr>
                <w:sz w:val="20"/>
                <w:szCs w:val="20"/>
                <w:color w:val="auto"/>
              </w:rPr>
            </w:pPr>
            <w:r>
              <w:rPr>
                <w:rFonts w:ascii="Arial" w:cs="Arial" w:eastAsia="Arial" w:hAnsi="Arial"/>
                <w:sz w:val="12"/>
                <w:szCs w:val="12"/>
                <w:b w:val="1"/>
                <w:bCs w:val="1"/>
                <w:color w:val="auto"/>
                <w:w w:val="96"/>
              </w:rPr>
              <w:t>Financial</w:t>
            </w:r>
          </w:p>
        </w:tc>
        <w:tc>
          <w:tcPr>
            <w:tcW w:w="1240" w:type="dxa"/>
            <w:vAlign w:val="bottom"/>
            <w:tcBorders>
              <w:top w:val="single" w:sz="8" w:color="auto"/>
              <w:right w:val="single" w:sz="8" w:color="auto"/>
            </w:tcBorders>
            <w:shd w:val="clear" w:color="auto" w:fill="F2F2F2"/>
          </w:tcPr>
          <w:p>
            <w:pPr>
              <w:jc w:val="center"/>
              <w:spacing w:after="0" w:line="137" w:lineRule="exact"/>
              <w:rPr>
                <w:sz w:val="20"/>
                <w:szCs w:val="20"/>
                <w:color w:val="auto"/>
              </w:rPr>
            </w:pPr>
            <w:r>
              <w:rPr>
                <w:rFonts w:ascii="Arial" w:cs="Arial" w:eastAsia="Arial" w:hAnsi="Arial"/>
                <w:sz w:val="12"/>
                <w:szCs w:val="12"/>
                <w:b w:val="1"/>
                <w:bCs w:val="1"/>
                <w:color w:val="auto"/>
                <w:w w:val="96"/>
              </w:rPr>
              <w:t>Individual</w:t>
            </w:r>
          </w:p>
        </w:tc>
        <w:tc>
          <w:tcPr>
            <w:tcW w:w="1220" w:type="dxa"/>
            <w:vAlign w:val="bottom"/>
            <w:tcBorders>
              <w:top w:val="single" w:sz="8" w:color="auto"/>
              <w:right w:val="single" w:sz="8" w:color="auto"/>
            </w:tcBorders>
            <w:shd w:val="clear" w:color="auto" w:fill="F2F2F2"/>
          </w:tcPr>
          <w:p>
            <w:pPr>
              <w:ind w:left="60"/>
              <w:spacing w:after="0" w:line="137" w:lineRule="exact"/>
              <w:rPr>
                <w:sz w:val="20"/>
                <w:szCs w:val="20"/>
                <w:color w:val="auto"/>
              </w:rPr>
            </w:pPr>
            <w:r>
              <w:rPr>
                <w:rFonts w:ascii="Arial" w:cs="Arial" w:eastAsia="Arial" w:hAnsi="Arial"/>
                <w:sz w:val="12"/>
                <w:szCs w:val="12"/>
                <w:b w:val="1"/>
                <w:bCs w:val="1"/>
                <w:color w:val="auto"/>
                <w:w w:val="99"/>
              </w:rPr>
              <w:t>Calculated Award</w:t>
            </w:r>
            <w:r>
              <w:rPr>
                <w:rFonts w:ascii="Arial" w:cs="Arial" w:eastAsia="Arial" w:hAnsi="Arial"/>
                <w:sz w:val="15"/>
                <w:szCs w:val="15"/>
                <w:b w:val="1"/>
                <w:bCs w:val="1"/>
                <w:color w:val="auto"/>
                <w:w w:val="99"/>
                <w:vertAlign w:val="superscript"/>
              </w:rPr>
              <w:t>(</w:t>
            </w:r>
            <w:r>
              <w:rPr>
                <w:rFonts w:ascii="Arial" w:cs="Arial" w:eastAsia="Arial" w:hAnsi="Arial"/>
                <w:sz w:val="15"/>
                <w:szCs w:val="15"/>
                <w:color w:val="auto"/>
                <w:w w:val="99"/>
                <w:vertAlign w:val="superscript"/>
              </w:rPr>
              <w:t>3)</w:t>
            </w:r>
          </w:p>
        </w:tc>
        <w:tc>
          <w:tcPr>
            <w:tcW w:w="1240" w:type="dxa"/>
            <w:vAlign w:val="bottom"/>
            <w:tcBorders>
              <w:top w:val="single" w:sz="8" w:color="auto"/>
              <w:right w:val="single" w:sz="8" w:color="auto"/>
            </w:tcBorders>
            <w:shd w:val="clear" w:color="auto" w:fill="F2F2F2"/>
          </w:tcPr>
          <w:p>
            <w:pPr>
              <w:jc w:val="center"/>
              <w:spacing w:after="0" w:line="137" w:lineRule="exact"/>
              <w:rPr>
                <w:sz w:val="20"/>
                <w:szCs w:val="20"/>
                <w:color w:val="auto"/>
              </w:rPr>
            </w:pPr>
            <w:r>
              <w:rPr>
                <w:rFonts w:ascii="Arial" w:cs="Arial" w:eastAsia="Arial" w:hAnsi="Arial"/>
                <w:sz w:val="12"/>
                <w:szCs w:val="12"/>
                <w:b w:val="1"/>
                <w:bCs w:val="1"/>
                <w:color w:val="auto"/>
                <w:w w:val="97"/>
              </w:rPr>
              <w:t>Discretionary Factor</w:t>
            </w:r>
          </w:p>
        </w:tc>
        <w:tc>
          <w:tcPr>
            <w:tcW w:w="1240" w:type="dxa"/>
            <w:vAlign w:val="bottom"/>
            <w:tcBorders>
              <w:top w:val="single" w:sz="8" w:color="auto"/>
              <w:right w:val="single" w:sz="8" w:color="auto"/>
            </w:tcBorders>
            <w:shd w:val="clear" w:color="auto" w:fill="F2F2F2"/>
          </w:tcPr>
          <w:p>
            <w:pPr>
              <w:ind w:left="160"/>
              <w:spacing w:after="0" w:line="137" w:lineRule="exact"/>
              <w:rPr>
                <w:sz w:val="20"/>
                <w:szCs w:val="20"/>
                <w:color w:val="auto"/>
              </w:rPr>
            </w:pPr>
            <w:r>
              <w:rPr>
                <w:rFonts w:ascii="Arial" w:cs="Arial" w:eastAsia="Arial" w:hAnsi="Arial"/>
                <w:sz w:val="12"/>
                <w:szCs w:val="12"/>
                <w:b w:val="1"/>
                <w:bCs w:val="1"/>
                <w:color w:val="auto"/>
              </w:rPr>
              <w:t>Earned Award</w:t>
            </w:r>
            <w:r>
              <w:rPr>
                <w:rFonts w:ascii="Arial" w:cs="Arial" w:eastAsia="Arial" w:hAnsi="Arial"/>
                <w:sz w:val="15"/>
                <w:szCs w:val="15"/>
                <w:b w:val="1"/>
                <w:bCs w:val="1"/>
                <w:color w:val="auto"/>
                <w:vertAlign w:val="superscript"/>
              </w:rPr>
              <w:t>(</w:t>
            </w:r>
            <w:r>
              <w:rPr>
                <w:rFonts w:ascii="Arial" w:cs="Arial" w:eastAsia="Arial" w:hAnsi="Arial"/>
                <w:sz w:val="15"/>
                <w:szCs w:val="15"/>
                <w:color w:val="auto"/>
                <w:vertAlign w:val="superscript"/>
              </w:rPr>
              <w:t>5)</w:t>
            </w:r>
          </w:p>
        </w:tc>
        <w:tc>
          <w:tcPr>
            <w:tcW w:w="1240" w:type="dxa"/>
            <w:vAlign w:val="bottom"/>
            <w:tcBorders>
              <w:top w:val="single" w:sz="8" w:color="auto"/>
              <w:right w:val="single" w:sz="8" w:color="auto"/>
            </w:tcBorders>
            <w:shd w:val="clear" w:color="auto" w:fill="F2F2F2"/>
          </w:tcPr>
          <w:p>
            <w:pPr>
              <w:ind w:left="40"/>
              <w:spacing w:after="0" w:line="137" w:lineRule="exact"/>
              <w:rPr>
                <w:sz w:val="20"/>
                <w:szCs w:val="20"/>
                <w:color w:val="auto"/>
              </w:rPr>
            </w:pPr>
            <w:r>
              <w:rPr>
                <w:rFonts w:ascii="Arial" w:cs="Arial" w:eastAsia="Arial" w:hAnsi="Arial"/>
                <w:sz w:val="12"/>
                <w:szCs w:val="12"/>
                <w:b w:val="1"/>
                <w:bCs w:val="1"/>
                <w:color w:val="auto"/>
                <w:w w:val="97"/>
              </w:rPr>
              <w:t>Overall Achievement</w:t>
            </w:r>
          </w:p>
        </w:tc>
        <w:tc>
          <w:tcPr>
            <w:tcW w:w="0" w:type="dxa"/>
            <w:vAlign w:val="bottom"/>
          </w:tcPr>
          <w:p>
            <w:pPr>
              <w:spacing w:after="0"/>
              <w:rPr>
                <w:sz w:val="1"/>
                <w:szCs w:val="1"/>
                <w:color w:val="auto"/>
              </w:rPr>
            </w:pPr>
          </w:p>
        </w:tc>
      </w:tr>
      <w:tr>
        <w:trPr>
          <w:trHeight w:val="98"/>
        </w:trPr>
        <w:tc>
          <w:tcPr>
            <w:tcW w:w="1420" w:type="dxa"/>
            <w:vAlign w:val="bottom"/>
            <w:tcBorders>
              <w:left w:val="single" w:sz="8" w:color="auto"/>
              <w:right w:val="single" w:sz="8" w:color="auto"/>
            </w:tcBorders>
            <w:shd w:val="clear" w:color="auto" w:fill="F2F2F2"/>
          </w:tcPr>
          <w:p>
            <w:pPr>
              <w:spacing w:after="0"/>
              <w:rPr>
                <w:sz w:val="8"/>
                <w:szCs w:val="8"/>
                <w:color w:val="auto"/>
              </w:rPr>
            </w:pPr>
          </w:p>
        </w:tc>
        <w:tc>
          <w:tcPr>
            <w:tcW w:w="1220" w:type="dxa"/>
            <w:vAlign w:val="bottom"/>
            <w:tcBorders>
              <w:right w:val="single" w:sz="8" w:color="auto"/>
            </w:tcBorders>
            <w:vMerge w:val="restart"/>
            <w:shd w:val="clear" w:color="auto" w:fill="F2F2F2"/>
          </w:tcPr>
          <w:p>
            <w:pPr>
              <w:jc w:val="center"/>
              <w:spacing w:after="0" w:line="125" w:lineRule="exact"/>
              <w:rPr>
                <w:sz w:val="20"/>
                <w:szCs w:val="20"/>
                <w:color w:val="auto"/>
              </w:rPr>
            </w:pPr>
            <w:r>
              <w:rPr>
                <w:rFonts w:ascii="Arial" w:cs="Arial" w:eastAsia="Arial" w:hAnsi="Arial"/>
                <w:sz w:val="12"/>
                <w:szCs w:val="12"/>
                <w:b w:val="1"/>
                <w:bCs w:val="1"/>
                <w:color w:val="auto"/>
                <w:w w:val="97"/>
              </w:rPr>
              <w:t>of Base)</w:t>
            </w:r>
          </w:p>
        </w:tc>
        <w:tc>
          <w:tcPr>
            <w:tcW w:w="1220" w:type="dxa"/>
            <w:vAlign w:val="bottom"/>
            <w:tcBorders>
              <w:right w:val="single" w:sz="8" w:color="auto"/>
            </w:tcBorders>
            <w:shd w:val="clear" w:color="auto" w:fill="F2F2F2"/>
          </w:tcPr>
          <w:p>
            <w:pPr>
              <w:spacing w:after="0"/>
              <w:rPr>
                <w:sz w:val="8"/>
                <w:szCs w:val="8"/>
                <w:color w:val="auto"/>
              </w:rPr>
            </w:pPr>
          </w:p>
        </w:tc>
        <w:tc>
          <w:tcPr>
            <w:tcW w:w="1220" w:type="dxa"/>
            <w:vAlign w:val="bottom"/>
            <w:tcBorders>
              <w:right w:val="single" w:sz="8" w:color="auto"/>
            </w:tcBorders>
            <w:vMerge w:val="restart"/>
            <w:shd w:val="clear" w:color="auto" w:fill="F2F2F2"/>
          </w:tcPr>
          <w:p>
            <w:pPr>
              <w:jc w:val="center"/>
              <w:spacing w:after="0" w:line="125" w:lineRule="exact"/>
              <w:rPr>
                <w:sz w:val="20"/>
                <w:szCs w:val="20"/>
                <w:color w:val="auto"/>
              </w:rPr>
            </w:pPr>
            <w:r>
              <w:rPr>
                <w:rFonts w:ascii="Arial" w:cs="Arial" w:eastAsia="Arial" w:hAnsi="Arial"/>
                <w:sz w:val="12"/>
                <w:szCs w:val="12"/>
                <w:b w:val="1"/>
                <w:bCs w:val="1"/>
                <w:color w:val="auto"/>
                <w:w w:val="96"/>
              </w:rPr>
              <w:t>Achievement</w:t>
            </w:r>
          </w:p>
        </w:tc>
        <w:tc>
          <w:tcPr>
            <w:tcW w:w="1240" w:type="dxa"/>
            <w:vAlign w:val="bottom"/>
            <w:tcBorders>
              <w:right w:val="single" w:sz="8" w:color="auto"/>
            </w:tcBorders>
            <w:vMerge w:val="restart"/>
            <w:shd w:val="clear" w:color="auto" w:fill="F2F2F2"/>
          </w:tcPr>
          <w:p>
            <w:pPr>
              <w:jc w:val="center"/>
              <w:spacing w:after="0" w:line="125" w:lineRule="exact"/>
              <w:rPr>
                <w:sz w:val="20"/>
                <w:szCs w:val="20"/>
                <w:color w:val="auto"/>
              </w:rPr>
            </w:pPr>
            <w:r>
              <w:rPr>
                <w:rFonts w:ascii="Arial" w:cs="Arial" w:eastAsia="Arial" w:hAnsi="Arial"/>
                <w:sz w:val="12"/>
                <w:szCs w:val="12"/>
                <w:b w:val="1"/>
                <w:bCs w:val="1"/>
                <w:color w:val="auto"/>
                <w:w w:val="96"/>
              </w:rPr>
              <w:t>Achievement</w:t>
            </w:r>
          </w:p>
        </w:tc>
        <w:tc>
          <w:tcPr>
            <w:tcW w:w="1220" w:type="dxa"/>
            <w:vAlign w:val="bottom"/>
            <w:tcBorders>
              <w:right w:val="single" w:sz="8" w:color="auto"/>
            </w:tcBorders>
            <w:shd w:val="clear" w:color="auto" w:fill="F2F2F2"/>
          </w:tcPr>
          <w:p>
            <w:pPr>
              <w:spacing w:after="0"/>
              <w:rPr>
                <w:sz w:val="8"/>
                <w:szCs w:val="8"/>
                <w:color w:val="auto"/>
              </w:rPr>
            </w:pPr>
          </w:p>
        </w:tc>
        <w:tc>
          <w:tcPr>
            <w:tcW w:w="1240" w:type="dxa"/>
            <w:vAlign w:val="bottom"/>
            <w:tcBorders>
              <w:right w:val="single" w:sz="8" w:color="auto"/>
            </w:tcBorders>
            <w:vMerge w:val="restart"/>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auto"/>
              </w:rPr>
              <w:t>Award</w:t>
            </w:r>
            <w:r>
              <w:rPr>
                <w:rFonts w:ascii="Arial" w:cs="Arial" w:eastAsia="Arial" w:hAnsi="Arial"/>
                <w:sz w:val="14"/>
                <w:szCs w:val="14"/>
                <w:b w:val="1"/>
                <w:bCs w:val="1"/>
                <w:color w:val="auto"/>
                <w:vertAlign w:val="superscript"/>
              </w:rPr>
              <w:t>(</w:t>
            </w:r>
            <w:r>
              <w:rPr>
                <w:rFonts w:ascii="Arial" w:cs="Arial" w:eastAsia="Arial" w:hAnsi="Arial"/>
                <w:sz w:val="14"/>
                <w:szCs w:val="14"/>
                <w:color w:val="auto"/>
                <w:vertAlign w:val="superscript"/>
              </w:rPr>
              <w:t>4)</w:t>
            </w:r>
          </w:p>
        </w:tc>
        <w:tc>
          <w:tcPr>
            <w:tcW w:w="1240" w:type="dxa"/>
            <w:vAlign w:val="bottom"/>
            <w:tcBorders>
              <w:right w:val="single" w:sz="8" w:color="auto"/>
            </w:tcBorders>
            <w:shd w:val="clear" w:color="auto" w:fill="F2F2F2"/>
          </w:tcPr>
          <w:p>
            <w:pPr>
              <w:spacing w:after="0"/>
              <w:rPr>
                <w:sz w:val="8"/>
                <w:szCs w:val="8"/>
                <w:color w:val="auto"/>
              </w:rPr>
            </w:pPr>
          </w:p>
        </w:tc>
        <w:tc>
          <w:tcPr>
            <w:tcW w:w="12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8"/>
                <w:szCs w:val="8"/>
                <w:b w:val="1"/>
                <w:bCs w:val="1"/>
                <w:color w:val="auto"/>
              </w:rPr>
              <w:t>(</w:t>
            </w: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26"/>
        </w:trPr>
        <w:tc>
          <w:tcPr>
            <w:tcW w:w="1420" w:type="dxa"/>
            <w:vAlign w:val="bottom"/>
            <w:tcBorders>
              <w:left w:val="single" w:sz="8" w:color="auto"/>
              <w:right w:val="single" w:sz="8" w:color="auto"/>
            </w:tcBorders>
            <w:shd w:val="clear" w:color="auto" w:fill="F2F2F2"/>
          </w:tcPr>
          <w:p>
            <w:pPr>
              <w:spacing w:after="0"/>
              <w:rPr>
                <w:sz w:val="2"/>
                <w:szCs w:val="2"/>
                <w:color w:val="auto"/>
              </w:rPr>
            </w:pPr>
          </w:p>
        </w:tc>
        <w:tc>
          <w:tcPr>
            <w:tcW w:w="1220" w:type="dxa"/>
            <w:vAlign w:val="bottom"/>
            <w:tcBorders>
              <w:right w:val="single" w:sz="8" w:color="auto"/>
            </w:tcBorders>
            <w:vMerge w:val="continue"/>
            <w:shd w:val="clear" w:color="auto" w:fill="F2F2F2"/>
          </w:tcPr>
          <w:p>
            <w:pPr>
              <w:spacing w:after="0"/>
              <w:rPr>
                <w:sz w:val="2"/>
                <w:szCs w:val="2"/>
                <w:color w:val="auto"/>
              </w:rPr>
            </w:pPr>
          </w:p>
        </w:tc>
        <w:tc>
          <w:tcPr>
            <w:tcW w:w="1220" w:type="dxa"/>
            <w:vAlign w:val="bottom"/>
            <w:tcBorders>
              <w:right w:val="single" w:sz="8" w:color="auto"/>
            </w:tcBorders>
            <w:shd w:val="clear" w:color="auto" w:fill="F2F2F2"/>
          </w:tcPr>
          <w:p>
            <w:pPr>
              <w:spacing w:after="0"/>
              <w:rPr>
                <w:sz w:val="2"/>
                <w:szCs w:val="2"/>
                <w:color w:val="auto"/>
              </w:rPr>
            </w:pPr>
          </w:p>
        </w:tc>
        <w:tc>
          <w:tcPr>
            <w:tcW w:w="1220" w:type="dxa"/>
            <w:vAlign w:val="bottom"/>
            <w:tcBorders>
              <w:right w:val="single" w:sz="8" w:color="auto"/>
            </w:tcBorders>
            <w:vMerge w:val="continue"/>
            <w:shd w:val="clear" w:color="auto" w:fill="F2F2F2"/>
          </w:tcPr>
          <w:p>
            <w:pPr>
              <w:spacing w:after="0"/>
              <w:rPr>
                <w:sz w:val="2"/>
                <w:szCs w:val="2"/>
                <w:color w:val="auto"/>
              </w:rPr>
            </w:pPr>
          </w:p>
        </w:tc>
        <w:tc>
          <w:tcPr>
            <w:tcW w:w="1240" w:type="dxa"/>
            <w:vAlign w:val="bottom"/>
            <w:tcBorders>
              <w:right w:val="single" w:sz="8" w:color="auto"/>
            </w:tcBorders>
            <w:vMerge w:val="continue"/>
            <w:shd w:val="clear" w:color="auto" w:fill="F2F2F2"/>
          </w:tcPr>
          <w:p>
            <w:pPr>
              <w:spacing w:after="0"/>
              <w:rPr>
                <w:sz w:val="2"/>
                <w:szCs w:val="2"/>
                <w:color w:val="auto"/>
              </w:rPr>
            </w:pPr>
          </w:p>
        </w:tc>
        <w:tc>
          <w:tcPr>
            <w:tcW w:w="1220" w:type="dxa"/>
            <w:vAlign w:val="bottom"/>
            <w:tcBorders>
              <w:right w:val="single" w:sz="8" w:color="auto"/>
            </w:tcBorders>
            <w:shd w:val="clear" w:color="auto" w:fill="F2F2F2"/>
          </w:tcPr>
          <w:p>
            <w:pPr>
              <w:spacing w:after="0"/>
              <w:rPr>
                <w:sz w:val="2"/>
                <w:szCs w:val="2"/>
                <w:color w:val="auto"/>
              </w:rPr>
            </w:pPr>
          </w:p>
        </w:tc>
        <w:tc>
          <w:tcPr>
            <w:tcW w:w="1240" w:type="dxa"/>
            <w:vAlign w:val="bottom"/>
            <w:tcBorders>
              <w:right w:val="single" w:sz="8" w:color="auto"/>
            </w:tcBorders>
            <w:vMerge w:val="continue"/>
            <w:shd w:val="clear" w:color="auto" w:fill="F2F2F2"/>
          </w:tcPr>
          <w:p>
            <w:pPr>
              <w:spacing w:after="0"/>
              <w:rPr>
                <w:sz w:val="2"/>
                <w:szCs w:val="2"/>
                <w:color w:val="auto"/>
              </w:rPr>
            </w:pPr>
          </w:p>
        </w:tc>
        <w:tc>
          <w:tcPr>
            <w:tcW w:w="1240" w:type="dxa"/>
            <w:vAlign w:val="bottom"/>
            <w:tcBorders>
              <w:right w:val="single" w:sz="8" w:color="auto"/>
            </w:tcBorders>
            <w:shd w:val="clear" w:color="auto" w:fill="F2F2F2"/>
          </w:tcPr>
          <w:p>
            <w:pPr>
              <w:spacing w:after="0"/>
              <w:rPr>
                <w:sz w:val="2"/>
                <w:szCs w:val="2"/>
                <w:color w:val="auto"/>
              </w:rPr>
            </w:pPr>
          </w:p>
        </w:tc>
        <w:tc>
          <w:tcPr>
            <w:tcW w:w="1240" w:type="dxa"/>
            <w:vAlign w:val="bottom"/>
            <w:tcBorders>
              <w:right w:val="single" w:sz="8" w:color="auto"/>
            </w:tcBorders>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1420" w:type="dxa"/>
            <w:vAlign w:val="bottom"/>
            <w:tcBorders>
              <w:left w:val="single" w:sz="8" w:color="auto"/>
              <w:bottom w:val="single" w:sz="8" w:color="F2F2F2"/>
              <w:right w:val="single" w:sz="8" w:color="auto"/>
            </w:tcBorders>
            <w:shd w:val="clear" w:color="auto" w:fill="F2F2F2"/>
          </w:tcPr>
          <w:p>
            <w:pPr>
              <w:spacing w:after="0"/>
              <w:rPr>
                <w:sz w:val="10"/>
                <w:szCs w:val="10"/>
                <w:color w:val="auto"/>
              </w:rPr>
            </w:pPr>
          </w:p>
        </w:tc>
        <w:tc>
          <w:tcPr>
            <w:tcW w:w="1220" w:type="dxa"/>
            <w:vAlign w:val="bottom"/>
            <w:tcBorders>
              <w:bottom w:val="single" w:sz="8" w:color="F2F2F2"/>
              <w:right w:val="single" w:sz="8" w:color="auto"/>
            </w:tcBorders>
            <w:shd w:val="clear" w:color="auto" w:fill="F2F2F2"/>
          </w:tcPr>
          <w:p>
            <w:pPr>
              <w:spacing w:after="0"/>
              <w:rPr>
                <w:sz w:val="10"/>
                <w:szCs w:val="10"/>
                <w:color w:val="auto"/>
              </w:rPr>
            </w:pPr>
          </w:p>
        </w:tc>
        <w:tc>
          <w:tcPr>
            <w:tcW w:w="1220" w:type="dxa"/>
            <w:vAlign w:val="bottom"/>
            <w:tcBorders>
              <w:bottom w:val="single" w:sz="8" w:color="F2F2F2"/>
              <w:right w:val="single" w:sz="8" w:color="auto"/>
            </w:tcBorders>
            <w:shd w:val="clear" w:color="auto" w:fill="F2F2F2"/>
          </w:tcPr>
          <w:p>
            <w:pPr>
              <w:spacing w:after="0"/>
              <w:rPr>
                <w:sz w:val="10"/>
                <w:szCs w:val="10"/>
                <w:color w:val="auto"/>
              </w:rPr>
            </w:pPr>
          </w:p>
        </w:tc>
        <w:tc>
          <w:tcPr>
            <w:tcW w:w="122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8"/>
                <w:szCs w:val="8"/>
                <w:b w:val="1"/>
                <w:bCs w:val="1"/>
                <w:color w:val="auto"/>
              </w:rPr>
              <w:t>(</w:t>
            </w:r>
            <w:r>
              <w:rPr>
                <w:rFonts w:ascii="Arial" w:cs="Arial" w:eastAsia="Arial" w:hAnsi="Arial"/>
                <w:sz w:val="8"/>
                <w:szCs w:val="8"/>
                <w:color w:val="auto"/>
              </w:rPr>
              <w:t>1)</w:t>
            </w:r>
          </w:p>
        </w:tc>
        <w:tc>
          <w:tcPr>
            <w:tcW w:w="124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8"/>
                <w:szCs w:val="8"/>
                <w:b w:val="1"/>
                <w:bCs w:val="1"/>
                <w:color w:val="auto"/>
              </w:rPr>
              <w:t>(</w:t>
            </w:r>
            <w:r>
              <w:rPr>
                <w:rFonts w:ascii="Arial" w:cs="Arial" w:eastAsia="Arial" w:hAnsi="Arial"/>
                <w:sz w:val="8"/>
                <w:szCs w:val="8"/>
                <w:color w:val="auto"/>
              </w:rPr>
              <w:t>2)</w:t>
            </w:r>
          </w:p>
        </w:tc>
        <w:tc>
          <w:tcPr>
            <w:tcW w:w="1220" w:type="dxa"/>
            <w:vAlign w:val="bottom"/>
            <w:tcBorders>
              <w:bottom w:val="single" w:sz="8" w:color="F2F2F2"/>
              <w:right w:val="single" w:sz="8" w:color="auto"/>
            </w:tcBorders>
            <w:shd w:val="clear" w:color="auto" w:fill="F2F2F2"/>
          </w:tcPr>
          <w:p>
            <w:pPr>
              <w:spacing w:after="0"/>
              <w:rPr>
                <w:sz w:val="10"/>
                <w:szCs w:val="10"/>
                <w:color w:val="auto"/>
              </w:rPr>
            </w:pPr>
          </w:p>
        </w:tc>
        <w:tc>
          <w:tcPr>
            <w:tcW w:w="1240" w:type="dxa"/>
            <w:vAlign w:val="bottom"/>
            <w:tcBorders>
              <w:bottom w:val="single" w:sz="8" w:color="F2F2F2"/>
              <w:right w:val="single" w:sz="8" w:color="auto"/>
            </w:tcBorders>
            <w:shd w:val="clear" w:color="auto" w:fill="F2F2F2"/>
          </w:tcPr>
          <w:p>
            <w:pPr>
              <w:spacing w:after="0"/>
              <w:rPr>
                <w:sz w:val="10"/>
                <w:szCs w:val="10"/>
                <w:color w:val="auto"/>
              </w:rPr>
            </w:pPr>
          </w:p>
        </w:tc>
        <w:tc>
          <w:tcPr>
            <w:tcW w:w="1240" w:type="dxa"/>
            <w:vAlign w:val="bottom"/>
            <w:tcBorders>
              <w:bottom w:val="single" w:sz="8" w:color="F2F2F2"/>
              <w:right w:val="single" w:sz="8" w:color="auto"/>
            </w:tcBorders>
            <w:shd w:val="clear" w:color="auto" w:fill="F2F2F2"/>
          </w:tcPr>
          <w:p>
            <w:pPr>
              <w:spacing w:after="0"/>
              <w:rPr>
                <w:sz w:val="10"/>
                <w:szCs w:val="10"/>
                <w:color w:val="auto"/>
              </w:rPr>
            </w:pPr>
          </w:p>
        </w:tc>
        <w:tc>
          <w:tcPr>
            <w:tcW w:w="1240" w:type="dxa"/>
            <w:vAlign w:val="bottom"/>
            <w:tcBorders>
              <w:bottom w:val="single" w:sz="8" w:color="F2F2F2"/>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4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William J. Lynn</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110%</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$1,248,014</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$599,047</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$624,007</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$1,223,054</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1.2</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$1,467,700</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92"/>
        </w:trPr>
        <w:tc>
          <w:tcPr>
            <w:tcW w:w="1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John Baylouny</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75%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$356,250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$171,000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$178,125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$349,125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1.2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$419,000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92"/>
        </w:trPr>
        <w:tc>
          <w:tcPr>
            <w:tcW w:w="1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Mike Dippold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70%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$297,500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$142,800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$148,750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$291,550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1.2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$349,900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92"/>
        </w:trPr>
        <w:tc>
          <w:tcPr>
            <w:tcW w:w="1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Mark Dorfman</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65%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$271,700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$130,416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$135,850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$266,266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1.2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$319,600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92"/>
        </w:trPr>
        <w:tc>
          <w:tcPr>
            <w:tcW w:w="1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Sally Wallace</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65%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$278,200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$133,536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$125,190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$258,726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1.2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$310,500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80" w:hanging="380"/>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Financial Achievement is based on Company Performance Factor of .64, and weighted at 75%.</w:t>
      </w:r>
    </w:p>
    <w:p>
      <w:pPr>
        <w:spacing w:after="0" w:line="1" w:lineRule="exact"/>
        <w:rPr>
          <w:rFonts w:ascii="Arial" w:cs="Arial" w:eastAsia="Arial" w:hAnsi="Arial"/>
          <w:sz w:val="15"/>
          <w:szCs w:val="15"/>
          <w:color w:val="auto"/>
        </w:rPr>
      </w:pPr>
    </w:p>
    <w:p>
      <w:pPr>
        <w:ind w:left="380" w:hanging="380"/>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Individual Achievement is based on the Individual Performance Achievement Percentage and weighted at 75%.</w:t>
      </w:r>
    </w:p>
    <w:p>
      <w:pPr>
        <w:spacing w:after="0" w:line="1" w:lineRule="exact"/>
        <w:rPr>
          <w:rFonts w:ascii="Arial" w:cs="Arial" w:eastAsia="Arial" w:hAnsi="Arial"/>
          <w:sz w:val="15"/>
          <w:szCs w:val="15"/>
          <w:color w:val="auto"/>
        </w:rPr>
      </w:pPr>
    </w:p>
    <w:p>
      <w:pPr>
        <w:ind w:left="380" w:hanging="380"/>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Calculated Award is the Sum of the Financial and Individual Achievement.</w:t>
      </w:r>
    </w:p>
    <w:p>
      <w:pPr>
        <w:spacing w:after="0" w:line="1" w:lineRule="exact"/>
        <w:rPr>
          <w:rFonts w:ascii="Arial" w:cs="Arial" w:eastAsia="Arial" w:hAnsi="Arial"/>
          <w:sz w:val="15"/>
          <w:szCs w:val="15"/>
          <w:color w:val="auto"/>
        </w:rPr>
      </w:pPr>
    </w:p>
    <w:p>
      <w:pPr>
        <w:ind w:left="380" w:hanging="380"/>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 Discretionary Factor Award may be applied at the discretion of the Committee, and is a multiplier on the Calculated Award.</w:t>
      </w:r>
    </w:p>
    <w:p>
      <w:pPr>
        <w:spacing w:after="0" w:line="1" w:lineRule="exact"/>
        <w:rPr>
          <w:rFonts w:ascii="Arial" w:cs="Arial" w:eastAsia="Arial" w:hAnsi="Arial"/>
          <w:sz w:val="15"/>
          <w:szCs w:val="15"/>
          <w:color w:val="auto"/>
        </w:rPr>
      </w:pPr>
    </w:p>
    <w:p>
      <w:pPr>
        <w:ind w:left="380" w:hanging="380"/>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Earned Award is the Calculated Award with the Discretionary Factor applied. The Earned Award Amounts are rounded to the nearest $100.</w:t>
      </w:r>
    </w:p>
    <w:p>
      <w:pPr>
        <w:spacing w:after="0" w:line="1" w:lineRule="exact"/>
        <w:rPr>
          <w:rFonts w:ascii="Arial" w:cs="Arial" w:eastAsia="Arial" w:hAnsi="Arial"/>
          <w:sz w:val="15"/>
          <w:szCs w:val="15"/>
          <w:color w:val="auto"/>
        </w:rPr>
      </w:pPr>
    </w:p>
    <w:p>
      <w:pPr>
        <w:ind w:left="380" w:hanging="380"/>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Overall Achievement represents the percentage achievement of the Target Incentive.</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Long-Term Incentive</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We historically have awarded cash-based long-term incentive opportunities to the NEOs under our 2014 Long-Term Incentive Plan (“LTIP”), rather than equity-based opportunities, because we were privately held. The purpose of the LTIP is to motivate participants by making a portion of their compensation contingent on the achievement of certain multi-year Company performance goals and a retention component to enable the Company to attract and retain key talent, and promote effective use of the Company’s resources to achieve expected and superior performance. The LTIP comprises more than 40% of each NEO’s target total direct compensation. This provides our executives with a significant personal stake in the long-term success of Leonardo DRS. As delegated by the board of directors, the LTIP is administered by the compensation committee. Each NEO’s annual target and earned award recommendation are approved by the compensation committee.</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Targets for Long-Term Incentive</w:t>
      </w:r>
    </w:p>
    <w:p>
      <w:pPr>
        <w:spacing w:after="0" w:line="171"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The aggregate target opportunity for each NEO under the LTIP was established using competitive benchmarking at or around the market median and balances other considerations such as Company performance, complexity of the role, length of service, future expected contributions, and impact to long-term growth and profitability. We believe the LTIP allows for the consideration of other factors in addition to the quantitative metrics that drive annual incentive payments. Earned awards provided under the LTIP may range from 0% to 200% of the target award opportunity. The annual LTIP target awards for the NEOs are shown in the table below.</w:t>
      </w:r>
    </w:p>
    <w:p>
      <w:pPr>
        <w:spacing w:after="0" w:line="153" w:lineRule="exact"/>
        <w:rPr>
          <w:sz w:val="20"/>
          <w:szCs w:val="20"/>
          <w:color w:val="auto"/>
        </w:rPr>
      </w:pPr>
    </w:p>
    <w:tbl>
      <w:tblPr>
        <w:tblLayout w:type="fixed"/>
        <w:tblInd w:w="2530" w:type="dxa"/>
        <w:tblCellMar>
          <w:top w:w="0" w:type="dxa"/>
          <w:left w:w="0" w:type="dxa"/>
          <w:bottom w:w="0" w:type="dxa"/>
          <w:right w:w="0" w:type="dxa"/>
        </w:tblCellMar>
      </w:tblPr>
      <w:tr>
        <w:trPr>
          <w:trHeight w:val="207"/>
        </w:trPr>
        <w:tc>
          <w:tcPr>
            <w:tcW w:w="3120" w:type="dxa"/>
            <w:vAlign w:val="bottom"/>
            <w:tcBorders>
              <w:top w:val="single" w:sz="8" w:color="auto"/>
              <w:left w:val="single" w:sz="8" w:color="auto"/>
              <w:bottom w:val="single" w:sz="8" w:color="auto"/>
              <w:right w:val="single" w:sz="8" w:color="auto"/>
            </w:tcBorders>
            <w:shd w:val="clear" w:color="auto" w:fill="C7C8CA"/>
          </w:tcPr>
          <w:p>
            <w:pPr>
              <w:ind w:left="20"/>
              <w:spacing w:after="0"/>
              <w:rPr>
                <w:sz w:val="20"/>
                <w:szCs w:val="20"/>
                <w:color w:val="auto"/>
              </w:rPr>
            </w:pPr>
            <w:r>
              <w:rPr>
                <w:rFonts w:ascii="Arial" w:cs="Arial" w:eastAsia="Arial" w:hAnsi="Arial"/>
                <w:sz w:val="13"/>
                <w:szCs w:val="13"/>
                <w:b w:val="1"/>
                <w:bCs w:val="1"/>
                <w:color w:val="auto"/>
              </w:rPr>
              <w:t>Name</w:t>
            </w:r>
          </w:p>
        </w:tc>
        <w:tc>
          <w:tcPr>
            <w:tcW w:w="3120" w:type="dxa"/>
            <w:vAlign w:val="bottom"/>
            <w:tcBorders>
              <w:top w:val="single" w:sz="8" w:color="auto"/>
              <w:bottom w:val="single" w:sz="8" w:color="auto"/>
              <w:right w:val="single" w:sz="8" w:color="auto"/>
            </w:tcBorders>
            <w:shd w:val="clear" w:color="auto" w:fill="C7C8CA"/>
          </w:tcPr>
          <w:p>
            <w:pPr>
              <w:ind w:left="1200"/>
              <w:spacing w:after="0"/>
              <w:rPr>
                <w:sz w:val="20"/>
                <w:szCs w:val="20"/>
                <w:color w:val="auto"/>
              </w:rPr>
            </w:pPr>
            <w:r>
              <w:rPr>
                <w:rFonts w:ascii="Arial" w:cs="Arial" w:eastAsia="Arial" w:hAnsi="Arial"/>
                <w:sz w:val="13"/>
                <w:szCs w:val="13"/>
                <w:b w:val="1"/>
                <w:bCs w:val="1"/>
                <w:color w:val="auto"/>
              </w:rPr>
              <w:t>LTIP Target</w:t>
            </w:r>
          </w:p>
        </w:tc>
      </w:tr>
      <w:tr>
        <w:trPr>
          <w:trHeight w:val="222"/>
        </w:trPr>
        <w:tc>
          <w:tcPr>
            <w:tcW w:w="3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William J. Lynn</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$2,500,000</w:t>
            </w:r>
          </w:p>
        </w:tc>
      </w:tr>
      <w:tr>
        <w:trPr>
          <w:trHeight w:val="25"/>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17"/>
        </w:trPr>
        <w:tc>
          <w:tcPr>
            <w:tcW w:w="3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John Baylouny</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$750,000</w:t>
            </w:r>
          </w:p>
        </w:tc>
      </w:tr>
      <w:tr>
        <w:trPr>
          <w:trHeight w:val="25"/>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17"/>
        </w:trPr>
        <w:tc>
          <w:tcPr>
            <w:tcW w:w="3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Mike Dippold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$600,000</w:t>
            </w:r>
          </w:p>
        </w:tc>
      </w:tr>
      <w:tr>
        <w:trPr>
          <w:trHeight w:val="25"/>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17"/>
        </w:trPr>
        <w:tc>
          <w:tcPr>
            <w:tcW w:w="3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Mark Dorfman</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$470,000</w:t>
            </w:r>
          </w:p>
        </w:tc>
      </w:tr>
      <w:tr>
        <w:trPr>
          <w:trHeight w:val="25"/>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17"/>
        </w:trPr>
        <w:tc>
          <w:tcPr>
            <w:tcW w:w="3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Sally Wallace</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$470,000</w:t>
            </w:r>
          </w:p>
        </w:tc>
      </w:tr>
      <w:tr>
        <w:trPr>
          <w:trHeight w:val="25"/>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260"/>
          </w:cols>
          <w:pgMar w:left="320" w:top="1440" w:right="319" w:bottom="1440" w:gutter="0" w:footer="0" w:header="0"/>
        </w:sectPr>
      </w:pPr>
    </w:p>
    <w:bookmarkStart w:id="151" w:name="page152"/>
    <w:bookmarkEnd w:id="151"/>
    <w:p>
      <w:pPr>
        <w:spacing w:after="0" w:line="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Vesting Terms for Long-Term Incentive</w:t>
      </w:r>
    </w:p>
    <w:p>
      <w:pPr>
        <w:spacing w:after="0" w:line="171" w:lineRule="exact"/>
        <w:rPr>
          <w:sz w:val="20"/>
          <w:szCs w:val="20"/>
          <w:color w:val="auto"/>
        </w:rPr>
      </w:pPr>
    </w:p>
    <w:p>
      <w:pPr>
        <w:ind w:right="200" w:firstLine="299"/>
        <w:spacing w:after="0" w:line="246" w:lineRule="auto"/>
        <w:rPr>
          <w:sz w:val="20"/>
          <w:szCs w:val="20"/>
          <w:color w:val="auto"/>
        </w:rPr>
      </w:pPr>
      <w:r>
        <w:rPr>
          <w:rFonts w:ascii="Arial" w:cs="Arial" w:eastAsia="Arial" w:hAnsi="Arial"/>
          <w:sz w:val="17"/>
          <w:szCs w:val="17"/>
          <w:color w:val="auto"/>
        </w:rPr>
        <w:t>The 2020 LTIP target awards were comprised of two components, a Company financial performance component designed to tie compensation opportunities to achievement of certain company performance goals over a three year performance cycle; and a retention component to encourage the retention of key employees. The two components combined provided a total compensation opportunity competitive with the businesses with which the Company competes.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92075</wp:posOffset>
            </wp:positionV>
            <wp:extent cx="2370455" cy="631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7045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u w:val="single" w:color="auto"/>
          <w:color w:val="auto"/>
        </w:rPr>
        <w:t>Company Performance</w:t>
      </w:r>
      <w:r>
        <w:rPr>
          <w:rFonts w:ascii="Arial" w:cs="Arial" w:eastAsia="Arial" w:hAnsi="Arial"/>
          <w:sz w:val="17"/>
          <w:szCs w:val="17"/>
          <w:color w:val="auto"/>
        </w:rPr>
        <w:t>. The Company performance component comprised 70% of each NEO’s 2020 target LTIP award, vesting in three equal annual installments over the period from 2020 through 2022. In order to be eligible for payment of any portion of the Company performance component of the LTIP award, the NEO must be actively employed by the Company and in good standing on the date of payment.</w:t>
      </w:r>
    </w:p>
    <w:p>
      <w:pPr>
        <w:spacing w:after="0" w:line="143" w:lineRule="exact"/>
        <w:rPr>
          <w:sz w:val="20"/>
          <w:szCs w:val="20"/>
          <w:color w:val="auto"/>
        </w:rPr>
      </w:pPr>
    </w:p>
    <w:p>
      <w:pPr>
        <w:jc w:val="both"/>
        <w:ind w:right="160" w:firstLine="299"/>
        <w:spacing w:after="0" w:line="270" w:lineRule="auto"/>
        <w:rPr>
          <w:sz w:val="20"/>
          <w:szCs w:val="20"/>
          <w:color w:val="auto"/>
        </w:rPr>
      </w:pPr>
      <w:r>
        <w:rPr>
          <w:rFonts w:ascii="Arial" w:cs="Arial" w:eastAsia="Arial" w:hAnsi="Arial"/>
          <w:sz w:val="16"/>
          <w:szCs w:val="16"/>
          <w:color w:val="auto"/>
        </w:rPr>
        <w:t>The Company performance metrics for the 2020 LTIP, comprising metrics for each of 2020, 2021 and 2022, were approved in March of 2020 by the compensation committee. Performance is measured based on bookings weighted at 60%, and economic value added (EVA) weighted at 40%, with the performance thresholds and payout ranges shown in the table below and no payout earned for performance below the minimum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80645</wp:posOffset>
            </wp:positionV>
            <wp:extent cx="4551045" cy="1153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1045" cy="1153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“Bookings” has the same meaning as used for purposes of the ICP. See “Annual Incentive Compensation” above.</w:t>
      </w:r>
    </w:p>
    <w:p>
      <w:pPr>
        <w:spacing w:after="0" w:line="153" w:lineRule="exact"/>
        <w:rPr>
          <w:sz w:val="20"/>
          <w:szCs w:val="20"/>
          <w:color w:val="auto"/>
        </w:rPr>
      </w:pPr>
    </w:p>
    <w:p>
      <w:pPr>
        <w:ind w:right="100" w:firstLine="299"/>
        <w:spacing w:after="0" w:line="250" w:lineRule="auto"/>
        <w:rPr>
          <w:sz w:val="20"/>
          <w:szCs w:val="20"/>
          <w:color w:val="auto"/>
        </w:rPr>
      </w:pPr>
      <w:r>
        <w:rPr>
          <w:rFonts w:ascii="Arial" w:cs="Arial" w:eastAsia="Arial" w:hAnsi="Arial"/>
          <w:sz w:val="17"/>
          <w:szCs w:val="17"/>
          <w:color w:val="auto"/>
        </w:rPr>
        <w:t>“Economic Value Added” or “EVA” is calculated as net operating profit after taxes (NOPAT) minus the Company’s average invested capital multiplied by the Company’s weighted average cost of capital. NOPAT is calculated as EBITA minus tax expenses.</w:t>
      </w:r>
    </w:p>
    <w:p>
      <w:pPr>
        <w:spacing w:after="0" w:line="140" w:lineRule="exact"/>
        <w:rPr>
          <w:sz w:val="20"/>
          <w:szCs w:val="20"/>
          <w:color w:val="auto"/>
        </w:rPr>
      </w:pPr>
    </w:p>
    <w:p>
      <w:pPr>
        <w:ind w:right="340" w:firstLine="299"/>
        <w:spacing w:after="0" w:line="247" w:lineRule="auto"/>
        <w:rPr>
          <w:sz w:val="20"/>
          <w:szCs w:val="20"/>
          <w:color w:val="auto"/>
        </w:rPr>
      </w:pPr>
      <w:r>
        <w:rPr>
          <w:rFonts w:ascii="Arial" w:cs="Arial" w:eastAsia="Arial" w:hAnsi="Arial"/>
          <w:sz w:val="17"/>
          <w:szCs w:val="17"/>
          <w:u w:val="single" w:color="auto"/>
          <w:color w:val="auto"/>
        </w:rPr>
        <w:t>Retention</w:t>
      </w:r>
      <w:r>
        <w:rPr>
          <w:rFonts w:ascii="Arial" w:cs="Arial" w:eastAsia="Arial" w:hAnsi="Arial"/>
          <w:sz w:val="17"/>
          <w:szCs w:val="17"/>
          <w:color w:val="auto"/>
        </w:rPr>
        <w:t>. The retention component comprised 30% of each NEO’s target LTIP award and will be payable after the end of the three-year performance cycle. In order to be eligible for the retention component of the LTIP award, the NEO must be actively employed by the Company and in good standing on the date of payment.</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Approval of Performance Achievement for the Long-Term Incentive</w:t>
      </w:r>
    </w:p>
    <w:p>
      <w:pPr>
        <w:spacing w:after="0" w:line="171"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Earned award recommendations for each of the NEOs are approved by the compensation committee. The compensation committee has the authority to adjust the LTIP performance objectives for any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43" w:lineRule="exact"/>
        <w:rPr>
          <w:sz w:val="20"/>
          <w:szCs w:val="20"/>
          <w:color w:val="auto"/>
        </w:rPr>
      </w:pPr>
    </w:p>
    <w:p>
      <w:pPr>
        <w:ind w:right="400"/>
        <w:spacing w:after="0" w:line="247" w:lineRule="auto"/>
        <w:rPr>
          <w:sz w:val="20"/>
          <w:szCs w:val="20"/>
          <w:color w:val="auto"/>
        </w:rPr>
      </w:pPr>
      <w:r>
        <w:rPr>
          <w:rFonts w:ascii="Arial" w:cs="Arial" w:eastAsia="Arial" w:hAnsi="Arial"/>
          <w:sz w:val="17"/>
          <w:szCs w:val="17"/>
          <w:color w:val="auto"/>
        </w:rPr>
        <w:t>acquisitions or divestitures; foreign exchange gains and losses; a change in the Company’s fiscal year; and any other nonrecurring events. The LTIP permits the compensation committee to exercise negative discretion to reduce or eliminate an award that would have been earned under the performance objectives as the compensation committee determines appropriate.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2020 Long-Term Incentive Performance Component Achievement (2018, 2019, 2020 Performance Awards)</w:t>
      </w:r>
    </w:p>
    <w:p>
      <w:pPr>
        <w:spacing w:after="0" w:line="171"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Consistent with the long-term incentives awarded for 2020, each of the NEOs was granted long-term incentive awards in 2019 and 2018 under the LTIP. The Company performance targets were established for bookings and EVA for each performance cycle (2018, 2019 and 2020) in February of each Performance Year. A portion of the performance component for the NEOs’ 2020, 2019, and 2018 awards vested based on the level at which 2020 performance metrics were achieved.</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1620" w:type="dxa"/>
            <w:vAlign w:val="bottom"/>
            <w:tcBorders>
              <w:top w:val="single" w:sz="8" w:color="auto"/>
              <w:left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LTIP Award</w:t>
            </w:r>
          </w:p>
        </w:tc>
        <w:tc>
          <w:tcPr>
            <w:tcW w:w="16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Metric</w:t>
            </w:r>
          </w:p>
        </w:tc>
        <w:tc>
          <w:tcPr>
            <w:tcW w:w="1160" w:type="dxa"/>
            <w:vAlign w:val="bottom"/>
            <w:tcBorders>
              <w:top w:val="single" w:sz="8" w:color="auto"/>
            </w:tcBorders>
            <w:vMerge w:val="restart"/>
            <w:shd w:val="clear" w:color="auto" w:fill="F2F2F2"/>
          </w:tcPr>
          <w:p>
            <w:pPr>
              <w:jc w:val="center"/>
              <w:ind w:left="319"/>
              <w:spacing w:after="0"/>
              <w:rPr>
                <w:sz w:val="20"/>
                <w:szCs w:val="20"/>
                <w:color w:val="auto"/>
              </w:rPr>
            </w:pPr>
            <w:r>
              <w:rPr>
                <w:rFonts w:ascii="Arial" w:cs="Arial" w:eastAsia="Arial" w:hAnsi="Arial"/>
                <w:sz w:val="13"/>
                <w:szCs w:val="13"/>
                <w:b w:val="1"/>
                <w:bCs w:val="1"/>
                <w:color w:val="auto"/>
              </w:rPr>
              <w:t>Weighting</w:t>
            </w:r>
          </w:p>
        </w:tc>
        <w:tc>
          <w:tcPr>
            <w:tcW w:w="440" w:type="dxa"/>
            <w:vAlign w:val="bottom"/>
            <w:tcBorders>
              <w:top w:val="single" w:sz="8" w:color="auto"/>
              <w:right w:val="single" w:sz="8" w:color="auto"/>
            </w:tcBorders>
            <w:shd w:val="clear" w:color="auto" w:fill="F2F2F2"/>
          </w:tcPr>
          <w:p>
            <w:pPr>
              <w:spacing w:after="0"/>
              <w:rPr>
                <w:sz w:val="15"/>
                <w:szCs w:val="15"/>
                <w:color w:val="auto"/>
              </w:rPr>
            </w:pPr>
          </w:p>
        </w:tc>
        <w:tc>
          <w:tcPr>
            <w:tcW w:w="160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Revised Target (in</w:t>
            </w:r>
          </w:p>
        </w:tc>
        <w:tc>
          <w:tcPr>
            <w:tcW w:w="1620" w:type="dxa"/>
            <w:vAlign w:val="bottom"/>
            <w:tcBorders>
              <w:top w:val="single" w:sz="8" w:color="auto"/>
              <w:right w:val="single" w:sz="8" w:color="auto"/>
            </w:tcBorders>
            <w:vMerge w:val="restart"/>
            <w:shd w:val="clear" w:color="auto" w:fill="F2F2F2"/>
          </w:tcPr>
          <w:p>
            <w:pPr>
              <w:ind w:left="180"/>
              <w:spacing w:after="0"/>
              <w:rPr>
                <w:sz w:val="20"/>
                <w:szCs w:val="20"/>
                <w:color w:val="auto"/>
              </w:rPr>
            </w:pPr>
            <w:r>
              <w:rPr>
                <w:rFonts w:ascii="Arial" w:cs="Arial" w:eastAsia="Arial" w:hAnsi="Arial"/>
                <w:sz w:val="13"/>
                <w:szCs w:val="13"/>
                <w:b w:val="1"/>
                <w:bCs w:val="1"/>
                <w:color w:val="auto"/>
              </w:rPr>
              <w:t>Actual ( in millions)</w:t>
            </w:r>
          </w:p>
        </w:tc>
        <w:tc>
          <w:tcPr>
            <w:tcW w:w="1600" w:type="dxa"/>
            <w:vAlign w:val="bottom"/>
            <w:tcBorders>
              <w:top w:val="single" w:sz="8" w:color="auto"/>
              <w:right w:val="single" w:sz="8" w:color="auto"/>
            </w:tcBorders>
            <w:shd w:val="clear" w:color="auto" w:fill="F2F2F2"/>
          </w:tcPr>
          <w:p>
            <w:pPr>
              <w:ind w:left="360"/>
              <w:spacing w:after="0"/>
              <w:rPr>
                <w:sz w:val="20"/>
                <w:szCs w:val="20"/>
                <w:color w:val="auto"/>
              </w:rPr>
            </w:pPr>
            <w:r>
              <w:rPr>
                <w:rFonts w:ascii="Arial" w:cs="Arial" w:eastAsia="Arial" w:hAnsi="Arial"/>
                <w:sz w:val="13"/>
                <w:szCs w:val="13"/>
                <w:b w:val="1"/>
                <w:bCs w:val="1"/>
                <w:color w:val="auto"/>
              </w:rPr>
              <w:t>Achievement</w:t>
            </w:r>
          </w:p>
        </w:tc>
        <w:tc>
          <w:tcPr>
            <w:tcW w:w="1600" w:type="dxa"/>
            <w:vAlign w:val="bottom"/>
            <w:tcBorders>
              <w:top w:val="single" w:sz="8" w:color="auto"/>
              <w:right w:val="single" w:sz="8" w:color="auto"/>
            </w:tcBorders>
            <w:shd w:val="clear" w:color="auto" w:fill="F2F2F2"/>
          </w:tcPr>
          <w:p>
            <w:pPr>
              <w:ind w:left="60"/>
              <w:spacing w:after="0"/>
              <w:rPr>
                <w:sz w:val="20"/>
                <w:szCs w:val="20"/>
                <w:color w:val="auto"/>
              </w:rPr>
            </w:pPr>
            <w:r>
              <w:rPr>
                <w:rFonts w:ascii="Arial" w:cs="Arial" w:eastAsia="Arial" w:hAnsi="Arial"/>
                <w:sz w:val="13"/>
                <w:szCs w:val="13"/>
                <w:b w:val="1"/>
                <w:bCs w:val="1"/>
                <w:color w:val="auto"/>
              </w:rPr>
              <w:t>Financial Award Factor</w:t>
            </w:r>
          </w:p>
        </w:tc>
        <w:tc>
          <w:tcPr>
            <w:tcW w:w="0" w:type="dxa"/>
            <w:vAlign w:val="bottom"/>
          </w:tcPr>
          <w:p>
            <w:pPr>
              <w:spacing w:after="0"/>
              <w:rPr>
                <w:sz w:val="1"/>
                <w:szCs w:val="1"/>
                <w:color w:val="auto"/>
              </w:rPr>
            </w:pPr>
          </w:p>
        </w:tc>
      </w:tr>
      <w:tr>
        <w:trPr>
          <w:trHeight w:val="188"/>
        </w:trPr>
        <w:tc>
          <w:tcPr>
            <w:tcW w:w="1620" w:type="dxa"/>
            <w:vAlign w:val="bottom"/>
            <w:tcBorders>
              <w:left w:val="single" w:sz="8" w:color="auto"/>
              <w:bottom w:val="single" w:sz="8" w:color="auto"/>
              <w:right w:val="single" w:sz="8" w:color="auto"/>
            </w:tcBorders>
            <w:vMerge w:val="continue"/>
            <w:shd w:val="clear" w:color="auto" w:fill="F2F2F2"/>
          </w:tcPr>
          <w:p>
            <w:pPr>
              <w:spacing w:after="0"/>
              <w:rPr>
                <w:sz w:val="16"/>
                <w:szCs w:val="16"/>
                <w:color w:val="auto"/>
              </w:rPr>
            </w:pPr>
          </w:p>
        </w:tc>
        <w:tc>
          <w:tcPr>
            <w:tcW w:w="1600" w:type="dxa"/>
            <w:vAlign w:val="bottom"/>
            <w:tcBorders>
              <w:bottom w:val="single" w:sz="8" w:color="auto"/>
              <w:right w:val="single" w:sz="8" w:color="auto"/>
            </w:tcBorders>
            <w:vMerge w:val="continue"/>
            <w:shd w:val="clear" w:color="auto" w:fill="F2F2F2"/>
          </w:tcPr>
          <w:p>
            <w:pPr>
              <w:spacing w:after="0"/>
              <w:rPr>
                <w:sz w:val="16"/>
                <w:szCs w:val="16"/>
                <w:color w:val="auto"/>
              </w:rPr>
            </w:pPr>
          </w:p>
        </w:tc>
        <w:tc>
          <w:tcPr>
            <w:tcW w:w="1160" w:type="dxa"/>
            <w:vAlign w:val="bottom"/>
            <w:tcBorders>
              <w:bottom w:val="single" w:sz="8" w:color="auto"/>
            </w:tcBorders>
            <w:vMerge w:val="continue"/>
            <w:shd w:val="clear" w:color="auto" w:fill="F2F2F2"/>
          </w:tcPr>
          <w:p>
            <w:pPr>
              <w:spacing w:after="0"/>
              <w:rPr>
                <w:sz w:val="16"/>
                <w:szCs w:val="16"/>
                <w:color w:val="auto"/>
              </w:rPr>
            </w:pPr>
          </w:p>
        </w:tc>
        <w:tc>
          <w:tcPr>
            <w:tcW w:w="440" w:type="dxa"/>
            <w:vAlign w:val="bottom"/>
            <w:tcBorders>
              <w:bottom w:val="single" w:sz="8" w:color="auto"/>
              <w:right w:val="single" w:sz="8" w:color="auto"/>
            </w:tcBorders>
            <w:shd w:val="clear" w:color="auto" w:fill="F2F2F2"/>
          </w:tcPr>
          <w:p>
            <w:pPr>
              <w:spacing w:after="0"/>
              <w:rPr>
                <w:sz w:val="16"/>
                <w:szCs w:val="16"/>
                <w:color w:val="auto"/>
              </w:rPr>
            </w:pPr>
          </w:p>
        </w:tc>
        <w:tc>
          <w:tcPr>
            <w:tcW w:w="1600" w:type="dxa"/>
            <w:vAlign w:val="bottom"/>
            <w:tcBorders>
              <w:bottom w:val="single" w:sz="8" w:color="auto"/>
              <w:right w:val="single" w:sz="8" w:color="auto"/>
            </w:tcBorders>
            <w:shd w:val="clear" w:color="auto" w:fill="F2F2F2"/>
          </w:tcPr>
          <w:p>
            <w:pPr>
              <w:jc w:val="center"/>
              <w:spacing w:after="0" w:line="188" w:lineRule="exact"/>
              <w:rPr>
                <w:sz w:val="20"/>
                <w:szCs w:val="20"/>
                <w:color w:val="auto"/>
              </w:rPr>
            </w:pPr>
            <w:r>
              <w:rPr>
                <w:rFonts w:ascii="Arial" w:cs="Arial" w:eastAsia="Arial" w:hAnsi="Arial"/>
                <w:sz w:val="13"/>
                <w:szCs w:val="13"/>
                <w:b w:val="1"/>
                <w:bCs w:val="1"/>
                <w:color w:val="auto"/>
                <w:w w:val="96"/>
              </w:rPr>
              <w:t>millions)</w:t>
            </w:r>
            <w:r>
              <w:rPr>
                <w:rFonts w:ascii="Arial" w:cs="Arial" w:eastAsia="Arial" w:hAnsi="Arial"/>
                <w:sz w:val="17"/>
                <w:szCs w:val="17"/>
                <w:b w:val="1"/>
                <w:bCs w:val="1"/>
                <w:color w:val="auto"/>
                <w:w w:val="96"/>
                <w:vertAlign w:val="superscript"/>
              </w:rPr>
              <w:t>1</w:t>
            </w:r>
          </w:p>
        </w:tc>
        <w:tc>
          <w:tcPr>
            <w:tcW w:w="1620" w:type="dxa"/>
            <w:vAlign w:val="bottom"/>
            <w:tcBorders>
              <w:bottom w:val="single" w:sz="8" w:color="auto"/>
              <w:right w:val="single" w:sz="8" w:color="auto"/>
            </w:tcBorders>
            <w:vMerge w:val="continue"/>
            <w:shd w:val="clear" w:color="auto" w:fill="F2F2F2"/>
          </w:tcPr>
          <w:p>
            <w:pPr>
              <w:spacing w:after="0"/>
              <w:rPr>
                <w:sz w:val="16"/>
                <w:szCs w:val="16"/>
                <w:color w:val="auto"/>
              </w:rPr>
            </w:pPr>
          </w:p>
        </w:tc>
        <w:tc>
          <w:tcPr>
            <w:tcW w:w="16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w:t>
            </w:r>
          </w:p>
        </w:tc>
        <w:tc>
          <w:tcPr>
            <w:tcW w:w="16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7"/>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2020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Bookings</w:t>
            </w:r>
          </w:p>
        </w:tc>
        <w:tc>
          <w:tcPr>
            <w:tcW w:w="1160" w:type="dxa"/>
            <w:vAlign w:val="bottom"/>
          </w:tcPr>
          <w:p>
            <w:pPr>
              <w:jc w:val="center"/>
              <w:ind w:left="339"/>
              <w:spacing w:after="0"/>
              <w:rPr>
                <w:sz w:val="20"/>
                <w:szCs w:val="20"/>
                <w:color w:val="auto"/>
              </w:rPr>
            </w:pPr>
            <w:r>
              <w:rPr>
                <w:rFonts w:ascii="Arial" w:cs="Arial" w:eastAsia="Arial" w:hAnsi="Arial"/>
                <w:sz w:val="17"/>
                <w:szCs w:val="17"/>
                <w:color w:val="auto"/>
                <w:w w:val="99"/>
              </w:rPr>
              <w:t>60%</w:t>
            </w:r>
          </w:p>
        </w:tc>
        <w:tc>
          <w:tcPr>
            <w:tcW w:w="4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$2,600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$3,055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142.5%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29%</w:t>
            </w:r>
          </w:p>
        </w:tc>
        <w:tc>
          <w:tcPr>
            <w:tcW w:w="0" w:type="dxa"/>
            <w:vAlign w:val="bottom"/>
          </w:tcPr>
          <w:p>
            <w:pPr>
              <w:spacing w:after="0"/>
              <w:rPr>
                <w:sz w:val="1"/>
                <w:szCs w:val="1"/>
                <w:color w:val="auto"/>
              </w:rPr>
            </w:pPr>
          </w:p>
        </w:tc>
      </w:tr>
      <w:tr>
        <w:trPr>
          <w:trHeight w:val="25"/>
        </w:trPr>
        <w:tc>
          <w:tcPr>
            <w:tcW w:w="1620" w:type="dxa"/>
            <w:vAlign w:val="bottom"/>
            <w:tcBorders>
              <w:left w:val="single" w:sz="8" w:color="auto"/>
              <w:right w:val="single" w:sz="8" w:color="auto"/>
            </w:tcBorders>
            <w:vMerge w:val="continue"/>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620" w:type="dxa"/>
            <w:vAlign w:val="bottom"/>
            <w:tcBorders>
              <w:left w:val="single" w:sz="8" w:color="auto"/>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EVA</w:t>
            </w:r>
          </w:p>
        </w:tc>
        <w:tc>
          <w:tcPr>
            <w:tcW w:w="1160" w:type="dxa"/>
            <w:vAlign w:val="bottom"/>
            <w:vMerge w:val="restart"/>
          </w:tcPr>
          <w:p>
            <w:pPr>
              <w:jc w:val="center"/>
              <w:ind w:left="339"/>
              <w:spacing w:after="0"/>
              <w:rPr>
                <w:sz w:val="20"/>
                <w:szCs w:val="20"/>
                <w:color w:val="auto"/>
              </w:rPr>
            </w:pPr>
            <w:r>
              <w:rPr>
                <w:rFonts w:ascii="Arial" w:cs="Arial" w:eastAsia="Arial" w:hAnsi="Arial"/>
                <w:sz w:val="17"/>
                <w:szCs w:val="17"/>
                <w:color w:val="auto"/>
                <w:w w:val="99"/>
              </w:rPr>
              <w:t>40%</w:t>
            </w:r>
          </w:p>
        </w:tc>
        <w:tc>
          <w:tcPr>
            <w:tcW w:w="44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$(7)</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$(38)</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7"/>
              </w:rPr>
              <w:t>0%</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7"/>
              </w:rPr>
              <w:t>0%</w:t>
            </w:r>
          </w:p>
        </w:tc>
        <w:tc>
          <w:tcPr>
            <w:tcW w:w="0" w:type="dxa"/>
            <w:vAlign w:val="bottom"/>
          </w:tcPr>
          <w:p>
            <w:pPr>
              <w:spacing w:after="0"/>
              <w:rPr>
                <w:sz w:val="1"/>
                <w:szCs w:val="1"/>
                <w:color w:val="auto"/>
              </w:rPr>
            </w:pPr>
          </w:p>
        </w:tc>
      </w:tr>
      <w:tr>
        <w:trPr>
          <w:trHeight w:val="137"/>
        </w:trPr>
        <w:tc>
          <w:tcPr>
            <w:tcW w:w="162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1160" w:type="dxa"/>
            <w:vAlign w:val="bottom"/>
            <w:tcBorders>
              <w:bottom w:val="single" w:sz="8" w:color="auto"/>
            </w:tcBorders>
            <w:shd w:val="clear" w:color="auto" w:fill="A6A6A6"/>
          </w:tcPr>
          <w:p>
            <w:pPr>
              <w:spacing w:after="0"/>
              <w:rPr>
                <w:sz w:val="18"/>
                <w:szCs w:val="18"/>
                <w:color w:val="auto"/>
              </w:rPr>
            </w:pPr>
          </w:p>
        </w:tc>
        <w:tc>
          <w:tcPr>
            <w:tcW w:w="440" w:type="dxa"/>
            <w:vAlign w:val="bottom"/>
            <w:tcBorders>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1620" w:type="dxa"/>
            <w:vAlign w:val="bottom"/>
            <w:tcBorders>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2019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Bookings</w:t>
            </w:r>
          </w:p>
        </w:tc>
        <w:tc>
          <w:tcPr>
            <w:tcW w:w="1160" w:type="dxa"/>
            <w:vAlign w:val="bottom"/>
          </w:tcPr>
          <w:p>
            <w:pPr>
              <w:jc w:val="center"/>
              <w:ind w:left="339"/>
              <w:spacing w:after="0"/>
              <w:rPr>
                <w:sz w:val="20"/>
                <w:szCs w:val="20"/>
                <w:color w:val="auto"/>
              </w:rPr>
            </w:pPr>
            <w:r>
              <w:rPr>
                <w:rFonts w:ascii="Arial" w:cs="Arial" w:eastAsia="Arial" w:hAnsi="Arial"/>
                <w:sz w:val="17"/>
                <w:szCs w:val="17"/>
                <w:color w:val="auto"/>
                <w:w w:val="99"/>
              </w:rPr>
              <w:t>60%</w:t>
            </w:r>
          </w:p>
        </w:tc>
        <w:tc>
          <w:tcPr>
            <w:tcW w:w="4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$2,405</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$3,055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150.0%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30%</w:t>
            </w:r>
          </w:p>
        </w:tc>
        <w:tc>
          <w:tcPr>
            <w:tcW w:w="0" w:type="dxa"/>
            <w:vAlign w:val="bottom"/>
          </w:tcPr>
          <w:p>
            <w:pPr>
              <w:spacing w:after="0"/>
              <w:rPr>
                <w:sz w:val="1"/>
                <w:szCs w:val="1"/>
                <w:color w:val="auto"/>
              </w:rPr>
            </w:pPr>
          </w:p>
        </w:tc>
      </w:tr>
      <w:tr>
        <w:trPr>
          <w:trHeight w:val="25"/>
        </w:trPr>
        <w:tc>
          <w:tcPr>
            <w:tcW w:w="1620" w:type="dxa"/>
            <w:vAlign w:val="bottom"/>
            <w:tcBorders>
              <w:left w:val="single" w:sz="8" w:color="auto"/>
              <w:right w:val="single" w:sz="8" w:color="auto"/>
            </w:tcBorders>
            <w:vMerge w:val="continue"/>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620" w:type="dxa"/>
            <w:vAlign w:val="bottom"/>
            <w:tcBorders>
              <w:left w:val="single" w:sz="8" w:color="auto"/>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EVA</w:t>
            </w:r>
          </w:p>
        </w:tc>
        <w:tc>
          <w:tcPr>
            <w:tcW w:w="1160" w:type="dxa"/>
            <w:vAlign w:val="bottom"/>
            <w:vMerge w:val="restart"/>
          </w:tcPr>
          <w:p>
            <w:pPr>
              <w:jc w:val="center"/>
              <w:ind w:left="339"/>
              <w:spacing w:after="0"/>
              <w:rPr>
                <w:sz w:val="20"/>
                <w:szCs w:val="20"/>
                <w:color w:val="auto"/>
              </w:rPr>
            </w:pPr>
            <w:r>
              <w:rPr>
                <w:rFonts w:ascii="Arial" w:cs="Arial" w:eastAsia="Arial" w:hAnsi="Arial"/>
                <w:sz w:val="17"/>
                <w:szCs w:val="17"/>
                <w:color w:val="auto"/>
                <w:w w:val="99"/>
              </w:rPr>
              <w:t>40%</w:t>
            </w:r>
          </w:p>
        </w:tc>
        <w:tc>
          <w:tcPr>
            <w:tcW w:w="44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$(9)</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$(38)</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7"/>
              </w:rPr>
              <w:t>0%</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7"/>
              </w:rPr>
              <w:t>0%</w:t>
            </w:r>
          </w:p>
        </w:tc>
        <w:tc>
          <w:tcPr>
            <w:tcW w:w="0" w:type="dxa"/>
            <w:vAlign w:val="bottom"/>
          </w:tcPr>
          <w:p>
            <w:pPr>
              <w:spacing w:after="0"/>
              <w:rPr>
                <w:sz w:val="1"/>
                <w:szCs w:val="1"/>
                <w:color w:val="auto"/>
              </w:rPr>
            </w:pPr>
          </w:p>
        </w:tc>
      </w:tr>
      <w:tr>
        <w:trPr>
          <w:trHeight w:val="137"/>
        </w:trPr>
        <w:tc>
          <w:tcPr>
            <w:tcW w:w="162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1160" w:type="dxa"/>
            <w:vAlign w:val="bottom"/>
            <w:tcBorders>
              <w:bottom w:val="single" w:sz="8" w:color="auto"/>
            </w:tcBorders>
            <w:shd w:val="clear" w:color="auto" w:fill="A6A6A6"/>
          </w:tcPr>
          <w:p>
            <w:pPr>
              <w:spacing w:after="0"/>
              <w:rPr>
                <w:sz w:val="18"/>
                <w:szCs w:val="18"/>
                <w:color w:val="auto"/>
              </w:rPr>
            </w:pPr>
          </w:p>
        </w:tc>
        <w:tc>
          <w:tcPr>
            <w:tcW w:w="440" w:type="dxa"/>
            <w:vAlign w:val="bottom"/>
            <w:tcBorders>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1620" w:type="dxa"/>
            <w:vAlign w:val="bottom"/>
            <w:tcBorders>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2018</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Bookings</w:t>
            </w:r>
          </w:p>
        </w:tc>
        <w:tc>
          <w:tcPr>
            <w:tcW w:w="1160" w:type="dxa"/>
            <w:vAlign w:val="bottom"/>
          </w:tcPr>
          <w:p>
            <w:pPr>
              <w:jc w:val="center"/>
              <w:ind w:left="339"/>
              <w:spacing w:after="0"/>
              <w:rPr>
                <w:sz w:val="20"/>
                <w:szCs w:val="20"/>
                <w:color w:val="auto"/>
              </w:rPr>
            </w:pPr>
            <w:r>
              <w:rPr>
                <w:rFonts w:ascii="Arial" w:cs="Arial" w:eastAsia="Arial" w:hAnsi="Arial"/>
                <w:sz w:val="17"/>
                <w:szCs w:val="17"/>
                <w:color w:val="auto"/>
                <w:w w:val="99"/>
              </w:rPr>
              <w:t>60%</w:t>
            </w:r>
          </w:p>
        </w:tc>
        <w:tc>
          <w:tcPr>
            <w:tcW w:w="4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$2,242</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$3,055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150.0%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30%</w:t>
            </w:r>
          </w:p>
        </w:tc>
        <w:tc>
          <w:tcPr>
            <w:tcW w:w="0" w:type="dxa"/>
            <w:vAlign w:val="bottom"/>
          </w:tcPr>
          <w:p>
            <w:pPr>
              <w:spacing w:after="0"/>
              <w:rPr>
                <w:sz w:val="1"/>
                <w:szCs w:val="1"/>
                <w:color w:val="auto"/>
              </w:rPr>
            </w:pPr>
          </w:p>
        </w:tc>
      </w:tr>
      <w:tr>
        <w:trPr>
          <w:trHeight w:val="25"/>
        </w:trPr>
        <w:tc>
          <w:tcPr>
            <w:tcW w:w="1620" w:type="dxa"/>
            <w:vAlign w:val="bottom"/>
            <w:tcBorders>
              <w:left w:val="single" w:sz="8" w:color="auto"/>
              <w:right w:val="single" w:sz="8" w:color="auto"/>
            </w:tcBorders>
            <w:vMerge w:val="continue"/>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620" w:type="dxa"/>
            <w:vAlign w:val="bottom"/>
            <w:tcBorders>
              <w:left w:val="single" w:sz="8" w:color="auto"/>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EVA</w:t>
            </w:r>
          </w:p>
        </w:tc>
        <w:tc>
          <w:tcPr>
            <w:tcW w:w="1160" w:type="dxa"/>
            <w:vAlign w:val="bottom"/>
            <w:vMerge w:val="restart"/>
          </w:tcPr>
          <w:p>
            <w:pPr>
              <w:jc w:val="center"/>
              <w:ind w:left="339"/>
              <w:spacing w:after="0"/>
              <w:rPr>
                <w:sz w:val="20"/>
                <w:szCs w:val="20"/>
                <w:color w:val="auto"/>
              </w:rPr>
            </w:pPr>
            <w:r>
              <w:rPr>
                <w:rFonts w:ascii="Arial" w:cs="Arial" w:eastAsia="Arial" w:hAnsi="Arial"/>
                <w:sz w:val="17"/>
                <w:szCs w:val="17"/>
                <w:color w:val="auto"/>
                <w:w w:val="99"/>
              </w:rPr>
              <w:t>40%</w:t>
            </w:r>
          </w:p>
        </w:tc>
        <w:tc>
          <w:tcPr>
            <w:tcW w:w="44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$12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8"/>
              </w:rPr>
              <w:t>$38</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7"/>
              </w:rPr>
              <w:t>0%</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7"/>
              </w:rPr>
              <w:t>0%</w:t>
            </w:r>
          </w:p>
        </w:tc>
        <w:tc>
          <w:tcPr>
            <w:tcW w:w="0" w:type="dxa"/>
            <w:vAlign w:val="bottom"/>
          </w:tcPr>
          <w:p>
            <w:pPr>
              <w:spacing w:after="0"/>
              <w:rPr>
                <w:sz w:val="1"/>
                <w:szCs w:val="1"/>
                <w:color w:val="auto"/>
              </w:rPr>
            </w:pPr>
          </w:p>
        </w:tc>
      </w:tr>
      <w:tr>
        <w:trPr>
          <w:trHeight w:val="137"/>
        </w:trPr>
        <w:tc>
          <w:tcPr>
            <w:tcW w:w="162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1160" w:type="dxa"/>
            <w:vAlign w:val="bottom"/>
            <w:tcBorders>
              <w:bottom w:val="single" w:sz="8" w:color="auto"/>
            </w:tcBorders>
            <w:shd w:val="clear" w:color="auto" w:fill="A6A6A6"/>
          </w:tcPr>
          <w:p>
            <w:pPr>
              <w:spacing w:after="0"/>
              <w:rPr>
                <w:sz w:val="18"/>
                <w:szCs w:val="18"/>
                <w:color w:val="auto"/>
              </w:rPr>
            </w:pPr>
          </w:p>
        </w:tc>
        <w:tc>
          <w:tcPr>
            <w:tcW w:w="440" w:type="dxa"/>
            <w:vAlign w:val="bottom"/>
            <w:tcBorders>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1620" w:type="dxa"/>
            <w:vAlign w:val="bottom"/>
            <w:tcBorders>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1600" w:type="dxa"/>
            <w:vAlign w:val="bottom"/>
            <w:tcBorders>
              <w:bottom w:val="single" w:sz="8" w:color="auto"/>
              <w:right w:val="single" w:sz="8" w:color="auto"/>
            </w:tcBorders>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20" w:type="dxa"/>
            <w:vAlign w:val="bottom"/>
            <w:tcBorders>
              <w:lef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60" w:type="dxa"/>
            <w:vAlign w:val="bottom"/>
            <w:tcBorders>
              <w:right w:val="single" w:sz="8" w:color="auto"/>
            </w:tcBorders>
            <w:gridSpan w:val="4"/>
          </w:tcPr>
          <w:p>
            <w:pPr>
              <w:ind w:left="60"/>
              <w:spacing w:after="0"/>
              <w:rPr>
                <w:sz w:val="20"/>
                <w:szCs w:val="20"/>
                <w:color w:val="auto"/>
              </w:rPr>
            </w:pPr>
            <w:r>
              <w:rPr>
                <w:rFonts w:ascii="Arial" w:cs="Arial" w:eastAsia="Arial" w:hAnsi="Arial"/>
                <w:sz w:val="17"/>
                <w:szCs w:val="17"/>
                <w:b w:val="1"/>
                <w:bCs w:val="1"/>
                <w:color w:val="auto"/>
                <w:w w:val="97"/>
              </w:rPr>
              <w:t>2019 (3-Year Performance Cycle) Total Performance Award Factor</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89%</w:t>
            </w:r>
          </w:p>
        </w:tc>
        <w:tc>
          <w:tcPr>
            <w:tcW w:w="0" w:type="dxa"/>
            <w:vAlign w:val="bottom"/>
          </w:tcPr>
          <w:p>
            <w:pPr>
              <w:spacing w:after="0"/>
              <w:rPr>
                <w:sz w:val="1"/>
                <w:szCs w:val="1"/>
                <w:color w:val="auto"/>
              </w:rPr>
            </w:pPr>
          </w:p>
        </w:tc>
      </w:tr>
      <w:tr>
        <w:trPr>
          <w:trHeight w:val="25"/>
        </w:trPr>
        <w:tc>
          <w:tcPr>
            <w:tcW w:w="162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Important Note:</w:t>
      </w:r>
    </w:p>
    <w:p>
      <w:pPr>
        <w:spacing w:after="0" w:line="2" w:lineRule="exact"/>
        <w:rPr>
          <w:sz w:val="20"/>
          <w:szCs w:val="20"/>
          <w:color w:val="auto"/>
        </w:rPr>
      </w:pPr>
    </w:p>
    <w:p>
      <w:pPr>
        <w:ind w:left="300" w:hanging="300"/>
        <w:spacing w:after="0"/>
        <w:tabs>
          <w:tab w:leader="none" w:pos="3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plan years adjusted to reflect the changes from the debt redemption that occurred in December 2020.</w:t>
      </w:r>
    </w:p>
    <w:p>
      <w:pPr>
        <w:spacing w:after="0" w:line="13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i w:val="1"/>
          <w:iCs w:val="1"/>
          <w:color w:val="auto"/>
        </w:rPr>
        <w:t>2020 Long-Term Incentive Achievement for the Retention Component</w:t>
      </w:r>
    </w:p>
    <w:p>
      <w:pPr>
        <w:spacing w:after="0" w:line="171" w:lineRule="exact"/>
        <w:rPr>
          <w:sz w:val="20"/>
          <w:szCs w:val="20"/>
          <w:color w:val="auto"/>
        </w:rPr>
      </w:pPr>
    </w:p>
    <w:p>
      <w:pPr>
        <w:ind w:right="340" w:firstLine="299"/>
        <w:spacing w:after="0" w:line="250" w:lineRule="auto"/>
        <w:rPr>
          <w:sz w:val="20"/>
          <w:szCs w:val="20"/>
          <w:color w:val="auto"/>
        </w:rPr>
      </w:pPr>
      <w:r>
        <w:rPr>
          <w:rFonts w:ascii="Arial" w:cs="Arial" w:eastAsia="Arial" w:hAnsi="Arial"/>
          <w:sz w:val="17"/>
          <w:szCs w:val="17"/>
          <w:color w:val="auto"/>
        </w:rPr>
        <w:t>The retention component, 30% of the LTIP annual target, under the LTIP is payable after three-years subject to the NEO’s continued employment with the Company as of the LTIP award payment date.</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reflects the achievement of the two LTIP components for the 2019 LTIP Earned Award.</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20" w:type="dxa"/>
            <w:vAlign w:val="bottom"/>
            <w:tcBorders>
              <w:top w:val="single" w:sz="8" w:color="auto"/>
              <w:left w:val="single" w:sz="8" w:color="auto"/>
              <w:bottom w:val="single" w:sz="8" w:color="auto"/>
              <w:right w:val="single" w:sz="8" w:color="auto"/>
            </w:tcBorders>
            <w:shd w:val="clear" w:color="auto" w:fill="F2F2F2"/>
          </w:tcPr>
          <w:p>
            <w:pPr>
              <w:ind w:left="840"/>
              <w:spacing w:after="0"/>
              <w:rPr>
                <w:sz w:val="20"/>
                <w:szCs w:val="20"/>
                <w:color w:val="auto"/>
              </w:rPr>
            </w:pPr>
            <w:r>
              <w:rPr>
                <w:rFonts w:ascii="Arial" w:cs="Arial" w:eastAsia="Arial" w:hAnsi="Arial"/>
                <w:sz w:val="13"/>
                <w:szCs w:val="13"/>
                <w:b w:val="1"/>
                <w:bCs w:val="1"/>
                <w:color w:val="auto"/>
              </w:rPr>
              <w:t>LTIP Components</w:t>
            </w:r>
          </w:p>
        </w:tc>
        <w:tc>
          <w:tcPr>
            <w:tcW w:w="282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 Achieved</w:t>
            </w:r>
          </w:p>
        </w:tc>
        <w:tc>
          <w:tcPr>
            <w:tcW w:w="2800" w:type="dxa"/>
            <w:vAlign w:val="bottom"/>
            <w:tcBorders>
              <w:top w:val="single" w:sz="8" w:color="auto"/>
              <w:bottom w:val="single" w:sz="8" w:color="auto"/>
              <w:right w:val="single" w:sz="8" w:color="auto"/>
            </w:tcBorders>
            <w:shd w:val="clear" w:color="auto" w:fill="F2F2F2"/>
          </w:tcPr>
          <w:p>
            <w:pPr>
              <w:ind w:left="940"/>
              <w:spacing w:after="0"/>
              <w:rPr>
                <w:sz w:val="20"/>
                <w:szCs w:val="20"/>
                <w:color w:val="auto"/>
              </w:rPr>
            </w:pPr>
            <w:r>
              <w:rPr>
                <w:rFonts w:ascii="Arial" w:cs="Arial" w:eastAsia="Arial" w:hAnsi="Arial"/>
                <w:sz w:val="13"/>
                <w:szCs w:val="13"/>
                <w:b w:val="1"/>
                <w:bCs w:val="1"/>
                <w:color w:val="auto"/>
              </w:rPr>
              <w:t>Target Weight</w:t>
            </w:r>
          </w:p>
        </w:tc>
        <w:tc>
          <w:tcPr>
            <w:tcW w:w="282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Achievement Factor</w:t>
            </w:r>
          </w:p>
        </w:tc>
      </w:tr>
      <w:tr>
        <w:trPr>
          <w:trHeight w:val="246"/>
        </w:trPr>
        <w:tc>
          <w:tcPr>
            <w:tcW w:w="2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Company Performance</w:t>
            </w:r>
            <w:r>
              <w:rPr>
                <w:rFonts w:ascii="Arial" w:cs="Arial" w:eastAsia="Arial" w:hAnsi="Arial"/>
                <w:sz w:val="21"/>
                <w:szCs w:val="21"/>
                <w:color w:val="auto"/>
                <w:vertAlign w:val="superscript"/>
              </w:rPr>
              <w:t>(1)</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70%</w:t>
            </w:r>
          </w:p>
        </w:tc>
        <w:tc>
          <w:tcPr>
            <w:tcW w:w="2800" w:type="dxa"/>
            <w:vAlign w:val="bottom"/>
            <w:tcBorders>
              <w:bottom w:val="single" w:sz="8" w:color="auto"/>
              <w:right w:val="single" w:sz="8" w:color="auto"/>
            </w:tcBorders>
          </w:tcPr>
          <w:p>
            <w:pPr>
              <w:jc w:val="right"/>
              <w:ind w:right="1183"/>
              <w:spacing w:after="0"/>
              <w:rPr>
                <w:sz w:val="20"/>
                <w:szCs w:val="20"/>
                <w:color w:val="auto"/>
              </w:rPr>
            </w:pPr>
            <w:r>
              <w:rPr>
                <w:rFonts w:ascii="Arial" w:cs="Arial" w:eastAsia="Arial" w:hAnsi="Arial"/>
                <w:sz w:val="17"/>
                <w:szCs w:val="17"/>
                <w:color w:val="auto"/>
              </w:rPr>
              <w:t>89%</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62%</w:t>
            </w:r>
          </w:p>
        </w:tc>
      </w:tr>
      <w:tr>
        <w:trPr>
          <w:trHeight w:val="241"/>
        </w:trPr>
        <w:tc>
          <w:tcPr>
            <w:tcW w:w="2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Retention</w:t>
            </w:r>
            <w:r>
              <w:rPr>
                <w:rFonts w:ascii="Arial" w:cs="Arial" w:eastAsia="Arial" w:hAnsi="Arial"/>
                <w:sz w:val="21"/>
                <w:szCs w:val="21"/>
                <w:color w:val="auto"/>
                <w:vertAlign w:val="superscript"/>
              </w:rPr>
              <w:t>(2)</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30%</w:t>
            </w:r>
          </w:p>
        </w:tc>
        <w:tc>
          <w:tcPr>
            <w:tcW w:w="2800" w:type="dxa"/>
            <w:vAlign w:val="bottom"/>
            <w:tcBorders>
              <w:bottom w:val="single" w:sz="8" w:color="auto"/>
              <w:right w:val="single" w:sz="8" w:color="auto"/>
            </w:tcBorders>
          </w:tcPr>
          <w:p>
            <w:pPr>
              <w:jc w:val="right"/>
              <w:ind w:right="1123"/>
              <w:spacing w:after="0"/>
              <w:rPr>
                <w:sz w:val="20"/>
                <w:szCs w:val="20"/>
                <w:color w:val="auto"/>
              </w:rPr>
            </w:pPr>
            <w:r>
              <w:rPr>
                <w:rFonts w:ascii="Arial" w:cs="Arial" w:eastAsia="Arial" w:hAnsi="Arial"/>
                <w:sz w:val="17"/>
                <w:szCs w:val="17"/>
                <w:color w:val="auto"/>
              </w:rPr>
              <w:t>100%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30%</w:t>
            </w:r>
          </w:p>
        </w:tc>
      </w:tr>
      <w:tr>
        <w:trPr>
          <w:trHeight w:val="217"/>
        </w:trPr>
        <w:tc>
          <w:tcPr>
            <w:tcW w:w="2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282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92%</w:t>
            </w:r>
          </w:p>
        </w:tc>
      </w:tr>
      <w:tr>
        <w:trPr>
          <w:trHeight w:val="25"/>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168"/>
        </w:trPr>
        <w:tc>
          <w:tcPr>
            <w:tcW w:w="2820" w:type="dxa"/>
            <w:vAlign w:val="bottom"/>
          </w:tcPr>
          <w:p>
            <w:pPr>
              <w:spacing w:after="0" w:line="169" w:lineRule="exact"/>
              <w:rPr>
                <w:sz w:val="20"/>
                <w:szCs w:val="20"/>
                <w:color w:val="auto"/>
              </w:rPr>
            </w:pPr>
            <w:r>
              <w:rPr>
                <w:rFonts w:ascii="Arial" w:cs="Arial" w:eastAsia="Arial" w:hAnsi="Arial"/>
                <w:sz w:val="15"/>
                <w:szCs w:val="15"/>
                <w:color w:val="auto"/>
              </w:rPr>
              <w:t>________________</w:t>
            </w:r>
          </w:p>
        </w:tc>
        <w:tc>
          <w:tcPr>
            <w:tcW w:w="2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20" w:type="dxa"/>
            <w:vAlign w:val="bottom"/>
          </w:tcPr>
          <w:p>
            <w:pPr>
              <w:spacing w:after="0"/>
              <w:rPr>
                <w:sz w:val="14"/>
                <w:szCs w:val="14"/>
                <w:color w:val="auto"/>
              </w:rPr>
            </w:pPr>
          </w:p>
        </w:tc>
      </w:tr>
    </w:tbl>
    <w:p>
      <w:pPr>
        <w:ind w:left="300" w:hanging="300"/>
        <w:spacing w:after="0"/>
        <w:tabs>
          <w:tab w:leader="none" w:pos="3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Company Performance component represents the 2020 performance year for each of the 2018, 2019 and 2020 awards.</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Retention component represents the portion of the 2018 LTIP award that vested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260"/>
          </w:cols>
          <w:pgMar w:left="320" w:top="1440" w:right="319" w:bottom="1440" w:gutter="0" w:footer="0" w:header="0"/>
        </w:sectPr>
      </w:pPr>
    </w:p>
    <w:bookmarkStart w:id="153" w:name="page154"/>
    <w:bookmarkEnd w:id="153"/>
    <w:p>
      <w:pPr>
        <w:spacing w:after="0" w:line="43" w:lineRule="exact"/>
        <w:rPr>
          <w:sz w:val="20"/>
          <w:szCs w:val="20"/>
          <w:color w:val="auto"/>
        </w:rPr>
      </w:pPr>
    </w:p>
    <w:p>
      <w:pPr>
        <w:jc w:val="both"/>
        <w:ind w:right="40" w:firstLine="299"/>
        <w:spacing w:after="0" w:line="247" w:lineRule="auto"/>
        <w:rPr>
          <w:sz w:val="20"/>
          <w:szCs w:val="20"/>
          <w:color w:val="auto"/>
        </w:rPr>
      </w:pPr>
      <w:r>
        <w:rPr>
          <w:rFonts w:ascii="Arial" w:cs="Arial" w:eastAsia="Arial" w:hAnsi="Arial"/>
          <w:sz w:val="17"/>
          <w:szCs w:val="17"/>
          <w:color w:val="auto"/>
        </w:rPr>
        <w:t>As a result of the achievement for the components shown above, each NEO earned the following 2020 LTIP Total Payment, which were approved in February 2021 (vested portion of 2018, 2019 and 2020 Company performance component, and the 2018 retention component), and will be paid in March 2021:</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20" w:type="dxa"/>
            <w:vAlign w:val="bottom"/>
            <w:tcBorders>
              <w:top w:val="single" w:sz="8" w:color="auto"/>
              <w:left w:val="single" w:sz="8" w:color="auto"/>
              <w:bottom w:val="single" w:sz="8" w:color="C9C9C9"/>
              <w:right w:val="single" w:sz="8" w:color="auto"/>
            </w:tcBorders>
            <w:shd w:val="clear" w:color="auto" w:fill="C9C9C9"/>
          </w:tcPr>
          <w:p>
            <w:pPr>
              <w:spacing w:after="0"/>
              <w:rPr>
                <w:sz w:val="17"/>
                <w:szCs w:val="17"/>
                <w:color w:val="auto"/>
              </w:rPr>
            </w:pPr>
          </w:p>
        </w:tc>
        <w:tc>
          <w:tcPr>
            <w:tcW w:w="2820" w:type="dxa"/>
            <w:vAlign w:val="bottom"/>
            <w:tcBorders>
              <w:top w:val="single" w:sz="8" w:color="auto"/>
              <w:bottom w:val="single" w:sz="8" w:color="auto"/>
              <w:right w:val="single" w:sz="8" w:color="F2F2F2"/>
            </w:tcBorders>
            <w:shd w:val="clear" w:color="auto" w:fill="F2F2F2"/>
          </w:tcPr>
          <w:p>
            <w:pPr>
              <w:spacing w:after="0"/>
              <w:rPr>
                <w:sz w:val="17"/>
                <w:szCs w:val="17"/>
                <w:color w:val="auto"/>
              </w:rPr>
            </w:pPr>
          </w:p>
        </w:tc>
        <w:tc>
          <w:tcPr>
            <w:tcW w:w="2800" w:type="dxa"/>
            <w:vAlign w:val="bottom"/>
            <w:tcBorders>
              <w:top w:val="single" w:sz="8" w:color="auto"/>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auto"/>
                <w:w w:val="97"/>
              </w:rPr>
              <w:t>LTIP Award</w:t>
            </w:r>
          </w:p>
        </w:tc>
        <w:tc>
          <w:tcPr>
            <w:tcW w:w="2820" w:type="dxa"/>
            <w:vAlign w:val="bottom"/>
            <w:tcBorders>
              <w:top w:val="single" w:sz="8" w:color="auto"/>
              <w:bottom w:val="single" w:sz="8" w:color="auto"/>
              <w:right w:val="single" w:sz="8" w:color="auto"/>
            </w:tcBorders>
            <w:shd w:val="clear" w:color="auto" w:fill="F2F2F2"/>
          </w:tcPr>
          <w:p>
            <w:pPr>
              <w:spacing w:after="0"/>
              <w:rPr>
                <w:sz w:val="17"/>
                <w:szCs w:val="17"/>
                <w:color w:val="auto"/>
              </w:rPr>
            </w:pPr>
          </w:p>
        </w:tc>
      </w:tr>
      <w:tr>
        <w:trPr>
          <w:trHeight w:val="196"/>
        </w:trPr>
        <w:tc>
          <w:tcPr>
            <w:tcW w:w="2820" w:type="dxa"/>
            <w:vAlign w:val="bottom"/>
            <w:tcBorders>
              <w:left w:val="single" w:sz="8" w:color="auto"/>
              <w:bottom w:val="single" w:sz="8" w:color="auto"/>
              <w:right w:val="single" w:sz="8" w:color="auto"/>
            </w:tcBorders>
            <w:shd w:val="clear" w:color="auto" w:fill="C9C9C9"/>
          </w:tcPr>
          <w:p>
            <w:pPr>
              <w:ind w:left="1100"/>
              <w:spacing w:after="0"/>
              <w:rPr>
                <w:sz w:val="20"/>
                <w:szCs w:val="20"/>
                <w:color w:val="auto"/>
              </w:rPr>
            </w:pPr>
            <w:r>
              <w:rPr>
                <w:rFonts w:ascii="Arial" w:cs="Arial" w:eastAsia="Arial" w:hAnsi="Arial"/>
                <w:sz w:val="13"/>
                <w:szCs w:val="13"/>
                <w:b w:val="1"/>
                <w:bCs w:val="1"/>
                <w:color w:val="auto"/>
              </w:rPr>
              <w:t>Executive</w:t>
            </w:r>
          </w:p>
        </w:tc>
        <w:tc>
          <w:tcPr>
            <w:tcW w:w="2820" w:type="dxa"/>
            <w:vAlign w:val="bottom"/>
            <w:tcBorders>
              <w:bottom w:val="single" w:sz="8" w:color="auto"/>
              <w:right w:val="single" w:sz="8" w:color="auto"/>
            </w:tcBorders>
            <w:shd w:val="clear" w:color="auto" w:fill="F2F2F2"/>
          </w:tcPr>
          <w:p>
            <w:pPr>
              <w:ind w:left="1040"/>
              <w:spacing w:after="0"/>
              <w:rPr>
                <w:sz w:val="20"/>
                <w:szCs w:val="20"/>
                <w:color w:val="auto"/>
              </w:rPr>
            </w:pPr>
            <w:r>
              <w:rPr>
                <w:rFonts w:ascii="Arial" w:cs="Arial" w:eastAsia="Arial" w:hAnsi="Arial"/>
                <w:sz w:val="13"/>
                <w:szCs w:val="13"/>
                <w:b w:val="1"/>
                <w:bCs w:val="1"/>
                <w:color w:val="auto"/>
              </w:rPr>
              <w:t>LTIP Target</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 Target Earned</w:t>
            </w:r>
          </w:p>
        </w:tc>
        <w:tc>
          <w:tcPr>
            <w:tcW w:w="2820" w:type="dxa"/>
            <w:vAlign w:val="bottom"/>
            <w:tcBorders>
              <w:bottom w:val="single" w:sz="8" w:color="auto"/>
              <w:right w:val="single" w:sz="8" w:color="auto"/>
            </w:tcBorders>
            <w:shd w:val="clear" w:color="auto" w:fill="F2F2F2"/>
          </w:tcPr>
          <w:p>
            <w:pPr>
              <w:ind w:left="940"/>
              <w:spacing w:after="0"/>
              <w:rPr>
                <w:sz w:val="20"/>
                <w:szCs w:val="20"/>
                <w:color w:val="auto"/>
              </w:rPr>
            </w:pPr>
            <w:r>
              <w:rPr>
                <w:rFonts w:ascii="Arial" w:cs="Arial" w:eastAsia="Arial" w:hAnsi="Arial"/>
                <w:sz w:val="13"/>
                <w:szCs w:val="13"/>
                <w:b w:val="1"/>
                <w:bCs w:val="1"/>
                <w:color w:val="auto"/>
              </w:rPr>
              <w:t>Total Payment</w:t>
            </w:r>
            <w:r>
              <w:rPr>
                <w:rFonts w:ascii="Arial" w:cs="Arial" w:eastAsia="Arial" w:hAnsi="Arial"/>
                <w:sz w:val="17"/>
                <w:szCs w:val="17"/>
                <w:b w:val="1"/>
                <w:bCs w:val="1"/>
                <w:color w:val="auto"/>
                <w:vertAlign w:val="superscript"/>
              </w:rPr>
              <w:t>1</w:t>
            </w:r>
          </w:p>
        </w:tc>
      </w:tr>
      <w:tr>
        <w:trPr>
          <w:trHeight w:val="217"/>
        </w:trPr>
        <w:tc>
          <w:tcPr>
            <w:tcW w:w="2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William J. Lynn</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$2,500,000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92%</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$2,300,000</w:t>
            </w:r>
          </w:p>
        </w:tc>
      </w:tr>
      <w:tr>
        <w:trPr>
          <w:trHeight w:val="25"/>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17"/>
        </w:trPr>
        <w:tc>
          <w:tcPr>
            <w:tcW w:w="2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John Baylouny</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$750,000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92%</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$690,000</w:t>
            </w:r>
          </w:p>
        </w:tc>
      </w:tr>
      <w:tr>
        <w:trPr>
          <w:trHeight w:val="25"/>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17"/>
        </w:trPr>
        <w:tc>
          <w:tcPr>
            <w:tcW w:w="2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Mike Dippold</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$600,000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92%</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$552,000</w:t>
            </w:r>
          </w:p>
        </w:tc>
      </w:tr>
      <w:tr>
        <w:trPr>
          <w:trHeight w:val="25"/>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17"/>
        </w:trPr>
        <w:tc>
          <w:tcPr>
            <w:tcW w:w="2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Mark Dorfman</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$470,000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92%</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$432,400</w:t>
            </w:r>
          </w:p>
        </w:tc>
      </w:tr>
      <w:tr>
        <w:trPr>
          <w:trHeight w:val="25"/>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17"/>
        </w:trPr>
        <w:tc>
          <w:tcPr>
            <w:tcW w:w="2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Sally Wallace</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$470,000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92%</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$432,400</w:t>
            </w:r>
          </w:p>
        </w:tc>
      </w:tr>
      <w:tr>
        <w:trPr>
          <w:trHeight w:val="25"/>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168"/>
        </w:trPr>
        <w:tc>
          <w:tcPr>
            <w:tcW w:w="2820" w:type="dxa"/>
            <w:vAlign w:val="bottom"/>
          </w:tcPr>
          <w:p>
            <w:pPr>
              <w:spacing w:after="0" w:line="169" w:lineRule="exact"/>
              <w:rPr>
                <w:sz w:val="20"/>
                <w:szCs w:val="20"/>
                <w:color w:val="auto"/>
              </w:rPr>
            </w:pPr>
            <w:r>
              <w:rPr>
                <w:rFonts w:ascii="Arial" w:cs="Arial" w:eastAsia="Arial" w:hAnsi="Arial"/>
                <w:sz w:val="15"/>
                <w:szCs w:val="15"/>
                <w:color w:val="auto"/>
              </w:rPr>
              <w:t>________________</w:t>
            </w:r>
          </w:p>
        </w:tc>
        <w:tc>
          <w:tcPr>
            <w:tcW w:w="2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20" w:type="dxa"/>
            <w:vAlign w:val="bottom"/>
          </w:tcPr>
          <w:p>
            <w:pPr>
              <w:spacing w:after="0"/>
              <w:rPr>
                <w:sz w:val="14"/>
                <w:szCs w:val="14"/>
                <w:color w:val="auto"/>
              </w:rPr>
            </w:pPr>
          </w:p>
        </w:tc>
      </w:tr>
    </w:tbl>
    <w:p>
      <w:pPr>
        <w:ind w:left="300" w:hanging="300"/>
        <w:spacing w:after="0"/>
        <w:tabs>
          <w:tab w:leader="none" w:pos="3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2020 LTIP payment reflect the LTIP amounts for 2018 Cycle Year &amp; Retention Award (30%), 2019 Cycle Year, and the 2020 Cycle Year (collectively, 70%).</w:t>
      </w:r>
    </w:p>
    <w:p>
      <w:pPr>
        <w:spacing w:after="0" w:line="128"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Benefits and Perquisites</w:t>
      </w:r>
    </w:p>
    <w:p>
      <w:pPr>
        <w:spacing w:after="0" w:line="173" w:lineRule="exact"/>
        <w:rPr>
          <w:sz w:val="20"/>
          <w:szCs w:val="20"/>
          <w:color w:val="auto"/>
        </w:rPr>
      </w:pPr>
    </w:p>
    <w:p>
      <w:pPr>
        <w:jc w:val="both"/>
        <w:ind w:right="800" w:firstLine="299"/>
        <w:spacing w:after="0" w:line="247" w:lineRule="auto"/>
        <w:rPr>
          <w:sz w:val="20"/>
          <w:szCs w:val="20"/>
          <w:color w:val="auto"/>
        </w:rPr>
      </w:pPr>
      <w:r>
        <w:rPr>
          <w:rFonts w:ascii="Arial" w:cs="Arial" w:eastAsia="Arial" w:hAnsi="Arial"/>
          <w:sz w:val="17"/>
          <w:szCs w:val="17"/>
          <w:color w:val="auto"/>
        </w:rPr>
        <w:t>The benefits provided by the Company are an important tool used to attract and retain executive talent. These benefits are designed to be competitive, cost-effective, and support the overall needs of our employees. The NEOs are eligible to participate in health and welfare benefits, retirement benefits, and executive perquisites.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Company-Sponsored Retirement Plans</w:t>
      </w:r>
    </w:p>
    <w:p>
      <w:pPr>
        <w:spacing w:after="0" w:line="171" w:lineRule="exact"/>
        <w:rPr>
          <w:sz w:val="20"/>
          <w:szCs w:val="20"/>
          <w:color w:val="auto"/>
        </w:rPr>
      </w:pPr>
    </w:p>
    <w:p>
      <w:pPr>
        <w:ind w:right="20" w:firstLine="299"/>
        <w:spacing w:after="0" w:line="246" w:lineRule="auto"/>
        <w:rPr>
          <w:sz w:val="20"/>
          <w:szCs w:val="20"/>
          <w:color w:val="auto"/>
        </w:rPr>
      </w:pPr>
      <w:r>
        <w:rPr>
          <w:rFonts w:ascii="Arial" w:cs="Arial" w:eastAsia="Arial" w:hAnsi="Arial"/>
          <w:sz w:val="17"/>
          <w:szCs w:val="17"/>
          <w:u w:val="single" w:color="auto"/>
          <w:color w:val="auto"/>
        </w:rPr>
        <w:t>Leonardo DRS 401(k) Plan</w:t>
      </w:r>
      <w:r>
        <w:rPr>
          <w:rFonts w:ascii="Arial" w:cs="Arial" w:eastAsia="Arial" w:hAnsi="Arial"/>
          <w:sz w:val="17"/>
          <w:szCs w:val="17"/>
          <w:color w:val="auto"/>
        </w:rPr>
        <w:t>. We sponsor a 401(k) Plan, a tax-qualified defined contribution plan, for our eligible employees, including the NEOs. Each NEO is eligible to make before-tax contributions to the 401(k) Plan, and after-tax contributions through a Roth 401(k) (or any combination of the foregoing), up to plan and tax law limits. The 401(k) Plan also provides participants with the opportunity to earn a Company match contribution. During 2020, the 401(k) Plan provided for a Company-matching contribution of 100% on contributions up to the first 5% of eligible pay for NEOs.</w:t>
      </w:r>
    </w:p>
    <w:p>
      <w:pPr>
        <w:spacing w:after="0" w:line="144"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u w:val="single" w:color="auto"/>
          <w:color w:val="auto"/>
        </w:rPr>
        <w:t>Defined-Benefit Retirement Plan</w:t>
      </w:r>
      <w:r>
        <w:rPr>
          <w:rFonts w:ascii="Arial" w:cs="Arial" w:eastAsia="Arial" w:hAnsi="Arial"/>
          <w:sz w:val="17"/>
          <w:szCs w:val="17"/>
          <w:color w:val="auto"/>
        </w:rPr>
        <w:t>. Certain employees participate in the Pension Plan for Employees of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Health and Welfare Benefits</w:t>
      </w:r>
    </w:p>
    <w:p>
      <w:pPr>
        <w:spacing w:after="0" w:line="171" w:lineRule="exact"/>
        <w:rPr>
          <w:sz w:val="20"/>
          <w:szCs w:val="20"/>
          <w:color w:val="auto"/>
        </w:rPr>
      </w:pPr>
    </w:p>
    <w:p>
      <w:pPr>
        <w:ind w:right="220" w:firstLine="299"/>
        <w:spacing w:after="0" w:line="246" w:lineRule="auto"/>
        <w:rPr>
          <w:sz w:val="20"/>
          <w:szCs w:val="20"/>
          <w:color w:val="auto"/>
        </w:rPr>
      </w:pPr>
      <w:r>
        <w:rPr>
          <w:rFonts w:ascii="Arial" w:cs="Arial" w:eastAsia="Arial" w:hAnsi="Arial"/>
          <w:sz w:val="17"/>
          <w:szCs w:val="17"/>
          <w:color w:val="auto"/>
        </w:rPr>
        <w:t>Our chief executive officer is the beneficiary of an individual term life insurance policy. We pay the required premiums for the policy on an annual basis. The policy was effective October 17, 2019, and is for a ten-year period. All NEOs, including our chief executive officer, are provided Company-funded group term life coverage of two times their annual base salary up to a maximum amount of $500,000 with reductions starting at age 65. The life benefit under the term life coverage will reduce by 35% at the age of 65 and will reduce by 50% at the age of 70.</w:t>
      </w:r>
    </w:p>
    <w:p>
      <w:pPr>
        <w:spacing w:after="0" w:line="144" w:lineRule="exact"/>
        <w:rPr>
          <w:sz w:val="20"/>
          <w:szCs w:val="20"/>
          <w:color w:val="auto"/>
        </w:rPr>
      </w:pPr>
    </w:p>
    <w:p>
      <w:pPr>
        <w:ind w:right="340" w:firstLine="299"/>
        <w:spacing w:after="0" w:line="250" w:lineRule="auto"/>
        <w:rPr>
          <w:sz w:val="20"/>
          <w:szCs w:val="20"/>
          <w:color w:val="auto"/>
        </w:rPr>
      </w:pPr>
      <w:r>
        <w:rPr>
          <w:rFonts w:ascii="Arial" w:cs="Arial" w:eastAsia="Arial" w:hAnsi="Arial"/>
          <w:sz w:val="17"/>
          <w:szCs w:val="17"/>
          <w:color w:val="auto"/>
        </w:rPr>
        <w:t>All of our current NEOs are eligible to participate in our employee benefit plans, including our medical, dental, vision, life, disability and accidental death and dismemberment insurance plans, in each case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260"/>
          </w:cols>
          <w:pgMar w:left="320" w:top="1440" w:right="319" w:bottom="1440" w:gutter="0" w:footer="0" w:header="0"/>
        </w:sectPr>
      </w:pPr>
    </w:p>
    <w:bookmarkStart w:id="154" w:name="page155"/>
    <w:bookmarkEnd w:id="154"/>
    <w:p>
      <w:pPr>
        <w:spacing w:after="0" w:line="43"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the same basis as all of our other employees. The senior leadership of the Company, including the NEOs, receive an enhanced short-term disability benefit of 70% of coverage with a weekly maximum of $3,500.00, and an enhanced long-term disability benefit of 66 2/3% of coverage with a monthly maximum of $15,000.00.</w:t>
      </w:r>
    </w:p>
    <w:p>
      <w:pPr>
        <w:spacing w:after="0" w:line="143" w:lineRule="exact"/>
        <w:rPr>
          <w:sz w:val="20"/>
          <w:szCs w:val="20"/>
          <w:color w:val="auto"/>
        </w:rPr>
      </w:pPr>
    </w:p>
    <w:p>
      <w:pPr>
        <w:ind w:right="280" w:firstLine="299"/>
        <w:spacing w:after="0" w:line="250" w:lineRule="auto"/>
        <w:rPr>
          <w:sz w:val="20"/>
          <w:szCs w:val="20"/>
          <w:color w:val="auto"/>
        </w:rPr>
      </w:pPr>
      <w:r>
        <w:rPr>
          <w:rFonts w:ascii="Arial" w:cs="Arial" w:eastAsia="Arial" w:hAnsi="Arial"/>
          <w:sz w:val="17"/>
          <w:szCs w:val="17"/>
          <w:color w:val="auto"/>
        </w:rPr>
        <w:t>Pursuant to our vacation policy, on an annual basis we pay eligible employees, including each of the NEOs, for any accrued and unused vacation benefits in excess of 240 hours, up to a maximum of 40 hours of base pay.</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Executive Perquisites</w:t>
      </w:r>
    </w:p>
    <w:p>
      <w:pPr>
        <w:spacing w:after="0" w:line="171" w:lineRule="exact"/>
        <w:rPr>
          <w:sz w:val="20"/>
          <w:szCs w:val="20"/>
          <w:color w:val="auto"/>
        </w:rPr>
      </w:pPr>
    </w:p>
    <w:p>
      <w:pPr>
        <w:ind w:right="120" w:firstLine="299"/>
        <w:spacing w:after="0" w:line="246" w:lineRule="auto"/>
        <w:rPr>
          <w:sz w:val="20"/>
          <w:szCs w:val="20"/>
          <w:color w:val="auto"/>
        </w:rPr>
      </w:pPr>
      <w:r>
        <w:rPr>
          <w:rFonts w:ascii="Arial" w:cs="Arial" w:eastAsia="Arial" w:hAnsi="Arial"/>
          <w:sz w:val="17"/>
          <w:szCs w:val="17"/>
          <w:color w:val="auto"/>
        </w:rPr>
        <w:t>We provide our NEOs with an annual fixed perquisite allowance under the Executive Allowance Program that the compensation committee believes is reasonable yet competitive to attract and retain key talent. The Company provides perquisites to the NEOs for purposes of recruitment, retention and security and to ensure the personal, physical, and fiscal fitness of our executives to facilitate the transaction of business. The Company consulted with Willis Towers Watson regarding the market practice of our peers when considering the perquisite allowance.</w:t>
      </w:r>
    </w:p>
    <w:p>
      <w:pPr>
        <w:spacing w:after="0" w:line="144" w:lineRule="exact"/>
        <w:rPr>
          <w:sz w:val="20"/>
          <w:szCs w:val="20"/>
          <w:color w:val="auto"/>
        </w:rPr>
      </w:pPr>
    </w:p>
    <w:p>
      <w:pPr>
        <w:ind w:right="160" w:firstLine="299"/>
        <w:spacing w:after="0" w:line="247" w:lineRule="auto"/>
        <w:rPr>
          <w:sz w:val="20"/>
          <w:szCs w:val="20"/>
          <w:color w:val="auto"/>
        </w:rPr>
      </w:pPr>
      <w:r>
        <w:rPr>
          <w:rFonts w:ascii="Arial" w:cs="Arial" w:eastAsia="Arial" w:hAnsi="Arial"/>
          <w:sz w:val="17"/>
          <w:szCs w:val="17"/>
          <w:color w:val="auto"/>
        </w:rPr>
        <w:t>The perquisite allowance provided to our NEOs was designed to be used at their discretion for such items as financial planning and tax preparation services, physical examinations, home security systems, personal liability and supplemental accidental death and dismemberment insurance, and the personal use of automobiles owned or leased by the NEO. The executive allowance is paid to NEOs on a bi-weekly basis.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Severance and Change in Control Benefits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Incentive Awards</w:t>
      </w:r>
    </w:p>
    <w:p>
      <w:pPr>
        <w:spacing w:after="0" w:line="155" w:lineRule="exact"/>
        <w:rPr>
          <w:sz w:val="20"/>
          <w:szCs w:val="20"/>
          <w:color w:val="auto"/>
        </w:rPr>
      </w:pPr>
    </w:p>
    <w:p>
      <w:pPr>
        <w:ind w:right="100" w:firstLine="299"/>
        <w:spacing w:after="0" w:line="281" w:lineRule="auto"/>
        <w:rPr>
          <w:sz w:val="20"/>
          <w:szCs w:val="20"/>
          <w:color w:val="auto"/>
        </w:rPr>
      </w:pPr>
      <w:r>
        <w:rPr>
          <w:rFonts w:ascii="Arial" w:cs="Arial" w:eastAsia="Arial" w:hAnsi="Arial"/>
          <w:sz w:val="16"/>
          <w:szCs w:val="16"/>
          <w:i w:val="1"/>
          <w:iCs w:val="1"/>
          <w:color w:val="auto"/>
        </w:rPr>
        <w:t>Termination under the ICP</w:t>
      </w:r>
      <w:r>
        <w:rPr>
          <w:rFonts w:ascii="Arial" w:cs="Arial" w:eastAsia="Arial" w:hAnsi="Arial"/>
          <w:sz w:val="16"/>
          <w:szCs w:val="16"/>
          <w:color w:val="auto"/>
        </w:rPr>
        <w:t>. Annual incentive awards earned under the ICP generally were only payable subject to the NEO’s continued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date on which awards are paid; however the compensation committee has the discretion to pay a prorated earned award in the event of a NEO’s involuntary separation of employment for reasons other than cause after September 1 of a plan year, or due to death or disability.</w:t>
      </w:r>
    </w:p>
    <w:p>
      <w:pPr>
        <w:spacing w:after="0" w:line="100" w:lineRule="exact"/>
        <w:rPr>
          <w:sz w:val="20"/>
          <w:szCs w:val="20"/>
          <w:color w:val="auto"/>
        </w:rPr>
      </w:pPr>
    </w:p>
    <w:p>
      <w:pPr>
        <w:ind w:firstLine="299"/>
        <w:spacing w:after="0" w:line="270" w:lineRule="auto"/>
        <w:rPr>
          <w:sz w:val="20"/>
          <w:szCs w:val="20"/>
          <w:color w:val="auto"/>
        </w:rPr>
      </w:pPr>
      <w:r>
        <w:rPr>
          <w:rFonts w:ascii="Arial" w:cs="Arial" w:eastAsia="Arial" w:hAnsi="Arial"/>
          <w:sz w:val="16"/>
          <w:szCs w:val="16"/>
          <w:i w:val="1"/>
          <w:iCs w:val="1"/>
          <w:color w:val="auto"/>
        </w:rPr>
        <w:t>Termination under the LTIP</w:t>
      </w:r>
      <w:r>
        <w:rPr>
          <w:rFonts w:ascii="Arial" w:cs="Arial" w:eastAsia="Arial" w:hAnsi="Arial"/>
          <w:sz w:val="16"/>
          <w:szCs w:val="16"/>
          <w:color w:val="auto"/>
        </w:rPr>
        <w:t>. Long-term incentive awards earned under the LTIP are payable subject to the NEO’s continued employment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on which awards are paid. In the event of a NEO’s involuntary separation of employment for reasons other than cause after December 31 of a plan year, the compensation committee may, in its sole discretion, authorize an award payment subject to achievement of any performance conditions for the plan year or portion of the performance cycle of which the plan year is a part. If the NEO’s employment was terminated due to death or disability, then the compensation committee, in its sole discretion, may authorize a prorated award payment subject to achievement of any performance conditions.</w:t>
      </w:r>
    </w:p>
    <w:p>
      <w:pPr>
        <w:spacing w:after="0" w:line="128"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u w:val="single" w:color="auto"/>
          <w:color w:val="auto"/>
        </w:rPr>
        <w:t>Clawback Provision</w:t>
      </w:r>
      <w:r>
        <w:rPr>
          <w:rFonts w:ascii="Arial" w:cs="Arial" w:eastAsia="Arial" w:hAnsi="Arial"/>
          <w:sz w:val="16"/>
          <w:szCs w:val="16"/>
          <w:color w:val="auto"/>
        </w:rPr>
        <w:t>. The ICP and LTIP include executive compensation recoupment, or “clawback,” provisions. The clawback would apply in the event that the Company subsequently discovers facts that, if known earlier, would have constituted grounds for termination of employment for “cause” (as defined in the ICP or LTIP as applicable) prior to the payment of the earned award. Additionally, in the event of a restatement of the Company’s financial results (other than a restatement caused by a change in applicable accounting rules or interpretations), the result of which is that an earned award would have been lower if calculated based on the restated results, the compensation committee will review each earned award during the period in question. If the compensation committee determines that the restatement is the result of the negligence, misconduct, deception, non-disclosure, policy violation or fraud by a NEO, the compensation committee in its discretion may require repayment of all or a portion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Change in Control Benefits</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 Company has entered into a change in control agreement with each of the NEOs pursuant to the Leonardo DRS, Inc. Amended and Restated Executive Change in Control Plan (the “Change in Control Plan”) as in effect as of September 2016. The Company believes these agreements are an important tool for recruiting talent, maintaining a stable work environment, and retaining highly qualified executives. In 2016, the Change in Control Plan was entered into to protect the interests of the Company by including a “double-trigger” mechanism that results in a severance payout only when (a) change of control (as defined in the Change in Control Plan) is consummated, and (b) the executive’s employment is terminated by the Company without cause or by the executive for good reason within two years following the change in control. The compensation committee periodically evaluates and reviews payment and benefit levels under the Change in Control Plan and related agreements against the practices of our peer group companies. Upon the consummation of the offering, this plan will be terminated and replaced with the Executive Severance Plan described below in “Compensation Discussion and Analysis—Post-Offering Executive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Considerations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Compensation and Risk Management</w:t>
      </w:r>
    </w:p>
    <w:p>
      <w:pPr>
        <w:spacing w:after="0" w:line="173"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With the support of management and the compensation consultant, the compensation committee evaluates the Company’s overall risk profile relative to the incentive components of compensation. The use of long-term incentive awards as a significant portion of total direct compensation is structured to ensure management is focused on the long term and not incentivized to take excessive risk.</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Tax Considerations</w:t>
      </w:r>
    </w:p>
    <w:p>
      <w:pPr>
        <w:spacing w:after="0" w:line="173"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Code Section 162(m) limits tax deductions relating to executive compensation of certain executives of publicly held companies. For taxable years ended prior to this offering, the Company was not deemed to be publicly held for purposes of Code Section 162(m). Accordingly, these limitations were not applicable to the executive compensation program described above and were not taken into consideration in making compensation decisions. For future years, we expect to review and consider the deductibility of executive compensation under Internal Revenue Code Section 162(m), taking into account the changes to Code Section 162(m) effective for taxable years after 2017. However, in light of these changes, it is expected that we may pay compensation that is not deductible for federal income tax purposes when the board of directors (or a committee of the board of directors) believes that such payments are appropriate to attract, retain and incentivize executive talent.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COMPENSATION TABLE</w:t>
      </w:r>
    </w:p>
    <w:p>
      <w:pPr>
        <w:spacing w:after="0" w:line="173"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The following table presents the compensation of our Named Executive Officers for services performed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SUMMARY COMPENSATION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Change in</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49"/>
        </w:trPr>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Pension Value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and</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Nonqualified</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Non-Equity</w:t>
            </w:r>
          </w:p>
        </w:tc>
        <w:tc>
          <w:tcPr>
            <w:tcW w:w="1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Deferred</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rPr>
              <w:t>Fiscal</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rPr>
              <w:t>Incentive</w:t>
            </w:r>
          </w:p>
        </w:tc>
        <w:tc>
          <w:tcPr>
            <w:tcW w:w="138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Compensation</w:t>
            </w:r>
          </w:p>
        </w:tc>
        <w:tc>
          <w:tcPr>
            <w:tcW w:w="138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All Other</w:t>
            </w:r>
          </w:p>
        </w:tc>
        <w:tc>
          <w:tcPr>
            <w:tcW w:w="1280" w:type="dxa"/>
            <w:vAlign w:val="bottom"/>
          </w:tcPr>
          <w:p>
            <w:pPr>
              <w:spacing w:after="0"/>
              <w:rPr>
                <w:sz w:val="12"/>
                <w:szCs w:val="12"/>
                <w:color w:val="auto"/>
              </w:rPr>
            </w:pPr>
          </w:p>
        </w:tc>
      </w:tr>
      <w:tr>
        <w:trPr>
          <w:trHeight w:val="188"/>
        </w:trPr>
        <w:tc>
          <w:tcPr>
            <w:tcW w:w="30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 and Principal Position</w:t>
            </w:r>
          </w:p>
        </w:tc>
        <w:tc>
          <w:tcPr>
            <w:tcW w:w="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Salary</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7"/>
              </w:rPr>
              <w:t>Compensation</w:t>
            </w:r>
            <w:r>
              <w:rPr>
                <w:rFonts w:ascii="Arial" w:cs="Arial" w:eastAsia="Arial" w:hAnsi="Arial"/>
                <w:sz w:val="17"/>
                <w:szCs w:val="17"/>
                <w:b w:val="1"/>
                <w:bCs w:val="1"/>
                <w:color w:val="auto"/>
                <w:w w:val="97"/>
                <w:vertAlign w:val="superscript"/>
              </w:rPr>
              <w:t>(1)</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7"/>
              </w:rPr>
              <w:t>Earnings</w:t>
            </w:r>
            <w:r>
              <w:rPr>
                <w:rFonts w:ascii="Arial" w:cs="Arial" w:eastAsia="Arial" w:hAnsi="Arial"/>
                <w:sz w:val="17"/>
                <w:szCs w:val="17"/>
                <w:b w:val="1"/>
                <w:bCs w:val="1"/>
                <w:color w:val="auto"/>
                <w:w w:val="97"/>
                <w:vertAlign w:val="superscript"/>
              </w:rPr>
              <w:t>(2)</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7"/>
              </w:rPr>
              <w:t>Compensation</w:t>
            </w:r>
            <w:r>
              <w:rPr>
                <w:rFonts w:ascii="Arial" w:cs="Arial" w:eastAsia="Arial" w:hAnsi="Arial"/>
                <w:sz w:val="17"/>
                <w:szCs w:val="17"/>
                <w:b w:val="1"/>
                <w:bCs w:val="1"/>
                <w:color w:val="auto"/>
                <w:w w:val="97"/>
                <w:vertAlign w:val="superscript"/>
              </w:rPr>
              <w:t>(3)</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Total</w:t>
            </w:r>
          </w:p>
        </w:tc>
      </w:tr>
      <w:tr>
        <w:trPr>
          <w:trHeight w:val="221"/>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William Lynn, CEO</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2020</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$1,137,185</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$3,767,700</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n/a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$77,174</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$4,982,059</w:t>
            </w:r>
          </w:p>
        </w:tc>
      </w:tr>
      <w:tr>
        <w:trPr>
          <w:trHeight w:val="224"/>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John Baylouny, COO</w:t>
            </w:r>
          </w:p>
        </w:tc>
        <w:tc>
          <w:tcPr>
            <w:tcW w:w="1280" w:type="dxa"/>
            <w:vAlign w:val="bottom"/>
          </w:tcPr>
          <w:p>
            <w:pPr>
              <w:jc w:val="center"/>
              <w:spacing w:after="0"/>
              <w:rPr>
                <w:sz w:val="20"/>
                <w:szCs w:val="20"/>
                <w:color w:val="auto"/>
              </w:rPr>
            </w:pPr>
            <w:r>
              <w:rPr>
                <w:rFonts w:ascii="Arial" w:cs="Arial" w:eastAsia="Arial" w:hAnsi="Arial"/>
                <w:sz w:val="17"/>
                <w:szCs w:val="17"/>
                <w:color w:val="auto"/>
              </w:rPr>
              <w:t>2020</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8"/>
              </w:rPr>
              <w:t>$470,346</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8"/>
              </w:rPr>
              <w:t>$1,109,000</w:t>
            </w:r>
          </w:p>
        </w:tc>
        <w:tc>
          <w:tcPr>
            <w:tcW w:w="8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color w:val="auto"/>
              </w:rPr>
              <w:t>n/a</w:t>
            </w:r>
          </w:p>
        </w:tc>
        <w:tc>
          <w:tcPr>
            <w:tcW w:w="1300" w:type="dxa"/>
            <w:vAlign w:val="bottom"/>
          </w:tcPr>
          <w:p>
            <w:pPr>
              <w:jc w:val="center"/>
              <w:spacing w:after="0"/>
              <w:rPr>
                <w:sz w:val="20"/>
                <w:szCs w:val="20"/>
                <w:color w:val="auto"/>
              </w:rPr>
            </w:pPr>
            <w:r>
              <w:rPr>
                <w:rFonts w:ascii="Arial" w:cs="Arial" w:eastAsia="Arial" w:hAnsi="Arial"/>
                <w:sz w:val="17"/>
                <w:szCs w:val="17"/>
                <w:color w:val="auto"/>
                <w:w w:val="97"/>
              </w:rPr>
              <w:t>$43,876</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7"/>
                <w:szCs w:val="17"/>
                <w:color w:val="auto"/>
                <w:w w:val="98"/>
              </w:rPr>
              <w:t>$1,623,222</w:t>
            </w:r>
          </w:p>
        </w:tc>
      </w:tr>
      <w:tr>
        <w:trPr>
          <w:trHeight w:val="25"/>
        </w:trPr>
        <w:tc>
          <w:tcPr>
            <w:tcW w:w="3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Michael Dippold, CFO</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2020</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$420,885</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$901,900</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n/a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$43,876</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$1,366,661</w:t>
            </w:r>
          </w:p>
        </w:tc>
      </w:tr>
      <w:tr>
        <w:trPr>
          <w:trHeight w:val="224"/>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Mark Dorfman, EVP, Gen Counsel</w:t>
            </w:r>
          </w:p>
        </w:tc>
        <w:tc>
          <w:tcPr>
            <w:tcW w:w="1280" w:type="dxa"/>
            <w:vAlign w:val="bottom"/>
          </w:tcPr>
          <w:p>
            <w:pPr>
              <w:jc w:val="center"/>
              <w:spacing w:after="0"/>
              <w:rPr>
                <w:sz w:val="20"/>
                <w:szCs w:val="20"/>
                <w:color w:val="auto"/>
              </w:rPr>
            </w:pPr>
            <w:r>
              <w:rPr>
                <w:rFonts w:ascii="Arial" w:cs="Arial" w:eastAsia="Arial" w:hAnsi="Arial"/>
                <w:sz w:val="17"/>
                <w:szCs w:val="17"/>
                <w:color w:val="auto"/>
              </w:rPr>
              <w:t>2020</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8"/>
              </w:rPr>
              <w:t>$418,717</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5"/>
              </w:rPr>
              <w:t>$752,000</w:t>
            </w:r>
          </w:p>
        </w:tc>
        <w:tc>
          <w:tcPr>
            <w:tcW w:w="8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color w:val="auto"/>
              </w:rPr>
              <w:t>n/a</w:t>
            </w:r>
          </w:p>
        </w:tc>
        <w:tc>
          <w:tcPr>
            <w:tcW w:w="1300" w:type="dxa"/>
            <w:vAlign w:val="bottom"/>
          </w:tcPr>
          <w:p>
            <w:pPr>
              <w:jc w:val="center"/>
              <w:spacing w:after="0"/>
              <w:rPr>
                <w:sz w:val="20"/>
                <w:szCs w:val="20"/>
                <w:color w:val="auto"/>
              </w:rPr>
            </w:pPr>
            <w:r>
              <w:rPr>
                <w:rFonts w:ascii="Arial" w:cs="Arial" w:eastAsia="Arial" w:hAnsi="Arial"/>
                <w:sz w:val="17"/>
                <w:szCs w:val="17"/>
                <w:color w:val="auto"/>
                <w:w w:val="97"/>
              </w:rPr>
              <w:t>$43,876</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7"/>
                <w:szCs w:val="17"/>
                <w:color w:val="auto"/>
                <w:w w:val="98"/>
              </w:rPr>
              <w:t>$1,214,593</w:t>
            </w:r>
          </w:p>
        </w:tc>
      </w:tr>
      <w:tr>
        <w:trPr>
          <w:trHeight w:val="25"/>
        </w:trPr>
        <w:tc>
          <w:tcPr>
            <w:tcW w:w="3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Sally Wallace, EVP, Bus Ops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2020</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$428,914</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$742,900</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$28,991</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$43,876</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$1,244,681</w:t>
            </w:r>
          </w:p>
        </w:tc>
      </w:tr>
      <w:tr>
        <w:trPr>
          <w:trHeight w:val="176"/>
        </w:trPr>
        <w:tc>
          <w:tcPr>
            <w:tcW w:w="3020" w:type="dxa"/>
            <w:vAlign w:val="bottom"/>
          </w:tcPr>
          <w:p>
            <w:pPr>
              <w:spacing w:after="0"/>
              <w:rPr>
                <w:sz w:val="20"/>
                <w:szCs w:val="20"/>
                <w:color w:val="auto"/>
              </w:rPr>
            </w:pPr>
            <w:r>
              <w:rPr>
                <w:rFonts w:ascii="Arial" w:cs="Arial" w:eastAsia="Arial" w:hAnsi="Arial"/>
                <w:sz w:val="15"/>
                <w:szCs w:val="15"/>
                <w:color w:val="auto"/>
              </w:rPr>
              <w:t>________________</w:t>
            </w: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ind w:left="300" w:right="120" w:hanging="300"/>
        <w:spacing w:after="0" w:line="242" w:lineRule="auto"/>
        <w:tabs>
          <w:tab w:leader="none" w:pos="296"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amounts in this column reflect the annual incentive cash awards earned under the Company’s Incentive Compensation Plan and long-term cash awards earned under the Company’s Long-Term Incentive Plan. See “Compensation Discussion and Analysis—Components of Compensation Program—Annual Incentive Compensation” and “—Long-Term Incentives” for a description of these programs and the amounts earned by each NEO under each program for 2020.</w:t>
      </w:r>
    </w:p>
    <w:p>
      <w:pPr>
        <w:ind w:left="300" w:right="100" w:hanging="300"/>
        <w:spacing w:after="0" w:line="242" w:lineRule="auto"/>
        <w:tabs>
          <w:tab w:leader="none" w:pos="296"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This column represents the increase during 2020 in the present value of the NEO’s accumulated benefit under the Pension Plan for Employees of DRS Naval Power Systems, Inc. For more information regarding the NEO’s pension benefits, please see the Pension Benefits table below.</w:t>
      </w:r>
    </w:p>
    <w:p>
      <w:pPr>
        <w:jc w:val="both"/>
        <w:ind w:left="300" w:right="100" w:hanging="300"/>
        <w:spacing w:after="0" w:line="247" w:lineRule="auto"/>
        <w:tabs>
          <w:tab w:leader="none" w:pos="296"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amounts shown in the “All Other Compensation” column for 2020 include the amounts detailed in the table below as well as certain gym benefits with a value for each NEO that does not exceed the greater of $25,000 or 10% of the total amount of perquisites and personal benefits for the NEO. See “Compensation Discussion and Analysis—Components of Compensation Program—Benefits and Perquisites” for a description of the benefits discussed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ALL OTHER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Fiscal</w:t>
            </w:r>
          </w:p>
        </w:tc>
        <w:tc>
          <w:tcPr>
            <w:tcW w:w="1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401k Plan</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Executive Allowance</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r>
      <w:tr>
        <w:trPr>
          <w:trHeight w:val="188"/>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9"/>
              </w:rPr>
              <w:t xml:space="preserve">Contributions </w:t>
            </w:r>
            <w:r>
              <w:rPr>
                <w:rFonts w:ascii="Arial" w:cs="Arial" w:eastAsia="Arial" w:hAnsi="Arial"/>
                <w:sz w:val="17"/>
                <w:szCs w:val="17"/>
                <w:b w:val="1"/>
                <w:bCs w:val="1"/>
                <w:color w:val="auto"/>
                <w:w w:val="99"/>
                <w:vertAlign w:val="superscript"/>
              </w:rPr>
              <w:t>(a)</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9"/>
              </w:rPr>
              <w:t xml:space="preserve">Life Insurance </w:t>
            </w:r>
            <w:r>
              <w:rPr>
                <w:rFonts w:ascii="Arial" w:cs="Arial" w:eastAsia="Arial" w:hAnsi="Arial"/>
                <w:sz w:val="17"/>
                <w:szCs w:val="17"/>
                <w:b w:val="1"/>
                <w:bCs w:val="1"/>
                <w:color w:val="auto"/>
                <w:w w:val="99"/>
                <w:vertAlign w:val="superscript"/>
              </w:rPr>
              <w:t>(b)</w:t>
            </w:r>
          </w:p>
        </w:tc>
        <w:tc>
          <w:tcPr>
            <w:tcW w:w="8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5"/>
              </w:rPr>
              <w:t xml:space="preserve">Program </w:t>
            </w:r>
            <w:r>
              <w:rPr>
                <w:rFonts w:ascii="Arial" w:cs="Arial" w:eastAsia="Arial" w:hAnsi="Arial"/>
                <w:sz w:val="17"/>
                <w:szCs w:val="17"/>
                <w:b w:val="1"/>
                <w:bCs w:val="1"/>
                <w:color w:val="auto"/>
                <w:w w:val="95"/>
                <w:vertAlign w:val="superscript"/>
              </w:rPr>
              <w:t>(c)</w:t>
            </w: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7"/>
              </w:rPr>
              <w:t xml:space="preserve">Benefits </w:t>
            </w:r>
            <w:r>
              <w:rPr>
                <w:rFonts w:ascii="Arial" w:cs="Arial" w:eastAsia="Arial" w:hAnsi="Arial"/>
                <w:sz w:val="17"/>
                <w:szCs w:val="17"/>
                <w:b w:val="1"/>
                <w:bCs w:val="1"/>
                <w:color w:val="auto"/>
                <w:w w:val="97"/>
                <w:vertAlign w:val="superscript"/>
              </w:rPr>
              <w:t>(d)</w:t>
            </w:r>
          </w:p>
        </w:tc>
      </w:tr>
      <w:tr>
        <w:trPr>
          <w:trHeight w:val="221"/>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Lynn, William CEO</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2020</w:t>
            </w: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$13,992</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$23,680</w:t>
            </w:r>
          </w:p>
        </w:tc>
        <w:tc>
          <w:tcPr>
            <w:tcW w:w="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$39,501</w:t>
            </w: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n/a</w:t>
            </w:r>
          </w:p>
        </w:tc>
      </w:tr>
      <w:tr>
        <w:trPr>
          <w:trHeight w:val="224"/>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Baylouny, John COO</w:t>
            </w:r>
          </w:p>
        </w:tc>
        <w:tc>
          <w:tcPr>
            <w:tcW w:w="1000" w:type="dxa"/>
            <w:vAlign w:val="bottom"/>
          </w:tcPr>
          <w:p>
            <w:pPr>
              <w:jc w:val="center"/>
              <w:spacing w:after="0"/>
              <w:rPr>
                <w:sz w:val="20"/>
                <w:szCs w:val="20"/>
                <w:color w:val="auto"/>
              </w:rPr>
            </w:pPr>
            <w:r>
              <w:rPr>
                <w:rFonts w:ascii="Arial" w:cs="Arial" w:eastAsia="Arial" w:hAnsi="Arial"/>
                <w:sz w:val="17"/>
                <w:szCs w:val="17"/>
                <w:color w:val="auto"/>
                <w:w w:val="95"/>
              </w:rPr>
              <w:t>2020</w:t>
            </w:r>
          </w:p>
        </w:tc>
        <w:tc>
          <w:tcPr>
            <w:tcW w:w="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7"/>
              </w:rPr>
              <w:t>$14,250</w:t>
            </w:r>
          </w:p>
        </w:tc>
        <w:tc>
          <w:tcPr>
            <w:tcW w:w="100" w:type="dxa"/>
            <w:vAlign w:val="bottom"/>
          </w:tcPr>
          <w:p>
            <w:pPr>
              <w:spacing w:after="0"/>
              <w:rPr>
                <w:sz w:val="19"/>
                <w:szCs w:val="19"/>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n/a</w:t>
            </w:r>
          </w:p>
        </w:tc>
        <w:tc>
          <w:tcPr>
            <w:tcW w:w="1880" w:type="dxa"/>
            <w:vAlign w:val="bottom"/>
          </w:tcPr>
          <w:p>
            <w:pPr>
              <w:jc w:val="center"/>
              <w:spacing w:after="0"/>
              <w:rPr>
                <w:sz w:val="20"/>
                <w:szCs w:val="20"/>
                <w:color w:val="auto"/>
              </w:rPr>
            </w:pPr>
            <w:r>
              <w:rPr>
                <w:rFonts w:ascii="Arial" w:cs="Arial" w:eastAsia="Arial" w:hAnsi="Arial"/>
                <w:sz w:val="17"/>
                <w:szCs w:val="17"/>
                <w:color w:val="auto"/>
                <w:w w:val="97"/>
              </w:rPr>
              <w:t>$29,626</w:t>
            </w:r>
          </w:p>
        </w:tc>
        <w:tc>
          <w:tcPr>
            <w:tcW w:w="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n/a</w:t>
            </w:r>
          </w:p>
        </w:tc>
      </w:tr>
      <w:tr>
        <w:trPr>
          <w:trHeight w:val="25"/>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9"/>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Dippold, Michael CFO</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2020</w:t>
            </w: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$14,250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n/a</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$29,626</w:t>
            </w: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n/a</w:t>
            </w:r>
          </w:p>
        </w:tc>
      </w:tr>
      <w:tr>
        <w:trPr>
          <w:trHeight w:val="223"/>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Dorfman, Mark, EVP, General</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0"/>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Counsel</w:t>
            </w:r>
          </w:p>
        </w:tc>
        <w:tc>
          <w:tcPr>
            <w:tcW w:w="1000" w:type="dxa"/>
            <w:vAlign w:val="bottom"/>
          </w:tcPr>
          <w:p>
            <w:pPr>
              <w:jc w:val="center"/>
              <w:spacing w:after="0"/>
              <w:rPr>
                <w:sz w:val="20"/>
                <w:szCs w:val="20"/>
                <w:color w:val="auto"/>
              </w:rPr>
            </w:pPr>
            <w:r>
              <w:rPr>
                <w:rFonts w:ascii="Arial" w:cs="Arial" w:eastAsia="Arial" w:hAnsi="Arial"/>
                <w:sz w:val="17"/>
                <w:szCs w:val="17"/>
                <w:color w:val="auto"/>
                <w:w w:val="95"/>
              </w:rPr>
              <w:t>2020</w:t>
            </w:r>
          </w:p>
        </w:tc>
        <w:tc>
          <w:tcPr>
            <w:tcW w:w="8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7"/>
              </w:rPr>
              <w:t>$14,250</w:t>
            </w:r>
          </w:p>
        </w:tc>
        <w:tc>
          <w:tcPr>
            <w:tcW w:w="100" w:type="dxa"/>
            <w:vAlign w:val="bottom"/>
          </w:tcPr>
          <w:p>
            <w:pPr>
              <w:spacing w:after="0"/>
              <w:rPr>
                <w:sz w:val="17"/>
                <w:szCs w:val="17"/>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n/a</w:t>
            </w:r>
          </w:p>
        </w:tc>
        <w:tc>
          <w:tcPr>
            <w:tcW w:w="1880" w:type="dxa"/>
            <w:vAlign w:val="bottom"/>
          </w:tcPr>
          <w:p>
            <w:pPr>
              <w:jc w:val="center"/>
              <w:spacing w:after="0"/>
              <w:rPr>
                <w:sz w:val="20"/>
                <w:szCs w:val="20"/>
                <w:color w:val="auto"/>
              </w:rPr>
            </w:pPr>
            <w:r>
              <w:rPr>
                <w:rFonts w:ascii="Arial" w:cs="Arial" w:eastAsia="Arial" w:hAnsi="Arial"/>
                <w:sz w:val="17"/>
                <w:szCs w:val="17"/>
                <w:color w:val="auto"/>
                <w:w w:val="97"/>
              </w:rPr>
              <w:t>$29,626</w:t>
            </w:r>
          </w:p>
        </w:tc>
        <w:tc>
          <w:tcPr>
            <w:tcW w:w="8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n/a</w:t>
            </w:r>
          </w:p>
        </w:tc>
      </w:tr>
      <w:tr>
        <w:trPr>
          <w:trHeight w:val="25"/>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9"/>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Wallace, Sally EVP, Bus Ops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2020</w:t>
            </w: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$14,250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n/a</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$29,626</w:t>
            </w: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n/a</w:t>
            </w:r>
          </w:p>
        </w:tc>
      </w:tr>
      <w:tr>
        <w:trPr>
          <w:trHeight w:val="176"/>
        </w:trPr>
        <w:tc>
          <w:tcPr>
            <w:tcW w:w="2360" w:type="dxa"/>
            <w:vAlign w:val="bottom"/>
          </w:tcPr>
          <w:p>
            <w:pPr>
              <w:spacing w:after="0"/>
              <w:rPr>
                <w:sz w:val="20"/>
                <w:szCs w:val="20"/>
                <w:color w:val="auto"/>
              </w:rPr>
            </w:pPr>
            <w:r>
              <w:rPr>
                <w:rFonts w:ascii="Arial" w:cs="Arial" w:eastAsia="Arial" w:hAnsi="Arial"/>
                <w:sz w:val="15"/>
                <w:szCs w:val="15"/>
                <w:color w:val="auto"/>
              </w:rPr>
              <w:t>________________</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bl>
    <w:p>
      <w:pPr>
        <w:ind w:left="300" w:hanging="300"/>
        <w:spacing w:after="0"/>
        <w:tabs>
          <w:tab w:leader="none" w:pos="3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This column reflects Company contributions under the Company’s 401(k) Plan.</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This column reflects insurance premiums with respect to an individual term life insurance policy.</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This column reflects the annual fixed perquisite allowance under the Company’s Executive Allowance Program.</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This column reflects the payout of accrued and unused vacation benefits in accordance with the Company’s vacation policy.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GRANTS OF PLAN-BASED AWARDS</w:t>
      </w:r>
    </w:p>
    <w:p>
      <w:pPr>
        <w:spacing w:after="0" w:line="173" w:lineRule="exact"/>
        <w:rPr>
          <w:sz w:val="20"/>
          <w:szCs w:val="20"/>
          <w:color w:val="auto"/>
        </w:rPr>
      </w:pPr>
    </w:p>
    <w:p>
      <w:pPr>
        <w:ind w:right="540" w:firstLine="299"/>
        <w:spacing w:after="0" w:line="250" w:lineRule="auto"/>
        <w:rPr>
          <w:sz w:val="20"/>
          <w:szCs w:val="20"/>
          <w:color w:val="auto"/>
        </w:rPr>
      </w:pPr>
      <w:r>
        <w:rPr>
          <w:rFonts w:ascii="Arial" w:cs="Arial" w:eastAsia="Arial" w:hAnsi="Arial"/>
          <w:sz w:val="17"/>
          <w:szCs w:val="17"/>
          <w:color w:val="auto"/>
        </w:rPr>
        <w:t>The following table provides additional information about plan-based compensation disclosed in the Summary Compensation Table. This table includes non-equity awards granted during 2020. No equity awards in respect of Company stock were granted in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GRANTS OF PLAN-BASED AWARDS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Estimated Future Payouts Under Non-Equity Incentive Plan Awards</w:t>
            </w:r>
          </w:p>
        </w:tc>
        <w:tc>
          <w:tcPr>
            <w:tcW w:w="2160" w:type="dxa"/>
            <w:vAlign w:val="bottom"/>
            <w:tcBorders>
              <w:bottom w:val="single" w:sz="8" w:color="auto"/>
            </w:tcBorders>
          </w:tcPr>
          <w:p>
            <w:pPr>
              <w:spacing w:after="0"/>
              <w:rPr>
                <w:sz w:val="15"/>
                <w:szCs w:val="15"/>
                <w:color w:val="auto"/>
              </w:rPr>
            </w:pPr>
          </w:p>
        </w:tc>
      </w:tr>
      <w:tr>
        <w:trPr>
          <w:trHeight w:val="160"/>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3"/>
                <w:szCs w:val="13"/>
                <w:b w:val="1"/>
                <w:bCs w:val="1"/>
                <w:color w:val="auto"/>
              </w:rPr>
              <w:t>Grant</w:t>
            </w: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Threshold</w:t>
            </w:r>
          </w:p>
        </w:tc>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Target</w:t>
            </w:r>
          </w:p>
        </w:tc>
        <w:tc>
          <w:tcPr>
            <w:tcW w:w="2160" w:type="dxa"/>
            <w:vAlign w:val="bottom"/>
          </w:tcPr>
          <w:p>
            <w:pPr>
              <w:spacing w:after="0"/>
              <w:rPr>
                <w:sz w:val="20"/>
                <w:szCs w:val="20"/>
                <w:color w:val="auto"/>
              </w:rPr>
            </w:pPr>
            <w:r>
              <w:rPr>
                <w:rFonts w:ascii="Arial" w:cs="Arial" w:eastAsia="Arial" w:hAnsi="Arial"/>
                <w:sz w:val="13"/>
                <w:szCs w:val="13"/>
                <w:b w:val="1"/>
                <w:bCs w:val="1"/>
                <w:color w:val="auto"/>
              </w:rPr>
              <w:t>Maximum</w:t>
            </w:r>
          </w:p>
        </w:tc>
      </w:tr>
      <w:tr>
        <w:trPr>
          <w:trHeight w:val="181"/>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Date</w:t>
            </w:r>
          </w:p>
        </w:tc>
        <w:tc>
          <w:tcPr>
            <w:tcW w:w="17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r>
      <w:tr>
        <w:trPr>
          <w:trHeight w:val="246"/>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William J. Lynn</w:t>
            </w:r>
          </w:p>
        </w:tc>
        <w:tc>
          <w:tcPr>
            <w:tcW w:w="4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(1)</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$499,206</w:t>
            </w:r>
          </w:p>
        </w:tc>
        <w:tc>
          <w:tcPr>
            <w:tcW w:w="80" w:type="dxa"/>
            <w:vAlign w:val="bottom"/>
            <w:shd w:val="clear" w:color="auto" w:fill="CCEEFF"/>
          </w:tcPr>
          <w:p>
            <w:pPr>
              <w:spacing w:after="0"/>
              <w:rPr>
                <w:sz w:val="21"/>
                <w:szCs w:val="21"/>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$1,248,014</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$2,496,028</w:t>
            </w:r>
          </w:p>
        </w:tc>
      </w:tr>
      <w:tr>
        <w:trPr>
          <w:trHeight w:val="249"/>
        </w:trPr>
        <w:tc>
          <w:tcPr>
            <w:tcW w:w="2280" w:type="dxa"/>
            <w:vAlign w:val="bottom"/>
            <w:gridSpan w:val="2"/>
          </w:tcPr>
          <w:p>
            <w:pPr>
              <w:ind w:left="20"/>
              <w:spacing w:after="0"/>
              <w:rPr>
                <w:sz w:val="20"/>
                <w:szCs w:val="20"/>
                <w:color w:val="auto"/>
              </w:rPr>
            </w:pPr>
            <w:r>
              <w:rPr>
                <w:rFonts w:ascii="Arial" w:cs="Arial" w:eastAsia="Arial" w:hAnsi="Arial"/>
                <w:sz w:val="17"/>
                <w:szCs w:val="17"/>
                <w:color w:val="auto"/>
              </w:rPr>
              <w:t>William J. Lynn</w:t>
            </w:r>
          </w:p>
        </w:tc>
        <w:tc>
          <w:tcPr>
            <w:tcW w:w="400" w:type="dxa"/>
            <w:vAlign w:val="bottom"/>
          </w:tcPr>
          <w:p>
            <w:pPr>
              <w:spacing w:after="0"/>
              <w:rPr>
                <w:sz w:val="21"/>
                <w:szCs w:val="21"/>
                <w:color w:val="auto"/>
              </w:rPr>
            </w:pPr>
          </w:p>
        </w:tc>
        <w:tc>
          <w:tcPr>
            <w:tcW w:w="1860" w:type="dxa"/>
            <w:vAlign w:val="bottom"/>
            <w:gridSpan w:val="2"/>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(2)</w:t>
            </w:r>
          </w:p>
        </w:tc>
        <w:tc>
          <w:tcPr>
            <w:tcW w:w="2180" w:type="dxa"/>
            <w:vAlign w:val="bottom"/>
          </w:tcPr>
          <w:p>
            <w:pPr>
              <w:jc w:val="center"/>
              <w:spacing w:after="0"/>
              <w:rPr>
                <w:sz w:val="20"/>
                <w:szCs w:val="20"/>
                <w:color w:val="auto"/>
              </w:rPr>
            </w:pPr>
            <w:r>
              <w:rPr>
                <w:rFonts w:ascii="Arial" w:cs="Arial" w:eastAsia="Arial" w:hAnsi="Arial"/>
                <w:sz w:val="17"/>
                <w:szCs w:val="17"/>
                <w:color w:val="auto"/>
                <w:w w:val="96"/>
              </w:rPr>
              <w:t>$2,875,000</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6"/>
              </w:rPr>
              <w:t>$5,750,000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8"/>
              </w:rPr>
              <w:t>$9,775,000</w:t>
            </w:r>
          </w:p>
        </w:tc>
      </w:tr>
      <w:tr>
        <w:trPr>
          <w:trHeight w:val="24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John Baylouny</w:t>
            </w:r>
          </w:p>
        </w:tc>
        <w:tc>
          <w:tcPr>
            <w:tcW w:w="4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(1)</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$142,500</w:t>
            </w:r>
          </w:p>
        </w:tc>
        <w:tc>
          <w:tcPr>
            <w:tcW w:w="80" w:type="dxa"/>
            <w:vAlign w:val="bottom"/>
            <w:shd w:val="clear" w:color="auto" w:fill="CCEEFF"/>
          </w:tcPr>
          <w:p>
            <w:pPr>
              <w:spacing w:after="0"/>
              <w:rPr>
                <w:sz w:val="21"/>
                <w:szCs w:val="21"/>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$356,250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$712,500</w:t>
            </w:r>
          </w:p>
        </w:tc>
      </w:tr>
      <w:tr>
        <w:trPr>
          <w:trHeight w:val="249"/>
        </w:trPr>
        <w:tc>
          <w:tcPr>
            <w:tcW w:w="2280" w:type="dxa"/>
            <w:vAlign w:val="bottom"/>
            <w:gridSpan w:val="2"/>
          </w:tcPr>
          <w:p>
            <w:pPr>
              <w:ind w:left="20"/>
              <w:spacing w:after="0"/>
              <w:rPr>
                <w:sz w:val="20"/>
                <w:szCs w:val="20"/>
                <w:color w:val="auto"/>
              </w:rPr>
            </w:pPr>
            <w:r>
              <w:rPr>
                <w:rFonts w:ascii="Arial" w:cs="Arial" w:eastAsia="Arial" w:hAnsi="Arial"/>
                <w:sz w:val="17"/>
                <w:szCs w:val="17"/>
                <w:color w:val="auto"/>
              </w:rPr>
              <w:t>John Baylouny</w:t>
            </w:r>
          </w:p>
        </w:tc>
        <w:tc>
          <w:tcPr>
            <w:tcW w:w="400" w:type="dxa"/>
            <w:vAlign w:val="bottom"/>
          </w:tcPr>
          <w:p>
            <w:pPr>
              <w:spacing w:after="0"/>
              <w:rPr>
                <w:sz w:val="21"/>
                <w:szCs w:val="21"/>
                <w:color w:val="auto"/>
              </w:rPr>
            </w:pPr>
          </w:p>
        </w:tc>
        <w:tc>
          <w:tcPr>
            <w:tcW w:w="1860" w:type="dxa"/>
            <w:vAlign w:val="bottom"/>
            <w:gridSpan w:val="2"/>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(2)</w:t>
            </w:r>
          </w:p>
        </w:tc>
        <w:tc>
          <w:tcPr>
            <w:tcW w:w="2180" w:type="dxa"/>
            <w:vAlign w:val="bottom"/>
          </w:tcPr>
          <w:p>
            <w:pPr>
              <w:jc w:val="center"/>
              <w:spacing w:after="0"/>
              <w:rPr>
                <w:sz w:val="20"/>
                <w:szCs w:val="20"/>
                <w:color w:val="auto"/>
              </w:rPr>
            </w:pPr>
            <w:r>
              <w:rPr>
                <w:rFonts w:ascii="Arial" w:cs="Arial" w:eastAsia="Arial" w:hAnsi="Arial"/>
                <w:sz w:val="17"/>
                <w:szCs w:val="17"/>
                <w:color w:val="auto"/>
                <w:w w:val="98"/>
              </w:rPr>
              <w:t>$862,500</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6"/>
              </w:rPr>
              <w:t>$1,725,000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8"/>
              </w:rPr>
              <w:t>$2,932,500</w:t>
            </w:r>
          </w:p>
        </w:tc>
      </w:tr>
      <w:tr>
        <w:trPr>
          <w:trHeight w:val="24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Mike Dippold</w:t>
            </w:r>
          </w:p>
        </w:tc>
        <w:tc>
          <w:tcPr>
            <w:tcW w:w="4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(1)</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$119,000</w:t>
            </w:r>
          </w:p>
        </w:tc>
        <w:tc>
          <w:tcPr>
            <w:tcW w:w="80" w:type="dxa"/>
            <w:vAlign w:val="bottom"/>
            <w:shd w:val="clear" w:color="auto" w:fill="CCEEFF"/>
          </w:tcPr>
          <w:p>
            <w:pPr>
              <w:spacing w:after="0"/>
              <w:rPr>
                <w:sz w:val="21"/>
                <w:szCs w:val="21"/>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$297,500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$595,000</w:t>
            </w:r>
          </w:p>
        </w:tc>
      </w:tr>
      <w:tr>
        <w:trPr>
          <w:trHeight w:val="249"/>
        </w:trPr>
        <w:tc>
          <w:tcPr>
            <w:tcW w:w="2280" w:type="dxa"/>
            <w:vAlign w:val="bottom"/>
            <w:gridSpan w:val="2"/>
          </w:tcPr>
          <w:p>
            <w:pPr>
              <w:ind w:left="20"/>
              <w:spacing w:after="0"/>
              <w:rPr>
                <w:sz w:val="20"/>
                <w:szCs w:val="20"/>
                <w:color w:val="auto"/>
              </w:rPr>
            </w:pPr>
            <w:r>
              <w:rPr>
                <w:rFonts w:ascii="Arial" w:cs="Arial" w:eastAsia="Arial" w:hAnsi="Arial"/>
                <w:sz w:val="17"/>
                <w:szCs w:val="17"/>
                <w:color w:val="auto"/>
              </w:rPr>
              <w:t>Mike Dippold</w:t>
            </w:r>
          </w:p>
        </w:tc>
        <w:tc>
          <w:tcPr>
            <w:tcW w:w="400" w:type="dxa"/>
            <w:vAlign w:val="bottom"/>
          </w:tcPr>
          <w:p>
            <w:pPr>
              <w:spacing w:after="0"/>
              <w:rPr>
                <w:sz w:val="21"/>
                <w:szCs w:val="21"/>
                <w:color w:val="auto"/>
              </w:rPr>
            </w:pPr>
          </w:p>
        </w:tc>
        <w:tc>
          <w:tcPr>
            <w:tcW w:w="1860" w:type="dxa"/>
            <w:vAlign w:val="bottom"/>
            <w:gridSpan w:val="2"/>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(2)</w:t>
            </w:r>
          </w:p>
        </w:tc>
        <w:tc>
          <w:tcPr>
            <w:tcW w:w="2180" w:type="dxa"/>
            <w:vAlign w:val="bottom"/>
          </w:tcPr>
          <w:p>
            <w:pPr>
              <w:jc w:val="center"/>
              <w:spacing w:after="0"/>
              <w:rPr>
                <w:sz w:val="20"/>
                <w:szCs w:val="20"/>
                <w:color w:val="auto"/>
              </w:rPr>
            </w:pPr>
            <w:r>
              <w:rPr>
                <w:rFonts w:ascii="Arial" w:cs="Arial" w:eastAsia="Arial" w:hAnsi="Arial"/>
                <w:sz w:val="17"/>
                <w:szCs w:val="17"/>
                <w:color w:val="auto"/>
                <w:w w:val="98"/>
              </w:rPr>
              <w:t>$690,000</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6"/>
              </w:rPr>
              <w:t>$1,380,000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8"/>
              </w:rPr>
              <w:t>$2,346,000</w:t>
            </w:r>
          </w:p>
        </w:tc>
      </w:tr>
      <w:tr>
        <w:trPr>
          <w:trHeight w:val="24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Mark Dorfman</w:t>
            </w:r>
          </w:p>
        </w:tc>
        <w:tc>
          <w:tcPr>
            <w:tcW w:w="4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(1)</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$108,680</w:t>
            </w:r>
          </w:p>
        </w:tc>
        <w:tc>
          <w:tcPr>
            <w:tcW w:w="80" w:type="dxa"/>
            <w:vAlign w:val="bottom"/>
            <w:shd w:val="clear" w:color="auto" w:fill="CCEEFF"/>
          </w:tcPr>
          <w:p>
            <w:pPr>
              <w:spacing w:after="0"/>
              <w:rPr>
                <w:sz w:val="21"/>
                <w:szCs w:val="21"/>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$271,700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$543,400</w:t>
            </w:r>
          </w:p>
        </w:tc>
      </w:tr>
      <w:tr>
        <w:trPr>
          <w:trHeight w:val="249"/>
        </w:trPr>
        <w:tc>
          <w:tcPr>
            <w:tcW w:w="2280" w:type="dxa"/>
            <w:vAlign w:val="bottom"/>
            <w:gridSpan w:val="2"/>
          </w:tcPr>
          <w:p>
            <w:pPr>
              <w:ind w:left="20"/>
              <w:spacing w:after="0"/>
              <w:rPr>
                <w:sz w:val="20"/>
                <w:szCs w:val="20"/>
                <w:color w:val="auto"/>
              </w:rPr>
            </w:pPr>
            <w:r>
              <w:rPr>
                <w:rFonts w:ascii="Arial" w:cs="Arial" w:eastAsia="Arial" w:hAnsi="Arial"/>
                <w:sz w:val="17"/>
                <w:szCs w:val="17"/>
                <w:color w:val="auto"/>
              </w:rPr>
              <w:t>Mark Dorfman</w:t>
            </w:r>
          </w:p>
        </w:tc>
        <w:tc>
          <w:tcPr>
            <w:tcW w:w="400" w:type="dxa"/>
            <w:vAlign w:val="bottom"/>
          </w:tcPr>
          <w:p>
            <w:pPr>
              <w:spacing w:after="0"/>
              <w:rPr>
                <w:sz w:val="21"/>
                <w:szCs w:val="21"/>
                <w:color w:val="auto"/>
              </w:rPr>
            </w:pPr>
          </w:p>
        </w:tc>
        <w:tc>
          <w:tcPr>
            <w:tcW w:w="1860" w:type="dxa"/>
            <w:vAlign w:val="bottom"/>
            <w:gridSpan w:val="2"/>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(2)</w:t>
            </w:r>
          </w:p>
        </w:tc>
        <w:tc>
          <w:tcPr>
            <w:tcW w:w="2180" w:type="dxa"/>
            <w:vAlign w:val="bottom"/>
          </w:tcPr>
          <w:p>
            <w:pPr>
              <w:jc w:val="center"/>
              <w:spacing w:after="0"/>
              <w:rPr>
                <w:sz w:val="20"/>
                <w:szCs w:val="20"/>
                <w:color w:val="auto"/>
              </w:rPr>
            </w:pPr>
            <w:r>
              <w:rPr>
                <w:rFonts w:ascii="Arial" w:cs="Arial" w:eastAsia="Arial" w:hAnsi="Arial"/>
                <w:sz w:val="17"/>
                <w:szCs w:val="17"/>
                <w:color w:val="auto"/>
                <w:w w:val="98"/>
              </w:rPr>
              <w:t>$540,500</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6"/>
              </w:rPr>
              <w:t>$1,081,000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8"/>
              </w:rPr>
              <w:t>$1,837,700</w:t>
            </w:r>
          </w:p>
        </w:tc>
      </w:tr>
      <w:tr>
        <w:trPr>
          <w:trHeight w:val="24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Sally Wallace</w:t>
            </w:r>
          </w:p>
        </w:tc>
        <w:tc>
          <w:tcPr>
            <w:tcW w:w="4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(1)</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$111,280</w:t>
            </w:r>
          </w:p>
        </w:tc>
        <w:tc>
          <w:tcPr>
            <w:tcW w:w="80" w:type="dxa"/>
            <w:vAlign w:val="bottom"/>
            <w:shd w:val="clear" w:color="auto" w:fill="CCEEFF"/>
          </w:tcPr>
          <w:p>
            <w:pPr>
              <w:spacing w:after="0"/>
              <w:rPr>
                <w:sz w:val="21"/>
                <w:szCs w:val="21"/>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$278,200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$556,400</w:t>
            </w:r>
          </w:p>
        </w:tc>
      </w:tr>
      <w:tr>
        <w:trPr>
          <w:trHeight w:val="251"/>
        </w:trPr>
        <w:tc>
          <w:tcPr>
            <w:tcW w:w="2280" w:type="dxa"/>
            <w:vAlign w:val="bottom"/>
            <w:gridSpan w:val="2"/>
          </w:tcPr>
          <w:p>
            <w:pPr>
              <w:ind w:left="20"/>
              <w:spacing w:after="0"/>
              <w:rPr>
                <w:sz w:val="20"/>
                <w:szCs w:val="20"/>
                <w:color w:val="auto"/>
              </w:rPr>
            </w:pPr>
            <w:r>
              <w:rPr>
                <w:rFonts w:ascii="Arial" w:cs="Arial" w:eastAsia="Arial" w:hAnsi="Arial"/>
                <w:sz w:val="17"/>
                <w:szCs w:val="17"/>
                <w:color w:val="auto"/>
              </w:rPr>
              <w:t>Sally Wallace</w:t>
            </w:r>
          </w:p>
        </w:tc>
        <w:tc>
          <w:tcPr>
            <w:tcW w:w="400" w:type="dxa"/>
            <w:vAlign w:val="bottom"/>
          </w:tcPr>
          <w:p>
            <w:pPr>
              <w:spacing w:after="0"/>
              <w:rPr>
                <w:sz w:val="21"/>
                <w:szCs w:val="21"/>
                <w:color w:val="auto"/>
              </w:rPr>
            </w:pPr>
          </w:p>
        </w:tc>
        <w:tc>
          <w:tcPr>
            <w:tcW w:w="1860" w:type="dxa"/>
            <w:vAlign w:val="bottom"/>
            <w:gridSpan w:val="2"/>
          </w:tcPr>
          <w:p>
            <w:pPr>
              <w:ind w:left="40"/>
              <w:spacing w:after="0"/>
              <w:rPr>
                <w:sz w:val="20"/>
                <w:szCs w:val="20"/>
                <w:color w:val="auto"/>
              </w:rPr>
            </w:pPr>
            <w:r>
              <w:rPr>
                <w:rFonts w:ascii="Arial" w:cs="Arial" w:eastAsia="Arial" w:hAnsi="Arial"/>
                <w:sz w:val="17"/>
                <w:szCs w:val="17"/>
                <w:color w:val="auto"/>
              </w:rPr>
              <w:t>January 1, 2020</w:t>
            </w:r>
            <w:r>
              <w:rPr>
                <w:rFonts w:ascii="Arial" w:cs="Arial" w:eastAsia="Arial" w:hAnsi="Arial"/>
                <w:sz w:val="21"/>
                <w:szCs w:val="21"/>
                <w:color w:val="auto"/>
                <w:vertAlign w:val="superscript"/>
              </w:rPr>
              <w:t>(2)</w:t>
            </w:r>
          </w:p>
        </w:tc>
        <w:tc>
          <w:tcPr>
            <w:tcW w:w="2180" w:type="dxa"/>
            <w:vAlign w:val="bottom"/>
          </w:tcPr>
          <w:p>
            <w:pPr>
              <w:jc w:val="center"/>
              <w:spacing w:after="0"/>
              <w:rPr>
                <w:sz w:val="20"/>
                <w:szCs w:val="20"/>
                <w:color w:val="auto"/>
              </w:rPr>
            </w:pPr>
            <w:r>
              <w:rPr>
                <w:rFonts w:ascii="Arial" w:cs="Arial" w:eastAsia="Arial" w:hAnsi="Arial"/>
                <w:sz w:val="17"/>
                <w:szCs w:val="17"/>
                <w:color w:val="auto"/>
                <w:w w:val="98"/>
              </w:rPr>
              <w:t>$540,500</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6"/>
              </w:rPr>
              <w:t>$1,081,000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8"/>
              </w:rPr>
              <w:t>$1,837,700</w:t>
            </w:r>
          </w:p>
        </w:tc>
      </w:tr>
      <w:tr>
        <w:trPr>
          <w:trHeight w:val="174"/>
        </w:trPr>
        <w:tc>
          <w:tcPr>
            <w:tcW w:w="2200" w:type="dxa"/>
            <w:vAlign w:val="bottom"/>
          </w:tcPr>
          <w:p>
            <w:pPr>
              <w:spacing w:after="0"/>
              <w:rPr>
                <w:sz w:val="20"/>
                <w:szCs w:val="20"/>
                <w:color w:val="auto"/>
              </w:rPr>
            </w:pPr>
            <w:r>
              <w:rPr>
                <w:rFonts w:ascii="Arial" w:cs="Arial" w:eastAsia="Arial" w:hAnsi="Arial"/>
                <w:sz w:val="15"/>
                <w:szCs w:val="15"/>
                <w:color w:val="auto"/>
              </w:rPr>
              <w:t>________________</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bl>
    <w:p>
      <w:pPr>
        <w:ind w:left="300" w:right="120" w:hanging="300"/>
        <w:spacing w:after="0" w:line="242" w:lineRule="auto"/>
        <w:tabs>
          <w:tab w:leader="none" w:pos="296"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These amounts represent cash awards that are possible under the Company’s Incentive Compensation Plan. The value earned can be found in the Summary Compensation Table in the Non-Equity Incentive Compensation column. Refer to “Compensation Discussion and Analysis—Components of Compensation Program —Annual Incentive Compensation” for a description of these programs and the amounts earned by each NEO under each program for 2020.</w:t>
      </w:r>
    </w:p>
    <w:p>
      <w:pPr>
        <w:ind w:left="300" w:right="120" w:hanging="300"/>
        <w:spacing w:after="0" w:line="245" w:lineRule="auto"/>
        <w:tabs>
          <w:tab w:leader="none" w:pos="296"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These amounts represent cash awards that are possible under the Company’s Long Term Incentive Plan (“LTIP”). 2020 LTIP Awards are for the Performance Cycle consisting of partial vested 2018, 2019 and 2020 award grants. See “Compensation Discussion and Analysis—Components of Compensation Program—Long-Term Incentives” for a description of these programs and the amounts earned by each NEO under each program for 2020. Contingent upon vesting, the 2019 and 2020 remaining performance year award payments under the LTIP will be paid at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PENSION BENEFITS AS OF DECEMBER 31, 2020</w:t>
      </w:r>
    </w:p>
    <w:p>
      <w:pPr>
        <w:spacing w:after="0" w:line="173" w:lineRule="exact"/>
        <w:rPr>
          <w:sz w:val="20"/>
          <w:szCs w:val="20"/>
          <w:color w:val="auto"/>
        </w:rPr>
      </w:pPr>
    </w:p>
    <w:p>
      <w:pPr>
        <w:ind w:right="300" w:firstLine="299"/>
        <w:spacing w:after="0" w:line="250" w:lineRule="auto"/>
        <w:rPr>
          <w:sz w:val="20"/>
          <w:szCs w:val="20"/>
          <w:color w:val="auto"/>
        </w:rPr>
      </w:pPr>
      <w:r>
        <w:rPr>
          <w:rFonts w:ascii="Arial" w:cs="Arial" w:eastAsia="Arial" w:hAnsi="Arial"/>
          <w:sz w:val="17"/>
          <w:szCs w:val="17"/>
          <w:color w:val="auto"/>
        </w:rPr>
        <w:t>The following table lists the pension program participation and actuarial present value of the NEO with a defined benefit pension at December 31, 2020. No other NEOs have a defined benefit pension.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PENSION BENEFITS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Present Value of</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rPr>
              <w:t>Payments</w:t>
            </w: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Accumulated</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rPr>
              <w:t>during the last</w:t>
            </w: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rPr>
              <w:t>Number of Years</w:t>
            </w:r>
          </w:p>
        </w:tc>
        <w:tc>
          <w:tcPr>
            <w:tcW w:w="228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Benefit</w:t>
            </w:r>
          </w:p>
        </w:tc>
        <w:tc>
          <w:tcPr>
            <w:tcW w:w="2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fiscal year</w:t>
            </w:r>
          </w:p>
        </w:tc>
      </w:tr>
      <w:tr>
        <w:trPr>
          <w:trHeight w:val="188"/>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ind w:left="720"/>
              <w:spacing w:after="0" w:line="188" w:lineRule="exact"/>
              <w:rPr>
                <w:sz w:val="20"/>
                <w:szCs w:val="20"/>
                <w:color w:val="auto"/>
              </w:rPr>
            </w:pPr>
            <w:r>
              <w:rPr>
                <w:rFonts w:ascii="Arial" w:cs="Arial" w:eastAsia="Arial" w:hAnsi="Arial"/>
                <w:sz w:val="13"/>
                <w:szCs w:val="13"/>
                <w:b w:val="1"/>
                <w:bCs w:val="1"/>
                <w:color w:val="auto"/>
              </w:rPr>
              <w:t>Plan Name</w:t>
            </w:r>
            <w:r>
              <w:rPr>
                <w:rFonts w:ascii="Arial" w:cs="Arial" w:eastAsia="Arial" w:hAnsi="Arial"/>
                <w:sz w:val="17"/>
                <w:szCs w:val="17"/>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Credited Service</w:t>
            </w:r>
          </w:p>
        </w:tc>
        <w:tc>
          <w:tcPr>
            <w:tcW w:w="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ind w:right="870"/>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(2)</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930"/>
              <w:spacing w:after="0"/>
              <w:rPr>
                <w:sz w:val="20"/>
                <w:szCs w:val="20"/>
                <w:color w:val="auto"/>
              </w:rPr>
            </w:pPr>
            <w:r>
              <w:rPr>
                <w:rFonts w:ascii="Arial" w:cs="Arial" w:eastAsia="Arial" w:hAnsi="Arial"/>
                <w:sz w:val="13"/>
                <w:szCs w:val="13"/>
                <w:b w:val="1"/>
                <w:bCs w:val="1"/>
                <w:color w:val="auto"/>
              </w:rPr>
              <w:t>($)</w:t>
            </w:r>
          </w:p>
        </w:tc>
      </w:tr>
      <w:tr>
        <w:trPr>
          <w:trHeight w:val="216"/>
        </w:trPr>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Naval Power Systems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0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Sally Wallace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Pension Plan</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15.9</w:t>
            </w:r>
          </w:p>
        </w:tc>
        <w:tc>
          <w:tcPr>
            <w:tcW w:w="8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650"/>
              <w:spacing w:after="0"/>
              <w:rPr>
                <w:sz w:val="20"/>
                <w:szCs w:val="20"/>
                <w:color w:val="auto"/>
              </w:rPr>
            </w:pPr>
            <w:r>
              <w:rPr>
                <w:rFonts w:ascii="Arial" w:cs="Arial" w:eastAsia="Arial" w:hAnsi="Arial"/>
                <w:sz w:val="17"/>
                <w:szCs w:val="17"/>
                <w:color w:val="auto"/>
              </w:rPr>
              <w:t>$ 662,058</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w:t>
            </w:r>
          </w:p>
        </w:tc>
      </w:tr>
      <w:tr>
        <w:trPr>
          <w:trHeight w:val="25"/>
        </w:trPr>
        <w:tc>
          <w:tcPr>
            <w:tcW w:w="2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ind w:left="300" w:hanging="300"/>
        <w:spacing w:after="0"/>
        <w:tabs>
          <w:tab w:leader="none" w:pos="3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Benefits under the Pension Plan for Employees of DRS Naval Power Systems, Inc. were frozen effective as of December 31, 2011.</w:t>
      </w:r>
    </w:p>
    <w:p>
      <w:pPr>
        <w:spacing w:after="0" w:line="1" w:lineRule="exact"/>
        <w:rPr>
          <w:rFonts w:ascii="Arial" w:cs="Arial" w:eastAsia="Arial" w:hAnsi="Arial"/>
          <w:sz w:val="15"/>
          <w:szCs w:val="15"/>
          <w:color w:val="auto"/>
        </w:rPr>
      </w:pPr>
    </w:p>
    <w:p>
      <w:pPr>
        <w:ind w:left="300" w:hanging="300"/>
        <w:spacing w:after="0" w:line="244" w:lineRule="auto"/>
        <w:tabs>
          <w:tab w:leader="none" w:pos="296"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Present Value of Accumulated Benefit (PVAB) for Sally Wallace as of December 31, 2020 is $662,058, which is based on a discount rate of 2.23% and the PRI-2012 mortality table projected using MP-2020 with white collar adjustment. The PVAB for her as of December 31, 2019 is $633,067, which is based on a discount rate of 2.75% and the RP-2014 Adjusted Employees Healthy Annuitant Table projected using Scale MP-2016 with white collar adjustment. The above amounts are determined based on the same assumptions used for financial reporting purposes, except that the assumed retirement age is the normal retirement age of age 65, which is also the earliest age at which she may receive retirement benefits without any reduction in benefits.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Pension Plan for Employees of DRS Naval Power Systems, Inc.</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Certain employees participate in the Pension Plan for Employees of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As discussed under “Components of Compensation Program—Benefits and Perquisites—Severance and Change in Control Benefits,” NEOs may be entitled to certain amounts under the ICP and LTIP on a termination of employment in certain limited circumstances. Additionally, pursuant to the Leonardo DRS, Inc. Amended and Restated Executive Change in Control Plan as in effect as of September 2016, NEOs are eligible for certain “double trigger” severance benefits in the event of a qualifying termination of employment in connection with a change in control. No payments or benefits would be payable to our NEOs solely as a result of a change in control of the Company.</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This section estimates the payments that would be received by our NEOs upon a termination of employment effective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gridSpan w:val="2"/>
          </w:tcPr>
          <w:p>
            <w:pPr>
              <w:ind w:left="40"/>
              <w:spacing w:after="0"/>
              <w:rPr>
                <w:sz w:val="20"/>
                <w:szCs w:val="20"/>
                <w:color w:val="auto"/>
              </w:rPr>
            </w:pPr>
            <w:r>
              <w:rPr>
                <w:rFonts w:ascii="Arial" w:cs="Arial" w:eastAsia="Arial" w:hAnsi="Arial"/>
                <w:sz w:val="13"/>
                <w:szCs w:val="13"/>
                <w:b w:val="1"/>
                <w:bCs w:val="1"/>
                <w:color w:val="auto"/>
              </w:rPr>
              <w:t>Involuntary Termination without Cause or due to</w:t>
            </w:r>
          </w:p>
        </w:tc>
        <w:tc>
          <w:tcPr>
            <w:tcW w:w="3120" w:type="dxa"/>
            <w:vAlign w:val="bottom"/>
          </w:tcPr>
          <w:p>
            <w:pPr>
              <w:jc w:val="right"/>
              <w:spacing w:after="0"/>
              <w:rPr>
                <w:sz w:val="20"/>
                <w:szCs w:val="20"/>
                <w:color w:val="auto"/>
              </w:rPr>
            </w:pPr>
            <w:r>
              <w:rPr>
                <w:rFonts w:ascii="Arial" w:cs="Arial" w:eastAsia="Arial" w:hAnsi="Arial"/>
                <w:sz w:val="13"/>
                <w:szCs w:val="13"/>
                <w:b w:val="1"/>
                <w:bCs w:val="1"/>
                <w:color w:val="auto"/>
              </w:rPr>
              <w:t>Termination without Cause or for Good Reason</w:t>
            </w:r>
          </w:p>
        </w:tc>
      </w:tr>
      <w:tr>
        <w:trPr>
          <w:trHeight w:val="18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CEEFF"/>
            </w:tcBorders>
          </w:tcPr>
          <w:p>
            <w:pPr>
              <w:spacing w:after="0"/>
              <w:rPr>
                <w:sz w:val="15"/>
                <w:szCs w:val="15"/>
                <w:color w:val="auto"/>
              </w:rPr>
            </w:pPr>
          </w:p>
        </w:tc>
        <w:tc>
          <w:tcPr>
            <w:tcW w:w="3120" w:type="dxa"/>
            <w:vAlign w:val="bottom"/>
            <w:tcBorders>
              <w:bottom w:val="single" w:sz="8" w:color="auto"/>
            </w:tcBorders>
          </w:tcPr>
          <w:p>
            <w:pPr>
              <w:jc w:val="right"/>
              <w:ind w:right="902"/>
              <w:spacing w:after="0"/>
              <w:rPr>
                <w:sz w:val="20"/>
                <w:szCs w:val="20"/>
                <w:color w:val="auto"/>
              </w:rPr>
            </w:pPr>
            <w:r>
              <w:rPr>
                <w:rFonts w:ascii="Arial" w:cs="Arial" w:eastAsia="Arial" w:hAnsi="Arial"/>
                <w:sz w:val="13"/>
                <w:szCs w:val="13"/>
                <w:b w:val="1"/>
                <w:bCs w:val="1"/>
                <w:color w:val="auto"/>
              </w:rPr>
              <w:t>Death or Disability</w:t>
            </w:r>
          </w:p>
        </w:tc>
        <w:tc>
          <w:tcPr>
            <w:tcW w:w="80" w:type="dxa"/>
            <w:vAlign w:val="bottom"/>
            <w:tcBorders>
              <w:bottom w:val="single" w:sz="8" w:color="CCEEFF"/>
            </w:tcBorders>
          </w:tcPr>
          <w:p>
            <w:pPr>
              <w:spacing w:after="0"/>
              <w:rPr>
                <w:sz w:val="15"/>
                <w:szCs w:val="15"/>
                <w:color w:val="auto"/>
              </w:rPr>
            </w:pPr>
          </w:p>
        </w:tc>
        <w:tc>
          <w:tcPr>
            <w:tcW w:w="312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in connection with a Change in Control</w:t>
            </w:r>
          </w:p>
        </w:tc>
      </w:tr>
      <w:tr>
        <w:trPr>
          <w:trHeight w:val="226"/>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Lynn, William CEO</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$8,513,146</w:t>
            </w:r>
          </w:p>
        </w:tc>
        <w:tc>
          <w:tcPr>
            <w:tcW w:w="8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$13,006,160</w:t>
            </w:r>
          </w:p>
        </w:tc>
      </w:tr>
      <w:tr>
        <w:trPr>
          <w:trHeight w:val="224"/>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Baylouny, John COO</w:t>
            </w:r>
          </w:p>
        </w:tc>
        <w:tc>
          <w:tcPr>
            <w:tcW w:w="3120" w:type="dxa"/>
            <w:vAlign w:val="bottom"/>
          </w:tcPr>
          <w:p>
            <w:pPr>
              <w:jc w:val="right"/>
              <w:spacing w:after="0"/>
              <w:rPr>
                <w:sz w:val="20"/>
                <w:szCs w:val="20"/>
                <w:color w:val="auto"/>
              </w:rPr>
            </w:pPr>
            <w:r>
              <w:rPr>
                <w:rFonts w:ascii="Arial" w:cs="Arial" w:eastAsia="Arial" w:hAnsi="Arial"/>
                <w:sz w:val="17"/>
                <w:szCs w:val="17"/>
                <w:color w:val="auto"/>
              </w:rPr>
              <w:t>$1,843,847</w:t>
            </w:r>
          </w:p>
        </w:tc>
        <w:tc>
          <w:tcPr>
            <w:tcW w:w="8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Arial" w:cs="Arial" w:eastAsia="Arial" w:hAnsi="Arial"/>
                <w:sz w:val="17"/>
                <w:szCs w:val="17"/>
                <w:color w:val="auto"/>
              </w:rPr>
              <w:t>$4,179,472</w:t>
            </w:r>
          </w:p>
        </w:tc>
      </w:tr>
      <w:tr>
        <w:trPr>
          <w:trHeight w:val="25"/>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4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Dippold, Michael CFO</w:t>
            </w: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$1,568,290</w:t>
            </w:r>
          </w:p>
        </w:tc>
        <w:tc>
          <w:tcPr>
            <w:tcW w:w="80" w:type="dxa"/>
            <w:vAlign w:val="bottom"/>
            <w:shd w:val="clear" w:color="auto" w:fill="CCEEFF"/>
          </w:tcPr>
          <w:p>
            <w:pPr>
              <w:spacing w:after="0"/>
              <w:rPr>
                <w:sz w:val="21"/>
                <w:szCs w:val="21"/>
                <w:color w:val="auto"/>
              </w:rPr>
            </w:pP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$3,512,040</w:t>
            </w:r>
          </w:p>
        </w:tc>
      </w:tr>
      <w:tr>
        <w:trPr>
          <w:trHeight w:val="224"/>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Dorfman, Mark EVP, General Counsel</w:t>
            </w:r>
          </w:p>
        </w:tc>
        <w:tc>
          <w:tcPr>
            <w:tcW w:w="3120" w:type="dxa"/>
            <w:vAlign w:val="bottom"/>
          </w:tcPr>
          <w:p>
            <w:pPr>
              <w:jc w:val="right"/>
              <w:spacing w:after="0"/>
              <w:rPr>
                <w:sz w:val="20"/>
                <w:szCs w:val="20"/>
                <w:color w:val="auto"/>
              </w:rPr>
            </w:pPr>
            <w:r>
              <w:rPr>
                <w:rFonts w:ascii="Arial" w:cs="Arial" w:eastAsia="Arial" w:hAnsi="Arial"/>
                <w:sz w:val="17"/>
                <w:szCs w:val="17"/>
                <w:color w:val="auto"/>
              </w:rPr>
              <w:t>$1,401,990</w:t>
            </w:r>
          </w:p>
        </w:tc>
        <w:tc>
          <w:tcPr>
            <w:tcW w:w="8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Arial" w:cs="Arial" w:eastAsia="Arial" w:hAnsi="Arial"/>
                <w:sz w:val="17"/>
                <w:szCs w:val="17"/>
                <w:color w:val="auto"/>
              </w:rPr>
              <w:t>$3,105,240</w:t>
            </w:r>
          </w:p>
        </w:tc>
      </w:tr>
      <w:tr>
        <w:trPr>
          <w:trHeight w:val="25"/>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4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Wallace, Sally EVP, Bus Ops</w:t>
            </w: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$1,423,490</w:t>
            </w:r>
          </w:p>
        </w:tc>
        <w:tc>
          <w:tcPr>
            <w:tcW w:w="80" w:type="dxa"/>
            <w:vAlign w:val="bottom"/>
            <w:shd w:val="clear" w:color="auto" w:fill="CCEEFF"/>
          </w:tcPr>
          <w:p>
            <w:pPr>
              <w:spacing w:after="0"/>
              <w:rPr>
                <w:sz w:val="21"/>
                <w:szCs w:val="21"/>
                <w:color w:val="auto"/>
              </w:rPr>
            </w:pP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$3,152,990</w:t>
            </w:r>
          </w:p>
        </w:tc>
      </w:tr>
    </w:tbl>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 in Control</w:t>
      </w:r>
    </w:p>
    <w:p>
      <w:pPr>
        <w:spacing w:after="0" w:line="173" w:lineRule="exact"/>
        <w:rPr>
          <w:sz w:val="20"/>
          <w:szCs w:val="20"/>
          <w:color w:val="auto"/>
        </w:rPr>
      </w:pPr>
    </w:p>
    <w:p>
      <w:pPr>
        <w:ind w:right="100" w:firstLine="299"/>
        <w:spacing w:after="0" w:line="250" w:lineRule="auto"/>
        <w:rPr>
          <w:sz w:val="20"/>
          <w:szCs w:val="20"/>
          <w:color w:val="auto"/>
        </w:rPr>
      </w:pPr>
      <w:r>
        <w:rPr>
          <w:rFonts w:ascii="Arial" w:cs="Arial" w:eastAsia="Arial" w:hAnsi="Arial"/>
          <w:sz w:val="17"/>
          <w:szCs w:val="17"/>
          <w:color w:val="auto"/>
        </w:rPr>
        <w:t>As stated earlier in this section, the NEOs are eligible to receive severance benefits under the Change in Control Plan in the event their employment is terminated up to 24-months after a change in control occurs.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Employment Agreement</w:t>
      </w:r>
    </w:p>
    <w:p>
      <w:pPr>
        <w:spacing w:after="0" w:line="173" w:lineRule="exact"/>
        <w:rPr>
          <w:sz w:val="20"/>
          <w:szCs w:val="20"/>
          <w:color w:val="auto"/>
        </w:rPr>
      </w:pPr>
    </w:p>
    <w:p>
      <w:pPr>
        <w:ind w:right="140" w:firstLine="299"/>
        <w:spacing w:after="0" w:line="246" w:lineRule="auto"/>
        <w:rPr>
          <w:sz w:val="20"/>
          <w:szCs w:val="20"/>
          <w:color w:val="auto"/>
        </w:rPr>
      </w:pPr>
      <w:r>
        <w:rPr>
          <w:rFonts w:ascii="Arial" w:cs="Arial" w:eastAsia="Arial" w:hAnsi="Arial"/>
          <w:sz w:val="17"/>
          <w:szCs w:val="17"/>
          <w:color w:val="auto"/>
        </w:rPr>
        <w:t>In 2020 under William Lynn’s existing employment agreement, he was eligible for certain severance benefits in the event of other types of termination, e.g. death, disability or involuntary termination without cause. In the event of a termination without cause on December 31, 2020, he would be eligible for 2.5 times the sum of his annual base salary and incentive compensation bonus and he would also receive payment for the 2020 incentive bonus and long-term incentive with all future awards forfeited, and 12 months of company-paid COBRA benefits.</w:t>
      </w:r>
    </w:p>
    <w:p>
      <w:pPr>
        <w:spacing w:after="0" w:line="144" w:lineRule="exact"/>
        <w:rPr>
          <w:sz w:val="20"/>
          <w:szCs w:val="20"/>
          <w:color w:val="auto"/>
        </w:rPr>
      </w:pPr>
    </w:p>
    <w:p>
      <w:pPr>
        <w:ind w:left="300" w:right="820"/>
        <w:spacing w:after="0" w:line="427" w:lineRule="auto"/>
        <w:rPr>
          <w:sz w:val="20"/>
          <w:szCs w:val="20"/>
          <w:color w:val="auto"/>
        </w:rPr>
      </w:pPr>
      <w:r>
        <w:rPr>
          <w:rFonts w:ascii="Arial" w:cs="Arial" w:eastAsia="Arial" w:hAnsi="Arial"/>
          <w:sz w:val="17"/>
          <w:szCs w:val="17"/>
          <w:color w:val="auto"/>
        </w:rPr>
        <w:t xml:space="preserve">The Company’s other NEOs, John Baylouny, Michael Dippold, Mark Dorfman, and Sally Wallace have no formal employment agreements. </w:t>
      </w:r>
      <w:r>
        <w:rPr>
          <w:rFonts w:ascii="Arial" w:cs="Arial" w:eastAsia="Arial" w:hAnsi="Arial"/>
          <w:sz w:val="17"/>
          <w:szCs w:val="17"/>
          <w:b w:val="1"/>
          <w:bCs w:val="1"/>
          <w:i w:val="1"/>
          <w:iCs w:val="1"/>
          <w:color w:val="auto"/>
        </w:rPr>
        <w:t>Involuntary Termination without Cause</w:t>
      </w:r>
    </w:p>
    <w:p>
      <w:pPr>
        <w:spacing w:after="0" w:line="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In 2020, John Baylouny, Michael Dippold, Mark Dorfman, and Sally Wallace were not under employment agreements with the Company or any severance plan. If an involuntary termination without cause would have occurred, at the company’s discretion in exchange for providing severance benefits, the employee must agree to and be in compliance with ongoing confidentiality and cooperation obligations, non-competition, and non-solicitation covenants for a period of 12-months following termination. Generally, our separation pay benefits are 12-months of base salary, 12-months of company-paid COBRA, and outplacement services. Under the terms of the annual incentive compensation plan, if the employee is terminated after September 1, 2020, the Administrator of the plan may authorize an earned award, reflecting the employee’s participation for a portion of the plan year (“pro-rated award”). The pro-rated award would be based on performance, and payable in March 2021. Under the terms of the LTIP, if the employee is terminated on or after December 31, 2020 but before payment, the Administrator of the plan may authorize an earned award based on performance. All future awards under the long-term incentive plan would be forfeited.</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Death or Disability</w:t>
      </w:r>
    </w:p>
    <w:p>
      <w:pPr>
        <w:spacing w:after="0" w:line="173" w:lineRule="exact"/>
        <w:rPr>
          <w:sz w:val="20"/>
          <w:szCs w:val="20"/>
          <w:color w:val="auto"/>
        </w:rPr>
      </w:pPr>
    </w:p>
    <w:p>
      <w:pPr>
        <w:ind w:right="240" w:firstLine="299"/>
        <w:spacing w:after="0" w:line="247" w:lineRule="auto"/>
        <w:rPr>
          <w:sz w:val="20"/>
          <w:szCs w:val="20"/>
          <w:color w:val="auto"/>
        </w:rPr>
      </w:pPr>
      <w:r>
        <w:rPr>
          <w:rFonts w:ascii="Arial" w:cs="Arial" w:eastAsia="Arial" w:hAnsi="Arial"/>
          <w:sz w:val="17"/>
          <w:szCs w:val="17"/>
          <w:color w:val="auto"/>
        </w:rPr>
        <w:t>In the event of any NEOs’ death or disability, he or she would be eligible for benefits under the company’s group term life insurance and accidental death and dismemberment, and disability plan. Under the terms of our ICP and LTIP, the administrator may authorize a pro-rated award payment at target paid to the NEO or, in the case of death, to his or her estate.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Written Release</w:t>
      </w:r>
    </w:p>
    <w:p>
      <w:pPr>
        <w:spacing w:after="0" w:line="173" w:lineRule="exact"/>
        <w:rPr>
          <w:sz w:val="20"/>
          <w:szCs w:val="20"/>
          <w:color w:val="auto"/>
        </w:rPr>
      </w:pPr>
    </w:p>
    <w:p>
      <w:pPr>
        <w:ind w:right="560" w:firstLine="299"/>
        <w:spacing w:after="0" w:line="250" w:lineRule="auto"/>
        <w:rPr>
          <w:sz w:val="20"/>
          <w:szCs w:val="20"/>
          <w:color w:val="auto"/>
        </w:rPr>
      </w:pPr>
      <w:r>
        <w:rPr>
          <w:rFonts w:ascii="Arial" w:cs="Arial" w:eastAsia="Arial" w:hAnsi="Arial"/>
          <w:sz w:val="17"/>
          <w:szCs w:val="17"/>
          <w:color w:val="auto"/>
        </w:rPr>
        <w:t>In all cases, except for death, where separation benefits are being provided by the Company, the NEO is required to execute a written release agreement in order to be eligible for the severance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43" w:lineRule="exact"/>
        <w:rPr>
          <w:sz w:val="20"/>
          <w:szCs w:val="20"/>
          <w:color w:val="auto"/>
        </w:rPr>
      </w:pPr>
    </w:p>
    <w:p>
      <w:pPr>
        <w:ind w:right="420"/>
        <w:spacing w:after="0" w:line="250" w:lineRule="auto"/>
        <w:rPr>
          <w:sz w:val="20"/>
          <w:szCs w:val="20"/>
          <w:color w:val="auto"/>
        </w:rPr>
      </w:pPr>
      <w:r>
        <w:rPr>
          <w:rFonts w:ascii="Arial" w:cs="Arial" w:eastAsia="Arial" w:hAnsi="Arial"/>
          <w:sz w:val="17"/>
          <w:szCs w:val="17"/>
          <w:color w:val="auto"/>
        </w:rPr>
        <w:t>In 2021, each NEO will be a participant in the Executive Severance Plan which will cover change in control with a double-trigger, and non-change in control terminations.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DIRECTOR COMPENSATION</w:t>
      </w:r>
    </w:p>
    <w:p>
      <w:pPr>
        <w:spacing w:after="0" w:line="173" w:lineRule="exact"/>
        <w:rPr>
          <w:sz w:val="20"/>
          <w:szCs w:val="20"/>
          <w:color w:val="auto"/>
        </w:rPr>
      </w:pPr>
    </w:p>
    <w:p>
      <w:pPr>
        <w:ind w:right="420" w:firstLine="299"/>
        <w:spacing w:after="0" w:line="280" w:lineRule="auto"/>
        <w:rPr>
          <w:sz w:val="20"/>
          <w:szCs w:val="20"/>
          <w:color w:val="auto"/>
        </w:rPr>
      </w:pPr>
      <w:r>
        <w:rPr>
          <w:rFonts w:ascii="Arial" w:cs="Arial" w:eastAsia="Arial" w:hAnsi="Arial"/>
          <w:sz w:val="16"/>
          <w:szCs w:val="16"/>
          <w:color w:val="auto"/>
        </w:rPr>
        <w:t>We compensate each non-employee director for service on the board of directors. The CEO and compensation committee review director compensation periodically. In consideration of the duties performed each director receives a fixed annual cash retainer, payable quarterly in arrears.</w:t>
      </w:r>
    </w:p>
    <w:p>
      <w:pPr>
        <w:spacing w:after="0" w:line="118" w:lineRule="exact"/>
        <w:rPr>
          <w:sz w:val="20"/>
          <w:szCs w:val="20"/>
          <w:color w:val="auto"/>
        </w:rPr>
      </w:pPr>
    </w:p>
    <w:p>
      <w:pPr>
        <w:ind w:right="660" w:firstLine="299"/>
        <w:spacing w:after="0" w:line="247" w:lineRule="auto"/>
        <w:rPr>
          <w:sz w:val="20"/>
          <w:szCs w:val="20"/>
          <w:color w:val="auto"/>
        </w:rPr>
      </w:pPr>
      <w:r>
        <w:rPr>
          <w:rFonts w:ascii="Arial" w:cs="Arial" w:eastAsia="Arial" w:hAnsi="Arial"/>
          <w:sz w:val="17"/>
          <w:szCs w:val="17"/>
          <w:color w:val="auto"/>
        </w:rPr>
        <w:t>Directors are reimbursed for reasonable expenses incurred in attending or returning from meetings of the board or any committee thereof, or otherwise in or about the business of the Company. These expenses are reimbursed in accordance in with the Company’s policies regarding reimbursement of business expenses and are approved by the CEO.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gridSpan w:val="2"/>
          </w:tcPr>
          <w:p>
            <w:pPr>
              <w:ind w:left="180"/>
              <w:spacing w:after="0"/>
              <w:rPr>
                <w:sz w:val="20"/>
                <w:szCs w:val="20"/>
                <w:color w:val="auto"/>
              </w:rPr>
            </w:pPr>
            <w:r>
              <w:rPr>
                <w:rFonts w:ascii="Arial" w:cs="Arial" w:eastAsia="Arial" w:hAnsi="Arial"/>
                <w:sz w:val="13"/>
                <w:szCs w:val="13"/>
                <w:b w:val="1"/>
                <w:bCs w:val="1"/>
                <w:color w:val="auto"/>
              </w:rPr>
              <w:t>Fees Earned or Paid</w:t>
            </w:r>
          </w:p>
        </w:tc>
        <w:tc>
          <w:tcPr>
            <w:tcW w:w="540" w:type="dxa"/>
            <w:vAlign w:val="bottom"/>
          </w:tcPr>
          <w:p>
            <w:pPr>
              <w:spacing w:after="0"/>
              <w:rPr>
                <w:sz w:val="13"/>
                <w:szCs w:val="13"/>
                <w:color w:val="auto"/>
              </w:rPr>
            </w:pPr>
          </w:p>
        </w:tc>
        <w:tc>
          <w:tcPr>
            <w:tcW w:w="1700" w:type="dxa"/>
            <w:vAlign w:val="bottom"/>
          </w:tcPr>
          <w:p>
            <w:pPr>
              <w:jc w:val="right"/>
              <w:ind w:right="882"/>
              <w:spacing w:after="0"/>
              <w:rPr>
                <w:sz w:val="20"/>
                <w:szCs w:val="20"/>
                <w:color w:val="auto"/>
              </w:rPr>
            </w:pPr>
            <w:r>
              <w:rPr>
                <w:rFonts w:ascii="Arial" w:cs="Arial" w:eastAsia="Arial" w:hAnsi="Arial"/>
                <w:sz w:val="13"/>
                <w:szCs w:val="13"/>
                <w:b w:val="1"/>
                <w:bCs w:val="1"/>
                <w:color w:val="auto"/>
              </w:rPr>
              <w:t>Total</w:t>
            </w:r>
          </w:p>
        </w:tc>
      </w:tr>
      <w:tr>
        <w:trPr>
          <w:trHeight w:val="181"/>
        </w:trPr>
        <w:tc>
          <w:tcPr>
            <w:tcW w:w="6600" w:type="dxa"/>
            <w:vAlign w:val="bottom"/>
            <w:tcBorders>
              <w:bottom w:val="single" w:sz="8" w:color="auto"/>
            </w:tcBorders>
          </w:tcPr>
          <w:p>
            <w:pPr>
              <w:ind w:left="312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702"/>
              <w:spacing w:after="0"/>
              <w:rPr>
                <w:sz w:val="20"/>
                <w:szCs w:val="20"/>
                <w:color w:val="auto"/>
              </w:rPr>
            </w:pPr>
            <w:r>
              <w:rPr>
                <w:rFonts w:ascii="Arial" w:cs="Arial" w:eastAsia="Arial" w:hAnsi="Arial"/>
                <w:sz w:val="13"/>
                <w:szCs w:val="13"/>
                <w:b w:val="1"/>
                <w:bCs w:val="1"/>
                <w:color w:val="auto"/>
              </w:rPr>
              <w:t>in Cash ($)</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962"/>
              <w:spacing w:after="0"/>
              <w:rPr>
                <w:sz w:val="20"/>
                <w:szCs w:val="20"/>
                <w:color w:val="auto"/>
              </w:rPr>
            </w:pPr>
            <w:r>
              <w:rPr>
                <w:rFonts w:ascii="Arial" w:cs="Arial" w:eastAsia="Arial" w:hAnsi="Arial"/>
                <w:sz w:val="13"/>
                <w:szCs w:val="13"/>
                <w:b w:val="1"/>
                <w:bCs w:val="1"/>
                <w:color w:val="auto"/>
              </w:rPr>
              <w:t>($)</w:t>
            </w:r>
          </w:p>
        </w:tc>
      </w:tr>
      <w:tr>
        <w:trPr>
          <w:trHeight w:val="226"/>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Frances Townsend</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200,907</w:t>
            </w:r>
          </w:p>
        </w:tc>
      </w:tr>
      <w:tr>
        <w:trPr>
          <w:trHeight w:val="224"/>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Philip Odeen</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150,000</w:t>
            </w:r>
          </w:p>
        </w:tc>
        <w:tc>
          <w:tcPr>
            <w:tcW w:w="80" w:type="dxa"/>
            <w:vAlign w:val="bottom"/>
          </w:tcPr>
          <w:p>
            <w:pPr>
              <w:spacing w:after="0"/>
              <w:rPr>
                <w:sz w:val="19"/>
                <w:szCs w:val="19"/>
                <w:color w:val="auto"/>
              </w:rPr>
            </w:pPr>
          </w:p>
        </w:tc>
        <w:tc>
          <w:tcPr>
            <w:tcW w:w="54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151,484</w:t>
            </w:r>
          </w:p>
        </w:tc>
      </w:tr>
      <w:tr>
        <w:trPr>
          <w:trHeight w:val="25"/>
        </w:trPr>
        <w:tc>
          <w:tcPr>
            <w:tcW w:w="6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General George Casey, Jr.</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150,420</w:t>
            </w:r>
          </w:p>
        </w:tc>
      </w:tr>
      <w:tr>
        <w:trPr>
          <w:trHeight w:val="224"/>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Kenneth Krieg</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200,000</w:t>
            </w:r>
          </w:p>
        </w:tc>
        <w:tc>
          <w:tcPr>
            <w:tcW w:w="80" w:type="dxa"/>
            <w:vAlign w:val="bottom"/>
          </w:tcPr>
          <w:p>
            <w:pPr>
              <w:spacing w:after="0"/>
              <w:rPr>
                <w:sz w:val="19"/>
                <w:szCs w:val="19"/>
                <w:color w:val="auto"/>
              </w:rPr>
            </w:pPr>
          </w:p>
        </w:tc>
        <w:tc>
          <w:tcPr>
            <w:tcW w:w="54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200,000</w:t>
            </w:r>
          </w:p>
        </w:tc>
      </w:tr>
      <w:tr>
        <w:trPr>
          <w:trHeight w:val="25"/>
        </w:trPr>
        <w:tc>
          <w:tcPr>
            <w:tcW w:w="6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David W. Carey</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202,062</w:t>
            </w:r>
          </w:p>
        </w:tc>
      </w:tr>
      <w:tr>
        <w:trPr>
          <w:trHeight w:val="25"/>
        </w:trPr>
        <w:tc>
          <w:tcPr>
            <w:tcW w:w="6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Following the consummation of this offering, each of our non-employee directors will receive annual cash compensation of $100,000 and will be granted restricted stock units of our common stock in an amount equal to $100,000 at the date of grant that will vest on a one period from the grant date. The chairmen of our audit committee, compensation committee, nominating and corporate governance committee and government security committee will receive an additional annual cash retainer of $40,000, with the lead independent director receiving an additional annual cash retainer of $50,000. Directors who are our employees will not receive any compensation from us for their service on our board of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POST-OFFERING 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Omnibus Equity Compensation Plan</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board of directors has adopted, and our stockholder has approved, the Leonardo DRS 2021 Omnibus Equity Compensation Plan (the “Omnibus Plan”) in connection with this offering. The Omnibus Plan will be effective as of February 24, 2021. Under the Omnibus Plan we will make grants of long-term equity incentive compensation to our key employees, prospective employees, consultants and non-employee directors. The purpose of the Omnibus Plan is to help us attract, retain and motivate key employees, align the interest of those individuals with the interests of our shareholders and promote ownership of the Company’s equity. The following is a summary of the material terms of the Omnibus Plan, a copy of which is filed as an exhibit to the registration statement of which this prospectus forms a part.</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Administration</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compensation committee of the board of directors (and its delegates) has the authority to interpret the terms and conditions of the Omnibus Plan, to determine eligibility for and terms of awards for participants and to make all other determinations necessary or advisable for the administration of the Omnibus Plan. The compensation committee may delegate any of its powers, responsibilities or duties to any of its members, to any person who is not a member of the compensation committee or to any administrative group within the Company. The board of directors may also grant award or administer the Omnibus Plan. For purposes of this summary, we refer to the committee that administers the Omnibus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Plan and to any person or group to whom this committee delegates authority, as the compensation committee.</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Eligible Award Participants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employees, consultants and non-employee directors are eligible to receive awards under the Omnibus Plan.</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Awards</w:t>
      </w:r>
    </w:p>
    <w:p>
      <w:pPr>
        <w:spacing w:after="0" w:line="173" w:lineRule="exact"/>
        <w:rPr>
          <w:sz w:val="20"/>
          <w:szCs w:val="20"/>
          <w:color w:val="auto"/>
        </w:rPr>
      </w:pPr>
    </w:p>
    <w:p>
      <w:pPr>
        <w:jc w:val="both"/>
        <w:ind w:right="340" w:firstLine="299"/>
        <w:spacing w:after="0" w:line="247" w:lineRule="auto"/>
        <w:rPr>
          <w:sz w:val="20"/>
          <w:szCs w:val="20"/>
          <w:color w:val="auto"/>
        </w:rPr>
      </w:pPr>
      <w:r>
        <w:rPr>
          <w:rFonts w:ascii="Arial" w:cs="Arial" w:eastAsia="Arial" w:hAnsi="Arial"/>
          <w:sz w:val="17"/>
          <w:szCs w:val="17"/>
          <w:color w:val="auto"/>
        </w:rPr>
        <w:t>Awards under the Omnibus Plan may be made in the form of stock options, stock appreciation rights (“SARs”), restricted shares, restricted stock units (“RSUs”), dividend equivalent rights and other equity-based or equity-related awards that the Administrator determines to be consistent with the purposes of the Omnibus Plan and the interests of the Company.</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Shares Subject to the Omnibus Plan</w:t>
      </w:r>
    </w:p>
    <w:p>
      <w:pPr>
        <w:spacing w:after="0" w:line="173" w:lineRule="exact"/>
        <w:rPr>
          <w:sz w:val="20"/>
          <w:szCs w:val="20"/>
          <w:color w:val="auto"/>
        </w:rPr>
      </w:pPr>
    </w:p>
    <w:p>
      <w:pPr>
        <w:ind w:firstLine="299"/>
        <w:spacing w:after="0" w:line="244" w:lineRule="auto"/>
        <w:rPr>
          <w:sz w:val="20"/>
          <w:szCs w:val="20"/>
          <w:color w:val="auto"/>
        </w:rPr>
      </w:pPr>
      <w:r>
        <w:rPr>
          <w:rFonts w:ascii="Arial" w:cs="Arial" w:eastAsia="Arial" w:hAnsi="Arial"/>
          <w:sz w:val="17"/>
          <w:szCs w:val="17"/>
          <w:color w:val="auto"/>
        </w:rPr>
        <w:t>The aggregate number of shares of common stock available for issuance under the Omnibus Plan will be equal to 3,511,400 shares. Shares issued under the Omnibus Plan that are assumed, converted or substituted under the Omnibus Plan as a result of the Company’s acquisition of another company, including by way of merger, combination or similar transaction will not count against the number of shares that may be issued under the Omnibus Plan. Available shares under a stockholder approved plan of an acquired company may be used for awards under the Omnibus Plan and do not reduce the maximum number of shares available for grant under the Omnibus Plan, subject to applicable stock exchange requirements. Shares subject to an award that is forfeited, expired or settled for cash, to the extent of such forfeiture, expiration or cash settlement will be available for future grants of awards under the Omnibus Plan and will be added back in the same number of shares as were deducted in respect of the grant of such award. The payment of dividend equivalent rights in cash in conjunction with any outstanding awards will not be counted against the shares available for issuance under the Omnibus Plan. In the case of SARs, the difference between the number of shares covered by the exercised portion of the SAR and the number of shares actually delivered upon exercise shall not be restored or available for future issuance under the Omnibus Plan. Shares tendered by a participant or withheld by us in payment of the exercise price of a stock option or to satisfy any tax withholding obligation with respect to an award will not again be available for awards.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Director Limits</w:t>
      </w:r>
    </w:p>
    <w:p>
      <w:pPr>
        <w:spacing w:after="0" w:line="173" w:lineRule="exact"/>
        <w:rPr>
          <w:sz w:val="20"/>
          <w:szCs w:val="20"/>
          <w:color w:val="auto"/>
        </w:rPr>
      </w:pPr>
    </w:p>
    <w:p>
      <w:pPr>
        <w:jc w:val="both"/>
        <w:ind w:right="280" w:firstLine="299"/>
        <w:spacing w:after="0" w:line="247" w:lineRule="auto"/>
        <w:rPr>
          <w:sz w:val="20"/>
          <w:szCs w:val="20"/>
          <w:color w:val="auto"/>
        </w:rPr>
      </w:pPr>
      <w:r>
        <w:rPr>
          <w:rFonts w:ascii="Arial" w:cs="Arial" w:eastAsia="Arial" w:hAnsi="Arial"/>
          <w:sz w:val="17"/>
          <w:szCs w:val="17"/>
          <w:color w:val="auto"/>
        </w:rPr>
        <w:t>With respect to any period from one annual meeting of shareholders to the next following annual meeting of shareholders, the fair market value of shares subject to awards granted to any non-employee director, and the cash paid to any non-employee director, may not exceed $500,000, with the value of any equity-based awards based on the accounting grant date value of such award.</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Terms and Conditions of Options and Incentive Stock Options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An incentive stock option means a stock option to purchase shares that is intended to be an “incentive stock option” within the meaning of Sections 421 and 422 of the Internal Revenue Code (the “Code”), as now constituted or subsequently amended, or pursuant to a successor provisions of the Code and which is designated as an incentive stock option in the applicable award agreement. Stock options may be granted to eligible recipients in such number and at such times during the term of the Omnibus Plan as the compensation committee may determine, provided that the maximum number of shares as to which stock option may be granted to any one individual in any fiscal year may not exceed the aggregate number of shares of common stock available for issuance under the Omnibus Plan.</w:t>
      </w:r>
    </w:p>
    <w:p>
      <w:pPr>
        <w:spacing w:after="0" w:line="147" w:lineRule="exact"/>
        <w:rPr>
          <w:sz w:val="20"/>
          <w:szCs w:val="20"/>
          <w:color w:val="auto"/>
        </w:rPr>
      </w:pPr>
    </w:p>
    <w:p>
      <w:pPr>
        <w:ind w:right="200" w:firstLine="299"/>
        <w:spacing w:after="0" w:line="247" w:lineRule="auto"/>
        <w:rPr>
          <w:sz w:val="20"/>
          <w:szCs w:val="20"/>
          <w:color w:val="auto"/>
        </w:rPr>
      </w:pPr>
      <w:r>
        <w:rPr>
          <w:rFonts w:ascii="Arial" w:cs="Arial" w:eastAsia="Arial" w:hAnsi="Arial"/>
          <w:sz w:val="17"/>
          <w:szCs w:val="17"/>
          <w:color w:val="auto"/>
        </w:rPr>
        <w:t>Each stock option will vest and become exercisable according to the terms and conditions determined by the compensation committee. Unless otherwise determined by the compensation committee, no option or SAR may be exercisable more than ten years from the grant date, or in the case of an incentive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43" w:lineRule="exact"/>
        <w:rPr>
          <w:sz w:val="20"/>
          <w:szCs w:val="20"/>
          <w:color w:val="auto"/>
        </w:rPr>
      </w:pPr>
    </w:p>
    <w:p>
      <w:pPr>
        <w:ind w:right="620"/>
        <w:spacing w:after="0" w:line="250" w:lineRule="auto"/>
        <w:rPr>
          <w:sz w:val="20"/>
          <w:szCs w:val="20"/>
          <w:color w:val="auto"/>
        </w:rPr>
      </w:pPr>
      <w:r>
        <w:rPr>
          <w:rFonts w:ascii="Arial" w:cs="Arial" w:eastAsia="Arial" w:hAnsi="Arial"/>
          <w:sz w:val="17"/>
          <w:szCs w:val="17"/>
          <w:color w:val="auto"/>
        </w:rPr>
        <w:t>option granted to a ten percent stockholder, five years. The exercise price per share under each non-qualified option and SAR granted under the Omnibus Plan may not be less than 100% of the fair market value of our common stock on the option grant date.</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Terms and Conditions of SARs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SARs may be granted to eligible recipients in such number and at such times during the term of the Omnibus Plan as the compensation committee may determine. Each SAR will vest and become exercisable according to the terms and conditions determined by the compensation committee . The exercise price per share with respect to each SAR will be determined by the compensation committee, but it may never be less than the fair market value of our common stock on the grant date. Unless otherwise determined by the compensation committee, no SAR may be exercisable more than ten years from the grant date.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Terms and Conditions of Restricted Stock and RSUs</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Restricted stock is an award of common stock on which certain restrictions are imposed over specified periods that subject the shares to a substantial risk of forfeiture. An RSU is a unit, equivalent in value to a share of common stock, credited by means of a bookkeeping entry in our books to a participant’s account, which is settled after vesting in stock or cash, as determined by the compensation committee. Subject to the provisions of the Omnibus Plan, our compensation committee will determine the terms and conditions of each award of restricted stock or RSUs, including the restricted period for all or a portion of the award, and the restrictions applicable to the award. Restricted stock and RSUs will vest based on a period of service specified by our Administrator, the occurrence of events specified by our compensation committee or both. Unless otherwise determined by the compensation committee, RSUs that were granted under the Omnibus Plan not previously forfeited or terminated will receive one share of common stock, cash or other securities or property equal in value to a share of common stock or a combination thereof.</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Terms and Conditions of Dividend Equivalents</w:t>
      </w:r>
    </w:p>
    <w:p>
      <w:pPr>
        <w:spacing w:after="0" w:line="173" w:lineRule="exact"/>
        <w:rPr>
          <w:sz w:val="20"/>
          <w:szCs w:val="20"/>
          <w:color w:val="auto"/>
        </w:rPr>
      </w:pPr>
    </w:p>
    <w:p>
      <w:pPr>
        <w:ind w:right="260" w:firstLine="299"/>
        <w:spacing w:after="0" w:line="247" w:lineRule="auto"/>
        <w:rPr>
          <w:sz w:val="20"/>
          <w:szCs w:val="20"/>
          <w:color w:val="auto"/>
        </w:rPr>
      </w:pPr>
      <w:r>
        <w:rPr>
          <w:rFonts w:ascii="Arial" w:cs="Arial" w:eastAsia="Arial" w:hAnsi="Arial"/>
          <w:sz w:val="17"/>
          <w:szCs w:val="17"/>
          <w:color w:val="auto"/>
        </w:rPr>
        <w:t>The compensation committee may include in the award agreement with respect to any award a dividend equivalent right entitling the recipient to receive amounts equal to all or any portion of the regular cash dividends that would be paid on the shares covered by such award. The compensation committee will determine whether the payment will be made in cash, in shares, or in another form.</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Other Stock-Based or Cash-Based Awards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compensation committee may grant other types of equity-based, equity-related or cash-based awards in such amounts and subject to terms and conditions as the compensation committee may determine. The terms and conditions may relate to the achievement of performance goals as well as service-based goals, as determined by the compensation committee at the time of the grant. A performance-based award will be determined based on the attainment of written performance goals approved by the compensation committee for a performance period. The compensation committee may prescribe a formula to determine the amount of the performance-based award that may be payable based upon the level of attainment of the performance goals during the performance period. Following the completion of each performance period, the compensation committee will have the sole discretion to determine whether the applicable performance goals have been met with respect to each participant.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Other Forfeiture Provisions; Clawback</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Awards under the Omnibus Plan will be subject to any clawback or recapture policy that we may adopt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200"/>
          </w:cols>
          <w:pgMar w:left="320" w:top="1440" w:right="379" w:bottom="1440" w:gutter="0" w:footer="0" w:header="0"/>
        </w:sectPr>
      </w:pPr>
    </w:p>
    <w:bookmarkStart w:id="163" w:name="page164"/>
    <w:bookmarkEnd w:id="163"/>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Effect of a Change in Control</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Except as otherwise determined by the compensation committee, if the participant’s employment is terminated by us or any successor entity without “cause,” or the participant resigns for “good reason,” as each is defined in the Omnibus Plan, on or within two years after a change in control, each award granted to a participant prior to the change in control will become fully vested, including the lapsing of all restrictions and conditions, and as applicable, exercisable and any shares deliverable pursuant to RSUs will be delivered promptly following termination of employment.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Expiration Date</w:t>
      </w:r>
    </w:p>
    <w:p>
      <w:pPr>
        <w:spacing w:after="0" w:line="173" w:lineRule="exact"/>
        <w:rPr>
          <w:sz w:val="20"/>
          <w:szCs w:val="20"/>
          <w:color w:val="auto"/>
        </w:rPr>
      </w:pPr>
    </w:p>
    <w:p>
      <w:pPr>
        <w:ind w:right="260" w:firstLine="299"/>
        <w:spacing w:after="0" w:line="250" w:lineRule="auto"/>
        <w:rPr>
          <w:sz w:val="20"/>
          <w:szCs w:val="20"/>
          <w:color w:val="auto"/>
        </w:rPr>
      </w:pPr>
      <w:r>
        <w:rPr>
          <w:rFonts w:ascii="Arial" w:cs="Arial" w:eastAsia="Arial" w:hAnsi="Arial"/>
          <w:sz w:val="17"/>
          <w:szCs w:val="17"/>
          <w:color w:val="auto"/>
        </w:rPr>
        <w:t>The Omnibus Plan has a ten-year term and will expire at the end of the term unless further approval of our shareholders of the Omnibus Plan or a successor plan is obtained. However, the expiration of the Omnibus Plan would have no effect on outstanding awards previously granted.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Severance Plan</w:t>
      </w:r>
    </w:p>
    <w:p>
      <w:pPr>
        <w:spacing w:after="0" w:line="173" w:lineRule="exact"/>
        <w:rPr>
          <w:sz w:val="20"/>
          <w:szCs w:val="20"/>
          <w:color w:val="auto"/>
        </w:rPr>
      </w:pPr>
    </w:p>
    <w:p>
      <w:pPr>
        <w:ind w:right="20" w:firstLine="299"/>
        <w:spacing w:after="0" w:line="250" w:lineRule="auto"/>
        <w:rPr>
          <w:sz w:val="20"/>
          <w:szCs w:val="20"/>
          <w:color w:val="auto"/>
        </w:rPr>
      </w:pPr>
      <w:r>
        <w:rPr>
          <w:rFonts w:ascii="Arial" w:cs="Arial" w:eastAsia="Arial" w:hAnsi="Arial"/>
          <w:sz w:val="17"/>
          <w:szCs w:val="17"/>
          <w:color w:val="auto"/>
        </w:rPr>
        <w:t>Our board of directors has approved our Executive Severance Plan (the “Severance Plan”) to help retain qualified employees, maintain a stable work environment and provide economic security by providing benefits to certain key employees in the event of certain qualifying terminations.</w:t>
      </w:r>
    </w:p>
    <w:p>
      <w:pPr>
        <w:spacing w:after="0" w:line="140" w:lineRule="exact"/>
        <w:rPr>
          <w:sz w:val="20"/>
          <w:szCs w:val="20"/>
          <w:color w:val="auto"/>
        </w:rPr>
      </w:pPr>
    </w:p>
    <w:p>
      <w:pPr>
        <w:jc w:val="both"/>
        <w:ind w:right="360" w:firstLine="299"/>
        <w:spacing w:after="0" w:line="247" w:lineRule="auto"/>
        <w:rPr>
          <w:sz w:val="20"/>
          <w:szCs w:val="20"/>
          <w:color w:val="auto"/>
        </w:rPr>
      </w:pPr>
      <w:r>
        <w:rPr>
          <w:rFonts w:ascii="Arial" w:cs="Arial" w:eastAsia="Arial" w:hAnsi="Arial"/>
          <w:sz w:val="17"/>
          <w:szCs w:val="17"/>
          <w:color w:val="auto"/>
        </w:rPr>
        <w:t>The Severance Plan will provide benefits to certain eligible employees, including the NEOs, whose jobs are eliminated by the Company without “cause” or by the executive with “good reason” (as each is defined in the Severance Plan) within two years of a “change in control” (as defined in the Severance Plan), excluding any termination due to death or disability, including:</w:t>
      </w:r>
    </w:p>
    <w:p>
      <w:pPr>
        <w:spacing w:after="0" w:line="143" w:lineRule="exact"/>
        <w:rPr>
          <w:sz w:val="20"/>
          <w:szCs w:val="20"/>
          <w:color w:val="auto"/>
        </w:rPr>
      </w:pPr>
    </w:p>
    <w:p>
      <w:pPr>
        <w:ind w:left="600" w:right="120" w:hanging="302"/>
        <w:spacing w:after="0" w:line="247" w:lineRule="auto"/>
        <w:tabs>
          <w:tab w:leader="none" w:pos="596" w:val="left"/>
        </w:tabs>
        <w:numPr>
          <w:ilvl w:val="0"/>
          <w:numId w:val="91"/>
        </w:numPr>
        <w:rPr>
          <w:rFonts w:ascii="Arial" w:cs="Arial" w:eastAsia="Arial" w:hAnsi="Arial"/>
          <w:sz w:val="17"/>
          <w:szCs w:val="17"/>
          <w:color w:val="auto"/>
        </w:rPr>
      </w:pPr>
      <w:r>
        <w:rPr>
          <w:rFonts w:ascii="Arial" w:cs="Arial" w:eastAsia="Arial" w:hAnsi="Arial"/>
          <w:sz w:val="17"/>
          <w:szCs w:val="17"/>
          <w:color w:val="auto"/>
        </w:rPr>
        <w:t>Severance pay in an amount equal to the sum of (i) his or her annual base salary and target award under the ICP for the fiscal year in which termination occurs, multiplied by the applicable severance multiplier, (ii) his or her unpaid prior year bonus, and (iii) the pro-rata bonus, paid in a lump sum;</w:t>
      </w:r>
    </w:p>
    <w:p>
      <w:pPr>
        <w:spacing w:after="0" w:line="143" w:lineRule="exact"/>
        <w:rPr>
          <w:rFonts w:ascii="Arial" w:cs="Arial" w:eastAsia="Arial" w:hAnsi="Arial"/>
          <w:sz w:val="17"/>
          <w:szCs w:val="17"/>
          <w:color w:val="auto"/>
        </w:rPr>
      </w:pPr>
    </w:p>
    <w:p>
      <w:pPr>
        <w:ind w:left="600" w:right="60" w:hanging="302"/>
        <w:spacing w:after="0" w:line="250" w:lineRule="auto"/>
        <w:tabs>
          <w:tab w:leader="none" w:pos="596"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monthly reimbursement equal to the monthly COBRA premiums for NEOs, the shorter of either 30 months or the period ending on the last day of the second calendar year following the year in which the severance occurs and for other participants, 24 months; and</w:t>
      </w:r>
    </w:p>
    <w:p>
      <w:pPr>
        <w:spacing w:after="0" w:line="140" w:lineRule="exact"/>
        <w:rPr>
          <w:rFonts w:ascii="Arial" w:cs="Arial" w:eastAsia="Arial" w:hAnsi="Arial"/>
          <w:sz w:val="17"/>
          <w:szCs w:val="17"/>
          <w:color w:val="auto"/>
        </w:rPr>
      </w:pPr>
    </w:p>
    <w:p>
      <w:pPr>
        <w:ind w:left="600" w:right="620" w:hanging="302"/>
        <w:spacing w:after="0" w:line="250" w:lineRule="auto"/>
        <w:tabs>
          <w:tab w:leader="none" w:pos="596"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additional monthly amount equal to the Company’s cost as of immediately prior to the severance date under the Company’s disability, accident and life insurance.</w:t>
      </w:r>
    </w:p>
    <w:p>
      <w:pPr>
        <w:spacing w:after="0" w:line="140"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The Executive Severance Plan will provide benefits to certain eligible employees whose jobs are eliminated by the Company without cause unrelated to a change in control, excluding any termination due to death or disability, including:</w:t>
      </w:r>
    </w:p>
    <w:p>
      <w:pPr>
        <w:spacing w:after="0" w:line="140" w:lineRule="exact"/>
        <w:rPr>
          <w:sz w:val="20"/>
          <w:szCs w:val="20"/>
          <w:color w:val="auto"/>
        </w:rPr>
      </w:pPr>
    </w:p>
    <w:p>
      <w:pPr>
        <w:ind w:left="600" w:right="580" w:hanging="302"/>
        <w:spacing w:after="0" w:line="250" w:lineRule="auto"/>
        <w:tabs>
          <w:tab w:leader="none" w:pos="596" w:val="left"/>
        </w:tabs>
        <w:numPr>
          <w:ilvl w:val="0"/>
          <w:numId w:val="92"/>
        </w:numPr>
        <w:rPr>
          <w:rFonts w:ascii="Arial" w:cs="Arial" w:eastAsia="Arial" w:hAnsi="Arial"/>
          <w:sz w:val="17"/>
          <w:szCs w:val="17"/>
          <w:color w:val="auto"/>
        </w:rPr>
      </w:pPr>
      <w:r>
        <w:rPr>
          <w:rFonts w:ascii="Arial" w:cs="Arial" w:eastAsia="Arial" w:hAnsi="Arial"/>
          <w:sz w:val="17"/>
          <w:szCs w:val="17"/>
          <w:color w:val="auto"/>
        </w:rPr>
        <w:t>Severance pay in an amount equal to the sum of (i) his or her annual base salary for 18 months for the NEOs and for 12 months for other executives, (ii) his or her unpaid prior year bonus, and (iii) the pro-rata bonus, paid in equal installments;</w:t>
      </w:r>
    </w:p>
    <w:p>
      <w:pPr>
        <w:spacing w:after="0" w:line="140" w:lineRule="exact"/>
        <w:rPr>
          <w:rFonts w:ascii="Arial" w:cs="Arial" w:eastAsia="Arial" w:hAnsi="Arial"/>
          <w:sz w:val="17"/>
          <w:szCs w:val="17"/>
          <w:color w:val="auto"/>
        </w:rPr>
      </w:pPr>
    </w:p>
    <w:p>
      <w:pPr>
        <w:ind w:left="600" w:right="60" w:hanging="302"/>
        <w:spacing w:after="0" w:line="250" w:lineRule="auto"/>
        <w:tabs>
          <w:tab w:leader="none" w:pos="596"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monthly reimbursement equal to the monthly COBRA premiums for NEOs, the shorter of either 30 months or the period ending on the last day of the second calendar year following the year in which the severance occurs and for other participants, 24 months; and</w:t>
      </w:r>
    </w:p>
    <w:p>
      <w:pPr>
        <w:spacing w:after="0" w:line="140" w:lineRule="exact"/>
        <w:rPr>
          <w:rFonts w:ascii="Arial" w:cs="Arial" w:eastAsia="Arial" w:hAnsi="Arial"/>
          <w:sz w:val="17"/>
          <w:szCs w:val="17"/>
          <w:color w:val="auto"/>
        </w:rPr>
      </w:pPr>
    </w:p>
    <w:p>
      <w:pPr>
        <w:ind w:left="600" w:right="620" w:hanging="302"/>
        <w:spacing w:after="0" w:line="250" w:lineRule="auto"/>
        <w:tabs>
          <w:tab w:leader="none" w:pos="596"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additional monthly amount equal to the Company’s cost as of immediately prior to the severance date under the Company’s disability, accident and life insurance.</w:t>
      </w:r>
    </w:p>
    <w:p>
      <w:pPr>
        <w:spacing w:after="0" w:line="140" w:lineRule="exact"/>
        <w:rPr>
          <w:sz w:val="20"/>
          <w:szCs w:val="20"/>
          <w:color w:val="auto"/>
        </w:rPr>
      </w:pPr>
    </w:p>
    <w:p>
      <w:pPr>
        <w:ind w:right="500" w:firstLine="299"/>
        <w:spacing w:after="0" w:line="250" w:lineRule="auto"/>
        <w:rPr>
          <w:sz w:val="20"/>
          <w:szCs w:val="20"/>
          <w:color w:val="auto"/>
        </w:rPr>
      </w:pPr>
      <w:r>
        <w:rPr>
          <w:rFonts w:ascii="Arial" w:cs="Arial" w:eastAsia="Arial" w:hAnsi="Arial"/>
          <w:sz w:val="17"/>
          <w:szCs w:val="17"/>
          <w:color w:val="auto"/>
        </w:rPr>
        <w:t>Any severed employee will not be eligible to receive the benefits listed above unless he or she first executes a written release, which becomes effective and is not revoked.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4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In the event a participant’s employment is terminated by the Company without cause or by the executive with good reason in connection with a change in control, any awards granted to a severed employee under the LTIP will be deemed to be immediately vested and payable. If a participant’s employment is terminated unrelated to a change in control, the terms of the LTIP will apply, which include that any awards granted under the LTIP and not yet paid will terminate and the participant will not be entitled to any further payments. However, if the termination is due to a reduction in force or due to a participant’s death or disability, the compensation committee may authorize certain payments to be made for such participant’s awards granted under the LTIP.</w:t>
      </w:r>
    </w:p>
    <w:p>
      <w:pPr>
        <w:spacing w:after="0" w:line="147" w:lineRule="exact"/>
        <w:rPr>
          <w:sz w:val="20"/>
          <w:szCs w:val="20"/>
          <w:color w:val="auto"/>
        </w:rPr>
      </w:pPr>
    </w:p>
    <w:p>
      <w:pPr>
        <w:ind w:right="220" w:firstLine="299"/>
        <w:spacing w:after="0" w:line="250" w:lineRule="auto"/>
        <w:rPr>
          <w:sz w:val="20"/>
          <w:szCs w:val="20"/>
          <w:color w:val="auto"/>
        </w:rPr>
      </w:pPr>
      <w:r>
        <w:rPr>
          <w:rFonts w:ascii="Arial" w:cs="Arial" w:eastAsia="Arial" w:hAnsi="Arial"/>
          <w:sz w:val="17"/>
          <w:szCs w:val="17"/>
          <w:color w:val="auto"/>
        </w:rPr>
        <w:t>Under the Severance Plan, any outstanding awards under the Omnibus Plan will be treated in accordance with the terms of the Omnibus Plan and any award agreements, including the Founders Awards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Founders Awards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In connection with the offering, the board of directors has approved the grant of special one-time founders awards to certain key executives and directors, including William Lynn. The founders awards will be granted in the form of restricted stock units, which will cliff vest on the second anniversary of the grant date, provided that the time-based RSUs will vest in full upon the executive’s termination of employment due to death or disability or the executive’s termination of employment by us without cause. The aggregate value of RSUs to be granted in the form of founders grant RSU awards will be within a range of $7 million to $14 million. The share value will be determined upon final IPO pricing.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Employment Agreement</w:t>
      </w:r>
    </w:p>
    <w:p>
      <w:pPr>
        <w:spacing w:after="0" w:line="173" w:lineRule="exact"/>
        <w:rPr>
          <w:sz w:val="20"/>
          <w:szCs w:val="20"/>
          <w:color w:val="auto"/>
        </w:rPr>
      </w:pPr>
    </w:p>
    <w:p>
      <w:pPr>
        <w:ind w:right="740" w:firstLine="299"/>
        <w:spacing w:after="0" w:line="250" w:lineRule="auto"/>
        <w:rPr>
          <w:sz w:val="20"/>
          <w:szCs w:val="20"/>
          <w:color w:val="auto"/>
        </w:rPr>
      </w:pPr>
      <w:r>
        <w:rPr>
          <w:rFonts w:ascii="Arial" w:cs="Arial" w:eastAsia="Arial" w:hAnsi="Arial"/>
          <w:sz w:val="17"/>
          <w:szCs w:val="17"/>
          <w:color w:val="auto"/>
        </w:rPr>
        <w:t>The Company expects to enter into a new employment agreement with William Lynn in connection with this offering (the “CEO Employment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to the LTIP Plan</w:t>
      </w:r>
    </w:p>
    <w:p>
      <w:pPr>
        <w:spacing w:after="0" w:line="173"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The board of directors has approved amendments to our LTIP, which provide that no awards will be granted under the LTIP on or after January 1, 2021. The Company performance component for any LTIP awards that were issued prior to January 1, 2021 will be deemed satisfied at 100% of the remaining target award. For awards issued in 2019, the remaining performance components will be paid in 2021 and 2022 and the retention component will be paid in 2022. For awards issued in 2020, the two remaining performance components will be paid in 2022 and 2023 and the retention component will be paid in 2023. The retention component is contingent upon the participant’s continued employment on the date of each payment. The LTIP will be discontinued once the final payments are made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PRINCIPAL AND SELLING STOCKHOLDERS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Prior to the completion of this offering, all the shares of our common stock have been owned by US Holding, a wholly owned subsidiary of Leonardo</w:t>
      </w:r>
    </w:p>
    <w:p>
      <w:pPr>
        <w:spacing w:after="0" w:line="15"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S.p.A. Immediately following the offering, US Holding will own approximately % of our outstanding common stock, assuming no exercise by the underwriters of their option to purchase additional shares, and approximately % of our common stock if the underwriters exercise their option to purchase additional shares in full.</w:t>
      </w:r>
    </w:p>
    <w:p>
      <w:pPr>
        <w:sectPr>
          <w:pgSz w:w="11900" w:h="16838" w:orient="portrait"/>
          <w:cols w:equalWidth="0" w:num="1">
            <w:col w:w="11200"/>
          </w:cols>
          <w:pgMar w:left="320" w:top="1440" w:right="379" w:bottom="1440" w:gutter="0" w:footer="0" w:header="0"/>
        </w:sectPr>
      </w:pP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sets forth information as of</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 2021 with respect to the ownership of our common stock by:</w:t>
      </w:r>
    </w:p>
    <w:p>
      <w:pPr>
        <w:spacing w:after="0" w:line="164" w:lineRule="exact"/>
        <w:rPr>
          <w:sz w:val="20"/>
          <w:szCs w:val="20"/>
          <w:color w:val="auto"/>
        </w:rPr>
      </w:pPr>
    </w:p>
    <w:p>
      <w:pPr>
        <w:sectPr>
          <w:pgSz w:w="11900" w:h="16838" w:orient="portrait"/>
          <w:cols w:equalWidth="0" w:num="2">
            <w:col w:w="3680" w:space="460"/>
            <w:col w:w="7060"/>
          </w:cols>
          <w:pgMar w:left="320" w:top="1440" w:right="379" w:bottom="1440" w:gutter="0" w:footer="0" w:header="0"/>
          <w:type w:val="continuous"/>
        </w:sectPr>
      </w:pPr>
    </w:p>
    <w:p>
      <w:pPr>
        <w:ind w:left="600" w:hanging="302"/>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person known to own beneficially more than five percent of our common stock, including the selling stockholder;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of our current executive officers and directors as a group.</w:t>
      </w:r>
    </w:p>
    <w:p>
      <w:pPr>
        <w:spacing w:after="0" w:line="15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amounts and percentages of shares beneficially owned are reported on the basis of regulations of the SEC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46" w:lineRule="exact"/>
        <w:rPr>
          <w:sz w:val="20"/>
          <w:szCs w:val="20"/>
          <w:color w:val="auto"/>
        </w:rPr>
      </w:pPr>
    </w:p>
    <w:p>
      <w:pPr>
        <w:ind w:left="300"/>
        <w:spacing w:after="0"/>
        <w:tabs>
          <w:tab w:leader="none" w:pos="9120" w:val="left"/>
        </w:tabs>
        <w:rPr>
          <w:sz w:val="20"/>
          <w:szCs w:val="20"/>
          <w:color w:val="auto"/>
        </w:rPr>
      </w:pPr>
      <w:r>
        <w:rPr>
          <w:rFonts w:ascii="Arial" w:cs="Arial" w:eastAsia="Arial" w:hAnsi="Arial"/>
          <w:sz w:val="17"/>
          <w:szCs w:val="17"/>
          <w:color w:val="auto"/>
        </w:rPr>
        <w:t>Percentage computations are based on approximately 145,000,000 shares of our common stock outstanding as of</w:t>
      </w:r>
      <w:r>
        <w:rPr>
          <w:sz w:val="20"/>
          <w:szCs w:val="20"/>
          <w:color w:val="auto"/>
        </w:rPr>
        <w:tab/>
      </w:r>
      <w:r>
        <w:rPr>
          <w:rFonts w:ascii="Arial" w:cs="Arial" w:eastAsia="Arial" w:hAnsi="Arial"/>
          <w:sz w:val="16"/>
          <w:szCs w:val="16"/>
          <w:color w:val="auto"/>
        </w:rPr>
        <w:t>, 2021. The numbers of</w:t>
      </w:r>
    </w:p>
    <w:p>
      <w:pPr>
        <w:spacing w:after="0" w:line="4"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shares on the following table have not yet been adjusted to reflect our 1,450,000-for-1 forward stock split on our common stock effected on February 25, 2021.</w:t>
      </w:r>
    </w:p>
    <w:p>
      <w:pPr>
        <w:spacing w:after="0" w:line="140"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Except as otherwise indicated in these footnotes, each of the beneficial owners listed has, to our knowledge, sole voting and investment power with respect to the indicated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200"/>
          </w:cols>
          <w:pgMar w:left="320" w:top="1440" w:right="379" w:bottom="1440" w:gutter="0" w:footer="0" w:header="0"/>
          <w:type w:val="continuous"/>
        </w:sectPr>
      </w:pPr>
    </w:p>
    <w:bookmarkStart w:id="166" w:name="page167"/>
    <w:bookmarkEnd w:id="166"/>
    <w:p>
      <w:pPr>
        <w:spacing w:after="0" w:line="43"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Unless otherwise set forth in the footnotes to the table, the address for each listed stockholder is c/o 2345 Crystal Drive, Suite 1000, Arlington, Virginia 22202.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Shares Beneficially Owned After the</w:t>
            </w:r>
          </w:p>
        </w:tc>
      </w:tr>
      <w:tr>
        <w:trPr>
          <w:trHeight w:val="137"/>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320" w:type="dxa"/>
            <w:vAlign w:val="bottom"/>
            <w:gridSpan w:val="10"/>
          </w:tcPr>
          <w:p>
            <w:pPr>
              <w:jc w:val="center"/>
              <w:ind w:right="80"/>
              <w:spacing w:after="0" w:line="137" w:lineRule="exact"/>
              <w:rPr>
                <w:sz w:val="20"/>
                <w:szCs w:val="20"/>
                <w:color w:val="auto"/>
              </w:rPr>
            </w:pPr>
            <w:r>
              <w:rPr>
                <w:rFonts w:ascii="Arial" w:cs="Arial" w:eastAsia="Arial" w:hAnsi="Arial"/>
                <w:sz w:val="12"/>
                <w:szCs w:val="12"/>
                <w:b w:val="1"/>
                <w:bCs w:val="1"/>
                <w:color w:val="auto"/>
                <w:w w:val="96"/>
              </w:rPr>
              <w:t>Shares Beneficially Owned Before the Offering and After the Offering Assuming the Underwriters’ Option Is Not</w:t>
            </w:r>
          </w:p>
        </w:tc>
        <w:tc>
          <w:tcPr>
            <w:tcW w:w="2240" w:type="dxa"/>
            <w:vAlign w:val="bottom"/>
            <w:gridSpan w:val="3"/>
          </w:tcPr>
          <w:p>
            <w:pPr>
              <w:jc w:val="center"/>
              <w:spacing w:after="0" w:line="137" w:lineRule="exact"/>
              <w:rPr>
                <w:sz w:val="20"/>
                <w:szCs w:val="20"/>
                <w:color w:val="auto"/>
              </w:rPr>
            </w:pPr>
            <w:r>
              <w:rPr>
                <w:rFonts w:ascii="Arial" w:cs="Arial" w:eastAsia="Arial" w:hAnsi="Arial"/>
                <w:sz w:val="12"/>
                <w:szCs w:val="12"/>
                <w:b w:val="1"/>
                <w:bCs w:val="1"/>
                <w:color w:val="auto"/>
                <w:w w:val="96"/>
              </w:rPr>
              <w:t>Offering Assuming the Underwriters’</w:t>
            </w:r>
          </w:p>
        </w:tc>
      </w:tr>
      <w:tr>
        <w:trPr>
          <w:trHeight w:val="181"/>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2"/>
                <w:szCs w:val="12"/>
                <w:b w:val="1"/>
                <w:bCs w:val="1"/>
                <w:color w:val="auto"/>
                <w:w w:val="92"/>
              </w:rPr>
              <w:t>Exercised</w:t>
            </w:r>
            <w:r>
              <w:rPr>
                <w:rFonts w:ascii="Arial" w:cs="Arial" w:eastAsia="Arial" w:hAnsi="Arial"/>
                <w:sz w:val="15"/>
                <w:szCs w:val="15"/>
                <w:b w:val="1"/>
                <w:bCs w:val="1"/>
                <w:color w:val="auto"/>
                <w:w w:val="92"/>
                <w:vertAlign w:val="superscript"/>
              </w:rPr>
              <w:t>(1)</w:t>
            </w: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6"/>
              </w:rPr>
              <w:t>Option Is Exercised in Full</w:t>
            </w:r>
          </w:p>
        </w:tc>
      </w:tr>
      <w:tr>
        <w:trPr>
          <w:trHeight w:val="135"/>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Percent of</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7"/>
              </w:rPr>
              <w:t>Percent of Class</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7"/>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7" w:lineRule="exact"/>
              <w:rPr>
                <w:sz w:val="20"/>
                <w:szCs w:val="20"/>
                <w:color w:val="auto"/>
              </w:rPr>
            </w:pPr>
            <w:r>
              <w:rPr>
                <w:rFonts w:ascii="Arial" w:cs="Arial" w:eastAsia="Arial" w:hAnsi="Arial"/>
                <w:sz w:val="12"/>
                <w:szCs w:val="12"/>
                <w:b w:val="1"/>
                <w:bCs w:val="1"/>
                <w:color w:val="auto"/>
                <w:w w:val="99"/>
              </w:rPr>
              <w:t>Number of</w:t>
            </w:r>
          </w:p>
        </w:tc>
        <w:tc>
          <w:tcPr>
            <w:tcW w:w="10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7"/>
              </w:rPr>
              <w:t>Class Before the</w:t>
            </w:r>
          </w:p>
        </w:tc>
        <w:tc>
          <w:tcPr>
            <w:tcW w:w="80" w:type="dxa"/>
            <w:vAlign w:val="bottom"/>
          </w:tcPr>
          <w:p>
            <w:pPr>
              <w:spacing w:after="0"/>
              <w:rPr>
                <w:sz w:val="11"/>
                <w:szCs w:val="11"/>
                <w:color w:val="auto"/>
              </w:rPr>
            </w:pPr>
          </w:p>
        </w:tc>
        <w:tc>
          <w:tcPr>
            <w:tcW w:w="1140" w:type="dxa"/>
            <w:vAlign w:val="bottom"/>
            <w:gridSpan w:val="2"/>
          </w:tcPr>
          <w:p>
            <w:pPr>
              <w:jc w:val="center"/>
              <w:ind w:right="80"/>
              <w:spacing w:after="0" w:line="137" w:lineRule="exact"/>
              <w:rPr>
                <w:sz w:val="20"/>
                <w:szCs w:val="20"/>
                <w:color w:val="auto"/>
              </w:rPr>
            </w:pPr>
            <w:r>
              <w:rPr>
                <w:rFonts w:ascii="Arial" w:cs="Arial" w:eastAsia="Arial" w:hAnsi="Arial"/>
                <w:sz w:val="12"/>
                <w:szCs w:val="12"/>
                <w:b w:val="1"/>
                <w:bCs w:val="1"/>
                <w:color w:val="auto"/>
                <w:w w:val="95"/>
              </w:rPr>
              <w:t>Shares Offered</w:t>
            </w:r>
          </w:p>
        </w:tc>
        <w:tc>
          <w:tcPr>
            <w:tcW w:w="1160" w:type="dxa"/>
            <w:vAlign w:val="bottom"/>
            <w:gridSpan w:val="2"/>
          </w:tcPr>
          <w:p>
            <w:pPr>
              <w:jc w:val="center"/>
              <w:ind w:right="80"/>
              <w:spacing w:after="0" w:line="137" w:lineRule="exact"/>
              <w:rPr>
                <w:sz w:val="20"/>
                <w:szCs w:val="20"/>
                <w:color w:val="auto"/>
              </w:rPr>
            </w:pPr>
            <w:r>
              <w:rPr>
                <w:rFonts w:ascii="Arial" w:cs="Arial" w:eastAsia="Arial" w:hAnsi="Arial"/>
                <w:sz w:val="12"/>
                <w:szCs w:val="12"/>
                <w:b w:val="1"/>
                <w:bCs w:val="1"/>
                <w:color w:val="auto"/>
                <w:w w:val="96"/>
              </w:rPr>
              <w:t>Number of Shares</w:t>
            </w:r>
          </w:p>
        </w:tc>
        <w:tc>
          <w:tcPr>
            <w:tcW w:w="1140" w:type="dxa"/>
            <w:vAlign w:val="bottom"/>
            <w:gridSpan w:val="2"/>
          </w:tcPr>
          <w:p>
            <w:pPr>
              <w:jc w:val="center"/>
              <w:ind w:right="60"/>
              <w:spacing w:after="0" w:line="137" w:lineRule="exact"/>
              <w:rPr>
                <w:sz w:val="20"/>
                <w:szCs w:val="20"/>
                <w:color w:val="auto"/>
              </w:rPr>
            </w:pPr>
            <w:r>
              <w:rPr>
                <w:rFonts w:ascii="Arial" w:cs="Arial" w:eastAsia="Arial" w:hAnsi="Arial"/>
                <w:sz w:val="12"/>
                <w:szCs w:val="12"/>
                <w:b w:val="1"/>
                <w:bCs w:val="1"/>
                <w:color w:val="auto"/>
                <w:w w:val="96"/>
              </w:rPr>
              <w:t>After the Offering</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5"/>
              </w:rPr>
              <w:t>Percent of Class</w:t>
            </w:r>
          </w:p>
        </w:tc>
      </w:tr>
      <w:tr>
        <w:trPr>
          <w:trHeight w:val="153"/>
        </w:trPr>
        <w:tc>
          <w:tcPr>
            <w:tcW w:w="2620" w:type="dxa"/>
            <w:vAlign w:val="bottom"/>
            <w:gridSpan w:val="2"/>
          </w:tcPr>
          <w:p>
            <w:pPr>
              <w:ind w:left="540"/>
              <w:spacing w:after="0"/>
              <w:rPr>
                <w:sz w:val="20"/>
                <w:szCs w:val="20"/>
                <w:color w:val="auto"/>
              </w:rPr>
            </w:pPr>
            <w:r>
              <w:rPr>
                <w:rFonts w:ascii="Arial" w:cs="Arial" w:eastAsia="Arial" w:hAnsi="Arial"/>
                <w:sz w:val="12"/>
                <w:szCs w:val="12"/>
                <w:b w:val="1"/>
                <w:bCs w:val="1"/>
                <w:color w:val="auto"/>
              </w:rPr>
              <w:t>Name of Beneficial Owner</w:t>
            </w: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Shares Owned</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6"/>
              </w:rPr>
              <w:t>Offering (%)</w:t>
            </w:r>
          </w:p>
        </w:tc>
        <w:tc>
          <w:tcPr>
            <w:tcW w:w="8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Hereby</w:t>
            </w:r>
          </w:p>
        </w:tc>
        <w:tc>
          <w:tcPr>
            <w:tcW w:w="11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Owned</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6"/>
              </w:rPr>
              <w:t>(%)</w:t>
            </w:r>
          </w:p>
        </w:tc>
        <w:tc>
          <w:tcPr>
            <w:tcW w:w="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Number of Shares</w:t>
            </w:r>
          </w:p>
        </w:tc>
        <w:tc>
          <w:tcPr>
            <w:tcW w:w="108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r>
      <w:tr>
        <w:trPr>
          <w:trHeight w:val="28"/>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1"/>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Leonardo S.p.A.</w:t>
            </w:r>
            <w:r>
              <w:rPr>
                <w:rFonts w:ascii="Arial" w:cs="Arial" w:eastAsia="Arial" w:hAnsi="Arial"/>
                <w:sz w:val="21"/>
                <w:szCs w:val="21"/>
                <w:color w:val="auto"/>
                <w:vertAlign w:val="superscript"/>
              </w:rPr>
              <w:t>(2)</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145,000,000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7"/>
                <w:szCs w:val="17"/>
                <w:color w:val="auto"/>
              </w:rPr>
              <w:t>Directors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William J. Lynn III</w:t>
            </w: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7"/>
                <w:szCs w:val="17"/>
                <w:color w:val="auto"/>
              </w:rPr>
              <w:t>David W. Carey</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General George W. Casey, Jr.</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5"/>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(Ret.)</w:t>
            </w: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7"/>
                <w:szCs w:val="17"/>
                <w:color w:val="auto"/>
              </w:rPr>
              <w:t>Kenneth J. Krieg</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Peter A. Marino</w:t>
            </w: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7"/>
                <w:szCs w:val="17"/>
                <w:color w:val="auto"/>
              </w:rPr>
              <w:t>Philip A. Odeen</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Frances F. Townsend</w:t>
            </w: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7"/>
                <w:szCs w:val="17"/>
                <w:color w:val="auto"/>
              </w:rPr>
              <w:t>Officers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John A. Baylouny</w:t>
            </w: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7"/>
                <w:szCs w:val="17"/>
                <w:color w:val="auto"/>
              </w:rPr>
              <w:t>Michael D. Dippold</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Mark A. Dorfman</w:t>
            </w: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7"/>
                <w:szCs w:val="17"/>
                <w:color w:val="auto"/>
              </w:rPr>
              <w:t>Sally A. Wallace</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 current directors and</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99"/>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executive officers as a group</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(11 persons)</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
        </w:trPr>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w:t>
      </w:r>
    </w:p>
    <w:p>
      <w:pPr>
        <w:spacing w:after="0" w:line="2" w:lineRule="exact"/>
        <w:rPr>
          <w:sz w:val="20"/>
          <w:szCs w:val="20"/>
          <w:color w:val="auto"/>
        </w:rPr>
      </w:pPr>
    </w:p>
    <w:p>
      <w:pPr>
        <w:ind w:left="300" w:hanging="300"/>
        <w:spacing w:after="0"/>
        <w:tabs>
          <w:tab w:leader="none" w:pos="3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2" w:lineRule="exact"/>
        <w:rPr>
          <w:sz w:val="20"/>
          <w:szCs w:val="20"/>
          <w:color w:val="auto"/>
        </w:rPr>
      </w:pPr>
    </w:p>
    <w:p>
      <w:pPr>
        <w:spacing w:after="0"/>
        <w:tabs>
          <w:tab w:leader="none" w:pos="6720" w:val="left"/>
        </w:tabs>
        <w:rPr>
          <w:sz w:val="20"/>
          <w:szCs w:val="20"/>
          <w:color w:val="auto"/>
        </w:rPr>
      </w:pPr>
      <w:r>
        <w:rPr>
          <w:rFonts w:ascii="Arial" w:cs="Arial" w:eastAsia="Arial" w:hAnsi="Arial"/>
          <w:sz w:val="15"/>
          <w:szCs w:val="15"/>
          <w:color w:val="auto"/>
        </w:rPr>
        <w:t>(1)  The selling stockholder has granted the Underwriters an option to purchase up to an additional</w:t>
      </w:r>
      <w:r>
        <w:rPr>
          <w:sz w:val="20"/>
          <w:szCs w:val="20"/>
          <w:color w:val="auto"/>
        </w:rPr>
        <w:tab/>
      </w:r>
      <w:r>
        <w:rPr>
          <w:rFonts w:ascii="Arial" w:cs="Arial" w:eastAsia="Arial" w:hAnsi="Arial"/>
          <w:sz w:val="14"/>
          <w:szCs w:val="14"/>
          <w:color w:val="auto"/>
        </w:rPr>
        <w:t>shares.</w:t>
      </w:r>
    </w:p>
    <w:p>
      <w:pPr>
        <w:spacing w:after="0" w:line="2" w:lineRule="exact"/>
        <w:rPr>
          <w:sz w:val="20"/>
          <w:szCs w:val="20"/>
          <w:color w:val="auto"/>
        </w:rPr>
      </w:pPr>
    </w:p>
    <w:p>
      <w:pPr>
        <w:ind w:left="300" w:right="80" w:hanging="300"/>
        <w:spacing w:after="0" w:line="247" w:lineRule="auto"/>
        <w:tabs>
          <w:tab w:leader="none" w:pos="296" w:val="left"/>
        </w:tabs>
        <w:numPr>
          <w:ilvl w:val="0"/>
          <w:numId w:val="95"/>
        </w:numPr>
        <w:rPr>
          <w:rFonts w:ascii="Arial" w:cs="Arial" w:eastAsia="Arial" w:hAnsi="Arial"/>
          <w:sz w:val="15"/>
          <w:szCs w:val="15"/>
          <w:color w:val="auto"/>
        </w:rPr>
      </w:pPr>
      <w:r>
        <w:rPr>
          <w:rFonts w:ascii="Arial" w:cs="Arial" w:eastAsia="Arial" w:hAnsi="Arial"/>
          <w:sz w:val="15"/>
          <w:szCs w:val="15"/>
          <w:color w:val="auto"/>
        </w:rPr>
        <w:t>Leonardo S.p.A., as the parent of US Holding, beneficially owns all shares of our common stock owned of record by US Holding prior to the completion of this offering. Leonardo S.p.A. is a public company with shares listed on the Milan Stock Exchange. The address of Leonardo S.p.A. is Piazza Monte Grappa n. 4, 00195 Rome,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180"/>
          </w:cols>
          <w:pgMar w:left="320" w:top="1440" w:right="399" w:bottom="1440" w:gutter="0" w:footer="0" w:header="0"/>
        </w:sectPr>
      </w:pPr>
    </w:p>
    <w:bookmarkStart w:id="167" w:name="page168"/>
    <w:bookmarkEnd w:id="167"/>
    <w:p>
      <w:pPr>
        <w:spacing w:after="0" w:line="23" w:lineRule="exact"/>
        <w:rPr>
          <w:sz w:val="20"/>
          <w:szCs w:val="20"/>
          <w:color w:val="auto"/>
        </w:rPr>
      </w:pPr>
    </w:p>
    <w:p>
      <w:pPr>
        <w:ind w:right="2980" w:firstLine="2982"/>
        <w:spacing w:after="0" w:line="440" w:lineRule="auto"/>
        <w:rPr>
          <w:sz w:val="20"/>
          <w:szCs w:val="20"/>
          <w:color w:val="auto"/>
        </w:rPr>
      </w:pPr>
      <w:r>
        <w:rPr>
          <w:rFonts w:ascii="Arial" w:cs="Arial" w:eastAsia="Arial" w:hAnsi="Arial"/>
          <w:sz w:val="17"/>
          <w:szCs w:val="17"/>
          <w:b w:val="1"/>
          <w:bCs w:val="1"/>
          <w:color w:val="auto"/>
        </w:rPr>
        <w:t>CERTAIN RELATIONSHIPS AND RELATED PARTY TRANSACTIONS Policies and Procedures for Related Person Transactions</w:t>
      </w:r>
    </w:p>
    <w:p>
      <w:pPr>
        <w:ind w:firstLine="299"/>
        <w:spacing w:after="0" w:line="245" w:lineRule="auto"/>
        <w:rPr>
          <w:sz w:val="20"/>
          <w:szCs w:val="20"/>
          <w:color w:val="auto"/>
        </w:rPr>
      </w:pPr>
      <w:r>
        <w:rPr>
          <w:rFonts w:ascii="Arial" w:cs="Arial" w:eastAsia="Arial" w:hAnsi="Arial"/>
          <w:sz w:val="17"/>
          <w:szCs w:val="17"/>
          <w:color w:val="auto"/>
        </w:rPr>
        <w:t>Following the completion of this offering, our audit committee will have the primary responsibility for reviewing and approving or disapproving “related-party transactions,” which are transactions between us and related persons in which the aggregate amount involved exceeds or may be expected to exceed $120,000 and in which a related person has or may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securities, in each case since the beginning of the most recently completed year, and any of their immediate family members. Our audit committee charter that will be in effect upon completion of this offering will provide that our audit committee will review and approve or disapprove any related-party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Leonardo S.p.A. Following this Offering</w:t>
      </w:r>
    </w:p>
    <w:p>
      <w:pPr>
        <w:spacing w:after="0" w:line="173" w:lineRule="exact"/>
        <w:rPr>
          <w:sz w:val="20"/>
          <w:szCs w:val="20"/>
          <w:color w:val="auto"/>
        </w:rPr>
      </w:pPr>
    </w:p>
    <w:p>
      <w:pPr>
        <w:ind w:right="240" w:firstLine="299"/>
        <w:spacing w:after="0" w:line="264" w:lineRule="auto"/>
        <w:rPr>
          <w:sz w:val="20"/>
          <w:szCs w:val="20"/>
          <w:color w:val="auto"/>
        </w:rPr>
      </w:pPr>
      <w:r>
        <w:rPr>
          <w:rFonts w:ascii="Arial" w:cs="Arial" w:eastAsia="Arial" w:hAnsi="Arial"/>
          <w:sz w:val="16"/>
          <w:szCs w:val="16"/>
          <w:color w:val="auto"/>
        </w:rPr>
        <w:t>We are, and until completion of this offering will remain, an indirect wholly owned subsidiary of Leonardo S.p.A. Following this offering, Leonardo S.p.A., through US Holding, will continue to own a majority of our outstanding common stock, and, as a result, Leonardo S.p.A. will continue to have significant control over our business and affairs and matters being presented for approval by our stockholders, in each case subject to the terms of our proxy agreement described below. See “Risk Factors—Risks Relating to Our Status as a Controlled Company and under the Proxy Agreement.” In addition, we expect that Leonardo S.p.A. will continue to consolidate our financial results in Leonardo S.p.A.’s consolidated financial statements.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Proxy Agreement</w:t>
      </w:r>
    </w:p>
    <w:p>
      <w:pPr>
        <w:spacing w:after="0" w:line="173"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We have entered into a proxy agreement, dated as of October 26, 2017, with the proxy holders, Leonardo S.p.A., US Holding and the DoD. Following this offering we expect to enter into an amended and restated proxy agreement (as amended and restated, the “proxy agreement”) and the parties to the proxy agreement have entered into a commitment letter, dated as of , 2021, as to the form and content of the amended and restated proxy agreement which allows us to operate as if the amended and restated proxy agreement were already in effect. The following description of the proxy agreement therefore reflects the terms of the proxy agreement as it will be amended and restated, in accordance with the commitment letter, following this offering. The material terms of the amended and restated proxy agreement and the commitment letter are discussed below and the form of the amended and restated proxy agreement and the commitment letter have been filed as exhibits to the registration statement of which this prospectus forms a part.</w:t>
      </w:r>
    </w:p>
    <w:p>
      <w:pPr>
        <w:spacing w:after="0" w:line="132"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Following this offering, Leonardo S.p.A. will continue to own the entire share capital of our immediate parent, US Holding, which, in turn, will beneficially own approximately % of the voting power of our outstanding common stock (or % if the underwriters exercise their option to purchase additional shares in full). As a result, we are deemed to be under FOCI under the NISPOM, which establishes procedures and requirements for government contractors, such as our company, with regard to classified information. Furthermore, the Italian state beneficially owns approximately 30.2% of Leonardo S.p.A.’s voting power (through its ownership of approximately 30.2% of the outstanding ordinary shares of Leonardo S.p.A.). A company is considered to be operating under FOCI whenever a foreign interest has the power, direct or indirect, whether or not exercised, and whether or not exercisable, to direct or decide matters affecting the management or operations of that company in a manner that may result in unauthorized access to classified information, may adversely affect the performance of classified contracts, or may undermine U.S. security or export controls. In order to be permitted to maintain our security clearances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43"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access to classified data and to perform or bid on classified programs, we are required to mitigate FOCI, which we have done by entering into the proxy agreement. Among other things, the proxy agreement:</w:t>
      </w:r>
    </w:p>
    <w:p>
      <w:pPr>
        <w:spacing w:after="0" w:line="140" w:lineRule="exact"/>
        <w:rPr>
          <w:sz w:val="20"/>
          <w:szCs w:val="20"/>
          <w:color w:val="auto"/>
        </w:rPr>
      </w:pPr>
    </w:p>
    <w:p>
      <w:pPr>
        <w:ind w:left="600" w:right="400" w:hanging="302"/>
        <w:spacing w:after="0" w:line="247" w:lineRule="auto"/>
        <w:tabs>
          <w:tab w:leader="none" w:pos="596"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provides that the shares of our common stock owned directly or indirectly by Leonardo S.p.A. are voted through proxy holders, who must be independent from current and prior affiliation with Leonardo S.p.A. and its subsidiaries (including US Holding and us) (subject to limited exceptions discussed below) and must maintain adequate security clearance;</w:t>
      </w:r>
    </w:p>
    <w:p>
      <w:pPr>
        <w:spacing w:after="0" w:line="143" w:lineRule="exact"/>
        <w:rPr>
          <w:rFonts w:ascii="Arial" w:cs="Arial" w:eastAsia="Arial" w:hAnsi="Arial"/>
          <w:sz w:val="17"/>
          <w:szCs w:val="17"/>
          <w:color w:val="auto"/>
        </w:rPr>
      </w:pPr>
    </w:p>
    <w:p>
      <w:pPr>
        <w:ind w:left="600" w:right="80" w:hanging="302"/>
        <w:spacing w:after="0" w:line="280" w:lineRule="auto"/>
        <w:tabs>
          <w:tab w:leader="none" w:pos="596" w:val="left"/>
        </w:tabs>
        <w:numPr>
          <w:ilvl w:val="0"/>
          <w:numId w:val="96"/>
        </w:numPr>
        <w:rPr>
          <w:rFonts w:ascii="Arial" w:cs="Arial" w:eastAsia="Arial" w:hAnsi="Arial"/>
          <w:sz w:val="16"/>
          <w:szCs w:val="16"/>
          <w:color w:val="auto"/>
        </w:rPr>
      </w:pPr>
      <w:r>
        <w:rPr>
          <w:rFonts w:ascii="Arial" w:cs="Arial" w:eastAsia="Arial" w:hAnsi="Arial"/>
          <w:sz w:val="16"/>
          <w:szCs w:val="16"/>
          <w:color w:val="auto"/>
        </w:rPr>
        <w:t>provides that the proxy holders are appointed by our immediate parent US Holding (in consultation with Leonardo S.p.A.), but the appointment is subject to approval of the DCSA, an agency of the DoD, and that the proxy holders must be members of our board of directors;</w:t>
      </w:r>
    </w:p>
    <w:p>
      <w:pPr>
        <w:spacing w:after="0" w:line="118" w:lineRule="exact"/>
        <w:rPr>
          <w:rFonts w:ascii="Arial" w:cs="Arial" w:eastAsia="Arial" w:hAnsi="Arial"/>
          <w:sz w:val="16"/>
          <w:szCs w:val="16"/>
          <w:color w:val="auto"/>
        </w:rPr>
      </w:pPr>
    </w:p>
    <w:p>
      <w:pPr>
        <w:ind w:left="600" w:hanging="302"/>
        <w:spacing w:after="0"/>
        <w:tabs>
          <w:tab w:leader="none" w:pos="6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restricts our ability to share facilities and personnel with and receive certain services from Leonardo S.p.A. or its other subsidiaries;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requires us to maintain a government security committee of our board of directors; and</w:t>
      </w:r>
    </w:p>
    <w:p>
      <w:pPr>
        <w:spacing w:after="0" w:line="152" w:lineRule="exact"/>
        <w:rPr>
          <w:rFonts w:ascii="Arial" w:cs="Arial" w:eastAsia="Arial" w:hAnsi="Arial"/>
          <w:sz w:val="17"/>
          <w:szCs w:val="17"/>
          <w:color w:val="auto"/>
        </w:rPr>
      </w:pPr>
    </w:p>
    <w:p>
      <w:pPr>
        <w:ind w:left="600" w:right="320" w:hanging="302"/>
        <w:spacing w:after="0" w:line="250" w:lineRule="auto"/>
        <w:tabs>
          <w:tab w:leader="none" w:pos="596"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regulates meetings, visits and communications that are not deemed to be routine business visits between us and Leonardo S.p.A. or its other subsidiaries.</w:t>
      </w:r>
    </w:p>
    <w:p>
      <w:pPr>
        <w:spacing w:after="0" w:line="140" w:lineRule="exact"/>
        <w:rPr>
          <w:sz w:val="20"/>
          <w:szCs w:val="20"/>
          <w:color w:val="auto"/>
        </w:rPr>
      </w:pPr>
    </w:p>
    <w:p>
      <w:pPr>
        <w:ind w:right="220" w:firstLine="299"/>
        <w:spacing w:after="0" w:line="246" w:lineRule="auto"/>
        <w:rPr>
          <w:sz w:val="20"/>
          <w:szCs w:val="20"/>
          <w:color w:val="auto"/>
        </w:rPr>
      </w:pPr>
      <w:r>
        <w:rPr>
          <w:rFonts w:ascii="Arial" w:cs="Arial" w:eastAsia="Arial" w:hAnsi="Arial"/>
          <w:sz w:val="17"/>
          <w:szCs w:val="17"/>
          <w:color w:val="auto"/>
        </w:rPr>
        <w:t>The proxy agreement restricts the ability of Leonardo S.p.A. and US Holding to control our operations, as described further below. The proxy agreement will automatically terminate, among other reasons, if US Holding holds less than 50% of our outstanding shares of common stock and the DCSA determines that FOCI mitigation is no longer necessary. The proxy agreement has been filed as an exhibit to the registration statement of which this prospectus forms a part.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Proxy Holders</w:t>
      </w:r>
    </w:p>
    <w:p>
      <w:pPr>
        <w:spacing w:after="0" w:line="171" w:lineRule="exact"/>
        <w:rPr>
          <w:sz w:val="20"/>
          <w:szCs w:val="20"/>
          <w:color w:val="auto"/>
        </w:rPr>
      </w:pPr>
    </w:p>
    <w:p>
      <w:pPr>
        <w:jc w:val="both"/>
        <w:ind w:right="40" w:firstLine="299"/>
        <w:spacing w:after="0" w:line="259" w:lineRule="auto"/>
        <w:rPr>
          <w:sz w:val="20"/>
          <w:szCs w:val="20"/>
          <w:color w:val="auto"/>
        </w:rPr>
      </w:pPr>
      <w:r>
        <w:rPr>
          <w:rFonts w:ascii="Arial" w:cs="Arial" w:eastAsia="Arial" w:hAnsi="Arial"/>
          <w:sz w:val="16"/>
          <w:szCs w:val="16"/>
          <w:color w:val="auto"/>
        </w:rPr>
        <w:t>The proxy agreement requires the appointment of five proxy holders, who must be independent from current and prior affiliation with Leonardo S.p.A. and its subsidiaries (including US Holding and us), other than prior service as a proxy holder or as an outside director of us or a proxy agreement affiliate (as defined below), and maintain adequate security clearance, to vote the shares of our common stock owned directly or indirectly by Leonardo S.p.A.</w:t>
      </w:r>
    </w:p>
    <w:p>
      <w:pPr>
        <w:spacing w:after="0" w:line="2"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Proxy holders are appointed by US Holding after reasonable consultation with Leonardo S.p.A. and approval by the DCSA and serve for staggered three-year terms. During their terms, proxy holders may only be removed (i) for acts in violation of the proxy agreement, including the inability to protect the legitimate economic interest of US Holding, upon petition by US Holding to DCSA which may be granted or denied by DCSA in its sole discretion or (ii) for gross negligence or willful misconduct. Upon expiration of a proxy holder’s term, or the death, resignation, removal or inability to act of any proxy holder, the proxy holder may be reappointed or replaced by US Holding after consultation with Leonardo S.p.A. and approval by DCSA. Until a successor proxy holder accepts appointment, the remaining proxy holders may exercise all of the rights, powers and privileges of the proxy holders and if no proxy holders remain, the chairman of our board shall be automatically vested with all rights, powers, authorities and immunities of the proxy holders for an interim period until a new proxy holder is appointed by US Holding and approved by DCSA. The current proxy holders and the commencement and expiration of their terms are as set forth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60" w:type="dxa"/>
            <w:vAlign w:val="bottom"/>
            <w:tcBorders>
              <w:bottom w:val="single" w:sz="8" w:color="auto"/>
            </w:tcBorders>
          </w:tcPr>
          <w:p>
            <w:pPr>
              <w:ind w:left="860"/>
              <w:spacing w:after="0"/>
              <w:rPr>
                <w:sz w:val="20"/>
                <w:szCs w:val="20"/>
                <w:color w:val="auto"/>
              </w:rPr>
            </w:pPr>
            <w:r>
              <w:rPr>
                <w:rFonts w:ascii="Arial" w:cs="Arial" w:eastAsia="Arial" w:hAnsi="Arial"/>
                <w:sz w:val="13"/>
                <w:szCs w:val="13"/>
                <w:b w:val="1"/>
                <w:bCs w:val="1"/>
                <w:color w:val="auto"/>
              </w:rPr>
              <w:t>Proxy Holder</w:t>
            </w:r>
          </w:p>
        </w:tc>
        <w:tc>
          <w:tcPr>
            <w:tcW w:w="100" w:type="dxa"/>
            <w:vAlign w:val="bottom"/>
            <w:tcBorders>
              <w:bottom w:val="single" w:sz="8" w:color="CCEEFF"/>
            </w:tcBorders>
          </w:tcPr>
          <w:p>
            <w:pPr>
              <w:spacing w:after="0"/>
              <w:rPr>
                <w:sz w:val="15"/>
                <w:szCs w:val="15"/>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Term Commencement</w:t>
            </w:r>
          </w:p>
        </w:tc>
        <w:tc>
          <w:tcPr>
            <w:tcW w:w="80" w:type="dxa"/>
            <w:vAlign w:val="bottom"/>
            <w:tcBorders>
              <w:bottom w:val="single" w:sz="8" w:color="CCEEFF"/>
            </w:tcBorders>
          </w:tcPr>
          <w:p>
            <w:pPr>
              <w:spacing w:after="0"/>
              <w:rPr>
                <w:sz w:val="15"/>
                <w:szCs w:val="15"/>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Term Expiration</w:t>
            </w:r>
          </w:p>
        </w:tc>
      </w:tr>
      <w:tr>
        <w:trPr>
          <w:trHeight w:val="226"/>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David W. Carey</w:t>
            </w:r>
          </w:p>
        </w:tc>
        <w:tc>
          <w:tcPr>
            <w:tcW w:w="4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6"/>
              </w:rPr>
              <w:t>January 1, 2018</w:t>
            </w:r>
          </w:p>
        </w:tc>
        <w:tc>
          <w:tcPr>
            <w:tcW w:w="3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December 31, 2022</w:t>
            </w:r>
          </w:p>
        </w:tc>
      </w:tr>
      <w:tr>
        <w:trPr>
          <w:trHeight w:val="224"/>
        </w:trPr>
        <w:tc>
          <w:tcPr>
            <w:tcW w:w="2660" w:type="dxa"/>
            <w:vAlign w:val="bottom"/>
            <w:gridSpan w:val="2"/>
          </w:tcPr>
          <w:p>
            <w:pPr>
              <w:ind w:left="20"/>
              <w:spacing w:after="0"/>
              <w:rPr>
                <w:sz w:val="20"/>
                <w:szCs w:val="20"/>
                <w:color w:val="auto"/>
              </w:rPr>
            </w:pPr>
            <w:r>
              <w:rPr>
                <w:rFonts w:ascii="Arial" w:cs="Arial" w:eastAsia="Arial" w:hAnsi="Arial"/>
                <w:sz w:val="17"/>
                <w:szCs w:val="17"/>
                <w:color w:val="auto"/>
              </w:rPr>
              <w:t>Kenneth J. Krieg</w:t>
            </w:r>
          </w:p>
        </w:tc>
        <w:tc>
          <w:tcPr>
            <w:tcW w:w="472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January 1, 2018</w:t>
            </w:r>
          </w:p>
        </w:tc>
        <w:tc>
          <w:tcPr>
            <w:tcW w:w="3860" w:type="dxa"/>
            <w:vAlign w:val="bottom"/>
          </w:tcPr>
          <w:p>
            <w:pPr>
              <w:jc w:val="center"/>
              <w:spacing w:after="0"/>
              <w:rPr>
                <w:sz w:val="20"/>
                <w:szCs w:val="20"/>
                <w:color w:val="auto"/>
              </w:rPr>
            </w:pPr>
            <w:r>
              <w:rPr>
                <w:rFonts w:ascii="Arial" w:cs="Arial" w:eastAsia="Arial" w:hAnsi="Arial"/>
                <w:sz w:val="17"/>
                <w:szCs w:val="17"/>
                <w:color w:val="auto"/>
                <w:w w:val="97"/>
              </w:rPr>
              <w:t>December 31, 2021</w:t>
            </w:r>
          </w:p>
        </w:tc>
      </w:tr>
      <w:tr>
        <w:trPr>
          <w:trHeight w:val="25"/>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9"/>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Peter A. Marino</w:t>
            </w:r>
          </w:p>
        </w:tc>
        <w:tc>
          <w:tcPr>
            <w:tcW w:w="4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6"/>
              </w:rPr>
              <w:t>January 1, 2018</w:t>
            </w:r>
          </w:p>
        </w:tc>
        <w:tc>
          <w:tcPr>
            <w:tcW w:w="3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December 31, 2022</w:t>
            </w:r>
          </w:p>
        </w:tc>
      </w:tr>
      <w:tr>
        <w:trPr>
          <w:trHeight w:val="224"/>
        </w:trPr>
        <w:tc>
          <w:tcPr>
            <w:tcW w:w="2660" w:type="dxa"/>
            <w:vAlign w:val="bottom"/>
            <w:gridSpan w:val="2"/>
          </w:tcPr>
          <w:p>
            <w:pPr>
              <w:ind w:left="20"/>
              <w:spacing w:after="0"/>
              <w:rPr>
                <w:sz w:val="20"/>
                <w:szCs w:val="20"/>
                <w:color w:val="auto"/>
              </w:rPr>
            </w:pPr>
            <w:r>
              <w:rPr>
                <w:rFonts w:ascii="Arial" w:cs="Arial" w:eastAsia="Arial" w:hAnsi="Arial"/>
                <w:sz w:val="17"/>
                <w:szCs w:val="17"/>
                <w:color w:val="auto"/>
              </w:rPr>
              <w:t>Philip A. Odeen</w:t>
            </w:r>
          </w:p>
        </w:tc>
        <w:tc>
          <w:tcPr>
            <w:tcW w:w="472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January 1, 2018</w:t>
            </w:r>
          </w:p>
        </w:tc>
        <w:tc>
          <w:tcPr>
            <w:tcW w:w="3860" w:type="dxa"/>
            <w:vAlign w:val="bottom"/>
          </w:tcPr>
          <w:p>
            <w:pPr>
              <w:jc w:val="center"/>
              <w:spacing w:after="0"/>
              <w:rPr>
                <w:sz w:val="20"/>
                <w:szCs w:val="20"/>
                <w:color w:val="auto"/>
              </w:rPr>
            </w:pPr>
            <w:r>
              <w:rPr>
                <w:rFonts w:ascii="Arial" w:cs="Arial" w:eastAsia="Arial" w:hAnsi="Arial"/>
                <w:sz w:val="17"/>
                <w:szCs w:val="17"/>
                <w:color w:val="auto"/>
                <w:w w:val="98"/>
              </w:rPr>
              <w:t>June 30, 2021</w:t>
            </w:r>
          </w:p>
        </w:tc>
      </w:tr>
      <w:tr>
        <w:trPr>
          <w:trHeight w:val="25"/>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4"/>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Frances F. Townsend</w:t>
            </w:r>
          </w:p>
        </w:tc>
        <w:tc>
          <w:tcPr>
            <w:tcW w:w="47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6"/>
              </w:rPr>
              <w:t>January 1, 2018</w:t>
            </w:r>
          </w:p>
        </w:tc>
        <w:tc>
          <w:tcPr>
            <w:tcW w:w="3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December 31, 2021</w:t>
            </w:r>
          </w:p>
        </w:tc>
      </w:tr>
      <w:tr>
        <w:trPr>
          <w:trHeight w:val="25"/>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ind w:right="160" w:firstLine="299"/>
        <w:spacing w:after="0" w:line="250" w:lineRule="auto"/>
        <w:rPr>
          <w:sz w:val="20"/>
          <w:szCs w:val="20"/>
          <w:color w:val="auto"/>
        </w:rPr>
      </w:pPr>
      <w:r>
        <w:rPr>
          <w:rFonts w:ascii="Arial" w:cs="Arial" w:eastAsia="Arial" w:hAnsi="Arial"/>
          <w:sz w:val="17"/>
          <w:szCs w:val="17"/>
          <w:color w:val="auto"/>
        </w:rPr>
        <w:t>The proxy agreement confers on the proxy holders the right to vote US Holding’s shares of our common stock in the same manner and to the same extent as if they were the absolute owners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4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shares in their own right. All actions of the proxy holders with respect to US Holding’s shares of our common stock require a majority vote of the proxy holders. Each proxy holder is entitled to one vote. In exercising their power as proxy holders and fulfilling their duties as members of our board, the proxy holders are directed to seek to protect the legitimate economic interests of our shareholders and to act in a manner consistent with their fiduciary duties.</w:t>
      </w:r>
    </w:p>
    <w:p>
      <w:pPr>
        <w:spacing w:after="0" w:line="126" w:lineRule="exact"/>
        <w:rPr>
          <w:sz w:val="20"/>
          <w:szCs w:val="20"/>
          <w:color w:val="auto"/>
        </w:rPr>
      </w:pPr>
    </w:p>
    <w:p>
      <w:pPr>
        <w:ind w:right="400" w:firstLine="299"/>
        <w:spacing w:after="0" w:line="250" w:lineRule="auto"/>
        <w:rPr>
          <w:sz w:val="20"/>
          <w:szCs w:val="20"/>
          <w:color w:val="auto"/>
        </w:rPr>
      </w:pPr>
      <w:r>
        <w:rPr>
          <w:rFonts w:ascii="Arial" w:cs="Arial" w:eastAsia="Arial" w:hAnsi="Arial"/>
          <w:sz w:val="17"/>
          <w:szCs w:val="17"/>
          <w:color w:val="auto"/>
        </w:rPr>
        <w:t>The proxy holders are permitted to vote for or consent to the following matters in their sole and absolute discretion, without consultation with US Holding or Leonardo S.p.A.:</w:t>
      </w:r>
    </w:p>
    <w:p>
      <w:pPr>
        <w:spacing w:after="0" w:line="140" w:lineRule="exact"/>
        <w:rPr>
          <w:sz w:val="20"/>
          <w:szCs w:val="20"/>
          <w:color w:val="auto"/>
        </w:rPr>
      </w:pPr>
    </w:p>
    <w:p>
      <w:pPr>
        <w:ind w:left="600" w:right="560" w:hanging="302"/>
        <w:spacing w:after="0" w:line="250" w:lineRule="auto"/>
        <w:tabs>
          <w:tab w:leader="none" w:pos="59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election of additional directors who are not proxy holders, and who are proposed by US Holding after reasonable consultation with the nominating and corporate governance committee of our board;</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changes or amendments to our certificate of incorporation or bylaws involving matters other than those described below;</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sale or disposal of our property, assets or business other than as described below;</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incurrence of debt or any pledge, mortgage or encumbrance of any of our assets other than as described below;</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action necessary to effect the offering other than as described below; and</w:t>
      </w:r>
    </w:p>
    <w:p>
      <w:pPr>
        <w:spacing w:after="0" w:line="152" w:lineRule="exact"/>
        <w:rPr>
          <w:rFonts w:ascii="Arial" w:cs="Arial" w:eastAsia="Arial" w:hAnsi="Arial"/>
          <w:sz w:val="17"/>
          <w:szCs w:val="17"/>
          <w:color w:val="auto"/>
        </w:rPr>
      </w:pPr>
    </w:p>
    <w:p>
      <w:pPr>
        <w:ind w:left="600" w:right="420" w:hanging="302"/>
        <w:spacing w:after="0" w:line="250" w:lineRule="auto"/>
        <w:tabs>
          <w:tab w:leader="none" w:pos="596"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action with respect to the foregoing, or any other matter affecting us and not specifically described below that US Holding might lawfully exercise.</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proxy holders may only vote for or consent to the following matters with the express written approval of US Holding:</w:t>
      </w:r>
    </w:p>
    <w:p>
      <w:pPr>
        <w:spacing w:after="0" w:line="153" w:lineRule="exact"/>
        <w:rPr>
          <w:sz w:val="20"/>
          <w:szCs w:val="20"/>
          <w:color w:val="auto"/>
        </w:rPr>
      </w:pPr>
    </w:p>
    <w:p>
      <w:pPr>
        <w:ind w:left="600" w:right="100" w:hanging="302"/>
        <w:spacing w:after="0" w:line="245" w:lineRule="auto"/>
        <w:tabs>
          <w:tab w:leader="none" w:pos="5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sale or disposition of any of our subsidiaries, property, assets or business or those of our subsidiaries or the purchase by us or our subsidiaries of any business, properties, assets or entities, other than in the ordinary course of business, in any individual transaction where our investment (based on our share of the enterprise value) exceeds two percent (2%) of our revenues for the immediately preceding year or where our investment, in the aggregate, for all such sales or dispositions in a calendar year, exceeds an amount equal to five percent (5%) of our revenues for the immediately preceding year;</w:t>
      </w:r>
    </w:p>
    <w:p>
      <w:pPr>
        <w:spacing w:after="0" w:line="147" w:lineRule="exact"/>
        <w:rPr>
          <w:rFonts w:ascii="Arial" w:cs="Arial" w:eastAsia="Arial" w:hAnsi="Arial"/>
          <w:sz w:val="17"/>
          <w:szCs w:val="17"/>
          <w:color w:val="auto"/>
        </w:rPr>
      </w:pPr>
    </w:p>
    <w:p>
      <w:pPr>
        <w:ind w:left="600" w:right="100" w:hanging="302"/>
        <w:spacing w:after="0" w:line="246" w:lineRule="auto"/>
        <w:tabs>
          <w:tab w:leader="none" w:pos="5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incurrence of debt or pledge, mortgage, lease or other encumbrance of our assets of those of our subsidiaries in connection with the incurrence of debt, if such incurrence would cause the aggregate outstanding principal amount of all debt of us and our subsidiaries to exceed a target leverage ratio set forth in our then-current operating plan, excluding current debt incurred for purposes of funding day-to-day working capital requirements in the ordinary course of business;</w:t>
      </w:r>
    </w:p>
    <w:p>
      <w:pPr>
        <w:spacing w:after="0" w:line="144" w:lineRule="exact"/>
        <w:rPr>
          <w:rFonts w:ascii="Arial" w:cs="Arial" w:eastAsia="Arial" w:hAnsi="Arial"/>
          <w:sz w:val="17"/>
          <w:szCs w:val="17"/>
          <w:color w:val="auto"/>
        </w:rPr>
      </w:pPr>
    </w:p>
    <w:p>
      <w:pPr>
        <w:ind w:left="600" w:right="280" w:hanging="302"/>
        <w:spacing w:after="0" w:line="250" w:lineRule="auto"/>
        <w:tabs>
          <w:tab w:leader="none" w:pos="5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merger, consolidation, reorganization or dissolution of us of any of our subsidiaries except as permitted above and excluding transactions solely among our wholly owned subsidiaries; and</w:t>
      </w:r>
    </w:p>
    <w:p>
      <w:pPr>
        <w:spacing w:after="0" w:line="140" w:lineRule="exact"/>
        <w:rPr>
          <w:rFonts w:ascii="Arial" w:cs="Arial" w:eastAsia="Arial" w:hAnsi="Arial"/>
          <w:sz w:val="17"/>
          <w:szCs w:val="17"/>
          <w:color w:val="auto"/>
        </w:rPr>
      </w:pPr>
    </w:p>
    <w:p>
      <w:pPr>
        <w:ind w:left="600" w:right="300" w:hanging="302"/>
        <w:spacing w:after="0" w:line="250" w:lineRule="auto"/>
        <w:tabs>
          <w:tab w:leader="none" w:pos="5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filing or making of any petition by us or our subsidiaries under the federal bankruptcy laws or any similar law or statute of any state or any foreign country.</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addition, the proxy holders may only vote to declare or suspend dividends after prior consultation with US Holding.</w:t>
      </w:r>
    </w:p>
    <w:p>
      <w:pPr>
        <w:spacing w:after="0" w:line="153"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We and US Holding are required to jointly and severally indemnify and hold each proxy holder harmless from any and all claims arising from or in any way connected to his or her performance as a proxy holder except for his or her own individual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Board of Directors</w:t>
      </w:r>
    </w:p>
    <w:p>
      <w:pPr>
        <w:spacing w:after="0" w:line="171"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The proxy agreement requires that all five proxy holders serve as members of our board. Additionally, our board must elect a chair and, if the chair is not one of the proxy holders, our board must elect a lead outside director from among the proxy holders. Under the terms of the proxy agreement, the proxy holders shall, in their sole discretion and in their capacity as members of the nominating and corporate governance committee of our board, nominate four additional individuals who are not proxy holders, selected from candidates proposed by US Holding, in consultation with the nominating and corporate governance committee, as candidates for election to our board (the “non-proxy holder director nominees”). The non-proxy holder director nominees shall include (i) our chief executive officer and (ii) three additional individuals. If any non-proxy holder director nominee has a prior or existing contractual, financial or employment relationship with Leonardo S.p.A., such that they would not be an “independent director”, DCSA must approve their selection.</w:t>
      </w:r>
    </w:p>
    <w:p>
      <w:pPr>
        <w:spacing w:after="0" w:line="146" w:lineRule="exact"/>
        <w:rPr>
          <w:sz w:val="20"/>
          <w:szCs w:val="20"/>
          <w:color w:val="auto"/>
        </w:rPr>
      </w:pPr>
    </w:p>
    <w:p>
      <w:pPr>
        <w:ind w:firstLine="299"/>
        <w:spacing w:after="0" w:line="266" w:lineRule="auto"/>
        <w:rPr>
          <w:sz w:val="20"/>
          <w:szCs w:val="20"/>
          <w:color w:val="auto"/>
        </w:rPr>
      </w:pPr>
      <w:r>
        <w:rPr>
          <w:rFonts w:ascii="Arial" w:cs="Arial" w:eastAsia="Arial" w:hAnsi="Arial"/>
          <w:sz w:val="16"/>
          <w:szCs w:val="16"/>
          <w:color w:val="auto"/>
        </w:rPr>
        <w:t>The nominating and corporate governance committee of our board, which will be comprised solely of proxy holders, will nominate the proxy holders for election as directors at any meeting of our stockholders at which directors are to be elected. At any such meeting, the proxy holders will vote on behalf of US Holding to elect the then-current proxy holders and the non-proxy holder director nominees to serve on our board for the succeeding year. The proxy holders may remove any non-proxy holder director nominee from our board by majority vote and after consultation with US Holding.</w:t>
      </w:r>
    </w:p>
    <w:p>
      <w:pPr>
        <w:spacing w:after="0" w:line="130"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The proxy agreement requires our board to establish the GSC, consisting of all proxy holders, our chief executive officer, our general counsel, our CFSO and our TCO, to the extent that such officers have adequate security clearances. The role of the GSC is to ensure that we maintain policies and procedures, including a technology control plan, to safeguard classified information in our possession and to ensure that we comply with the proxy agreement, the ITAR, the EAR, and the NISPOM. The proxy agreement also requires that the audit committee of our board appoint an independent auditor to conduct an annual audit of our books and records which may be the same independent auditor used by Leonardo S.p.A. or US Holding unless the GSC concludes that measures are not reasonably available to ensure that performance of the audit by such auditor complies with the proxy agreement.</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Facilities, Personnel and Services</w:t>
      </w:r>
    </w:p>
    <w:p>
      <w:pPr>
        <w:spacing w:after="0" w:line="171"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The proxy agreement restricts our ability to share facilities and personnel with and receive certain services from (i) Leonardo S.p.A., (ii) each entity that, to our knowledge, Leonardo S.p.A. directly or indirectly controls, is directly or indirectly controlled by (other than DRS itself and our subsidiaries), or is directly under common control with, except for any entity operating under an effective DCSA FOCI mitigation agreement (each of (i) and (ii), a “proxy agreement affiliate”) or (iii) any director, officer, employee, beneficial owner of greater than 5% of a class of equity securities (as determined by voting or investment control over the securities), agent or other representative of a proxy agreement affiliate (together with the proxy agreement affiliates, the “proxy agreement affiliated group”).</w:t>
      </w:r>
    </w:p>
    <w:p>
      <w:pPr>
        <w:spacing w:after="0" w:line="147" w:lineRule="exact"/>
        <w:rPr>
          <w:sz w:val="20"/>
          <w:szCs w:val="20"/>
          <w:color w:val="auto"/>
        </w:rPr>
      </w:pPr>
    </w:p>
    <w:p>
      <w:pPr>
        <w:ind w:right="200" w:firstLine="299"/>
        <w:spacing w:after="0" w:line="245" w:lineRule="auto"/>
        <w:rPr>
          <w:sz w:val="20"/>
          <w:szCs w:val="20"/>
          <w:color w:val="auto"/>
        </w:rPr>
      </w:pPr>
      <w:r>
        <w:rPr>
          <w:rFonts w:ascii="Arial" w:cs="Arial" w:eastAsia="Arial" w:hAnsi="Arial"/>
          <w:sz w:val="17"/>
          <w:szCs w:val="17"/>
          <w:color w:val="auto"/>
        </w:rPr>
        <w:t>Our officers may only serve as officers of any of the proxy agreement affiliated group and vice versa with the approval of the DCSA and the GSC. DRS may only collocate facilities and personnel with the proxy agreement affiliated group with the prior written approval of the DCSA pursuant to the submission by DRS of a facility location plan describing the location of the relevant facilities and which may include, at the DCSA’s request, information such as maps and floor plans of such facilities. Furthermore, DRS and the proxy agreement affiliated group may only engage in specified “affiliated operations” (as described below) pursuant to an AOP, setting out policies and procedures regarding services provided to, provided by, or exchanged between DRS and the proxy agreement affiliated group, and approved by the DCSA.</w:t>
      </w:r>
    </w:p>
    <w:p>
      <w:pPr>
        <w:spacing w:after="0" w:line="147" w:lineRule="exact"/>
        <w:rPr>
          <w:sz w:val="20"/>
          <w:szCs w:val="20"/>
          <w:color w:val="auto"/>
        </w:rPr>
      </w:pPr>
    </w:p>
    <w:p>
      <w:pPr>
        <w:jc w:val="both"/>
        <w:ind w:right="40" w:firstLine="299"/>
        <w:spacing w:after="0" w:line="247" w:lineRule="auto"/>
        <w:rPr>
          <w:sz w:val="20"/>
          <w:szCs w:val="20"/>
          <w:color w:val="auto"/>
        </w:rPr>
      </w:pPr>
      <w:r>
        <w:rPr>
          <w:rFonts w:ascii="Arial" w:cs="Arial" w:eastAsia="Arial" w:hAnsi="Arial"/>
          <w:sz w:val="17"/>
          <w:szCs w:val="17"/>
          <w:color w:val="auto"/>
        </w:rPr>
        <w:t>Any AOP must, at a minimum, require the GSC to notify the DCSA of any proposed category of affiliated operations and obtain DCSA approval prior to accepting or providing any associated affiliated operations, contain procedures for ensuring that any such services do not circumvent the requirements of the proxy agreement and require the GSC to provide the DCSA with an annual written certification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43" w:lineRule="exact"/>
        <w:rPr>
          <w:sz w:val="20"/>
          <w:szCs w:val="20"/>
          <w:color w:val="auto"/>
        </w:rPr>
      </w:pPr>
    </w:p>
    <w:p>
      <w:pPr>
        <w:ind w:right="720"/>
        <w:spacing w:after="0" w:line="250" w:lineRule="auto"/>
        <w:rPr>
          <w:sz w:val="20"/>
          <w:szCs w:val="20"/>
          <w:color w:val="auto"/>
        </w:rPr>
      </w:pPr>
      <w:r>
        <w:rPr>
          <w:rFonts w:ascii="Arial" w:cs="Arial" w:eastAsia="Arial" w:hAnsi="Arial"/>
          <w:sz w:val="17"/>
          <w:szCs w:val="17"/>
          <w:color w:val="auto"/>
        </w:rPr>
        <w:t>is effectively monitoring any affiliated operations and that such affiliated operations do not allow the proxy agreement affiliated group to exercise prohibited control or influence with respect to the management or business of DRS.</w:t>
      </w:r>
    </w:p>
    <w:p>
      <w:pPr>
        <w:spacing w:after="0" w:line="140"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Affiliated operations include (i) sharing of employees between DRS and the proxy agreement affiliated group, (ii) receipt by both DRS and the proxy agreement affiliated group of third party professional services such as accounting, legal, tax, information technology or business consulting from the same service provider and (iii) the provision of products or services between DRS and the proxy agreement affiliated group, where the provision of such products or services could result in the potential for operational leverage by the proxy agreement affiliated group over DRS. See “—Affiliated Operations Plan (AOP) Services Agreements” below. Sharing of third-party services between DRS and the proxy agreement affiliated group may be approved by the majority of the GSC but such approval is subject to DCSA review and the DCSA may require the GSC to rescind any such approval. Sharing of services and products between DRS and the proxy agreement affiliated group pursuant to contracts and subcontracts, joint research, development, marketing or other type of teaming arrangement entered in connection with a commercial pursuit or joint business venture may be approved by the majority of the proxy holders and must be disclosed to the DCSA.</w:t>
      </w:r>
    </w:p>
    <w:p>
      <w:pPr>
        <w:spacing w:after="0" w:line="145" w:lineRule="exact"/>
        <w:rPr>
          <w:sz w:val="20"/>
          <w:szCs w:val="20"/>
          <w:color w:val="auto"/>
        </w:rPr>
      </w:pPr>
    </w:p>
    <w:p>
      <w:pPr>
        <w:ind w:right="420" w:firstLine="299"/>
        <w:spacing w:after="0" w:line="250" w:lineRule="auto"/>
        <w:rPr>
          <w:sz w:val="20"/>
          <w:szCs w:val="20"/>
          <w:color w:val="auto"/>
        </w:rPr>
      </w:pPr>
      <w:r>
        <w:rPr>
          <w:rFonts w:ascii="Arial" w:cs="Arial" w:eastAsia="Arial" w:hAnsi="Arial"/>
          <w:sz w:val="17"/>
          <w:szCs w:val="17"/>
          <w:color w:val="auto"/>
        </w:rPr>
        <w:t>If DRS expects to use technology products or services of the proxy agreement affiliated group in connection with classified contracts, DRS must notify each applicable government contracting activity and provide the GSC with an annual report regarding such the notifications.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Meetings, Visits and Communications</w:t>
      </w:r>
    </w:p>
    <w:p>
      <w:pPr>
        <w:spacing w:after="0" w:line="171"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The proxy agreement regulates meetings, visits and other communications between us and the proxy agreement affiliated group. Representatives of Leonardo S.p.A. and US Holding are required to be invited to meetings of the proxy holders but the agenda and minutes for such meetings must be provided to the DCSA for its review. Classified and controlled unclassified information may only be disclosed to Leonardo S.p.A. and its subsidiaries (including US Holding) as specifically authorized by applicable law or regulation.</w:t>
      </w:r>
    </w:p>
    <w:p>
      <w:pPr>
        <w:spacing w:after="0" w:line="144"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All proposed visits (which may include teleconferences and videoconferences), other than routine business visits, between us and the proxy agreement affiliated group must be approved in advance by a proxy holder. Routine business visits are those that (i) are made by persons other than key management personnel, (ii) do not involve the transfer or receipt of classified information, (iii) either do not involve export-controlled information, or involve the approved transfer of export-controlled information under a proper license or authorization, (iv) do not relate to activities bearing upon our performance of classified contracts, and (v) pertain only to the commercial aspects of our business. Routine business visits may include visits for the purpose of discussion of financial performance and securities law compliance, arm’s-length business, U.S. government export control compliance and approved affiliated operations. As long as our DCSA security rating is “satisfactory” or above, routine business visits may be approved by the CFSO, rather than a proxy holder, and all such visits may be approved in advance for a period of up to 180 days. Strictly social visits between our personnel and the proxy agreement affiliate group are not prohibited but written reports of such visits must be submitted to the CFSO for review by the proxy holders. The GSC must maintain documentation related to all meetings, visitations and communications, together with appropriate approvals or disapprovals and reports, for review by the DCSA.</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Compliance and Termination</w:t>
      </w:r>
    </w:p>
    <w:p>
      <w:pPr>
        <w:spacing w:after="0" w:line="17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proxy holders are required to meet as necessary to satisfy their responsibilities under the proxy agreement and our board must meet at least four times per year in addition to any separate meetings of the proxy holders. Additionally, representatives of the DCSA, the proxy holders, other members of the GSC and certain other officers of DRS, Leonardo S.p.A. and US Holding are required to meet annually to review the purpose and effectiveness of the proxy agreement. The president of DRS and the chairman of the GSC are required to submit an annual report to the DCSA on the implementation of and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43"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color w:val="auto"/>
        </w:rPr>
        <w:t>with the proxy agreement, accompanied by a certificate from our corporate secretary certifying that each of the representations and warranties in the proxy agreement remain true and correct on the date of such report or providing updates as applicable. Under the proxy agreement, the DoD may impose any additional security safeguards that it believes necessary to adequately safeguard classified and controlled unclassified information.</w:t>
      </w:r>
    </w:p>
    <w:p>
      <w:pPr>
        <w:spacing w:after="0" w:line="126" w:lineRule="exact"/>
        <w:rPr>
          <w:sz w:val="20"/>
          <w:szCs w:val="20"/>
          <w:color w:val="auto"/>
        </w:rPr>
      </w:pPr>
    </w:p>
    <w:p>
      <w:pPr>
        <w:ind w:right="360" w:firstLine="299"/>
        <w:spacing w:after="0" w:line="247" w:lineRule="auto"/>
        <w:rPr>
          <w:sz w:val="20"/>
          <w:szCs w:val="20"/>
          <w:color w:val="auto"/>
        </w:rPr>
      </w:pPr>
      <w:r>
        <w:rPr>
          <w:rFonts w:ascii="Arial" w:cs="Arial" w:eastAsia="Arial" w:hAnsi="Arial"/>
          <w:sz w:val="17"/>
          <w:szCs w:val="17"/>
          <w:color w:val="auto"/>
        </w:rPr>
        <w:t>In the event of a material breach of the proxy agreement, the DoD may (i) novate our classified contracts to a company not under FOCI at our expense, (ii) terminate our classified contracts and deny us new classified contracts, (iii) revoke our facility security clearance and/or (iv) suspend or debar us from participation in all U.S. government contracts.</w:t>
      </w:r>
    </w:p>
    <w:p>
      <w:pPr>
        <w:spacing w:after="0" w:line="14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The proxy agreement will expire by its terms five years from its effective date. Prior to that date, DCSA may terminate the proxy agreement if it deems the proxy agreement no longer necessary in order to maintain our facility security clearance or if our facility security clearance is no longer necessary, if there has been a breach of the proxy agreement that requires its termination or if the DCSA determines that terminating is necessary for national security or, in the DCSA’s sole discretion, upon petition by us or US Holding. Additionally, the proxy agreement will be automatically terminated upon the sale of our business or all of US Holding’s interest in us to a person or entity not controlled by Leonardo S.p.A. or if US Holding holds less than 50% of our outstanding shares of common stock and the DCSA determines that FOCI mitigation is no longer necessary.</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Cooperation Agreement</w:t>
      </w:r>
    </w:p>
    <w:p>
      <w:pPr>
        <w:spacing w:after="0" w:line="173"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We intend to enter into a cooperation agreement with Leonardo S.p.A. and US Holding upon the completion of this offering (the “cooperation agreement”). The cooperation agreement will address rights that Leonardo S.p.A. and US Holding will have with respect to our business and financial information and financial accounting matters. The form of the cooperation agreement has been filed as an exhibit to the registration statement of which this prospectus forms a part and the discussion of the cooperation agreement in this prospectus is subject to and qualified in its entirety by reference to the form of cooperation agreement.</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Information Rights, Disclosure and Financial Accounting</w:t>
      </w:r>
    </w:p>
    <w:p>
      <w:pPr>
        <w:spacing w:after="0" w:line="17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cooperation agreement will require us, as long as Leonardo S.p.A. is required under IFRS to consolidate our financial results in the consolidated financial statements of Leonardo S.p.A., to continue to provide Leonardo S.p.A. with (A) information and data relating to our and our subsidiaries’ business and financial results and (B) reasonable access to our personnel, data and systems, in each case in the same manner as we do immediately prior to this offering, in each case subject to the terms of the proxy agreement. In addition, during this period, we will be required to maintain accounting principles, systems and reporting formats that are consistent with Leonardo S.p.A.’s financial accounting practices in effect at the time of completion of this offering and that support Leonardo S.p.A.’s environmental, social and governance (ESG) requirements consistent with the basis supported at the time of completion of the offering, and in good faith to consider any changes to such principles, systems or reporting formats requested by Leonardo S.p.A. to enable Leonardo S.p.A. to prepare its consolidated financial and ESG statements and related public disclosures. Furthermore, the cooperation agreement will require us during this time to maintain appropriate disclosure controls and internal controls.</w:t>
      </w:r>
    </w:p>
    <w:p>
      <w:pPr>
        <w:spacing w:after="0" w:line="145" w:lineRule="exact"/>
        <w:rPr>
          <w:sz w:val="20"/>
          <w:szCs w:val="20"/>
          <w:color w:val="auto"/>
        </w:rPr>
      </w:pPr>
    </w:p>
    <w:p>
      <w:pPr>
        <w:ind w:right="80" w:firstLine="299"/>
        <w:spacing w:after="0" w:line="259" w:lineRule="auto"/>
        <w:rPr>
          <w:sz w:val="20"/>
          <w:szCs w:val="20"/>
          <w:color w:val="auto"/>
        </w:rPr>
      </w:pPr>
      <w:r>
        <w:rPr>
          <w:rFonts w:ascii="Arial" w:cs="Arial" w:eastAsia="Arial" w:hAnsi="Arial"/>
          <w:sz w:val="16"/>
          <w:szCs w:val="16"/>
          <w:color w:val="auto"/>
        </w:rPr>
        <w:t>Following the time at which the provisions of the immediately preceding paragraph cease to apply, and ending when Leonardo S.p.A. is no longer required under IFRS to account in its financial statements for its holdings in us under the equity method of accounting, unless Leonardo S.p.A. shall earlier provide written notice to us that it is opting out of these provisions, we will, subject to reasonable protections for our confidential or proprietary information, be obligated to provide Leonardo S.p.A. with (i) information and data relating to our and our subsidiaries’ business and financial results and</w:t>
      </w:r>
    </w:p>
    <w:p>
      <w:pPr>
        <w:spacing w:after="0" w:line="2" w:lineRule="exact"/>
        <w:rPr>
          <w:sz w:val="20"/>
          <w:szCs w:val="20"/>
          <w:color w:val="auto"/>
        </w:rPr>
      </w:pPr>
    </w:p>
    <w:p>
      <w:pPr>
        <w:ind w:left="220" w:hanging="220"/>
        <w:spacing w:after="0"/>
        <w:tabs>
          <w:tab w:leader="none" w:pos="2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access to our personnel, data and systems, in each case to the extent that such information, data or access is reasonably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7"/>
          <w:szCs w:val="17"/>
          <w:color w:val="auto"/>
        </w:rPr>
        <w:t>166</w:t>
      </w:r>
    </w:p>
    <w:p>
      <w:pPr>
        <w:sectPr>
          <w:pgSz w:w="11900" w:h="16838" w:orient="portrait"/>
          <w:cols w:equalWidth="0" w:num="1">
            <w:col w:w="11180"/>
          </w:cols>
          <w:pgMar w:left="320" w:top="1440" w:right="399" w:bottom="1440" w:gutter="0" w:footer="0" w:header="0"/>
        </w:sectPr>
      </w:pPr>
    </w:p>
    <w:bookmarkStart w:id="173" w:name="page174"/>
    <w:bookmarkEnd w:id="173"/>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necessary for Leonardo S.p.A. to meet its legal, financial or regulatory obligations or requirements and subject to the terms of the proxy agreement.</w:t>
      </w:r>
    </w:p>
    <w:p>
      <w:pPr>
        <w:spacing w:after="0" w:line="153" w:lineRule="exact"/>
        <w:rPr>
          <w:sz w:val="20"/>
          <w:szCs w:val="20"/>
          <w:color w:val="auto"/>
        </w:rPr>
      </w:pPr>
    </w:p>
    <w:p>
      <w:pPr>
        <w:ind w:right="140" w:firstLine="299"/>
        <w:spacing w:after="0" w:line="246" w:lineRule="auto"/>
        <w:rPr>
          <w:sz w:val="20"/>
          <w:szCs w:val="20"/>
          <w:color w:val="auto"/>
        </w:rPr>
      </w:pPr>
      <w:r>
        <w:rPr>
          <w:rFonts w:ascii="Arial" w:cs="Arial" w:eastAsia="Arial" w:hAnsi="Arial"/>
          <w:sz w:val="17"/>
          <w:szCs w:val="17"/>
          <w:color w:val="auto"/>
        </w:rPr>
        <w:t>The cooperation agreement will provide that, until such time as Leonardo S.p.A. is no longer required under IFRS to account in its financial statements for its holdings in us under the equity method of accounting (the “threshold date”), Leonardo S.p.A. will have certain consent, access and cooperation rights with respect to the independent public registered accounting firm responsible for the audit of our financial statements and access and cooperation rights with respect to our internal audit function.</w:t>
      </w:r>
    </w:p>
    <w:p>
      <w:pPr>
        <w:spacing w:after="0" w:line="14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cooperation agreement will also provide that, until the threshold date, we shall consult and coordinate with Leonardo S.p.A. with respect to public disclosures and filings, including in connection with our quarterly and annual financial results. Among other requirements, we will, to the extent practicable and subject to appropriate confidentiality obligations, and unless, in our reasonable judgment immediate release is required, provide Leonardo S.p.A. with a copy of any public release at least one business day prior to publication and consider in good faith any comments provided by Leonardo S.p.A. We will have similar rights with respect to any public release by Leonardo S.p.A. that includes information with respect to us. In addition, we and Leonardo S.p.A. will have mutual rights with respect to any information and access each may require in connection with regulatory or supervisory reporting obligations or inquiries.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US Holding Consent Rights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Until the threshold date, US Holding’s consent will be required for us and our subsidiaries to take certain actions, including the following:</w:t>
      </w:r>
    </w:p>
    <w:p>
      <w:pPr>
        <w:spacing w:after="0" w:line="153" w:lineRule="exact"/>
        <w:rPr>
          <w:sz w:val="20"/>
          <w:szCs w:val="20"/>
          <w:color w:val="auto"/>
        </w:rPr>
      </w:pPr>
    </w:p>
    <w:p>
      <w:pPr>
        <w:ind w:left="600" w:right="180" w:hanging="302"/>
        <w:spacing w:after="0" w:line="245" w:lineRule="auto"/>
        <w:tabs>
          <w:tab w:leader="none" w:pos="59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creation or issuance of any class or series of our capital stock (including designation of any preferred stock) or acquisition of any capital stock (including stock buy-backs, redemptions or other reductions of capital), or securities convertible into or exchangeable or exercisable for capital stock or equity-linked securities by us or any of our subsidiaries, except (i) issuances of equity awards to directors or employees pursuant to an equity compensation plan approved by our board of directors; (ii) issuances or acquisitions of capital stock by any wholly-owned subsidiaries (which remains wholly-owned after the issuance or acquisition); and (iii) issuances or acquisitions of capital stock that our board of directors determines are necessary to maintain compliance with covenants contained in any debt instrument;</w:t>
      </w:r>
    </w:p>
    <w:p>
      <w:pPr>
        <w:spacing w:after="0" w:line="146" w:lineRule="exact"/>
        <w:rPr>
          <w:rFonts w:ascii="Arial" w:cs="Arial" w:eastAsia="Arial" w:hAnsi="Arial"/>
          <w:sz w:val="17"/>
          <w:szCs w:val="17"/>
          <w:color w:val="auto"/>
        </w:rPr>
      </w:pPr>
    </w:p>
    <w:p>
      <w:pPr>
        <w:ind w:left="600" w:right="200" w:hanging="302"/>
        <w:spacing w:after="0" w:line="250" w:lineRule="auto"/>
        <w:tabs>
          <w:tab w:leader="none" w:pos="59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amendment (or approval or recommendation of any amendment) to our certificate of incorporation or bylaws that adversely affects the rights of US Holding or Leonardo S.p.A.;</w:t>
      </w:r>
    </w:p>
    <w:p>
      <w:pPr>
        <w:spacing w:after="0" w:line="140" w:lineRule="exact"/>
        <w:rPr>
          <w:rFonts w:ascii="Arial" w:cs="Arial" w:eastAsia="Arial" w:hAnsi="Arial"/>
          <w:sz w:val="17"/>
          <w:szCs w:val="17"/>
          <w:color w:val="auto"/>
        </w:rPr>
      </w:pPr>
    </w:p>
    <w:p>
      <w:pPr>
        <w:ind w:left="600" w:right="340" w:hanging="302"/>
        <w:spacing w:after="0" w:line="250" w:lineRule="auto"/>
        <w:tabs>
          <w:tab w:leader="none" w:pos="59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listing or delisting of (i) any of our or any of our subsidiaries’ voting equity securities or convertible securities on a securities exchange and (ii) securities of our subsidiaries if, as a result, that subsidiary would become subject to public reporting obligations;</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material change in our accounting policy, including any change our fiscal year, and any termination or change of our external auditor; and</w:t>
      </w:r>
    </w:p>
    <w:p>
      <w:pPr>
        <w:spacing w:after="0" w:line="152" w:lineRule="exact"/>
        <w:rPr>
          <w:rFonts w:ascii="Arial" w:cs="Arial" w:eastAsia="Arial" w:hAnsi="Arial"/>
          <w:sz w:val="17"/>
          <w:szCs w:val="17"/>
          <w:color w:val="auto"/>
        </w:rPr>
      </w:pPr>
    </w:p>
    <w:p>
      <w:pPr>
        <w:ind w:left="600" w:right="280" w:hanging="302"/>
        <w:spacing w:after="0" w:line="247" w:lineRule="auto"/>
        <w:tabs>
          <w:tab w:leader="none" w:pos="59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pledge, mortgage, lease or otherwise encumber our assets or assets of our subsidiaries in connection with any debt if, after such pledge, mortgage, lease or other encumbrance, the aggregate outstanding principal amount of secured debt would exceed the aggregate outstanding principal amount of secured debt as of the date of the cooperation agreement.</w:t>
      </w:r>
    </w:p>
    <w:p>
      <w:pPr>
        <w:spacing w:after="0" w:line="125" w:lineRule="exact"/>
        <w:rPr>
          <w:sz w:val="20"/>
          <w:szCs w:val="20"/>
          <w:color w:val="auto"/>
        </w:rPr>
      </w:pPr>
    </w:p>
    <w:p>
      <w:pPr>
        <w:ind w:right="560" w:firstLine="299"/>
        <w:spacing w:after="0" w:line="272" w:lineRule="auto"/>
        <w:rPr>
          <w:sz w:val="20"/>
          <w:szCs w:val="20"/>
          <w:color w:val="auto"/>
        </w:rPr>
      </w:pPr>
      <w:r>
        <w:rPr>
          <w:rFonts w:ascii="Arial" w:cs="Arial" w:eastAsia="Arial" w:hAnsi="Arial"/>
          <w:sz w:val="17"/>
          <w:szCs w:val="17"/>
          <w:color w:val="auto"/>
        </w:rPr>
        <w:t>Certain of US Holding’s rights under the proxy agreement, as described under “—Proxy Agreement—Proxy Holder</w:t>
      </w:r>
      <w:r>
        <w:rPr>
          <w:rFonts w:ascii="Arial" w:cs="Arial" w:eastAsia="Arial" w:hAnsi="Arial"/>
          <w:sz w:val="17"/>
          <w:szCs w:val="17"/>
          <w:i w:val="1"/>
          <w:iCs w:val="1"/>
          <w:color w:val="auto"/>
        </w:rPr>
        <w:t>s,</w:t>
      </w:r>
      <w:r>
        <w:rPr>
          <w:rFonts w:ascii="Arial" w:cs="Arial" w:eastAsia="Arial" w:hAnsi="Arial"/>
          <w:sz w:val="17"/>
          <w:szCs w:val="17"/>
          <w:color w:val="auto"/>
        </w:rPr>
        <w:t>” will also apply under the cooperation agreement so long as it is in effect.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Term</w:t>
      </w:r>
    </w:p>
    <w:p>
      <w:pPr>
        <w:spacing w:after="0" w:line="171" w:lineRule="exact"/>
        <w:rPr>
          <w:sz w:val="20"/>
          <w:szCs w:val="20"/>
          <w:color w:val="auto"/>
        </w:rPr>
      </w:pPr>
    </w:p>
    <w:p>
      <w:pPr>
        <w:ind w:right="400" w:firstLine="299"/>
        <w:spacing w:after="0" w:line="250" w:lineRule="auto"/>
        <w:rPr>
          <w:sz w:val="20"/>
          <w:szCs w:val="20"/>
          <w:color w:val="auto"/>
        </w:rPr>
      </w:pPr>
      <w:r>
        <w:rPr>
          <w:rFonts w:ascii="Arial" w:cs="Arial" w:eastAsia="Arial" w:hAnsi="Arial"/>
          <w:sz w:val="17"/>
          <w:szCs w:val="17"/>
          <w:color w:val="auto"/>
        </w:rPr>
        <w:t>The cooperation agreement will terminate on the date that is two years following the threshold date, except for certain provisions including those relating to confidentiality and dispute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173" w:lineRule="exact"/>
        <w:rPr>
          <w:sz w:val="20"/>
          <w:szCs w:val="20"/>
          <w:color w:val="auto"/>
        </w:rPr>
      </w:pPr>
    </w:p>
    <w:p>
      <w:pPr>
        <w:ind w:firstLine="299"/>
        <w:spacing w:after="0" w:line="259" w:lineRule="auto"/>
        <w:rPr>
          <w:sz w:val="20"/>
          <w:szCs w:val="20"/>
          <w:color w:val="auto"/>
        </w:rPr>
      </w:pPr>
      <w:r>
        <w:rPr>
          <w:rFonts w:ascii="Arial" w:cs="Arial" w:eastAsia="Arial" w:hAnsi="Arial"/>
          <w:sz w:val="16"/>
          <w:szCs w:val="16"/>
          <w:color w:val="auto"/>
        </w:rPr>
        <w:t>We will enter into a registration rights agreement (the “registration rights agreement”) with Leonardo S.p.A. and US Holding upon the completion of this offering, pursuant to which Leonardo S.p.A. and its affiliated entities (“Leonardo holders”) will be able to require us, beginning after this offering, to file one or more registration statements with the SEC covering the public resale of shares of our common stock beneficially owned by Leonardo holders. Leonardo holders may transfer all or any portion of their rights under the registration rights agreement to a transferee of shares of our common stock constituting not less than 5% of our outstanding common stock. The rights of the Leonardo holders. and their permitted transferees under the registration rights agreement (“rights holders”) will remain in effect with respect to all shares of our common stock covered by such agreement until such securities</w:t>
      </w:r>
    </w:p>
    <w:p>
      <w:pPr>
        <w:spacing w:after="0" w:line="3" w:lineRule="exact"/>
        <w:rPr>
          <w:sz w:val="20"/>
          <w:szCs w:val="20"/>
          <w:color w:val="auto"/>
        </w:rPr>
      </w:pPr>
    </w:p>
    <w:p>
      <w:pPr>
        <w:ind w:right="60"/>
        <w:spacing w:after="0" w:line="245" w:lineRule="auto"/>
        <w:tabs>
          <w:tab w:leader="none" w:pos="24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are sold in a private transaction in which the transferor’s rights under the registration rights agreement are not assigned to the transferee, (b) are sold pursuant to an effective registration statement, (c) may be sold pursuant to Rule 144 without volume or manner of sale restrictions or (d) shall have ceased to be outstanding. The sale of shares pursuant to the registration rights agreement, or the perception that sales will be made, could adversely affect the price of our common stock after this offering because a great supply of shares would be, or would be perceived to be, available for sale in the public market. The form of the registration rights agreement has been filed as an exhibit to the registration statement of which this prospectus forms a part and the discussion of the registration rights agreement in this prospectus is subject to and qualified in its entirety by reference to the form of registration rights agreement.</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Demand Registration</w:t>
      </w:r>
    </w:p>
    <w:p>
      <w:pPr>
        <w:spacing w:after="0" w:line="171"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Rights holders will be able to request registration under the Securities Act of all or any portion of our shares covered by the agreement, and we will be obligated, subject to limited exceptions, to register such shares as requested. Rights holders will be able to request that we complete one demand registrations in any given three-month period subject to limitations on, among other things, minimum offering size. Subject to certain exceptions, we may defer the filing of a registration statement after a demand request has been made if, at the time of such request, our board determines that any pending or imminent event would require disclosure of material, non-public information in the registration statement for such registration statement not to be materially misleading and would not otherwise be required to be publicly disclosed by us.</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Shelf Registration</w:t>
      </w:r>
    </w:p>
    <w:p>
      <w:pPr>
        <w:spacing w:after="0" w:line="171" w:lineRule="exact"/>
        <w:rPr>
          <w:sz w:val="20"/>
          <w:szCs w:val="20"/>
          <w:color w:val="auto"/>
        </w:rPr>
      </w:pPr>
    </w:p>
    <w:p>
      <w:pPr>
        <w:ind w:right="40" w:firstLine="299"/>
        <w:spacing w:after="0" w:line="199" w:lineRule="exact"/>
        <w:rPr>
          <w:sz w:val="20"/>
          <w:szCs w:val="20"/>
          <w:color w:val="auto"/>
        </w:rPr>
      </w:pPr>
      <w:r>
        <w:rPr>
          <w:rFonts w:ascii="Arial" w:cs="Arial" w:eastAsia="Arial" w:hAnsi="Arial"/>
          <w:sz w:val="17"/>
          <w:szCs w:val="17"/>
          <w:color w:val="auto"/>
        </w:rPr>
        <w:t>At any time after the date that is one year following the date of the registration rights agreement or, if sooner, once we become eligible to use a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3, we will be obligated, upon request by a rights holder, to file a shelf registration statement to register all or any portion of our shares covered by the registration rights agreement, and we will be obligated, subject to limited exceptions, to register such shares as requested by rights holders. Rights holders may, at any time and from time to time, request that we complete an unlimited number of shelf take-downs; provided, that no request for an underwritten offering shall be made within 60 days of a previous underwritten offering.</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Piggy-Back Registration</w:t>
      </w:r>
    </w:p>
    <w:p>
      <w:pPr>
        <w:spacing w:after="0" w:line="171" w:lineRule="exact"/>
        <w:rPr>
          <w:sz w:val="20"/>
          <w:szCs w:val="20"/>
          <w:color w:val="auto"/>
        </w:rPr>
      </w:pPr>
    </w:p>
    <w:p>
      <w:pPr>
        <w:ind w:right="280" w:firstLine="299"/>
        <w:spacing w:after="0" w:line="246" w:lineRule="auto"/>
        <w:rPr>
          <w:sz w:val="20"/>
          <w:szCs w:val="20"/>
          <w:color w:val="auto"/>
        </w:rPr>
      </w:pPr>
      <w:r>
        <w:rPr>
          <w:rFonts w:ascii="Arial" w:cs="Arial" w:eastAsia="Arial" w:hAnsi="Arial"/>
          <w:sz w:val="17"/>
          <w:szCs w:val="17"/>
          <w:color w:val="auto"/>
        </w:rPr>
        <w:t>If at any time we intend to file on our behalf or on behalf of any of our other security holders a registration statement in connection with a public offering of any of our securities on a form and in a manner that would permit the registration for offer and sale of our common stock held by rights holders, the rights holders will have the right to include their shares of our common stock in that offering.The rights holders’ ability to participate in any such offering will be subject to market “cut-back” exceptions.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Registration Procedures; Expenses</w:t>
      </w:r>
    </w:p>
    <w:p>
      <w:pPr>
        <w:spacing w:after="0" w:line="171" w:lineRule="exact"/>
        <w:rPr>
          <w:sz w:val="20"/>
          <w:szCs w:val="20"/>
          <w:color w:val="auto"/>
        </w:rPr>
      </w:pPr>
    </w:p>
    <w:p>
      <w:pPr>
        <w:ind w:right="40" w:firstLine="299"/>
        <w:spacing w:after="0" w:line="280" w:lineRule="auto"/>
        <w:rPr>
          <w:sz w:val="20"/>
          <w:szCs w:val="20"/>
          <w:color w:val="auto"/>
        </w:rPr>
      </w:pPr>
      <w:r>
        <w:rPr>
          <w:rFonts w:ascii="Arial" w:cs="Arial" w:eastAsia="Arial" w:hAnsi="Arial"/>
          <w:sz w:val="16"/>
          <w:szCs w:val="16"/>
          <w:color w:val="auto"/>
        </w:rPr>
        <w:t>The selling rights holders will be responsible for all registration expenses, including expenses incurred by us, in connection with the registration, offer and sale of securities under the registration rights agreement by them, except that we will pay all registration expenses incident to the first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4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statement filed during any one-year period and registration expenses for piggyback registrations will be shared proportionally by us and the selling rights holders. We and the selling rights holders will, in any event, pay our and their respective internal expenses (including, without limitation, all salaries and expenses of its officers and employees performing legal or accounting duties), the expenses of any annual audit or quarterly review and the expenses of any liability insurance.</w:t>
      </w:r>
    </w:p>
    <w:p>
      <w:pPr>
        <w:spacing w:after="0" w:line="144"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 registration rights agreement will set forth customary registration procedures, including an agreement by us to make our management available for road show presentations in connection with any underwritten offerings. We will also agree to indemnify Leonardo S.p.A., US Holding and their permitted transferees with respect to liabilities resulting from any material untrue statements or omissions in any registration statement used in any registration or contribute to liabilities in respect thereof, other than untrue statements or omissions resulting from information furnished to us expressly for use in such registration statement by Leonardo S.p.A., US Holding or any permitted transferee. The registration rights agreement will not include any maximum cash penalties or any additional penalties resulting from delays in registering our common stock.</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Tax Allocation Agreement</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and US Holding have entered into a tax allocation agreement (the “tax allocation agreement”), dated as of November 16, 2020, with members of an affiliated group (the “affiliated group”), as defined in Section 1504(a) of the Tax Code, members of one or more consolidated, combined, unitary or similar state tax groups (the “state members”) and additional parties who are part of an “expanded affiliated group” for certain tax purposes, prior to this offering. The agreement provides for the method of computing and allocating the consolidated U.S. federal tax liability of the affiliated group among its members and of allocating any state group tax liabilities among the state members for the taxable year ending December 31, 2020 and each subsequent year in which the parties are members of a group (whether federal or state). The tax allocation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tax allocation agreement, the parties have agreed to calculate and allocate their respective tax liabilities and other tax attributes for taxable years beginning with the first consolidated taxable year that included DRS (i.e., the taxable year ended March 31, 2009) as if the tax allocation agreement was then in effect.</w:t>
      </w:r>
    </w:p>
    <w:p>
      <w:pPr>
        <w:spacing w:after="0" w:line="144"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The tax allocation agreement also allocates governance and decision-making rights, obligations and responsibilities in respect of the tax matters governed by the agreement including preparation and filing of covered returns, audits of covered returns and ensuring that payments and reimbursements in respect of covered returns are timely made. The tax allocation agreement provides for administration of the agreement and any related tax matters by us, in our reasonable discretion, with respect to any group to which we belong in any taxable year in which we are an affiliated group member or state member. For any taxable year in which we are not an affiliated group member or a state member, as applicable, US Holding will appoint an administrator. The tax allocation agreement will require the parties, including those who do not file consolidated, combined, unitary or similar tax returns with the other parties but whose operations may impact such returns filed by the other parties, to reasonably cooperate with US Holding and the administrator in carrying out the provisions of the agreement, including providing the administrator access to their books and records and other relevant information. The tax allocation agreement also requires the parties to cooperate in good faith, taking into account each relevant member’s tax consequences, in respect of certain specified matters as well as any other tax-related decision or matter the administrator determines, in its reasonable discretion, with the consent of US Holding where appropriate.</w:t>
      </w:r>
    </w:p>
    <w:p>
      <w:pPr>
        <w:spacing w:after="0" w:line="144" w:lineRule="exact"/>
        <w:rPr>
          <w:sz w:val="20"/>
          <w:szCs w:val="20"/>
          <w:color w:val="auto"/>
        </w:rPr>
      </w:pPr>
    </w:p>
    <w:p>
      <w:pPr>
        <w:ind w:right="100" w:firstLine="299"/>
        <w:spacing w:after="0" w:line="247" w:lineRule="auto"/>
        <w:rPr>
          <w:sz w:val="20"/>
          <w:szCs w:val="20"/>
          <w:color w:val="auto"/>
        </w:rPr>
      </w:pPr>
      <w:r>
        <w:rPr>
          <w:rFonts w:ascii="Arial" w:cs="Arial" w:eastAsia="Arial" w:hAnsi="Arial"/>
          <w:sz w:val="17"/>
          <w:szCs w:val="17"/>
          <w:color w:val="auto"/>
        </w:rPr>
        <w:t>The tax allocation agreement is effective as of the first day of the consolidated return year beginning October 14, 2008 and will terminate upon the written agreement of the parties. The tax allocation agreement has been filed as an exhibit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and the discussion of the tax allocation agreement in this prospectus is subject to and qualified in its entirety by reference to the tax allocation agreement.</w:t>
      </w:r>
    </w:p>
    <w:p>
      <w:pPr>
        <w:spacing w:after="0" w:line="164" w:lineRule="exact"/>
        <w:rPr>
          <w:sz w:val="20"/>
          <w:szCs w:val="20"/>
          <w:color w:val="auto"/>
        </w:rPr>
      </w:pPr>
    </w:p>
    <w:p>
      <w:pPr>
        <w:jc w:val="both"/>
        <w:ind w:right="160" w:firstLine="299"/>
        <w:spacing w:after="0" w:line="246" w:lineRule="auto"/>
        <w:rPr>
          <w:sz w:val="20"/>
          <w:szCs w:val="20"/>
          <w:color w:val="auto"/>
        </w:rPr>
      </w:pPr>
      <w:r>
        <w:rPr>
          <w:rFonts w:ascii="Arial" w:cs="Arial" w:eastAsia="Arial" w:hAnsi="Arial"/>
          <w:sz w:val="17"/>
          <w:szCs w:val="17"/>
          <w:color w:val="auto"/>
        </w:rPr>
        <w:t>To the extent that the issuance of shares of our common stock in this offering results in DRS no longer being included as a consolidated member of the U.S. federal and state returns of US Holding, we will be required to file standalone tax returns as of the date of the deconsolidation. Pursuant to the tax allocation agreement, we will generally retain our historic tax assets and will be able to offset future taxable income against these attributes. Accordingly, we do not anticipate any significant tax consequences as a result of exiting the US Holding consolidated tax group.</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Trademark License Agreement</w:t>
      </w:r>
    </w:p>
    <w:p>
      <w:pPr>
        <w:spacing w:after="0" w:line="173" w:lineRule="exact"/>
        <w:rPr>
          <w:sz w:val="20"/>
          <w:szCs w:val="20"/>
          <w:color w:val="auto"/>
        </w:rPr>
      </w:pPr>
    </w:p>
    <w:p>
      <w:pPr>
        <w:ind w:right="140" w:firstLine="299"/>
        <w:spacing w:after="0" w:line="245" w:lineRule="auto"/>
        <w:rPr>
          <w:sz w:val="20"/>
          <w:szCs w:val="20"/>
          <w:color w:val="auto"/>
        </w:rPr>
      </w:pPr>
      <w:r>
        <w:rPr>
          <w:rFonts w:ascii="Arial" w:cs="Arial" w:eastAsia="Arial" w:hAnsi="Arial"/>
          <w:sz w:val="17"/>
          <w:szCs w:val="17"/>
          <w:color w:val="auto"/>
        </w:rPr>
        <w:t>We will enter into a trademark license agreement (the “trademark license agreement”) with Leonardo S.p.A. prior to this offering pursuant to which Leonardo S.p.A. will grant us, subject to certain limitations, a non-exclusive license to use certain trademarks (the “licensed marks”), including the name “Leonardo.” The Trademark License Agreement will remain in effect until it is terminated by Leonardo S.p.A.’s and our mutual agreement, or upon the occurrence of certain conditions, including Leonardo S.p.A.’s right to terminate should it no longer consolidate our financial results under IFRS in its consolidated financial statements.</w:t>
      </w:r>
    </w:p>
    <w:p>
      <w:pPr>
        <w:spacing w:after="0" w:line="147"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After the term of the trademark license agreement, unless the trademark license agreement is terminated for uncured breach, we will be able to continue to use the licensed marks for a transition period (the “transition period”) of six months (which period is subject to an extension, capped at a total of six months (we can request an extension of such period), for any licensed mark the removal of which we cannot obtain government approvals for), but we will be required to use reasonable best efforts to transition to other trademarks.</w:t>
      </w:r>
    </w:p>
    <w:p>
      <w:pPr>
        <w:spacing w:after="0" w:line="144" w:lineRule="exact"/>
        <w:rPr>
          <w:sz w:val="20"/>
          <w:szCs w:val="20"/>
          <w:color w:val="auto"/>
        </w:rPr>
      </w:pPr>
    </w:p>
    <w:p>
      <w:pPr>
        <w:ind w:right="120" w:firstLine="299"/>
        <w:spacing w:after="0" w:line="247" w:lineRule="auto"/>
        <w:rPr>
          <w:sz w:val="20"/>
          <w:szCs w:val="20"/>
          <w:color w:val="auto"/>
        </w:rPr>
      </w:pPr>
      <w:r>
        <w:rPr>
          <w:rFonts w:ascii="Arial" w:cs="Arial" w:eastAsia="Arial" w:hAnsi="Arial"/>
          <w:sz w:val="17"/>
          <w:szCs w:val="17"/>
          <w:color w:val="auto"/>
        </w:rPr>
        <w:t>The form of the trademark license agreement has been filed as an exhibit to the registration statement of which this prospectus forms a part and the discussion of the trademark license agreement in this prospectus is subject to and qualified in its entirety by reference to the form of trademark license agreement.</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Affiliated Operations Plan (AOP) Services Agreements</w:t>
      </w:r>
    </w:p>
    <w:p>
      <w:pPr>
        <w:spacing w:after="0" w:line="173"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Although we operate largely independently from Leonardo S.p.A., and the proxy agreement contains limitations on services that we may provide to and receive from Leonardo S.p.A. and its affiliates, we, Leonardo S.p.A. and Leonardo S.p.A.’s subsidiaries each provide certain services to the one another, share certain services and rely on certain third-party service providers to provide services pursuant to shared services contracts, subject to the terms of the proxy agreement and in accordance with our AOP, approved by the DCSA. Leonardo S.p.A. and its subsidiaries rely on certain contracts to which we are party for the provision of services that are important to Leonardo S.p.A.’s business. Likewise, we rely on certain contracts for the provision of certain services to which Leonardo S.p.A. or its subsidiaries are a party. For so long as we are required to comply with the AOP approval requirement for certain services within our proxy agreement affiliated group (see “—Proxy Agreement—Facilities, Personnel and Services” above), the proxy agreement will govern our continued provision or procurement of certain services among us, Leonardo S.p.A. and its subsidiaries and third-party service providers. The proxy agreement, including the AOP approval requirement, is expected to remain in place until such time as FOCI mitigation is no longer legally required.</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AOP currently governs the following types of arrangements:</w:t>
      </w:r>
    </w:p>
    <w:p>
      <w:pPr>
        <w:spacing w:after="0" w:line="153" w:lineRule="exact"/>
        <w:rPr>
          <w:sz w:val="20"/>
          <w:szCs w:val="20"/>
          <w:color w:val="auto"/>
        </w:rPr>
      </w:pPr>
    </w:p>
    <w:p>
      <w:pPr>
        <w:ind w:left="600" w:right="420" w:hanging="302"/>
        <w:spacing w:after="0" w:line="250" w:lineRule="auto"/>
        <w:tabs>
          <w:tab w:leader="none" w:pos="59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services Leonardo S.p.A. or its subsidiaries (excluding us) receive pursuant to a contract with a third-party service provider, which Leonardo S.p.A. or its subsidiaries then provide to us on a pass-through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43" w:lineRule="exact"/>
        <w:rPr>
          <w:sz w:val="20"/>
          <w:szCs w:val="20"/>
          <w:color w:val="auto"/>
        </w:rPr>
      </w:pPr>
    </w:p>
    <w:p>
      <w:pPr>
        <w:ind w:left="600" w:right="560" w:hanging="302"/>
        <w:spacing w:after="0" w:line="250" w:lineRule="auto"/>
        <w:tabs>
          <w:tab w:leader="none" w:pos="59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services we receive pursuant to a contract with a third-party service provider, which we then provide to Leonardo S.p.A. or its subsidiaries (excluding us) on a pass-through basis;</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certain services we receive directly from Leonardo S.p.A. or its subsidiaries (excluding us);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certain services we provide directly to Leonardo S.p.A. or its subsidiaries (excluding us).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Specifically, we are currently authorized to provide support services to Leonardo S.p.A. in the following functional areas:</w:t>
      </w:r>
    </w:p>
    <w:p>
      <w:pPr>
        <w:spacing w:after="0" w:line="153" w:lineRule="exact"/>
        <w:rPr>
          <w:sz w:val="20"/>
          <w:szCs w:val="20"/>
          <w:color w:val="auto"/>
        </w:rPr>
      </w:pPr>
    </w:p>
    <w:p>
      <w:pPr>
        <w:ind w:left="600" w:hanging="302"/>
        <w:spacing w:after="0"/>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Compliance and Training</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Finance, Tax and Accounting</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Legal</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Marketing and Communications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Procurement and Supply Chain</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Security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Trade</w:t>
      </w:r>
    </w:p>
    <w:p>
      <w:pPr>
        <w:spacing w:after="0" w:line="153" w:lineRule="exact"/>
        <w:rPr>
          <w:sz w:val="20"/>
          <w:szCs w:val="20"/>
          <w:color w:val="auto"/>
        </w:rPr>
      </w:pPr>
    </w:p>
    <w:p>
      <w:pPr>
        <w:ind w:right="200" w:firstLine="299"/>
        <w:spacing w:after="0" w:line="266" w:lineRule="auto"/>
        <w:rPr>
          <w:sz w:val="20"/>
          <w:szCs w:val="20"/>
          <w:color w:val="auto"/>
        </w:rPr>
      </w:pPr>
      <w:r>
        <w:rPr>
          <w:rFonts w:ascii="Arial" w:cs="Arial" w:eastAsia="Arial" w:hAnsi="Arial"/>
          <w:sz w:val="16"/>
          <w:szCs w:val="16"/>
          <w:color w:val="auto"/>
        </w:rPr>
        <w:t>The fees for each of the services to be provided under the AOP are mutually agreed upon as part of the negotiation of the services agreement and may vary on the basis of usage and other factors. Although we seek to implement commercially reasonable terms (including fees for the services provided) that could have been negotiated with an independent third party, the terms of such agreement may later prove to be more or less favorable than arrangements we could make to provide these services internally or to obtain them from unaffiliated service providers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with Leonardo S.p.A. Affiliates</w:t>
      </w:r>
    </w:p>
    <w:p>
      <w:pPr>
        <w:spacing w:after="0" w:line="173" w:lineRule="exact"/>
        <w:rPr>
          <w:sz w:val="20"/>
          <w:szCs w:val="20"/>
          <w:color w:val="auto"/>
        </w:rPr>
      </w:pPr>
    </w:p>
    <w:p>
      <w:pPr>
        <w:jc w:val="both"/>
        <w:ind w:right="520" w:firstLine="299"/>
        <w:spacing w:after="0" w:line="247" w:lineRule="auto"/>
        <w:rPr>
          <w:sz w:val="20"/>
          <w:szCs w:val="20"/>
          <w:color w:val="auto"/>
        </w:rPr>
      </w:pPr>
      <w:r>
        <w:rPr>
          <w:rFonts w:ascii="Arial" w:cs="Arial" w:eastAsia="Arial" w:hAnsi="Arial"/>
          <w:sz w:val="17"/>
          <w:szCs w:val="17"/>
          <w:color w:val="auto"/>
        </w:rPr>
        <w:t>As an indirect wholly owned subsidiary of Leonardo S.p.A., historically, we have entered into various transactions with Leonardo S.p.A. and its subsidiaries in the normal course of business. The transactions described below are between us and affiliates of Leonardo S.p.A. that are not also subsidiaries of DRS.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Sales</w:t>
      </w:r>
    </w:p>
    <w:p>
      <w:pPr>
        <w:spacing w:after="0" w:line="173" w:lineRule="exact"/>
        <w:rPr>
          <w:sz w:val="20"/>
          <w:szCs w:val="20"/>
          <w:color w:val="auto"/>
        </w:rPr>
      </w:pPr>
    </w:p>
    <w:p>
      <w:pPr>
        <w:ind w:right="240" w:firstLine="299"/>
        <w:spacing w:after="0" w:line="245" w:lineRule="auto"/>
        <w:rPr>
          <w:sz w:val="20"/>
          <w:szCs w:val="20"/>
          <w:color w:val="auto"/>
        </w:rPr>
      </w:pPr>
      <w:r>
        <w:rPr>
          <w:rFonts w:ascii="Arial" w:cs="Arial" w:eastAsia="Arial" w:hAnsi="Arial"/>
          <w:sz w:val="17"/>
          <w:szCs w:val="17"/>
          <w:color w:val="auto"/>
        </w:rPr>
        <w:t>We have related-party sales with Leonardo S.p.A. and its other affiliates that occur in the regular course of business. Related-party sales for these transactions are included in revenues and were $26 million, $16 million and $20 million for the years ended December 31, 2020, 2019 and 2018, respectively. The receivables related to these transactions with Leonardo S.p.A. and its other affiliates of $5 million and $2 million, respectively, and payables of $8 million and $10 million, respectively, are included in accounts receivable and accounts payable in our consolidated balance sheet as of December 31, 2020 and 2019.</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Financing Arrangements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Term Loans</w:t>
      </w:r>
    </w:p>
    <w:p>
      <w:pPr>
        <w:spacing w:after="0" w:line="171" w:lineRule="exact"/>
        <w:rPr>
          <w:sz w:val="20"/>
          <w:szCs w:val="20"/>
          <w:color w:val="auto"/>
        </w:rPr>
      </w:pPr>
    </w:p>
    <w:p>
      <w:pPr>
        <w:ind w:firstLine="299"/>
        <w:spacing w:after="0" w:line="280" w:lineRule="auto"/>
        <w:rPr>
          <w:sz w:val="20"/>
          <w:szCs w:val="20"/>
          <w:color w:val="auto"/>
        </w:rPr>
      </w:pPr>
      <w:r>
        <w:rPr>
          <w:rFonts w:ascii="Arial" w:cs="Arial" w:eastAsia="Arial" w:hAnsi="Arial"/>
          <w:sz w:val="16"/>
          <w:szCs w:val="16"/>
          <w:color w:val="auto"/>
        </w:rPr>
        <w:t>In January 2009, the Company entered into a credit agreement with Finmeccanica S.p.A. (now known as Leonardo S.p.A.) in the amount of $2 billion (the “2009 Credit Agreement”). The 2009 Credit Agreement was subsequently assigned to US Holding and has a maturity of November 30, 2022.</w:t>
      </w:r>
    </w:p>
    <w:p>
      <w:pPr>
        <w:spacing w:after="0" w:line="118"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The 2009 Credit Agreement provides for a term loan bearing interest at a rate of 7.5%, with interest payments due semi-annually on June 20 and December 20 in each year (the “7.5% Term loan”). The outstanding balance of the 7.5% Term loan at December 31, 2020 and 2019 was $139 million and $439 million, respectively. The reduction in the outstanding balance was due to the contribution by US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43"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color w:val="auto"/>
        </w:rPr>
        <w:t>of $300 million to us by converting an equal amount of borrowings outstanding under the 7.5% Term Loan into additional paid in capital in December 2020.</w:t>
      </w:r>
    </w:p>
    <w:p>
      <w:pPr>
        <w:spacing w:after="0" w:line="140"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In June 2017, we entered into an unsecured term loan with US Holding in the principal amount of $137.5 million, the proceeds of which were used to finance the acquisition of Daylight Solutions, Inc. (the “Daylight Term Loan”). The Daylight Term Loan had an outstanding balance of $98 million and $113 million at December 31, 2020 and 2019, respectively, which approximates its fair value. The Daylight Term Loan matures on October 15, 2024. The Daylight Term Loan has an interest rate of 5.0%, with interest payments due semi-annually on April 15 and October 15.</w:t>
      </w:r>
    </w:p>
    <w:p>
      <w:pPr>
        <w:spacing w:after="0" w:line="144" w:lineRule="exact"/>
        <w:rPr>
          <w:sz w:val="20"/>
          <w:szCs w:val="20"/>
          <w:color w:val="auto"/>
        </w:rPr>
      </w:pPr>
    </w:p>
    <w:p>
      <w:pPr>
        <w:jc w:val="both"/>
        <w:ind w:right="140" w:firstLine="299"/>
        <w:spacing w:after="0" w:line="247" w:lineRule="auto"/>
        <w:rPr>
          <w:sz w:val="20"/>
          <w:szCs w:val="20"/>
          <w:color w:val="auto"/>
        </w:rPr>
      </w:pPr>
      <w:r>
        <w:rPr>
          <w:rFonts w:ascii="Arial" w:cs="Arial" w:eastAsia="Arial" w:hAnsi="Arial"/>
          <w:sz w:val="17"/>
          <w:szCs w:val="17"/>
          <w:color w:val="auto"/>
        </w:rPr>
        <w:t>During April 2018, we were advanced an additional $50 million by US Holding under a term loan. This term loan bears interest at 4.0% and had an initial maturity date of December 31, 2018, which was extended until December 31, 2021. This term loan was repaid in full, with no prepayment penalty, on December 19, 2020.</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Credit Facilities</w:t>
      </w:r>
    </w:p>
    <w:p>
      <w:pPr>
        <w:spacing w:after="0" w:line="171"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The 2009 Credit Agreement provides for a revolving credit facility available for our working capital needs (the “Revolving Credit Facility”). As of December 31, 2020 and 2019, the Revolving Credit Facility had a credit limit of $450 million and $350 million, respectively, and an interest rate of LIBOR plus 3.5%. There is a commitment fee of 0.25% applied to the unused balance of the Revolving Credit Facility and there are no compensating balance requirements. There was no balance on the Revolving Credit Facility as of December 31, 2020 and 2019.</w:t>
      </w:r>
    </w:p>
    <w:p>
      <w:pPr>
        <w:spacing w:after="0" w:line="14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also maintain uncommitted working capital credit facilities with certain financial institutions in the aggregate of $60 million and $65 million at December 31, 2020 and 2019, respectively (the “Financial Institution Credit Facilities”), which are guaranteed by Leonardo S.p.A. The primary purpose of the Financial Institution Credit Facilities is to support standby letter of credit issuances on contracts with customers and also includes a revolving facility with a maximum borrowing limit of $15 million, which bears interest at LIBOR plus 0.5%. At December 31, 2020 and December 31, 2019, there was no balance outstanding on the revolving facility. We had letters of credit outstanding of approximately $31 million and $ 30 million as of December 31, 2020 and 2019, respectively, which reduces the available capacity of the Financial Institution Credit Facilities by an equal amount.</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Surplus Treasury Agreement</w:t>
      </w:r>
    </w:p>
    <w:p>
      <w:pPr>
        <w:spacing w:after="0" w:line="171"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We entered into a Surplus Treasury Agreement with US Holding (the “Surplus Agreement”) in December 2019. The Surplus Agreement allows us to advance excess funds to US Holding when funds are available. The advances bear interest at LIBOR plus between 5 and 20 basis points depending on the tenor of the advance. As of December 31, 2020 and 2019, the Company had advanced $115 million and $100 million to US Holding, which is presented on the balance sheet as a related party note receivable.</w:t>
      </w:r>
    </w:p>
    <w:p>
      <w:pPr>
        <w:spacing w:after="0" w:line="144"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For a discussion of certain recapitalization transactions that Leonardo S.p.A. and its affiliates and we have entered into or will enter into in connection with this offering, see “Recapitalization.”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Indemnification Agreements</w:t>
      </w:r>
    </w:p>
    <w:p>
      <w:pPr>
        <w:spacing w:after="0" w:line="173" w:lineRule="exact"/>
        <w:rPr>
          <w:sz w:val="20"/>
          <w:szCs w:val="20"/>
          <w:color w:val="auto"/>
        </w:rPr>
      </w:pPr>
    </w:p>
    <w:p>
      <w:pPr>
        <w:ind w:right="20" w:firstLine="299"/>
        <w:spacing w:after="0" w:line="270" w:lineRule="auto"/>
        <w:rPr>
          <w:sz w:val="20"/>
          <w:szCs w:val="20"/>
          <w:color w:val="auto"/>
        </w:rPr>
      </w:pPr>
      <w:r>
        <w:rPr>
          <w:rFonts w:ascii="Arial" w:cs="Arial" w:eastAsia="Arial" w:hAnsi="Arial"/>
          <w:sz w:val="16"/>
          <w:szCs w:val="16"/>
          <w:color w:val="auto"/>
        </w:rPr>
        <w:t>Prior to the completion of this offering, we will enter into indemnification agreements with our directors. The indemnification agreements will provide the directors with contractual rights to indemnification and expense rights. See “Description of Capital Stock—Limitations on Liability and Indemnification” and the form of Director Indemnification Agreement filed as an exhibit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CAPITAL STOCK</w:t>
      </w:r>
    </w:p>
    <w:p>
      <w:pPr>
        <w:spacing w:after="0" w:line="173"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The following description of our capital stock is a summary of the material terms of our amended and restated certificate of incorporation, amended and restated bylaws and the amended and restated proxy agreement. Reference is made to the more detailed provisions of, and the descriptions are qualified in their entirety by reference to, these documents, forms of which are filed with the SEC as exhibits to the registration statement of which this prospectus is a part, and applicable law. This description assumes the effectiveness of our amended and restated certificate of incorporation and amended and restated bylaws, which will take effect prior to this offering.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73" w:lineRule="exact"/>
        <w:rPr>
          <w:sz w:val="20"/>
          <w:szCs w:val="20"/>
          <w:color w:val="auto"/>
        </w:rPr>
      </w:pPr>
    </w:p>
    <w:p>
      <w:pPr>
        <w:ind w:right="220" w:firstLine="299"/>
        <w:spacing w:after="0" w:line="250" w:lineRule="auto"/>
        <w:rPr>
          <w:sz w:val="20"/>
          <w:szCs w:val="20"/>
          <w:color w:val="auto"/>
        </w:rPr>
      </w:pPr>
      <w:r>
        <w:rPr>
          <w:rFonts w:ascii="Arial" w:cs="Arial" w:eastAsia="Arial" w:hAnsi="Arial"/>
          <w:sz w:val="17"/>
          <w:szCs w:val="17"/>
          <w:color w:val="auto"/>
        </w:rPr>
        <w:t>Our authorized capital stock consists of shares of common stock, par value $0.01 per share, and shares of undesignated preferred stock, par value $0.01 per share. There are shares of our common stock issued and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Holders of common stock will be entitled:</w:t>
      </w:r>
    </w:p>
    <w:p>
      <w:pPr>
        <w:spacing w:after="0" w:line="153" w:lineRule="exact"/>
        <w:rPr>
          <w:sz w:val="20"/>
          <w:szCs w:val="20"/>
          <w:color w:val="auto"/>
        </w:rPr>
      </w:pPr>
    </w:p>
    <w:p>
      <w:pPr>
        <w:ind w:left="600" w:hanging="302"/>
        <w:spacing w:after="0"/>
        <w:tabs>
          <w:tab w:leader="none" w:pos="6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cast one vote for each share held of record on all matters submitted to a vote of the stockholders;</w:t>
      </w:r>
    </w:p>
    <w:p>
      <w:pPr>
        <w:spacing w:after="0" w:line="152" w:lineRule="exact"/>
        <w:rPr>
          <w:rFonts w:ascii="Arial" w:cs="Arial" w:eastAsia="Arial" w:hAnsi="Arial"/>
          <w:sz w:val="17"/>
          <w:szCs w:val="17"/>
          <w:color w:val="auto"/>
        </w:rPr>
      </w:pPr>
    </w:p>
    <w:p>
      <w:pPr>
        <w:ind w:left="600" w:hanging="302"/>
        <w:spacing w:after="0" w:line="250" w:lineRule="auto"/>
        <w:tabs>
          <w:tab w:leader="none" w:pos="59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receive, on a pro rata basis, dividends and distributions, if any, that our board may declare out of legally available funds, subject to preferences that may be applicable to preferred stock, if any, then outstanding; and</w:t>
      </w:r>
    </w:p>
    <w:p>
      <w:pPr>
        <w:spacing w:after="0" w:line="140" w:lineRule="exact"/>
        <w:rPr>
          <w:rFonts w:ascii="Arial" w:cs="Arial" w:eastAsia="Arial" w:hAnsi="Arial"/>
          <w:sz w:val="17"/>
          <w:szCs w:val="17"/>
          <w:color w:val="auto"/>
        </w:rPr>
      </w:pPr>
    </w:p>
    <w:p>
      <w:pPr>
        <w:ind w:left="600" w:right="500" w:hanging="302"/>
        <w:spacing w:after="0" w:line="250" w:lineRule="auto"/>
        <w:tabs>
          <w:tab w:leader="none" w:pos="59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upon our liquidation, dissolution or winding up, to share equally and ratably in any assets remaining after the payment of all debt and other liabilities, subject to the prior rights, if any, of holders of any outstanding shares of preferred stock.</w:t>
      </w:r>
    </w:p>
    <w:p>
      <w:pPr>
        <w:spacing w:after="0" w:line="140" w:lineRule="exact"/>
        <w:rPr>
          <w:sz w:val="20"/>
          <w:szCs w:val="20"/>
          <w:color w:val="auto"/>
        </w:rPr>
      </w:pPr>
    </w:p>
    <w:p>
      <w:pPr>
        <w:ind w:right="20" w:firstLine="299"/>
        <w:spacing w:after="0" w:line="247" w:lineRule="auto"/>
        <w:rPr>
          <w:sz w:val="20"/>
          <w:szCs w:val="20"/>
          <w:color w:val="auto"/>
        </w:rPr>
      </w:pPr>
      <w:r>
        <w:rPr>
          <w:rFonts w:ascii="Arial" w:cs="Arial" w:eastAsia="Arial" w:hAnsi="Arial"/>
          <w:sz w:val="17"/>
          <w:szCs w:val="17"/>
          <w:color w:val="auto"/>
        </w:rPr>
        <w:t>The holders of our common stock will not have any preemptive, cumulative voting, subscription, conversion, redemption or sinking fund rights. The common stock will not be subject to future calls or assessments by us. The rights and privileges of holders of our common stock are subject to any series of preferred stock that we may issue in the future, as described below.</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Before the date of this prospectus, there has been no public market for our common stock.</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February 26, 2021, we had 145,000,000 shares of common stock outstanding all of which were held of record by US Holding.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Under our amended and restated certificate of incorporation, our board will have the authority to issue up to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Following this offering, no shares of our authorized preferred stock will be outstanding. Because the board will have the power to establish the preferences and rights of the shares of any additional series of preferred stock, it may afford holders of any preferred stock preferences, powers and rights, including voting and dividend rights, senior to the rights of holders of our common stock, which could adversely affect the holders of the common stock and could delay, discourage or prevent a takeover of us even if a change of control of our company would be beneficial to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Capital Stock</w:t>
      </w:r>
    </w:p>
    <w:p>
      <w:pPr>
        <w:spacing w:after="0" w:line="173" w:lineRule="exact"/>
        <w:rPr>
          <w:sz w:val="20"/>
          <w:szCs w:val="20"/>
          <w:color w:val="auto"/>
        </w:rPr>
      </w:pPr>
    </w:p>
    <w:p>
      <w:pPr>
        <w:ind w:right="80" w:firstLine="299"/>
        <w:spacing w:after="0" w:line="262" w:lineRule="auto"/>
        <w:rPr>
          <w:sz w:val="20"/>
          <w:szCs w:val="20"/>
          <w:color w:val="auto"/>
        </w:rPr>
      </w:pPr>
      <w:r>
        <w:rPr>
          <w:rFonts w:ascii="Arial" w:cs="Arial" w:eastAsia="Arial" w:hAnsi="Arial"/>
          <w:sz w:val="16"/>
          <w:szCs w:val="16"/>
          <w:color w:val="auto"/>
        </w:rPr>
        <w:t>The DGCL does not generally require stockholder approval for the issuance of authorized shares. These additional shares may be used for a variety of corporate purposes, including future public offerings, to raise additional capital or to facilitate acquisitions. However, the listing requirements of the NYSE, which would apply so long as the common stock remains listed on the NYSE, require stockholder approval of certain issuances equal to or exceeding 20% of the then-outstanding voting power or then-outstanding number of shares of common stock. In addition, under the cooperation agreement, the creation or issuance of any class or series of our capital stock (including designation of any preferred stock) or acquisition of any capital stock (including stock buy-backs, redemptions or other reductions of capital), or securities convertible into or exchangeable or exercisable for capital stock or equity-linked securities by us or any of our subsidiaries requires US Holding’s consent, subject to certain exceptions. See “Certain Relationships and Related Party Transactions—Relationship with Leonardo S.p.A. Following this Offering—Cooperation Agreement.”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73" w:lineRule="exact"/>
        <w:rPr>
          <w:sz w:val="20"/>
          <w:szCs w:val="20"/>
          <w:color w:val="auto"/>
        </w:rPr>
      </w:pPr>
    </w:p>
    <w:p>
      <w:pPr>
        <w:jc w:val="both"/>
        <w:ind w:right="80" w:firstLine="299"/>
        <w:spacing w:after="0" w:line="247" w:lineRule="auto"/>
        <w:rPr>
          <w:sz w:val="20"/>
          <w:szCs w:val="20"/>
          <w:color w:val="auto"/>
        </w:rPr>
      </w:pPr>
      <w:r>
        <w:rPr>
          <w:rFonts w:ascii="Arial" w:cs="Arial" w:eastAsia="Arial" w:hAnsi="Arial"/>
          <w:sz w:val="17"/>
          <w:szCs w:val="17"/>
          <w:color w:val="auto"/>
        </w:rPr>
        <w:t>Certain holders of our common stock will have certain rights to cause the registration of our common stock for resale pursuant to a registration rights agreement. See “Certain Relationships and Related Party Transactions—Relationship with Leonardo S.p.A. Following this Offering—Registration Rights Agreement.</w:t>
      </w:r>
      <w:r>
        <w:rPr>
          <w:rFonts w:ascii="Arial" w:cs="Arial" w:eastAsia="Arial" w:hAnsi="Arial"/>
          <w:sz w:val="17"/>
          <w:szCs w:val="17"/>
          <w:i w:val="1"/>
          <w:iCs w:val="1"/>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Stockholders Meeting</w:t>
      </w:r>
    </w:p>
    <w:p>
      <w:pPr>
        <w:spacing w:after="0" w:line="173"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Our amended and restated bylaws will provide that annual stockholders meetings will be held at a date, time and place, if any, as exclusively selected by our board. To the extent permitted under applicable law, we may conduct meetings by remote communications, including by webcast.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The affirmative vote of a plurality of the shares of our common stock present, in person or by proxy, at the meeting and entitled to vote on the election of directors will decide the election of any directors, and the affirmative vote of a majority of the shares of our common stock present, in person or by proxy, at the meeting and entitled to vote at any annual or special meeting of stockholders will decide all other matters voted on by stockholders, unless the question is one upon which, by express provision of law, under our amended and restated certificate of incorporation, or under our amended and restated bylaws, a different vote is required, in which case such provision will control. Stockholders do not have the right to cumulate their votes for the election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 Agreement</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have entered into a proxy agreement, dated as of October 26, 2017, with the proxy holders, Leonardo S.p.A., US Holding and the DoD. Following this offering we expect to enter into an amended and restated proxy agreement (as amended and restated, the “proxy agreement”) and the parties to the proxy agreement have entered into a commitment letter, dated as of , 2021, as to the form and content of the amended and restated proxy agreement which allows us to operate as if the amended and restated proxy agreement were already in effect. The proxy agreement requires the appointment of five proxy holders, who must be independent from prior affiliation with Leonardo S.p.A. and its subsidiaries (including US Holding and us) and maintain adequate security clearance, to vote the shares of our common stock owned directly or indirectly by Leonardo S.p.A. Proxy holders are appointed by US Holding after consultation with Leonardo S.p.A. and approval by the DCSA and serve for staggered three-year terms. The proxy holders may vote for or consent to certain specified matters only with the express written approval of US Holding, as set forth under “Certain Relationships and Related-Party Transactions—Relationship with Leonardo S.p.A Following this Offering—Proxy Agreement” and may vote for or consent to all other matters in their sole and absolute discretion, without consultation with US Holding or Leonardo S.p.A. The proxy agreement contains a number of other provisions which are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43"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restrict the ability of Leonardo S.p.A. to control our operations. See “Certain Relationships and Related-Party Transactions—Relationship with Leonardo S.p.A Following this Offering—Proxy Agreement.”</w:t>
      </w:r>
    </w:p>
    <w:p>
      <w:pPr>
        <w:spacing w:after="0" w:line="120"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b w:val="1"/>
          <w:bCs w:val="1"/>
          <w:i w:val="1"/>
          <w:iCs w:val="1"/>
          <w:color w:val="auto"/>
        </w:rPr>
        <w:t>Board Designation Rights</w:t>
      </w:r>
      <w:r>
        <w:rPr>
          <w:rFonts w:ascii="Arial" w:cs="Arial" w:eastAsia="Arial" w:hAnsi="Arial"/>
          <w:sz w:val="17"/>
          <w:szCs w:val="17"/>
          <w:color w:val="auto"/>
        </w:rPr>
        <w:t>. Pursuant to the proxy agreement, Leonardo S.p.A., US Holding, the DCSA and the proxy holders will have specified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designation and/or approval and other rights following this offering. The proxy agreement requires that our board include the five proxy holders appointed by US Holding after consultation with Leonardo S.p.A. and approval by the DCSA. The proxy agreement also requires our board to include four additional directors consisting of our chief executive officer and three additional candidates proposed by US Holding in reasonable consultation with the nominating and corporate governance committee, subject to approval of the DCSA in certain circumstances. See “Certain Relationships and Related-Party Transactions—Relationship with Leonardo S.p.A Following this Offering—Proxy Agreement.”</w:t>
      </w:r>
    </w:p>
    <w:p>
      <w:pPr>
        <w:spacing w:after="0" w:line="122" w:lineRule="exact"/>
        <w:rPr>
          <w:sz w:val="20"/>
          <w:szCs w:val="20"/>
          <w:color w:val="auto"/>
        </w:rPr>
      </w:pPr>
    </w:p>
    <w:p>
      <w:pPr>
        <w:ind w:firstLine="299"/>
        <w:spacing w:after="0" w:line="252" w:lineRule="auto"/>
        <w:rPr>
          <w:sz w:val="20"/>
          <w:szCs w:val="20"/>
          <w:color w:val="auto"/>
        </w:rPr>
      </w:pPr>
      <w:r>
        <w:rPr>
          <w:rFonts w:ascii="Arial" w:cs="Arial" w:eastAsia="Arial" w:hAnsi="Arial"/>
          <w:sz w:val="17"/>
          <w:szCs w:val="17"/>
          <w:b w:val="1"/>
          <w:bCs w:val="1"/>
          <w:i w:val="1"/>
          <w:iCs w:val="1"/>
          <w:color w:val="auto"/>
        </w:rPr>
        <w:t>Removal of Directors</w:t>
      </w:r>
      <w:r>
        <w:rPr>
          <w:rFonts w:ascii="Arial" w:cs="Arial" w:eastAsia="Arial" w:hAnsi="Arial"/>
          <w:sz w:val="17"/>
          <w:szCs w:val="17"/>
          <w:color w:val="auto"/>
        </w:rPr>
        <w:t>. Our amended and restated bylaws will provide that, for so long as the proxy agreement is in effect, directors may be removed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the terms set forth in the proxy agreement. During their terms, proxy holders may only be removed (i) for acts in violation of the proxy agreement upon petition by US Holding to DCSA which may be granted or denied by DCSA in its sole discretion or (ii) for gross negligence or willful misconduct. The proxy holders may remove any non-proxy holder director from our board by majority vote and after consultation with US Holding. See “Certain Relationships and Related-Party Transactions—Relationship with Leonardo S.p.A Following this Offering—Proxy Agreement”.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Our Certificate of Incorporation and Bylaws</w:t>
      </w:r>
    </w:p>
    <w:p>
      <w:pPr>
        <w:spacing w:after="0" w:line="173" w:lineRule="exact"/>
        <w:rPr>
          <w:sz w:val="20"/>
          <w:szCs w:val="20"/>
          <w:color w:val="auto"/>
        </w:rPr>
      </w:pPr>
    </w:p>
    <w:p>
      <w:pPr>
        <w:ind w:right="120" w:firstLine="299"/>
        <w:spacing w:after="0" w:line="246" w:lineRule="auto"/>
        <w:rPr>
          <w:sz w:val="20"/>
          <w:szCs w:val="20"/>
          <w:color w:val="auto"/>
        </w:rPr>
      </w:pPr>
      <w:r>
        <w:rPr>
          <w:rFonts w:ascii="Arial" w:cs="Arial" w:eastAsia="Arial" w:hAnsi="Arial"/>
          <w:sz w:val="17"/>
          <w:szCs w:val="17"/>
          <w:color w:val="auto"/>
        </w:rPr>
        <w:t>The provisions of our amended and restated certificate of incorporation and amended and restated bylaws summarized below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which could result in an improvement of their terms.</w:t>
      </w:r>
    </w:p>
    <w:p>
      <w:pPr>
        <w:spacing w:after="0" w:line="124" w:lineRule="exact"/>
        <w:rPr>
          <w:sz w:val="20"/>
          <w:szCs w:val="20"/>
          <w:color w:val="auto"/>
        </w:rPr>
      </w:pPr>
    </w:p>
    <w:p>
      <w:pPr>
        <w:ind w:right="40" w:firstLine="299"/>
        <w:spacing w:after="0" w:line="252" w:lineRule="auto"/>
        <w:rPr>
          <w:sz w:val="20"/>
          <w:szCs w:val="20"/>
          <w:color w:val="auto"/>
        </w:rPr>
      </w:pPr>
      <w:r>
        <w:rPr>
          <w:rFonts w:ascii="Arial" w:cs="Arial" w:eastAsia="Arial" w:hAnsi="Arial"/>
          <w:sz w:val="17"/>
          <w:szCs w:val="17"/>
          <w:b w:val="1"/>
          <w:bCs w:val="1"/>
          <w:i w:val="1"/>
          <w:iCs w:val="1"/>
          <w:color w:val="auto"/>
        </w:rPr>
        <w:t>Authorized but Unissued Shares of Common Stock</w:t>
      </w:r>
      <w:r>
        <w:rPr>
          <w:rFonts w:ascii="Arial" w:cs="Arial" w:eastAsia="Arial" w:hAnsi="Arial"/>
          <w:sz w:val="17"/>
          <w:szCs w:val="17"/>
          <w:color w:val="auto"/>
        </w:rPr>
        <w:t>. Following this offering, our shares of authorized and unissued common stock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for future issuance without additional stockholder approval. While our authorized and unissued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spacing w:after="0" w:line="119" w:lineRule="exact"/>
        <w:rPr>
          <w:sz w:val="20"/>
          <w:szCs w:val="20"/>
          <w:color w:val="auto"/>
        </w:rPr>
      </w:pPr>
    </w:p>
    <w:p>
      <w:pPr>
        <w:ind w:right="40" w:firstLine="299"/>
        <w:spacing w:after="0" w:line="266" w:lineRule="auto"/>
        <w:rPr>
          <w:sz w:val="20"/>
          <w:szCs w:val="20"/>
          <w:color w:val="auto"/>
        </w:rPr>
      </w:pPr>
      <w:r>
        <w:rPr>
          <w:rFonts w:ascii="Arial" w:cs="Arial" w:eastAsia="Arial" w:hAnsi="Arial"/>
          <w:sz w:val="16"/>
          <w:szCs w:val="16"/>
          <w:b w:val="1"/>
          <w:bCs w:val="1"/>
          <w:i w:val="1"/>
          <w:iCs w:val="1"/>
          <w:color w:val="auto"/>
        </w:rPr>
        <w:t>Authorized but Unissued Shares of Preferred Stock</w:t>
      </w:r>
      <w:r>
        <w:rPr>
          <w:rFonts w:ascii="Arial" w:cs="Arial" w:eastAsia="Arial" w:hAnsi="Arial"/>
          <w:sz w:val="16"/>
          <w:szCs w:val="16"/>
          <w:color w:val="auto"/>
        </w:rPr>
        <w:t>. Under our amended and restated certificate of incorporation, our board will have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authority to issue up to 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of control, may discourage bids for the common stock at a premium over the market price of the common stock, and may adversely affect the market price of, and the voting and other rights of the holders of, our common stock.</w:t>
      </w:r>
    </w:p>
    <w:p>
      <w:pPr>
        <w:spacing w:after="0" w:line="111" w:lineRule="exact"/>
        <w:rPr>
          <w:sz w:val="20"/>
          <w:szCs w:val="20"/>
          <w:color w:val="auto"/>
        </w:rPr>
      </w:pPr>
    </w:p>
    <w:p>
      <w:pPr>
        <w:ind w:firstLine="299"/>
        <w:spacing w:after="0" w:line="306" w:lineRule="auto"/>
        <w:rPr>
          <w:sz w:val="20"/>
          <w:szCs w:val="20"/>
          <w:color w:val="auto"/>
        </w:rPr>
      </w:pPr>
      <w:r>
        <w:rPr>
          <w:rFonts w:ascii="Arial" w:cs="Arial" w:eastAsia="Arial" w:hAnsi="Arial"/>
          <w:sz w:val="16"/>
          <w:szCs w:val="16"/>
          <w:b w:val="1"/>
          <w:bCs w:val="1"/>
          <w:i w:val="1"/>
          <w:iCs w:val="1"/>
          <w:color w:val="auto"/>
        </w:rPr>
        <w:t>Special Meetings of Stockholders</w:t>
      </w:r>
      <w:r>
        <w:rPr>
          <w:rFonts w:ascii="Arial" w:cs="Arial" w:eastAsia="Arial" w:hAnsi="Arial"/>
          <w:sz w:val="16"/>
          <w:szCs w:val="16"/>
          <w:color w:val="auto"/>
        </w:rPr>
        <w:t>. Our amended and restated certificate of incorporation will provide that a special meeting of stockholders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called only by the chairman of our board or chief executive officer or by a resolution adopted by a majority of our board. Special meetings may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43"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called by our corporate secretary at the request of the holders of at least a majority of the outstanding shares of our common stock until the later of the termination of the proxy agreement and such date as Leonardo S.p.A. is no longer required under IFRS to consolidate the financial statements of the Company with its financial results. Thereafter, stockholders will not be permitted to call a special meeting of stockholders.</w:t>
      </w:r>
    </w:p>
    <w:p>
      <w:pPr>
        <w:spacing w:after="0" w:line="123" w:lineRule="exact"/>
        <w:rPr>
          <w:sz w:val="20"/>
          <w:szCs w:val="20"/>
          <w:color w:val="auto"/>
        </w:rPr>
      </w:pPr>
    </w:p>
    <w:p>
      <w:pPr>
        <w:ind w:firstLine="299"/>
        <w:spacing w:after="0" w:line="264" w:lineRule="auto"/>
        <w:rPr>
          <w:sz w:val="20"/>
          <w:szCs w:val="20"/>
          <w:color w:val="auto"/>
        </w:rPr>
      </w:pPr>
      <w:r>
        <w:rPr>
          <w:rFonts w:ascii="Arial" w:cs="Arial" w:eastAsia="Arial" w:hAnsi="Arial"/>
          <w:sz w:val="16"/>
          <w:szCs w:val="16"/>
          <w:b w:val="1"/>
          <w:bCs w:val="1"/>
          <w:i w:val="1"/>
          <w:iCs w:val="1"/>
          <w:color w:val="auto"/>
        </w:rPr>
        <w:t>Stockholders Advance Notice Procedure</w:t>
      </w:r>
      <w:r>
        <w:rPr>
          <w:rFonts w:ascii="Arial" w:cs="Arial" w:eastAsia="Arial" w:hAnsi="Arial"/>
          <w:sz w:val="16"/>
          <w:szCs w:val="16"/>
          <w:color w:val="auto"/>
        </w:rPr>
        <w:t>. Our amended and restated bylaws will establish an advance notice procedure for stockholders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nominations of candidates for election as directors or to bring other business before an annual meeting of our stockholders. The amended and restated bylaws will provide that any stockholders wishing to nominate persons for election as directors at, or bring other business before, an annual meeting must deliver to our corporate secretary a written notice of the stockholder’s intention to do so. 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 To be timely, the stockholder’s notice must be delivered to our corporate secretary at our principal executive offices not less than 90 days nor more than 120 days before the first anniversary date of the annual meeting for the preceding year; provided, however, that in the event that the annual meeting is set for a date that is more than 30 days before or delayed by more than 60 days after the first anniversary date of the preceding year’s annual meeting, a stockholder’s notice must be delivered to our corporate secretary not later than the later of (x) the close of business on the 90th day prior to the meeting or (y) the close of business on the 10th day following the day on which a public announcement of the date of the meeting is first made by us.</w:t>
      </w:r>
    </w:p>
    <w:p>
      <w:pPr>
        <w:spacing w:after="0" w:line="113" w:lineRule="exact"/>
        <w:rPr>
          <w:sz w:val="20"/>
          <w:szCs w:val="20"/>
          <w:color w:val="auto"/>
        </w:rPr>
      </w:pPr>
    </w:p>
    <w:p>
      <w:pPr>
        <w:ind w:right="40" w:firstLine="299"/>
        <w:spacing w:after="0" w:line="254" w:lineRule="auto"/>
        <w:rPr>
          <w:sz w:val="20"/>
          <w:szCs w:val="20"/>
          <w:color w:val="auto"/>
        </w:rPr>
      </w:pPr>
      <w:r>
        <w:rPr>
          <w:rFonts w:ascii="Arial" w:cs="Arial" w:eastAsia="Arial" w:hAnsi="Arial"/>
          <w:sz w:val="17"/>
          <w:szCs w:val="17"/>
          <w:b w:val="1"/>
          <w:bCs w:val="1"/>
          <w:i w:val="1"/>
          <w:iCs w:val="1"/>
          <w:color w:val="auto"/>
        </w:rPr>
        <w:t>No Stockholders Action by Written Consent</w:t>
      </w:r>
      <w:r>
        <w:rPr>
          <w:rFonts w:ascii="Arial" w:cs="Arial" w:eastAsia="Arial" w:hAnsi="Arial"/>
          <w:sz w:val="17"/>
          <w:szCs w:val="17"/>
          <w:color w:val="auto"/>
        </w:rPr>
        <w:t>. Our amended and restated certificate of incorporation will provide that stockholders action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taken only at an annual meeting or special meeting of stockholders, provided that, until the later of the termination of the proxy agreement and such date as Leonardo S.p.A. is no longer required under IFRS to consolidate the financial statements of the Company with its financial results, stockholders action may be taken by written consent in lieu of a meeting.</w:t>
      </w:r>
    </w:p>
    <w:p>
      <w:pPr>
        <w:spacing w:after="0" w:line="118" w:lineRule="exact"/>
        <w:rPr>
          <w:sz w:val="20"/>
          <w:szCs w:val="20"/>
          <w:color w:val="auto"/>
        </w:rPr>
      </w:pPr>
    </w:p>
    <w:p>
      <w:pPr>
        <w:ind w:firstLine="299"/>
        <w:spacing w:after="0" w:line="249" w:lineRule="auto"/>
        <w:rPr>
          <w:sz w:val="20"/>
          <w:szCs w:val="20"/>
          <w:color w:val="auto"/>
        </w:rPr>
      </w:pPr>
      <w:r>
        <w:rPr>
          <w:rFonts w:ascii="Arial" w:cs="Arial" w:eastAsia="Arial" w:hAnsi="Arial"/>
          <w:sz w:val="17"/>
          <w:szCs w:val="17"/>
          <w:b w:val="1"/>
          <w:bCs w:val="1"/>
          <w:i w:val="1"/>
          <w:iCs w:val="1"/>
          <w:color w:val="auto"/>
        </w:rPr>
        <w:t>Amendments to Certificate of Incorporation and Bylaws</w:t>
      </w:r>
      <w:r>
        <w:rPr>
          <w:rFonts w:ascii="Arial" w:cs="Arial" w:eastAsia="Arial" w:hAnsi="Arial"/>
          <w:sz w:val="17"/>
          <w:szCs w:val="17"/>
          <w:color w:val="auto"/>
        </w:rPr>
        <w:t>. Our amended and restated certificate of incorporation will provide that our amended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restated certificate of incorporation may be amended by both the affirmative vote of a majority of our board and the affirmative vote of the holders of a majority of the outstanding shares of our common stock then entitled to vote at any annual or special meeting of stockholders; provided that, following the later of the termination of the proxy agreement and such date as Leonardo S.p.A. is no longer required under IFRS to consolidate the financial statements of the Company with its financial results, specified provisions of our amended and restated certificate of incorporation may not be amended, altered or repealed unless the amendment is approved by the affirmative vote of the holders of at least 66 2⁄3% of the outstanding shares of our common stock then entitled to vote at any annual or special meeting of stockholders, including, but not limited to, the provisions governing:</w:t>
      </w:r>
    </w:p>
    <w:p>
      <w:pPr>
        <w:spacing w:after="0" w:line="143" w:lineRule="exact"/>
        <w:rPr>
          <w:sz w:val="20"/>
          <w:szCs w:val="20"/>
          <w:color w:val="auto"/>
        </w:rPr>
      </w:pPr>
    </w:p>
    <w:p>
      <w:pPr>
        <w:ind w:left="600" w:hanging="302"/>
        <w:spacing w:after="0"/>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liability and indemnification of directors;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corporate opportunities;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elimination of stockholders action by written consent;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prohibition on the rights of stockholders to call a special meeting; and</w:t>
      </w:r>
    </w:p>
    <w:p>
      <w:pPr>
        <w:spacing w:after="0" w:line="152" w:lineRule="exact"/>
        <w:rPr>
          <w:rFonts w:ascii="Arial" w:cs="Arial" w:eastAsia="Arial" w:hAnsi="Arial"/>
          <w:sz w:val="17"/>
          <w:szCs w:val="17"/>
          <w:color w:val="auto"/>
        </w:rPr>
      </w:pPr>
    </w:p>
    <w:p>
      <w:pPr>
        <w:ind w:left="600" w:right="120" w:hanging="302"/>
        <w:spacing w:after="0" w:line="250" w:lineRule="auto"/>
        <w:tabs>
          <w:tab w:leader="none" w:pos="59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required approval of the holders of at least 66 2⁄3% of the outstanding shares of our common stock to amend our amended and restated bylaws and certain provisions of our amended and restated certificate of incorporation.</w:t>
      </w:r>
    </w:p>
    <w:p>
      <w:pPr>
        <w:spacing w:after="0" w:line="140" w:lineRule="exact"/>
        <w:rPr>
          <w:sz w:val="20"/>
          <w:szCs w:val="20"/>
          <w:color w:val="auto"/>
        </w:rPr>
      </w:pPr>
    </w:p>
    <w:p>
      <w:pPr>
        <w:ind w:right="220" w:firstLine="299"/>
        <w:spacing w:after="0" w:line="247" w:lineRule="auto"/>
        <w:rPr>
          <w:sz w:val="20"/>
          <w:szCs w:val="20"/>
          <w:color w:val="auto"/>
        </w:rPr>
      </w:pPr>
      <w:r>
        <w:rPr>
          <w:rFonts w:ascii="Arial" w:cs="Arial" w:eastAsia="Arial" w:hAnsi="Arial"/>
          <w:sz w:val="17"/>
          <w:szCs w:val="17"/>
          <w:color w:val="auto"/>
        </w:rPr>
        <w:t>In addition, our amended and restated bylaws may be amended, altered or repealed, or new bylaws may be adopted, by the affirmative vote of a majority of the board, or by the affirmative vote of the holders of (x) until the later of the termination of the proxy agreement and such date as Leonardo S.p.A. is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43"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longer required under IFRS to consolidate the financial statements of the Company with its financial results, at least a majority and (y) thereafter, at least 66 2⁄3%, of the outstanding shares of our common stock then entitled to vote at any annual or special meeting of stockholders.</w:t>
      </w:r>
    </w:p>
    <w:p>
      <w:pPr>
        <w:spacing w:after="0" w:line="140" w:lineRule="exact"/>
        <w:rPr>
          <w:sz w:val="20"/>
          <w:szCs w:val="20"/>
          <w:color w:val="auto"/>
        </w:rPr>
      </w:pPr>
    </w:p>
    <w:p>
      <w:pPr>
        <w:ind w:right="260" w:firstLine="299"/>
        <w:spacing w:after="0" w:line="250" w:lineRule="auto"/>
        <w:rPr>
          <w:sz w:val="20"/>
          <w:szCs w:val="20"/>
          <w:color w:val="auto"/>
        </w:rPr>
      </w:pPr>
      <w:r>
        <w:rPr>
          <w:rFonts w:ascii="Arial" w:cs="Arial" w:eastAsia="Arial" w:hAnsi="Arial"/>
          <w:sz w:val="17"/>
          <w:szCs w:val="17"/>
          <w:color w:val="auto"/>
        </w:rPr>
        <w:t>These provisions make it more difficult for any person to remove or amend any provisions in our amended and restated certificate of incorporation and amended and restated bylaws that may have an anti-takeover effect.</w:t>
      </w:r>
    </w:p>
    <w:p>
      <w:pPr>
        <w:spacing w:after="0" w:line="120" w:lineRule="exact"/>
        <w:rPr>
          <w:sz w:val="20"/>
          <w:szCs w:val="20"/>
          <w:color w:val="auto"/>
        </w:rPr>
      </w:pPr>
    </w:p>
    <w:p>
      <w:pPr>
        <w:ind w:firstLine="299"/>
        <w:spacing w:after="0" w:line="248" w:lineRule="auto"/>
        <w:rPr>
          <w:sz w:val="20"/>
          <w:szCs w:val="20"/>
          <w:color w:val="auto"/>
        </w:rPr>
      </w:pPr>
      <w:r>
        <w:rPr>
          <w:rFonts w:ascii="Arial" w:cs="Arial" w:eastAsia="Arial" w:hAnsi="Arial"/>
          <w:sz w:val="17"/>
          <w:szCs w:val="17"/>
          <w:b w:val="1"/>
          <w:bCs w:val="1"/>
          <w:i w:val="1"/>
          <w:iCs w:val="1"/>
          <w:color w:val="auto"/>
        </w:rPr>
        <w:t>Delaware Anti-Takeover Law</w:t>
      </w:r>
      <w:r>
        <w:rPr>
          <w:rFonts w:ascii="Arial" w:cs="Arial" w:eastAsia="Arial" w:hAnsi="Arial"/>
          <w:sz w:val="17"/>
          <w:szCs w:val="17"/>
          <w:color w:val="auto"/>
        </w:rPr>
        <w:t>. In general, Section 203 of the DGCL prohibits a publicly held Delaware corporation from engaging in a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such as mergers, sales and leases of assets, issuances of securities and similar transactions by the corporation or a subsidiary with an interested stockholder including a person or group who beneficially owns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Section 203 permits corporations, in their certificate of incorporation, to opt out of the protections of Section 203. Our certificate of incorporation generally excepts Leonardo S.p.A. and its affiliates, including US Holding, and their direct and indirect transferees of our stock and any affiliate of any such transferee, from the definition of interested stockholder for purposes of Section 203 of the DGCL until the occurrence of a transaction in which Leonardo S.p.A. or its affiliates, including US Holding, cease to collectively, as applicable, beneficially own at least 15% of the voting power of our outstanding voting stock.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w:t>
      </w:r>
    </w:p>
    <w:p>
      <w:pPr>
        <w:spacing w:after="0" w:line="173" w:lineRule="exact"/>
        <w:rPr>
          <w:sz w:val="20"/>
          <w:szCs w:val="20"/>
          <w:color w:val="auto"/>
        </w:rPr>
      </w:pPr>
    </w:p>
    <w:p>
      <w:pPr>
        <w:ind w:right="440" w:firstLine="299"/>
        <w:spacing w:after="0" w:line="250" w:lineRule="auto"/>
        <w:rPr>
          <w:sz w:val="20"/>
          <w:szCs w:val="20"/>
          <w:color w:val="auto"/>
        </w:rPr>
      </w:pPr>
      <w:r>
        <w:rPr>
          <w:rFonts w:ascii="Arial" w:cs="Arial" w:eastAsia="Arial" w:hAnsi="Arial"/>
          <w:sz w:val="17"/>
          <w:szCs w:val="17"/>
          <w:color w:val="auto"/>
        </w:rPr>
        <w:t>Our amended and restated certificate of incorporation will contain provisions relating to the liability of directors. These provisions will eliminate a director’s personal liability for monetary damages resulting from a breach of fiduciary duty, except in circumstances involving:</w:t>
      </w:r>
    </w:p>
    <w:p>
      <w:pPr>
        <w:spacing w:after="0" w:line="140" w:lineRule="exact"/>
        <w:rPr>
          <w:sz w:val="20"/>
          <w:szCs w:val="20"/>
          <w:color w:val="auto"/>
        </w:rPr>
      </w:pPr>
    </w:p>
    <w:p>
      <w:pPr>
        <w:ind w:left="600" w:hanging="302"/>
        <w:spacing w:after="0"/>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breach of the director’s duty of loyalty;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the law;</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redemptions or other distributions; or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transaction from which the director derives an improper personal benefit.</w:t>
      </w:r>
    </w:p>
    <w:p>
      <w:pPr>
        <w:spacing w:after="0" w:line="15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director’s fiduciary duty. These provisions will not alter a director’s liability under federal securities laws. The inclusion of this provision in our amended and restated certificate of incorporation may discourage or deter stockholders or management from bringing a lawsuit against directors for a breach of their fiduciary duties, even though such an action, if successful, might otherwise have benefited us and our stockholders. In addition, your investment may be adversely affected to the extent we pay costs of settlement and damage awards against directors and officers pursuant to these indemnification provisions.</w:t>
      </w:r>
    </w:p>
    <w:p>
      <w:pPr>
        <w:spacing w:after="0" w:line="146" w:lineRule="exact"/>
        <w:rPr>
          <w:sz w:val="20"/>
          <w:szCs w:val="20"/>
          <w:color w:val="auto"/>
        </w:rPr>
      </w:pPr>
    </w:p>
    <w:p>
      <w:pPr>
        <w:ind w:right="220" w:firstLine="299"/>
        <w:spacing w:after="0" w:line="245" w:lineRule="auto"/>
        <w:rPr>
          <w:sz w:val="20"/>
          <w:szCs w:val="20"/>
          <w:color w:val="auto"/>
        </w:rPr>
      </w:pPr>
      <w:r>
        <w:rPr>
          <w:rFonts w:ascii="Arial" w:cs="Arial" w:eastAsia="Arial" w:hAnsi="Arial"/>
          <w:sz w:val="17"/>
          <w:szCs w:val="17"/>
          <w:color w:val="auto"/>
        </w:rPr>
        <w:t>Our amended and restated certificate of incorporation and our amended and restated bylaws will require us to indemnify and advance expenses to our directors and officers to the fullest extent not prohibited by the DGCL and other applicable law, except in the case of a proceeding instituted by the director without the approval of the company. Our amended and restated certificate of incorporation and our amended and restated bylaws will provide that we are required to indemnify our directors and executive officers, to the fullest extent permitted by law, for all judgments, fines, settlements,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4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have had no reasonable cause to believe his or her conduct was unlawful.</w:t>
      </w:r>
    </w:p>
    <w:p>
      <w:pPr>
        <w:spacing w:after="0" w:line="147" w:lineRule="exact"/>
        <w:rPr>
          <w:sz w:val="20"/>
          <w:szCs w:val="20"/>
          <w:color w:val="auto"/>
        </w:rPr>
      </w:pPr>
    </w:p>
    <w:p>
      <w:pPr>
        <w:ind w:right="20" w:firstLine="299"/>
        <w:spacing w:after="0" w:line="246" w:lineRule="auto"/>
        <w:rPr>
          <w:sz w:val="20"/>
          <w:szCs w:val="20"/>
          <w:color w:val="auto"/>
        </w:rPr>
      </w:pPr>
      <w:r>
        <w:rPr>
          <w:rFonts w:ascii="Arial" w:cs="Arial" w:eastAsia="Arial" w:hAnsi="Arial"/>
          <w:sz w:val="17"/>
          <w:szCs w:val="17"/>
          <w:color w:val="auto"/>
        </w:rPr>
        <w:t>Prior to this offering, we will enter into an indemnification agreement with each of our directors. The indemnification agreement will provide our directors with contractual rights to the indemnification and expense advancement rights provided under our amended and restated bylaws, as well as contractual rights to additional indemnification as provided in the indemnification agreement. See the Form of Director Indemnification Agreement filed as an exhibit to the registration statement of which this prospectus forms a part.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Opportunities</w:t>
      </w:r>
    </w:p>
    <w:p>
      <w:pPr>
        <w:spacing w:after="0" w:line="173" w:lineRule="exact"/>
        <w:rPr>
          <w:sz w:val="20"/>
          <w:szCs w:val="20"/>
          <w:color w:val="auto"/>
        </w:rPr>
      </w:pPr>
    </w:p>
    <w:p>
      <w:pPr>
        <w:ind w:right="60" w:firstLine="299"/>
        <w:spacing w:after="0" w:line="262" w:lineRule="auto"/>
        <w:rPr>
          <w:sz w:val="20"/>
          <w:szCs w:val="20"/>
          <w:color w:val="auto"/>
        </w:rPr>
      </w:pPr>
      <w:r>
        <w:rPr>
          <w:rFonts w:ascii="Arial" w:cs="Arial" w:eastAsia="Arial" w:hAnsi="Arial"/>
          <w:sz w:val="16"/>
          <w:szCs w:val="16"/>
          <w:color w:val="auto"/>
        </w:rPr>
        <w:t>Our amended and restated certificate of incorporation will provide that we, on our behalf and on behalf of our subsidiaries, renounce any interest or expectancy in, or in being offered an opportunity to participate in, potential transactions, matters or business opportunities (each, a “corporate opportunity”) that are from time to time presented to Leonardo S.p.A. or any of its officers, directors, employees, agents, stockholders, members, partners, affiliates or subsidiaries (other than us and our subsidiaries), with the exception of the proxy holders, even if the opportunity is one that we or our subsidiaries might reasonably be deemed to have pursued or had the ability or desire to pursue if granted the opportunity to do so. Neither Leonardo S.p.A. nor any of its officers, directors, employees, agents, stockholders, members, partners, affiliates or subsidiaries, with the exception of the proxy holders, will be liable to us or any of our subsidiaries for breach of any fiduciary or other duty by reason of the fact that such person pursues or acquires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amended and restated certificate of incorporation.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173" w:lineRule="exact"/>
        <w:rPr>
          <w:sz w:val="20"/>
          <w:szCs w:val="20"/>
          <w:color w:val="auto"/>
        </w:rPr>
      </w:pPr>
    </w:p>
    <w:p>
      <w:pPr>
        <w:ind w:firstLine="299"/>
        <w:spacing w:after="0" w:line="261"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alternate forum, the Court of Chancery of the State of Delaware will, to the fullest extent provided by law, be the sole and exclusive forum for (i) any derivative action or proceeding brought on our behalf, (ii) any action asserting a claim of breach of a fiduciary duty owed to us or our stockholders by any of our directors, officers, other employees, agents or stockholders, (iii) any action asserting a claim against us arising under the DGCL or as to which the DGCL confers jurisdiction on the Court of Chancery of the State of Delaware (including, without limitation, any action asserting a claim arising out of or pursuant to our amended and restated bylaws) or (iv) any action asserting a claim against us that is governed by the internal affairs doctrine. The foregoing provision does not apply to claims arising under the Securities Act, the Securities Exchange Act, or other federal securities laws for which there is exclusive federal or concurrent federal and state jurisdiction. Our stockholders cannot waive compliance with the federal securities laws and the rules and regulations thereunder. Furthermore, unless we select or consent to the selection of an alternative forum, our amended and restated certificate of incorporation will provide that the federal district courts of the United States of America will be the exclusive forum for the resolution of any complaint asserting a cause of action arising under the Securities Act. To the fullest extent permitted by law, by becoming a stockholder in our company, you will be deemed to have notice of and have consented to the provisions of our amended and restated certificate of incorporation related to choice of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220"/>
          </w:cols>
          <w:pgMar w:left="320" w:top="1440" w:right="359" w:bottom="1440" w:gutter="0" w:footer="0" w:header="0"/>
        </w:sectPr>
      </w:pPr>
    </w:p>
    <w:bookmarkStart w:id="185" w:name="page186"/>
    <w:bookmarkEnd w:id="185"/>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Listing</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been approved to list our common stock on the NYSE under the symbol “DRS”.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transfer agent and registrar for our common stock will be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139"/>
          </w:cols>
          <w:pgMar w:left="320" w:top="1440" w:right="1440" w:bottom="1440" w:gutter="0" w:footer="0" w:header="0"/>
        </w:sectPr>
      </w:pPr>
    </w:p>
    <w:bookmarkStart w:id="186" w:name="page187"/>
    <w:bookmarkEnd w:id="186"/>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ELIGIBLE FOR FUTURE SALE</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Immediately prior to this offering, there was no public market for our common stock. Sales of substantial amounts of our common stock in the public market could adversely affect prevailing market prices of our common stock. Some shares of our common stock will not be available for sale for a certain period of time after this offering because they are subject to contractual and legal restrictions on resale some of which are described below. Sales of substantial amounts of common stock in the public market after these restrictions lapse, or the perception that these sales could occur, could adversely affect the prevailing market price and our ability to raise equity capital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Restricted Securities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Currently, 145,000,000 shares of our common stock are outstanding. Of these shares, shares sold in this offering (or shares if the underwriters exercise their option to purchase additional shares of common stock from the selling stockholder in full) will be freely tradable without restriction under the Securities Act, unless purchased by our “affiliates,” as that term is defined in Rule 144 under the Securities Act. The remaining shares of our common stock (or shares if the underwriters exercise their option to purchase additional shares of common stock from the selling stockholder in full) that will be outstanding after this offering are “restricted securities” within the meaning of Rule 144 under the Securities Act. Restricted securities may be sold in the public market only if they are registered under the Securities Act or are sold pursuant to an exemption from registration under Rule 144 under the Securities Act, which is summarized below. Subject to the lock-up agreements described below, shares held by our affiliates that are not restricted securities or that have been owned for more than one year may be sold subject to compliance with Rule 144 of the Securities Act without regard to the prescribed one-year holding period under Rule 144.</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Statement on Form S-8</w:t>
      </w:r>
    </w:p>
    <w:p>
      <w:pPr>
        <w:spacing w:after="0" w:line="173" w:lineRule="exact"/>
        <w:rPr>
          <w:sz w:val="20"/>
          <w:szCs w:val="20"/>
          <w:color w:val="auto"/>
        </w:rPr>
      </w:pPr>
    </w:p>
    <w:p>
      <w:pPr>
        <w:ind w:right="60" w:firstLine="299"/>
        <w:spacing w:after="0" w:line="199" w:lineRule="exact"/>
        <w:rPr>
          <w:sz w:val="20"/>
          <w:szCs w:val="20"/>
          <w:color w:val="auto"/>
        </w:rPr>
      </w:pPr>
      <w:r>
        <w:rPr>
          <w:rFonts w:ascii="Arial" w:cs="Arial" w:eastAsia="Arial" w:hAnsi="Arial"/>
          <w:sz w:val="17"/>
          <w:szCs w:val="17"/>
          <w:color w:val="auto"/>
        </w:rPr>
        <w:t>We intend to file with the SEC, as soon as practicable following this offering, a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8 registering an aggregate of shares of common stock underlying equity awards we will make to our employees and certain other qualifying individuals. The Form S</w:t>
      </w:r>
      <w:r>
        <w:rPr>
          <w:rFonts w:ascii="MS PGothic" w:cs="MS PGothic" w:eastAsia="MS PGothic" w:hAnsi="MS PGothic"/>
          <w:sz w:val="17"/>
          <w:szCs w:val="17"/>
          <w:color w:val="auto"/>
        </w:rPr>
        <w:t>‑</w:t>
      </w:r>
      <w:r>
        <w:rPr>
          <w:rFonts w:ascii="Arial" w:cs="Arial" w:eastAsia="Arial" w:hAnsi="Arial"/>
          <w:sz w:val="17"/>
          <w:szCs w:val="17"/>
          <w:color w:val="auto"/>
        </w:rPr>
        <w:t>8 will become effective upon filing and shares of common stock so registered will become freely tradable upon such effectiveness, subject to any restrictions imposed on such resale pursuant to the lock-up agreements entered into with the underwriters for the offering.</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73"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In connection with this offering, the selling stockholder and our directors and executive officers will enter into lock-up agreements, under which they will agree not to dispose of or hedge any of our common stock or securities convertible into or exchangeable for shares of our common stock without the prior written consent of Goldman Sachs &amp; Co. LLC for a period of 180 days after the date of this prospectus. These agreements are described below under “Underwriting.”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at any time during the 90 days preceding a sale one of our affiliates for purposes of the Securities Act and who has beneficially owned the shares proposed to be sold for at least six months, including the holding period of any prior owner other than an affiliate, is entitled to sell such shares without registration,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47" w:lineRule="exact"/>
        <w:rPr>
          <w:sz w:val="20"/>
          <w:szCs w:val="20"/>
          <w:color w:val="auto"/>
        </w:rPr>
      </w:pPr>
    </w:p>
    <w:p>
      <w:pPr>
        <w:ind w:right="520" w:firstLine="299"/>
        <w:spacing w:after="0" w:line="250"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who have met the six-month holding period for beneficial ownership of “restricted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are entitled to sell within any three-month period, a number of shares that does not exceed the greater of:</w:t>
      </w:r>
    </w:p>
    <w:p>
      <w:pPr>
        <w:spacing w:after="0" w:line="153" w:lineRule="exact"/>
        <w:rPr>
          <w:sz w:val="20"/>
          <w:szCs w:val="20"/>
          <w:color w:val="auto"/>
        </w:rPr>
      </w:pPr>
    </w:p>
    <w:p>
      <w:pPr>
        <w:ind w:left="600" w:right="280" w:hanging="302"/>
        <w:spacing w:after="0" w:line="250" w:lineRule="auto"/>
        <w:tabs>
          <w:tab w:leader="none" w:pos="59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145,000,000 shares immediately after this offering; and</w:t>
      </w:r>
    </w:p>
    <w:p>
      <w:pPr>
        <w:spacing w:after="0" w:line="140" w:lineRule="exact"/>
        <w:rPr>
          <w:rFonts w:ascii="Arial" w:cs="Arial" w:eastAsia="Arial" w:hAnsi="Arial"/>
          <w:sz w:val="17"/>
          <w:szCs w:val="17"/>
          <w:color w:val="auto"/>
        </w:rPr>
      </w:pPr>
    </w:p>
    <w:p>
      <w:pPr>
        <w:ind w:left="600" w:right="120" w:hanging="302"/>
        <w:spacing w:after="0" w:line="250" w:lineRule="auto"/>
        <w:tabs>
          <w:tab w:leader="none" w:pos="59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average reported weekly trading volume of our common stock on NYSE during the four calendar weeks preceding the date of filing a Notice of Proposed Sale of Securities Pursuant to Rule 144 with respect to the sale.</w:t>
      </w:r>
    </w:p>
    <w:p>
      <w:pPr>
        <w:spacing w:after="0" w:line="140"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 U.S. FEDERAL TAX CONSIDERATIONS FOR NON-U.S. HOLDERS</w:t>
      </w:r>
    </w:p>
    <w:p>
      <w:pPr>
        <w:spacing w:after="0" w:line="173" w:lineRule="exact"/>
        <w:rPr>
          <w:sz w:val="20"/>
          <w:szCs w:val="20"/>
          <w:color w:val="auto"/>
        </w:rPr>
      </w:pPr>
    </w:p>
    <w:p>
      <w:pPr>
        <w:ind w:right="20" w:firstLine="299"/>
        <w:spacing w:after="0" w:line="261" w:lineRule="auto"/>
        <w:rPr>
          <w:sz w:val="20"/>
          <w:szCs w:val="20"/>
          <w:color w:val="auto"/>
        </w:rPr>
      </w:pPr>
      <w:r>
        <w:rPr>
          <w:rFonts w:ascii="Arial" w:cs="Arial" w:eastAsia="Arial" w:hAnsi="Arial"/>
          <w:sz w:val="16"/>
          <w:szCs w:val="16"/>
          <w:color w:val="auto"/>
        </w:rPr>
        <w:t>The following is a discussion of material U.S. federal income tax considerations relating to the purchase, ownership and disposition of our common stock by Non-U.S. Holders (as defined below) that purchase such common stock pursuant to this offering and hold such common stock as a capital asset. This discussion is based on the U.S. Internal Revenue Code of 1986, as amended (the “Code”), U.S. Treasury regulations promulgated or proposed thereunder, and administrative and judicial interpretations thereof, all as in effect on the date hereof and all of which are subject to change, possibly with retroactive effect, or to different interpretation. This discussion does not address all of the U.S. federal income tax considerations that may be relevant to specific Non-U.S. Holders in light of their particular circumstances or to Non-U.S. Holders subject to special treatment under U.S. federal income tax law (such as banks, insurance companies, dealers in securities or other Non-U.S. Holders that generally mark their securities to market for U.S. federal income tax purposes, Non-U.S. Holders that are “controlled foreign corporations” or “passive foreign investment companies” for U.S. federal income tax purposes, foreign governments, international organizations, tax-exempt entities, certain former citizens or residents of the United States, Non-U.S. Holders that hold our common stock as part of a straddle, hedge, conversion or other integrated transaction, or Non-U.S. Holders that purchase or sell our common stock as part of a wash sale for tax purposes). This discussion does not address any U.S. state or local or non-U.S. tax considerations or any U.S. federal estate and gift, Medicare contribution or alternative minimum tax considerations.</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used in this discussion, the term “Non-U.S. Holder” means a beneficial owner of our common stock that, for U.S. federal income tax purposes, is:</w:t>
      </w:r>
    </w:p>
    <w:p>
      <w:pPr>
        <w:spacing w:after="0" w:line="164" w:lineRule="exact"/>
        <w:rPr>
          <w:sz w:val="20"/>
          <w:szCs w:val="20"/>
          <w:color w:val="auto"/>
        </w:rPr>
      </w:pPr>
    </w:p>
    <w:p>
      <w:pPr>
        <w:ind w:left="600" w:hanging="302"/>
        <w:spacing w:after="0"/>
        <w:tabs>
          <w:tab w:leader="none" w:pos="6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 individual who is neither a citizen nor a resident of the United States;</w:t>
      </w:r>
    </w:p>
    <w:p>
      <w:pPr>
        <w:spacing w:after="0" w:line="152" w:lineRule="exact"/>
        <w:rPr>
          <w:rFonts w:ascii="Arial" w:cs="Arial" w:eastAsia="Arial" w:hAnsi="Arial"/>
          <w:sz w:val="17"/>
          <w:szCs w:val="17"/>
          <w:color w:val="auto"/>
        </w:rPr>
      </w:pPr>
    </w:p>
    <w:p>
      <w:pPr>
        <w:ind w:left="600" w:right="80" w:hanging="302"/>
        <w:spacing w:after="0" w:line="250" w:lineRule="auto"/>
        <w:tabs>
          <w:tab w:leader="none" w:pos="59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corporation that is not created or organized in or under the laws of the United States, any state thereof, or the District of Columbia or otherwise treated as a domestic corporation;</w:t>
      </w:r>
    </w:p>
    <w:p>
      <w:pPr>
        <w:spacing w:after="0" w:line="140" w:lineRule="exact"/>
        <w:rPr>
          <w:rFonts w:ascii="Arial" w:cs="Arial" w:eastAsia="Arial" w:hAnsi="Arial"/>
          <w:sz w:val="17"/>
          <w:szCs w:val="17"/>
          <w:color w:val="auto"/>
        </w:rPr>
      </w:pPr>
    </w:p>
    <w:p>
      <w:pPr>
        <w:ind w:left="600" w:right="80" w:hanging="302"/>
        <w:spacing w:after="0" w:line="250" w:lineRule="auto"/>
        <w:tabs>
          <w:tab w:leader="none" w:pos="59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 estate that is not subject to U.S. federal income tax on income from non-U.S. sources which is not effectively connected with the conduct of a trade or business in the United States; or</w:t>
      </w:r>
    </w:p>
    <w:p>
      <w:pPr>
        <w:spacing w:after="0" w:line="140" w:lineRule="exact"/>
        <w:rPr>
          <w:rFonts w:ascii="Arial" w:cs="Arial" w:eastAsia="Arial" w:hAnsi="Arial"/>
          <w:sz w:val="17"/>
          <w:szCs w:val="17"/>
          <w:color w:val="auto"/>
        </w:rPr>
      </w:pPr>
    </w:p>
    <w:p>
      <w:pPr>
        <w:ind w:left="600" w:right="180" w:hanging="302"/>
        <w:spacing w:after="0" w:line="247" w:lineRule="auto"/>
        <w:tabs>
          <w:tab w:leader="none" w:pos="59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trust unless (i) a court within the United States is able to exercise primary supervision over its administration and one or more U.S. persons have the authority to control all of its substantial decisions or (ii) it has in effect a valid election under applicable U.S. Treasury regulations to be treated as a U.S. person.</w:t>
      </w:r>
    </w:p>
    <w:p>
      <w:pPr>
        <w:spacing w:after="0" w:line="14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If an entity or arrangement that is treated as a partnership for U.S. federal income tax purposes invests in our common stock, the U.S. federal income tax considerations relating to such investment will depend in part upon the status and activities of such entity and the particular partner. Any such entity should consult its own tax advisor regarding the U.S. federal income tax considerations applicable to it and its partners relating to the purchase, ownership and disposition of our common stock.</w:t>
      </w:r>
    </w:p>
    <w:p>
      <w:pPr>
        <w:spacing w:after="0" w:line="144"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PERSONS CONSIDERING AN INVESTMENT IN OUR COMMON STOCK SHOULD CONSULT THEIR OWN TAX ADVISORS REGARDING THE U.S. FEDERAL, STATE AND LOCAL AND NON-U.S. INCOME, ESTATE AND OTHER TAX CONSIDERATIONS RELATING TO THE PURCHASE, OWNERSHIP AND DISPOSITION OF OUR COMMON STOCK IN LIGHT OF THEIR PARTICULAR CIRCUMSTANCES.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on Common Stock</w:t>
      </w:r>
    </w:p>
    <w:p>
      <w:pPr>
        <w:spacing w:after="0" w:line="173" w:lineRule="exact"/>
        <w:rPr>
          <w:sz w:val="20"/>
          <w:szCs w:val="20"/>
          <w:color w:val="auto"/>
        </w:rPr>
      </w:pPr>
    </w:p>
    <w:p>
      <w:pPr>
        <w:ind w:right="280" w:firstLine="299"/>
        <w:spacing w:after="0" w:line="246" w:lineRule="auto"/>
        <w:rPr>
          <w:sz w:val="20"/>
          <w:szCs w:val="20"/>
          <w:color w:val="auto"/>
        </w:rPr>
      </w:pPr>
      <w:r>
        <w:rPr>
          <w:rFonts w:ascii="Arial" w:cs="Arial" w:eastAsia="Arial" w:hAnsi="Arial"/>
          <w:sz w:val="17"/>
          <w:szCs w:val="17"/>
          <w:color w:val="auto"/>
        </w:rPr>
        <w:t>If we make a distribution of cash or other property (other than certain pro rata distributions of our common stock or rights to acquire our common stock) with respect to a share of our common stock, the distribution generally will be treated as a dividend to the extent it is paid from our current or accumulated earnings and profits (as determined under U.S. federal income tax principles). If the amount of such distribution exceeds our current and accumulated earnings and profits, such excess generally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43"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treated first as a tax-free return of capital to the extent of the Non-U.S. Holder’s adjusted tax basis in such share of our common stock, and then as capital gain (which will be treated in the manner described below under “—Sale, Exchange or Other Disposition of Common Stock”). Subject to the following paragraph, distributions treated as dividends on our common stock that are paid to or for the account of a Non-U.S. Holder generally will be subject to U.S. federal withholding tax at a rate of 30%, or at a lower rate if provided by an applicable tax treaty and the Non-U.S. Holder provides the documentation (generally, Internal Revenue Service (“IRS”) Form W-8BEN or W-8BEN-E) required to claim benefits under such tax treaty to the applicable withholding agent. Even if our current or accumulated earnings and profits are less than the amount of the distribution, the applicable withholding agent may elect to treat the entire distribution as a dividend for U.S. federal withholding tax purposes. Each Non-U.S. Holder should consult its own tax advisor regarding U.S. federal withholding tax on distributions, including such Non-U.S. Holder’s eligibility for a lower rate and the availability of a refund of any excess U.S. federal tax withheld.</w:t>
      </w:r>
    </w:p>
    <w:p>
      <w:pPr>
        <w:spacing w:after="0" w:line="145"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If, however, a dividend is effectively connected with the conduct of a trade or business in the United States by a Non-U.S. Holder, such dividend generally will not be subject to the 30% U.S. federal withholding tax if such Non-U.S. Holder provides the appropriate documentation (generally, IRS Form W-8ECI) to the applicable withholding agent. Instead, such Non-U.S. Holder generally will be subject to U.S. federal income tax on such dividend in substantially the same manner as a U.S. person (except as provided by an applicable tax treaty). In addition, a Non-U.S. Holder that is treated as a corporation for U.S. federal income tax purposes may be subject to a branch profits tax at a rate of 30% (or a lower rate if provided by an applicable tax treaty) on its effectively connected income for the taxable year, subject to certain adjustments.</w:t>
      </w:r>
    </w:p>
    <w:p>
      <w:pPr>
        <w:spacing w:after="0" w:line="147" w:lineRule="exact"/>
        <w:rPr>
          <w:sz w:val="20"/>
          <w:szCs w:val="20"/>
          <w:color w:val="auto"/>
        </w:rPr>
      </w:pPr>
    </w:p>
    <w:p>
      <w:pPr>
        <w:ind w:right="260" w:firstLine="299"/>
        <w:spacing w:after="0" w:line="427" w:lineRule="auto"/>
        <w:rPr>
          <w:sz w:val="20"/>
          <w:szCs w:val="20"/>
          <w:color w:val="auto"/>
        </w:rPr>
      </w:pPr>
      <w:r>
        <w:rPr>
          <w:rFonts w:ascii="Arial" w:cs="Arial" w:eastAsia="Arial" w:hAnsi="Arial"/>
          <w:sz w:val="17"/>
          <w:szCs w:val="17"/>
          <w:color w:val="auto"/>
        </w:rPr>
        <w:t xml:space="preserve">The foregoing discussion is subject to the discussion below under “—FATCA Withholding” and “—Information Reporting and Backup Withholding.” </w:t>
      </w:r>
      <w:r>
        <w:rPr>
          <w:rFonts w:ascii="Arial" w:cs="Arial" w:eastAsia="Arial" w:hAnsi="Arial"/>
          <w:sz w:val="17"/>
          <w:szCs w:val="17"/>
          <w:b w:val="1"/>
          <w:bCs w:val="1"/>
          <w:color w:val="auto"/>
        </w:rPr>
        <w:t>Sale, Exchange or Other Disposition of Common Stock</w:t>
      </w:r>
    </w:p>
    <w:p>
      <w:pPr>
        <w:spacing w:after="0" w:line="1" w:lineRule="exact"/>
        <w:rPr>
          <w:sz w:val="20"/>
          <w:szCs w:val="20"/>
          <w:color w:val="auto"/>
        </w:rPr>
      </w:pPr>
    </w:p>
    <w:p>
      <w:pPr>
        <w:ind w:right="200" w:firstLine="299"/>
        <w:spacing w:after="0" w:line="250" w:lineRule="auto"/>
        <w:rPr>
          <w:sz w:val="20"/>
          <w:szCs w:val="20"/>
          <w:color w:val="auto"/>
        </w:rPr>
      </w:pPr>
      <w:r>
        <w:rPr>
          <w:rFonts w:ascii="Arial" w:cs="Arial" w:eastAsia="Arial" w:hAnsi="Arial"/>
          <w:sz w:val="17"/>
          <w:szCs w:val="17"/>
          <w:color w:val="auto"/>
        </w:rPr>
        <w:t>A Non-U.S. Holder generally will not be subject to U.S. federal income tax on any gain recognized on the sale, exchange or other disposition of our common stock unless:</w:t>
      </w:r>
    </w:p>
    <w:p>
      <w:pPr>
        <w:spacing w:after="0" w:line="140" w:lineRule="exact"/>
        <w:rPr>
          <w:sz w:val="20"/>
          <w:szCs w:val="20"/>
          <w:color w:val="auto"/>
        </w:rPr>
      </w:pPr>
    </w:p>
    <w:p>
      <w:pPr>
        <w:ind w:left="600" w:right="120" w:hanging="302"/>
        <w:spacing w:after="0" w:line="246" w:lineRule="auto"/>
        <w:tabs>
          <w:tab w:leader="none" w:pos="59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such gain is effectively connected with the conduct of a trade or business in the United States by such Non-U.S. Holder, in which event such Non-U.S. Holder generally will be subject to U.S. federal income tax on such gain in substantially the same manner as a U.S. person (except as provided by an applicable tax treaty) and, if it is treated as a corporation for U.S. federal income tax purposes, may also be subject to a branch profits tax at a rate of 30% (or a lower rate if provided by an applicable tax treaty);</w:t>
      </w:r>
    </w:p>
    <w:p>
      <w:pPr>
        <w:spacing w:after="0" w:line="144" w:lineRule="exact"/>
        <w:rPr>
          <w:rFonts w:ascii="Arial" w:cs="Arial" w:eastAsia="Arial" w:hAnsi="Arial"/>
          <w:sz w:val="17"/>
          <w:szCs w:val="17"/>
          <w:color w:val="auto"/>
        </w:rPr>
      </w:pPr>
    </w:p>
    <w:p>
      <w:pPr>
        <w:ind w:left="600" w:right="40" w:hanging="302"/>
        <w:spacing w:after="0" w:line="247" w:lineRule="auto"/>
        <w:tabs>
          <w:tab w:leader="none" w:pos="59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such Non-U.S. Holder is an individual who is present in the United States for 183 days or more during the taxable year of such sale, exchange or other disposition and certain other conditions are met, in which event such gain (net of certain U.S. source losses) generally will be subject to U.S. federal income tax at a rate of 30% (except as provided by an applicable tax treaty); or</w:t>
      </w:r>
    </w:p>
    <w:p>
      <w:pPr>
        <w:spacing w:after="0" w:line="143" w:lineRule="exact"/>
        <w:rPr>
          <w:rFonts w:ascii="Arial" w:cs="Arial" w:eastAsia="Arial" w:hAnsi="Arial"/>
          <w:sz w:val="17"/>
          <w:szCs w:val="17"/>
          <w:color w:val="auto"/>
        </w:rPr>
      </w:pPr>
    </w:p>
    <w:p>
      <w:pPr>
        <w:jc w:val="both"/>
        <w:ind w:left="600" w:right="40" w:hanging="302"/>
        <w:spacing w:after="0" w:line="247" w:lineRule="auto"/>
        <w:tabs>
          <w:tab w:leader="none" w:pos="59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(x) the five-year period ending on the date of such sale, exchange or other disposition and (y) such Non-U.S. Holder’s holding period with respect to such common stock, and certain other conditions are met.</w:t>
      </w:r>
    </w:p>
    <w:p>
      <w:pPr>
        <w:spacing w:after="0" w:line="143"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U.S. federal income tax purposes). We believe that we presently are not, and we do not presently anticipate that we will become, a United States real property holding corporation.</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foregoing discussion is subject to the discussion below under “Information Reporting and Backup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FATCA Withholding</w:t>
      </w:r>
    </w:p>
    <w:p>
      <w:pPr>
        <w:spacing w:after="0" w:line="173" w:lineRule="exact"/>
        <w:rPr>
          <w:sz w:val="20"/>
          <w:szCs w:val="20"/>
          <w:color w:val="auto"/>
        </w:rPr>
      </w:pPr>
    </w:p>
    <w:p>
      <w:pPr>
        <w:ind w:firstLine="299"/>
        <w:spacing w:after="0" w:line="244" w:lineRule="auto"/>
        <w:rPr>
          <w:sz w:val="20"/>
          <w:szCs w:val="20"/>
          <w:color w:val="auto"/>
        </w:rPr>
      </w:pPr>
      <w:r>
        <w:rPr>
          <w:rFonts w:ascii="Arial" w:cs="Arial" w:eastAsia="Arial" w:hAnsi="Arial"/>
          <w:sz w:val="17"/>
          <w:szCs w:val="17"/>
          <w:color w:val="auto"/>
        </w:rPr>
        <w:t>Pursuant to sections 1471 through 1474 of the Code, commonly known as the Foreign Account Tax Compliance Act (“FATCA”), a 30% withholding tax (“FATCA withholding”) will generally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common stock could be affected by this withholding if you are subject to the FATCA information reporting requirements and fail to comply with them or if you hold common stock through a non-US person (e.g., a foreign bank or broker) that fails to comply with these requirements (even if payments to you would not otherwise have been subject to FATCA withholding).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You should consult your own tax advisors regarding the relevant U.S. law and other official guidance on FATCA withholding.</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73" w:lineRule="exact"/>
        <w:rPr>
          <w:sz w:val="20"/>
          <w:szCs w:val="20"/>
          <w:color w:val="auto"/>
        </w:rPr>
      </w:pPr>
    </w:p>
    <w:p>
      <w:pPr>
        <w:ind w:right="320" w:firstLine="299"/>
        <w:spacing w:after="0" w:line="250" w:lineRule="auto"/>
        <w:rPr>
          <w:sz w:val="20"/>
          <w:szCs w:val="20"/>
          <w:color w:val="auto"/>
        </w:rPr>
      </w:pPr>
      <w:r>
        <w:rPr>
          <w:rFonts w:ascii="Arial" w:cs="Arial" w:eastAsia="Arial" w:hAnsi="Arial"/>
          <w:sz w:val="17"/>
          <w:szCs w:val="17"/>
          <w:color w:val="auto"/>
        </w:rPr>
        <w:t>Amounts treated as payments of dividends on our common stock paid to a Non-U.S. Holder and the amount of any U.S. federal tax withheld from such payments generally will be reported annually to the IRS and to such Non-U.S. Holder by the applicable withholding agent.</w:t>
      </w:r>
    </w:p>
    <w:p>
      <w:pPr>
        <w:spacing w:after="0" w:line="140" w:lineRule="exact"/>
        <w:rPr>
          <w:sz w:val="20"/>
          <w:szCs w:val="20"/>
          <w:color w:val="auto"/>
        </w:rPr>
      </w:pPr>
    </w:p>
    <w:p>
      <w:pPr>
        <w:ind w:right="100" w:firstLine="299"/>
        <w:spacing w:after="0" w:line="247" w:lineRule="auto"/>
        <w:rPr>
          <w:sz w:val="20"/>
          <w:szCs w:val="20"/>
          <w:color w:val="auto"/>
        </w:rPr>
      </w:pPr>
      <w:r>
        <w:rPr>
          <w:rFonts w:ascii="Arial" w:cs="Arial" w:eastAsia="Arial" w:hAnsi="Arial"/>
          <w:sz w:val="17"/>
          <w:szCs w:val="17"/>
          <w:color w:val="auto"/>
        </w:rPr>
        <w:t>The information reporting and backup withholding rules that apply to payments of dividends to certain U.S. persons generally will not apply to payments of dividends on our common stock to a Non-U.S. Holder if such Non-U.S. Holder certifies under penalties of perjury that it is not a U.S. person (generally by providing an IRS Form W-8BEN or W-8BEN-E to the applicable withholding agent) or otherwise establishes an exemption.</w:t>
      </w:r>
    </w:p>
    <w:p>
      <w:pPr>
        <w:spacing w:after="0" w:line="143" w:lineRule="exact"/>
        <w:rPr>
          <w:sz w:val="20"/>
          <w:szCs w:val="20"/>
          <w:color w:val="auto"/>
        </w:rPr>
      </w:pPr>
    </w:p>
    <w:p>
      <w:pPr>
        <w:ind w:right="20" w:firstLine="299"/>
        <w:spacing w:after="0" w:line="262" w:lineRule="auto"/>
        <w:rPr>
          <w:sz w:val="20"/>
          <w:szCs w:val="20"/>
          <w:color w:val="auto"/>
        </w:rPr>
      </w:pPr>
      <w:r>
        <w:rPr>
          <w:rFonts w:ascii="Arial" w:cs="Arial" w:eastAsia="Arial" w:hAnsi="Arial"/>
          <w:sz w:val="16"/>
          <w:szCs w:val="16"/>
          <w:color w:val="auto"/>
        </w:rPr>
        <w:t>Proceeds from the sale, exchange or other disposition of our common stock by a Non-U.S. Holder effected outside the United States through a non-U.S. office of a non-U.S. broker generally will not be subject to the information reporting and backup withholding rules that apply to payments to certain U.S. persons, provided that the proceeds are paid to the Non-U.S. Holder outside the United States. However, proceeds from the sale, exchange or other disposition of our common stock by a Non-U.S. Holder effected through a non-U.S. office of a non-U.S. broker with certain specified U.S. connections or of a U.S. broker generally will be subject to these information reporting rules (but generally not to these backup withholding rules), even if the proceeds are paid to such Non-U.S. Holder outside the United States, unless such Non-U.S. Holder certifies under penalties of perjury that it is not a U.S. person (generally by providing an IRS Form W-8BEN or W-8BEN-E to the applicable withholding agent) or otherwise establishes an exemption. Proceeds from the sale, exchange or other disposition of our common stock by a Non-U.S. Holder effected through a U.S. office of a broker generally will be subject to these information reporting and backup withholding rules unless such Non-U.S. Holder certifies under penalties of perjury that it is not a U.S. person (generally by providing an IRS Form W-8BEN or W-8BEN-E to the applicable withholding agent) or otherwise establishes an exemption.</w:t>
      </w:r>
    </w:p>
    <w:p>
      <w:pPr>
        <w:spacing w:after="0" w:line="132" w:lineRule="exact"/>
        <w:rPr>
          <w:sz w:val="20"/>
          <w:szCs w:val="20"/>
          <w:color w:val="auto"/>
        </w:rPr>
      </w:pPr>
    </w:p>
    <w:p>
      <w:pPr>
        <w:jc w:val="both"/>
        <w:ind w:firstLine="299"/>
        <w:spacing w:after="0" w:line="280"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generally will be allowed as a refund or a credit against a Non-U.S. Holder’s U.S. federal income tax liability if the required information is furnished by such Non-U.S. Holder on a timely basis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173" w:lineRule="exact"/>
        <w:rPr>
          <w:sz w:val="20"/>
          <w:szCs w:val="20"/>
          <w:color w:val="auto"/>
        </w:rPr>
      </w:pPr>
    </w:p>
    <w:p>
      <w:pPr>
        <w:jc w:val="both"/>
        <w:ind w:right="60" w:firstLine="299"/>
        <w:spacing w:after="0" w:line="246" w:lineRule="auto"/>
        <w:rPr>
          <w:sz w:val="20"/>
          <w:szCs w:val="20"/>
          <w:color w:val="auto"/>
        </w:rPr>
      </w:pPr>
      <w:r>
        <w:rPr>
          <w:rFonts w:ascii="Arial" w:cs="Arial" w:eastAsia="Arial" w:hAnsi="Arial"/>
          <w:sz w:val="17"/>
          <w:szCs w:val="17"/>
          <w:color w:val="auto"/>
        </w:rPr>
        <w:t>The Company, US Holding (the selling stockholder) and the underwriters named below have entered into an underwriting agreement dated the date of this prospectus with respect to the shares being offered. Subject to certain conditions, each underwriter has severally agreed to purchase the number of shares indicated in the following table. Goldman Sachs &amp; Co. LLC, BofA Securities, Inc. and J.P. Morgan Securities LLC are the representatives of the underwriters.</w:t>
      </w:r>
    </w:p>
    <w:p>
      <w:pPr>
        <w:spacing w:after="0" w:line="183" w:lineRule="exact"/>
        <w:rPr>
          <w:sz w:val="20"/>
          <w:szCs w:val="20"/>
          <w:color w:val="auto"/>
        </w:rPr>
      </w:pPr>
    </w:p>
    <w:p>
      <w:pPr>
        <w:ind w:left="4420"/>
        <w:spacing w:after="0"/>
        <w:tabs>
          <w:tab w:leader="none" w:pos="9860" w:val="left"/>
        </w:tabs>
        <w:rPr>
          <w:sz w:val="20"/>
          <w:szCs w:val="20"/>
          <w:color w:val="auto"/>
        </w:rPr>
      </w:pPr>
      <w:r>
        <w:rPr>
          <w:rFonts w:ascii="Arial" w:cs="Arial" w:eastAsia="Arial" w:hAnsi="Arial"/>
          <w:sz w:val="13"/>
          <w:szCs w:val="13"/>
          <w:b w:val="1"/>
          <w:bCs w:val="1"/>
          <w:u w:val="single" w:color="auto"/>
          <w:color w:val="auto"/>
        </w:rPr>
        <w:t>Underwriters</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43115" cy="158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1581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Goldman Sachs &amp; Co. LLC</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115" cy="158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115" cy="15811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J.P Morgan Securities LLC</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115" cy="158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115" cy="15811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Citigroup Global Markets Inc.</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115" cy="158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115" cy="15811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6139180</wp:posOffset>
            </wp:positionH>
            <wp:positionV relativeFrom="paragraph">
              <wp:posOffset>18415</wp:posOffset>
            </wp:positionV>
            <wp:extent cx="10033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3300" cy="762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6139180</wp:posOffset>
            </wp:positionH>
            <wp:positionV relativeFrom="paragraph">
              <wp:posOffset>2540</wp:posOffset>
            </wp:positionV>
            <wp:extent cx="10033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3300" cy="762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26670</wp:posOffset>
            </wp:positionV>
            <wp:extent cx="10033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03300" cy="7620"/>
                    </a:xfrm>
                    <a:prstGeom prst="rect">
                      <a:avLst/>
                    </a:prstGeom>
                    <a:noFill/>
                  </pic:spPr>
                </pic:pic>
              </a:graphicData>
            </a:graphic>
          </wp:anchor>
        </w:drawing>
      </w:r>
    </w:p>
    <w:p>
      <w:pPr>
        <w:spacing w:after="0" w:line="183" w:lineRule="exact"/>
        <w:rPr>
          <w:sz w:val="20"/>
          <w:szCs w:val="20"/>
          <w:color w:val="auto"/>
        </w:rPr>
      </w:pPr>
    </w:p>
    <w:p>
      <w:pPr>
        <w:ind w:right="440" w:firstLine="299"/>
        <w:spacing w:after="0" w:line="250"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40" w:lineRule="exact"/>
        <w:rPr>
          <w:sz w:val="20"/>
          <w:szCs w:val="20"/>
          <w:color w:val="auto"/>
        </w:rPr>
      </w:pPr>
    </w:p>
    <w:p>
      <w:pPr>
        <w:ind w:right="180" w:firstLine="299"/>
        <w:spacing w:after="0" w:line="246" w:lineRule="auto"/>
        <w:rPr>
          <w:sz w:val="20"/>
          <w:szCs w:val="20"/>
          <w:color w:val="auto"/>
        </w:rPr>
      </w:pPr>
      <w:r>
        <w:rPr>
          <w:rFonts w:ascii="Arial" w:cs="Arial" w:eastAsia="Arial" w:hAnsi="Arial"/>
          <w:sz w:val="17"/>
          <w:szCs w:val="17"/>
          <w:color w:val="auto"/>
        </w:rPr>
        <w:t>The underwriters will have an option to buy up to an additional shares from US Holding to cover sales by the underwriters of a greater number of shares than the total number set forth in the table above at the public offering price listed on the cover page of this prospectus, less underwriting discounts and commissions.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44"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To the extent any underwriter that is not a U.S. registered broker-dealer intends to effect any offers or sales of any shares in the United States, it will do so through one or more U.S. registered broker-dealers in accordance with the applicable U.S. securities laws and regulations.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will not receive any proceeds from this offering.</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US Holding. Such</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00" w:type="dxa"/>
            <w:vAlign w:val="bottom"/>
            <w:gridSpan w:val="3"/>
          </w:tcPr>
          <w:p>
            <w:pPr>
              <w:spacing w:after="0"/>
              <w:rPr>
                <w:sz w:val="20"/>
                <w:szCs w:val="20"/>
                <w:color w:val="auto"/>
              </w:rPr>
            </w:pPr>
            <w:r>
              <w:rPr>
                <w:rFonts w:ascii="Arial" w:cs="Arial" w:eastAsia="Arial" w:hAnsi="Arial"/>
                <w:sz w:val="17"/>
                <w:szCs w:val="17"/>
                <w:color w:val="auto"/>
                <w:w w:val="98"/>
              </w:rPr>
              <w:t>amounts are shown assuming both no exercise and full exercise of the underwriters’ option to purchase</w:t>
            </w:r>
          </w:p>
        </w:tc>
        <w:tc>
          <w:tcPr>
            <w:tcW w:w="1960" w:type="dxa"/>
            <w:vAlign w:val="bottom"/>
            <w:gridSpan w:val="3"/>
          </w:tcPr>
          <w:p>
            <w:pPr>
              <w:ind w:left="100"/>
              <w:spacing w:after="0"/>
              <w:rPr>
                <w:sz w:val="20"/>
                <w:szCs w:val="20"/>
                <w:color w:val="auto"/>
              </w:rPr>
            </w:pPr>
            <w:r>
              <w:rPr>
                <w:rFonts w:ascii="Arial" w:cs="Arial" w:eastAsia="Arial" w:hAnsi="Arial"/>
                <w:sz w:val="17"/>
                <w:szCs w:val="17"/>
                <w:color w:val="auto"/>
              </w:rPr>
              <w:t>additional shares.</w:t>
            </w:r>
          </w:p>
        </w:tc>
        <w:tc>
          <w:tcPr>
            <w:tcW w:w="1580" w:type="dxa"/>
            <w:vAlign w:val="bottom"/>
          </w:tcPr>
          <w:p>
            <w:pPr>
              <w:spacing w:after="0"/>
              <w:rPr>
                <w:sz w:val="17"/>
                <w:szCs w:val="17"/>
                <w:color w:val="auto"/>
              </w:rPr>
            </w:pPr>
          </w:p>
        </w:tc>
      </w:tr>
      <w:tr>
        <w:trPr>
          <w:trHeight w:val="336"/>
        </w:trPr>
        <w:tc>
          <w:tcPr>
            <w:tcW w:w="7700" w:type="dxa"/>
            <w:vAlign w:val="bottom"/>
            <w:gridSpan w:val="3"/>
          </w:tcPr>
          <w:p>
            <w:pPr>
              <w:ind w:left="3380"/>
              <w:spacing w:after="0"/>
              <w:rPr>
                <w:sz w:val="20"/>
                <w:szCs w:val="20"/>
                <w:color w:val="auto"/>
              </w:rPr>
            </w:pPr>
            <w:r>
              <w:rPr>
                <w:rFonts w:ascii="Arial" w:cs="Arial" w:eastAsia="Arial" w:hAnsi="Arial"/>
                <w:sz w:val="13"/>
                <w:szCs w:val="13"/>
                <w:b w:val="1"/>
                <w:bCs w:val="1"/>
                <w:color w:val="auto"/>
              </w:rPr>
              <w:t>Paid by US Holding</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2"/>
        </w:trPr>
        <w:tc>
          <w:tcPr>
            <w:tcW w:w="33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30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No Exercise</w:t>
            </w: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Full Exercise</w:t>
            </w:r>
          </w:p>
        </w:tc>
      </w:tr>
      <w:tr>
        <w:trPr>
          <w:trHeight w:val="226"/>
        </w:trPr>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Per Share</w:t>
            </w:r>
          </w:p>
        </w:tc>
        <w:tc>
          <w:tcPr>
            <w:tcW w:w="1880" w:type="dxa"/>
            <w:vAlign w:val="bottom"/>
            <w:tcBorders>
              <w:bottom w:val="single" w:sz="8" w:color="CCEEFF"/>
            </w:tcBorders>
            <w:gridSpan w:val="2"/>
            <w:shd w:val="clear" w:color="auto" w:fill="CCEEFF"/>
          </w:tcPr>
          <w:p>
            <w:pPr>
              <w:jc w:val="right"/>
              <w:ind w:right="1414"/>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383"/>
              <w:spacing w:after="0"/>
              <w:rPr>
                <w:sz w:val="20"/>
                <w:szCs w:val="20"/>
                <w:color w:val="auto"/>
              </w:rPr>
            </w:pPr>
            <w:r>
              <w:rPr>
                <w:rFonts w:ascii="Arial" w:cs="Arial" w:eastAsia="Arial" w:hAnsi="Arial"/>
                <w:sz w:val="17"/>
                <w:szCs w:val="17"/>
                <w:color w:val="auto"/>
              </w:rPr>
              <w:t>$</w:t>
            </w:r>
          </w:p>
        </w:tc>
      </w:tr>
      <w:tr>
        <w:trPr>
          <w:trHeight w:val="224"/>
        </w:trPr>
        <w:tc>
          <w:tcPr>
            <w:tcW w:w="770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880" w:type="dxa"/>
            <w:vAlign w:val="bottom"/>
            <w:gridSpan w:val="2"/>
          </w:tcPr>
          <w:p>
            <w:pPr>
              <w:jc w:val="right"/>
              <w:ind w:right="141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580" w:type="dxa"/>
            <w:vAlign w:val="bottom"/>
          </w:tcPr>
          <w:p>
            <w:pPr>
              <w:jc w:val="right"/>
              <w:ind w:right="1383"/>
              <w:spacing w:after="0"/>
              <w:rPr>
                <w:sz w:val="20"/>
                <w:szCs w:val="20"/>
                <w:color w:val="auto"/>
              </w:rPr>
            </w:pPr>
            <w:r>
              <w:rPr>
                <w:rFonts w:ascii="Arial" w:cs="Arial" w:eastAsia="Arial" w:hAnsi="Arial"/>
                <w:sz w:val="17"/>
                <w:szCs w:val="17"/>
                <w:color w:val="auto"/>
              </w:rPr>
              <w:t>$</w:t>
            </w:r>
          </w:p>
        </w:tc>
      </w:tr>
    </w:tbl>
    <w:p>
      <w:pPr>
        <w:spacing w:after="0" w:line="173"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page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4" w:lineRule="exact"/>
        <w:rPr>
          <w:sz w:val="20"/>
          <w:szCs w:val="20"/>
          <w:color w:val="auto"/>
        </w:rPr>
      </w:pPr>
    </w:p>
    <w:p>
      <w:pPr>
        <w:ind w:right="80" w:firstLine="299"/>
        <w:spacing w:after="0" w:line="247" w:lineRule="auto"/>
        <w:rPr>
          <w:sz w:val="20"/>
          <w:szCs w:val="20"/>
          <w:color w:val="auto"/>
        </w:rPr>
      </w:pPr>
      <w:r>
        <w:rPr>
          <w:rFonts w:ascii="Arial" w:cs="Arial" w:eastAsia="Arial" w:hAnsi="Arial"/>
          <w:sz w:val="17"/>
          <w:szCs w:val="17"/>
          <w:color w:val="auto"/>
        </w:rPr>
        <w:t>We, US Holding and our executive officers and directors have agreed with the underwriters, subject to certain exceptions, not to dispose of or hedge any common stock or securities convertible into or exchangeable for shares of common stock during the period from the date of this prospectus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43"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through the date 180 days after the date of this prospectus, except with the prior written consent of Goldman Sachs &amp; Co. LLC. See “Shares Eligible for Future Sale” for a discussion of certain transfer restrictions.</w:t>
      </w:r>
    </w:p>
    <w:p>
      <w:pPr>
        <w:spacing w:after="0" w:line="140" w:lineRule="exact"/>
        <w:rPr>
          <w:sz w:val="20"/>
          <w:szCs w:val="20"/>
          <w:color w:val="auto"/>
        </w:rPr>
      </w:pPr>
    </w:p>
    <w:p>
      <w:pPr>
        <w:ind w:right="420" w:firstLine="299"/>
        <w:spacing w:after="0" w:line="246"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us, US Holding, Leonardo S.p.A. and the representatives. Among the factors considered in determining the initial public offering price of the shares,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 application has been made to list the common stock on the NYSE under the symbol “DRS.”</w:t>
      </w:r>
    </w:p>
    <w:p>
      <w:pPr>
        <w:spacing w:after="0" w:line="153" w:lineRule="exact"/>
        <w:rPr>
          <w:sz w:val="20"/>
          <w:szCs w:val="20"/>
          <w:color w:val="auto"/>
        </w:rPr>
      </w:pPr>
    </w:p>
    <w:p>
      <w:pPr>
        <w:ind w:firstLine="299"/>
        <w:spacing w:after="0" w:line="261" w:lineRule="auto"/>
        <w:rPr>
          <w:sz w:val="20"/>
          <w:szCs w:val="20"/>
          <w:color w:val="auto"/>
        </w:rPr>
      </w:pPr>
      <w:r>
        <w:rPr>
          <w:rFonts w:ascii="Arial" w:cs="Arial" w:eastAsia="Arial" w:hAnsi="Arial"/>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37" w:lineRule="exact"/>
        <w:rPr>
          <w:sz w:val="20"/>
          <w:szCs w:val="20"/>
          <w:color w:val="auto"/>
        </w:rPr>
      </w:pPr>
    </w:p>
    <w:p>
      <w:pPr>
        <w:ind w:right="240" w:firstLine="299"/>
        <w:spacing w:after="0" w:line="247"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3" w:lineRule="exact"/>
        <w:rPr>
          <w:sz w:val="20"/>
          <w:szCs w:val="20"/>
          <w:color w:val="auto"/>
        </w:rPr>
      </w:pPr>
    </w:p>
    <w:p>
      <w:pPr>
        <w:ind w:firstLine="299"/>
        <w:spacing w:after="0" w:line="199" w:lineRule="exact"/>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relevant exchange, in the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market or otherwise.</w:t>
      </w:r>
    </w:p>
    <w:p>
      <w:pPr>
        <w:sectPr>
          <w:pgSz w:w="11900" w:h="16838" w:orient="portrait"/>
          <w:cols w:equalWidth="0" w:num="1">
            <w:col w:w="11240"/>
          </w:cols>
          <w:pgMar w:left="320" w:top="1440" w:right="339" w:bottom="1440" w:gutter="0" w:footer="0" w:header="0"/>
        </w:sectPr>
      </w:pPr>
    </w:p>
    <w:p>
      <w:pPr>
        <w:spacing w:after="0" w:line="151"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We estimate that the total expenses of the offering, excluding underwriting discounts and commissions, will be approximately $ agreed to reimburse the underwriters for certain expenses.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We have also</w:t>
      </w:r>
    </w:p>
    <w:p>
      <w:pPr>
        <w:spacing w:after="0" w:line="363" w:lineRule="exact"/>
        <w:rPr>
          <w:sz w:val="20"/>
          <w:szCs w:val="20"/>
          <w:color w:val="auto"/>
        </w:rPr>
      </w:pPr>
    </w:p>
    <w:p>
      <w:pPr>
        <w:sectPr>
          <w:pgSz w:w="11900" w:h="16838" w:orient="portrait"/>
          <w:cols w:equalWidth="0" w:num="2">
            <w:col w:w="9580" w:space="500"/>
            <w:col w:w="1160"/>
          </w:cols>
          <w:pgMar w:left="320" w:top="1440" w:right="339" w:bottom="1440" w:gutter="0" w:footer="0" w:header="0"/>
          <w:type w:val="continuous"/>
        </w:sectPr>
      </w:pPr>
    </w:p>
    <w:p>
      <w:pPr>
        <w:ind w:right="120" w:firstLine="299"/>
        <w:spacing w:after="0" w:line="250" w:lineRule="auto"/>
        <w:rPr>
          <w:sz w:val="20"/>
          <w:szCs w:val="20"/>
          <w:color w:val="auto"/>
        </w:rPr>
      </w:pPr>
      <w:r>
        <w:rPr>
          <w:rFonts w:ascii="Arial" w:cs="Arial" w:eastAsia="Arial" w:hAnsi="Arial"/>
          <w:sz w:val="17"/>
          <w:szCs w:val="17"/>
          <w:color w:val="auto"/>
        </w:rPr>
        <w:t>We and US Holding and the underwriters have agreed to indemnify each other against certain liabilities, including liabilities under the Securities Act, or to contribute to payments that each party may be required to make in respect of those liabilities.</w:t>
      </w:r>
    </w:p>
    <w:p>
      <w:pPr>
        <w:spacing w:after="0" w:line="140" w:lineRule="exact"/>
        <w:rPr>
          <w:sz w:val="20"/>
          <w:szCs w:val="20"/>
          <w:color w:val="auto"/>
        </w:rPr>
      </w:pPr>
    </w:p>
    <w:p>
      <w:pPr>
        <w:ind w:right="20" w:firstLine="299"/>
        <w:spacing w:after="0" w:line="247"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240"/>
          </w:cols>
          <w:pgMar w:left="320" w:top="1440" w:right="339" w:bottom="1440" w:gutter="0" w:footer="0" w:header="0"/>
          <w:type w:val="continuous"/>
        </w:sectPr>
      </w:pPr>
    </w:p>
    <w:bookmarkStart w:id="193" w:name="page194"/>
    <w:bookmarkEnd w:id="193"/>
    <w:p>
      <w:pPr>
        <w:spacing w:after="0" w:line="43" w:lineRule="exact"/>
        <w:rPr>
          <w:sz w:val="20"/>
          <w:szCs w:val="20"/>
          <w:color w:val="auto"/>
        </w:rPr>
      </w:pPr>
    </w:p>
    <w:p>
      <w:pPr>
        <w:ind w:right="100"/>
        <w:spacing w:after="0" w:line="199" w:lineRule="exact"/>
        <w:rPr>
          <w:sz w:val="20"/>
          <w:szCs w:val="20"/>
          <w:color w:val="auto"/>
        </w:rPr>
      </w:pPr>
      <w:r>
        <w:rPr>
          <w:rFonts w:ascii="Arial" w:cs="Arial" w:eastAsia="Arial" w:hAnsi="Arial"/>
          <w:sz w:val="17"/>
          <w:szCs w:val="17"/>
          <w:color w:val="auto"/>
        </w:rPr>
        <w:t>financial and non</w:t>
      </w:r>
      <w:r>
        <w:rPr>
          <w:rFonts w:ascii="MS PGothic" w:cs="MS PGothic" w:eastAsia="MS PGothic" w:hAnsi="MS PGothic"/>
          <w:sz w:val="17"/>
          <w:szCs w:val="17"/>
          <w:color w:val="auto"/>
        </w:rPr>
        <w:t>‑</w:t>
      </w:r>
      <w:r>
        <w:rPr>
          <w:rFonts w:ascii="Arial" w:cs="Arial" w:eastAsia="Arial" w:hAnsi="Arial"/>
          <w:sz w:val="17"/>
          <w:szCs w:val="17"/>
          <w:color w:val="auto"/>
        </w:rPr>
        <w:t>financial activities and services. Certain of the underwriters and their respective affiliates have provided, and may in the future provide, a variety of these services to the Company and Leonardo S.p.A. and to persons and entities with relationships with the Company and Leonardo S.p.A., for which they received or will receive customary fees and expenses.</w:t>
      </w:r>
    </w:p>
    <w:p>
      <w:pPr>
        <w:spacing w:after="0" w:line="150" w:lineRule="exact"/>
        <w:rPr>
          <w:sz w:val="20"/>
          <w:szCs w:val="20"/>
          <w:color w:val="auto"/>
        </w:rPr>
      </w:pPr>
    </w:p>
    <w:p>
      <w:pPr>
        <w:ind w:right="60" w:firstLine="299"/>
        <w:spacing w:after="0" w:line="263"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Canada</w:t>
      </w:r>
    </w:p>
    <w:p>
      <w:pPr>
        <w:spacing w:after="0" w:line="173" w:lineRule="exact"/>
        <w:rPr>
          <w:sz w:val="20"/>
          <w:szCs w:val="20"/>
          <w:color w:val="auto"/>
        </w:rPr>
      </w:pPr>
    </w:p>
    <w:p>
      <w:pPr>
        <w:ind w:right="40" w:firstLine="299"/>
        <w:spacing w:after="0" w:line="199" w:lineRule="exact"/>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w:t>
      </w:r>
      <w:r>
        <w:rPr>
          <w:rFonts w:ascii="MS PGothic" w:cs="MS PGothic" w:eastAsia="MS PGothic" w:hAnsi="MS PGothic"/>
          <w:sz w:val="17"/>
          <w:szCs w:val="17"/>
          <w:color w:val="auto"/>
        </w:rPr>
        <w:t>‑</w:t>
      </w:r>
      <w:r>
        <w:rPr>
          <w:rFonts w:ascii="Arial" w:cs="Arial" w:eastAsia="Arial" w:hAnsi="Arial"/>
          <w:sz w:val="17"/>
          <w:szCs w:val="17"/>
          <w:color w:val="auto"/>
        </w:rPr>
        <w:t>106 Prospectus Exemptions or subsection 73.3(1) of the Securities Act (Ontario), and are permitted clients, as defined in National Instrument 31</w:t>
      </w:r>
      <w:r>
        <w:rPr>
          <w:rFonts w:ascii="MS PGothic" w:cs="MS PGothic" w:eastAsia="MS PGothic" w:hAnsi="MS PGothic"/>
          <w:sz w:val="17"/>
          <w:szCs w:val="17"/>
          <w:color w:val="auto"/>
        </w:rPr>
        <w:t>‑</w:t>
      </w:r>
      <w:r>
        <w:rPr>
          <w:rFonts w:ascii="Arial" w:cs="Arial" w:eastAsia="Arial" w:hAnsi="Arial"/>
          <w:sz w:val="17"/>
          <w:szCs w:val="17"/>
          <w:color w:val="auto"/>
        </w:rPr>
        <w:t>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51"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4" w:lineRule="exact"/>
        <w:rPr>
          <w:sz w:val="20"/>
          <w:szCs w:val="20"/>
          <w:color w:val="auto"/>
        </w:rPr>
      </w:pPr>
    </w:p>
    <w:p>
      <w:pPr>
        <w:ind w:right="380" w:firstLine="299"/>
        <w:spacing w:after="0" w:line="200" w:lineRule="exact"/>
        <w:rPr>
          <w:sz w:val="20"/>
          <w:szCs w:val="20"/>
          <w:color w:val="auto"/>
        </w:rPr>
      </w:pPr>
      <w:r>
        <w:rPr>
          <w:rFonts w:ascii="Arial" w:cs="Arial" w:eastAsia="Arial" w:hAnsi="Arial"/>
          <w:sz w:val="17"/>
          <w:szCs w:val="17"/>
          <w:color w:val="auto"/>
        </w:rPr>
        <w:t>Pursuant to section 3A.3 of National Instrument 33</w:t>
      </w:r>
      <w:r>
        <w:rPr>
          <w:rFonts w:ascii="MS PGothic" w:cs="MS PGothic" w:eastAsia="MS PGothic" w:hAnsi="MS PGothic"/>
          <w:sz w:val="17"/>
          <w:szCs w:val="17"/>
          <w:color w:val="auto"/>
        </w:rPr>
        <w:t>‑</w:t>
      </w:r>
      <w:r>
        <w:rPr>
          <w:rFonts w:ascii="Arial" w:cs="Arial" w:eastAsia="Arial" w:hAnsi="Arial"/>
          <w:sz w:val="17"/>
          <w:szCs w:val="17"/>
          <w:color w:val="auto"/>
        </w:rPr>
        <w:t>105 Underwriting Conflicts (“NI 33</w:t>
      </w:r>
      <w:r>
        <w:rPr>
          <w:rFonts w:ascii="MS PGothic" w:cs="MS PGothic" w:eastAsia="MS PGothic" w:hAnsi="MS PGothic"/>
          <w:sz w:val="17"/>
          <w:szCs w:val="17"/>
          <w:color w:val="auto"/>
        </w:rPr>
        <w:t>‑</w:t>
      </w:r>
      <w:r>
        <w:rPr>
          <w:rFonts w:ascii="Arial" w:cs="Arial" w:eastAsia="Arial" w:hAnsi="Arial"/>
          <w:sz w:val="17"/>
          <w:szCs w:val="17"/>
          <w:color w:val="auto"/>
        </w:rPr>
        <w:t>105”), the underwriters are not required to comply with the disclosure requirements of NI 33</w:t>
      </w:r>
      <w:r>
        <w:rPr>
          <w:rFonts w:ascii="MS PGothic" w:cs="MS PGothic" w:eastAsia="MS PGothic" w:hAnsi="MS PGothic"/>
          <w:sz w:val="17"/>
          <w:szCs w:val="17"/>
          <w:color w:val="auto"/>
        </w:rPr>
        <w:t>‑</w:t>
      </w:r>
      <w:r>
        <w:rPr>
          <w:rFonts w:ascii="Arial" w:cs="Arial" w:eastAsia="Arial" w:hAnsi="Arial"/>
          <w:sz w:val="17"/>
          <w:szCs w:val="17"/>
          <w:color w:val="auto"/>
        </w:rPr>
        <w:t>105 regarding underwriter conflicts of interest in connection with this offering.</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7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This prospectus is not a prospectus for the purposes of the Prospectus Regulation (as defined below). This prospectus has been prepared on the basis that any offer of shares in any Member States of the European Economic Area (the “EEA”) (each, a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 underwriters to publish a prospectus pursuant to Article 3 of the Prospectus Regulation or supplement a prospectus pursuant to Article 23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43" w:lineRule="exact"/>
        <w:rPr>
          <w:sz w:val="20"/>
          <w:szCs w:val="20"/>
          <w:color w:val="auto"/>
        </w:rPr>
      </w:pPr>
    </w:p>
    <w:p>
      <w:pPr>
        <w:ind w:right="200" w:firstLine="299"/>
        <w:spacing w:after="0" w:line="250" w:lineRule="auto"/>
        <w:rPr>
          <w:sz w:val="20"/>
          <w:szCs w:val="20"/>
          <w:color w:val="auto"/>
        </w:rPr>
      </w:pPr>
      <w:r>
        <w:rPr>
          <w:rFonts w:ascii="Arial" w:cs="Arial" w:eastAsia="Arial" w:hAnsi="Arial"/>
          <w:sz w:val="17"/>
          <w:szCs w:val="17"/>
          <w:color w:val="auto"/>
        </w:rPr>
        <w:t>In relation to each Relevant State, no offer of shares which are the subject of the offering contemplated by this prospectus (“Securities”) have been offered or will be offered pursuant to the offering to the public in that Relevant State, other than:</w:t>
      </w:r>
    </w:p>
    <w:p>
      <w:pPr>
        <w:spacing w:after="0" w:line="140" w:lineRule="exact"/>
        <w:rPr>
          <w:sz w:val="20"/>
          <w:szCs w:val="20"/>
          <w:color w:val="auto"/>
        </w:rPr>
      </w:pPr>
    </w:p>
    <w:p>
      <w:pPr>
        <w:ind w:left="580" w:hanging="282"/>
        <w:spacing w:after="0"/>
        <w:tabs>
          <w:tab w:leader="none" w:pos="5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152" w:lineRule="exact"/>
        <w:rPr>
          <w:rFonts w:ascii="Arial" w:cs="Arial" w:eastAsia="Arial" w:hAnsi="Arial"/>
          <w:sz w:val="17"/>
          <w:szCs w:val="17"/>
          <w:color w:val="auto"/>
        </w:rPr>
      </w:pPr>
    </w:p>
    <w:p>
      <w:pPr>
        <w:ind w:left="600" w:right="400" w:hanging="302"/>
        <w:spacing w:after="0" w:line="250" w:lineRule="auto"/>
        <w:tabs>
          <w:tab w:leader="none" w:pos="59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the representatives for any such offer; or</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3" w:lineRule="exact"/>
        <w:rPr>
          <w:sz w:val="20"/>
          <w:szCs w:val="20"/>
          <w:color w:val="auto"/>
        </w:rPr>
      </w:pPr>
    </w:p>
    <w:p>
      <w:pPr>
        <w:ind w:right="40" w:firstLine="299"/>
        <w:spacing w:after="0" w:line="250" w:lineRule="auto"/>
        <w:rPr>
          <w:sz w:val="20"/>
          <w:szCs w:val="20"/>
          <w:color w:val="auto"/>
        </w:rPr>
      </w:pPr>
      <w:r>
        <w:rPr>
          <w:rFonts w:ascii="Arial" w:cs="Arial" w:eastAsia="Arial" w:hAnsi="Arial"/>
          <w:sz w:val="17"/>
          <w:szCs w:val="17"/>
          <w:color w:val="auto"/>
        </w:rPr>
        <w:t>provided that no such offer of Securities shall require the Company or any underwriter to publish a prospectus pursuant to Article 3 of the Prospectus Regulation or supplement a prospectus pursuant to Article 23 of the Prospectus Regulation.</w:t>
      </w:r>
    </w:p>
    <w:p>
      <w:pPr>
        <w:spacing w:after="0" w:line="140" w:lineRule="exact"/>
        <w:rPr>
          <w:sz w:val="20"/>
          <w:szCs w:val="20"/>
          <w:color w:val="auto"/>
        </w:rPr>
      </w:pPr>
    </w:p>
    <w:p>
      <w:pPr>
        <w:ind w:right="20" w:firstLine="299"/>
        <w:spacing w:after="0" w:line="247"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This EEA selling restriction is in addition to any other selling restrictions set out in this prospectus.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United Kingdom</w:t>
      </w:r>
    </w:p>
    <w:p>
      <w:pPr>
        <w:spacing w:after="0" w:line="173" w:lineRule="exact"/>
        <w:rPr>
          <w:sz w:val="20"/>
          <w:szCs w:val="20"/>
          <w:color w:val="auto"/>
        </w:rPr>
      </w:pPr>
    </w:p>
    <w:p>
      <w:pPr>
        <w:ind w:right="20" w:firstLine="299"/>
        <w:spacing w:after="0" w:line="263" w:lineRule="auto"/>
        <w:rPr>
          <w:sz w:val="20"/>
          <w:szCs w:val="20"/>
          <w:color w:val="auto"/>
        </w:rPr>
      </w:pPr>
      <w:r>
        <w:rPr>
          <w:rFonts w:ascii="Arial" w:cs="Arial" w:eastAsia="Arial" w:hAnsi="Arial"/>
          <w:sz w:val="16"/>
          <w:szCs w:val="16"/>
          <w:color w:val="auto"/>
        </w:rPr>
        <w:t>This prospectus is not a prospectus for the purposes of the UK Prospectus Regulation (as defined below). This prospectus has been prepared on the basis that any offer of shares in the United Kingdom will be made pursuant to an exemption under the Prospectus Regulation from the requirement to publish a prospectus for offers of shares. Accordingly any person making or intending to make an offer in the United Kingdom of shares which are the subject of the offering contemplated in this prospectus may only do so in circumstances in which no obligation arises for the Company or any of the underwriters to publish a prospectus pursuant to Article 3 of the Prospectus Regulation or supplement a prospectus pursuant to Article 23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 Securities have been offered or will be offered pursuant to the offering to the public in the United Kingdom other than:</w:t>
      </w:r>
    </w:p>
    <w:p>
      <w:pPr>
        <w:spacing w:after="0" w:line="153" w:lineRule="exact"/>
        <w:rPr>
          <w:sz w:val="20"/>
          <w:szCs w:val="20"/>
          <w:color w:val="auto"/>
        </w:rPr>
      </w:pPr>
    </w:p>
    <w:p>
      <w:pPr>
        <w:ind w:left="580" w:hanging="282"/>
        <w:spacing w:after="0"/>
        <w:tabs>
          <w:tab w:leader="none" w:pos="5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152" w:lineRule="exact"/>
        <w:rPr>
          <w:rFonts w:ascii="Arial" w:cs="Arial" w:eastAsia="Arial" w:hAnsi="Arial"/>
          <w:sz w:val="17"/>
          <w:szCs w:val="17"/>
          <w:color w:val="auto"/>
        </w:rPr>
      </w:pPr>
    </w:p>
    <w:p>
      <w:pPr>
        <w:ind w:left="600" w:right="140" w:hanging="302"/>
        <w:spacing w:after="0" w:line="250" w:lineRule="auto"/>
        <w:tabs>
          <w:tab w:leader="none" w:pos="59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 for any such offer; or</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Financial Services and Markets Act 2000 (as amended, the “FSMA’),</w:t>
      </w:r>
    </w:p>
    <w:p>
      <w:pPr>
        <w:spacing w:after="0" w:line="15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provided that no such offer of the Securities shall require the Company or any underwriter to publish a prospectus pursuant to Section 85 of the FSMA or supplement a prospectus pursuant to Article 23 of the UK Prospectus Regulation.</w:t>
      </w:r>
    </w:p>
    <w:p>
      <w:pPr>
        <w:spacing w:after="0" w:line="140"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For the purposes of this provision, the expression an “offer to the public” in relation to the Securities in the United Kingdom means the communication in any form and by any means of sufficient information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43"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4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(ii) high net worth entities falling within Article 49(2)(a) to (d) of the Order; and (iii) other persons to whom it may lawfully be communicated (all such persons together being referred to as “relevant persons”). This prospectus is directed only at relevant persons. Other persons should not act or rely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Each underwriter represents and agrees that:</w:t>
      </w:r>
    </w:p>
    <w:p>
      <w:pPr>
        <w:spacing w:after="0" w:line="153" w:lineRule="exact"/>
        <w:rPr>
          <w:sz w:val="20"/>
          <w:szCs w:val="20"/>
          <w:color w:val="auto"/>
        </w:rPr>
      </w:pPr>
    </w:p>
    <w:p>
      <w:pPr>
        <w:ind w:left="600" w:right="60" w:hanging="302"/>
        <w:spacing w:after="0" w:line="247" w:lineRule="auto"/>
        <w:tabs>
          <w:tab w:leader="none" w:pos="59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in connection with the issue or sale of the Securities in circumstances in which Section 21(1) of the FSMA does not apply to the Company; and</w:t>
      </w:r>
    </w:p>
    <w:p>
      <w:pPr>
        <w:spacing w:after="0" w:line="143" w:lineRule="exact"/>
        <w:rPr>
          <w:rFonts w:ascii="Arial" w:cs="Arial" w:eastAsia="Arial" w:hAnsi="Arial"/>
          <w:sz w:val="17"/>
          <w:szCs w:val="17"/>
          <w:color w:val="auto"/>
        </w:rPr>
      </w:pPr>
    </w:p>
    <w:p>
      <w:pPr>
        <w:ind w:left="600" w:right="120" w:hanging="302"/>
        <w:spacing w:after="0" w:line="250" w:lineRule="auto"/>
        <w:tabs>
          <w:tab w:leader="none" w:pos="59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Securities in, from or otherwise involving the United Kingdom.</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Hong Kong</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shares have not been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Japan</w:t>
      </w:r>
    </w:p>
    <w:p>
      <w:pPr>
        <w:spacing w:after="0" w:line="173"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Singapore</w:t>
      </w:r>
    </w:p>
    <w:p>
      <w:pPr>
        <w:spacing w:after="0" w:line="173"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2"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46"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Singapore Securities and Futures Act Product Classification</w:t>
      </w:r>
      <w:r>
        <w:rPr>
          <w:rFonts w:ascii="Arial" w:cs="Arial" w:eastAsia="Arial" w:hAnsi="Arial"/>
          <w:sz w:val="16"/>
          <w:szCs w:val="16"/>
          <w:color w:val="auto"/>
        </w:rPr>
        <w:t>—Solely for the purposes of its obligations pursuant to Sections 309B(1)(a) and 309B(1)</w:t>
      </w:r>
    </w:p>
    <w:p>
      <w:pPr>
        <w:spacing w:after="0" w:line="33" w:lineRule="exact"/>
        <w:rPr>
          <w:sz w:val="20"/>
          <w:szCs w:val="20"/>
          <w:color w:val="auto"/>
        </w:rPr>
      </w:pPr>
    </w:p>
    <w:p>
      <w:pPr>
        <w:ind w:right="20"/>
        <w:spacing w:after="0" w:line="246" w:lineRule="auto"/>
        <w:tabs>
          <w:tab w:leader="none" w:pos="2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200"/>
          </w:cols>
          <w:pgMar w:left="320" w:top="1440" w:right="379" w:bottom="1440" w:gutter="0" w:footer="0" w:header="0"/>
        </w:sectPr>
      </w:pPr>
    </w:p>
    <w:bookmarkStart w:id="197" w:name="page198"/>
    <w:bookmarkEnd w:id="197"/>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VALIDITY OF COMMON STOCK</w:t>
      </w:r>
    </w:p>
    <w:p>
      <w:pPr>
        <w:spacing w:after="0" w:line="173"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The validity of the shares of our common stock offered hereby will be passed upon for us by Sullivan &amp; Cromwell LLP, New York, New York, and will be passed upon for the underwriters by Cleary Gottlieb Steen &amp; Hamilton LLP, New York, New York.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173" w:lineRule="exact"/>
        <w:rPr>
          <w:sz w:val="20"/>
          <w:szCs w:val="20"/>
          <w:color w:val="auto"/>
        </w:rPr>
      </w:pPr>
    </w:p>
    <w:p>
      <w:pPr>
        <w:ind w:right="120" w:firstLine="299"/>
        <w:spacing w:after="0" w:line="246" w:lineRule="auto"/>
        <w:rPr>
          <w:sz w:val="20"/>
          <w:szCs w:val="20"/>
          <w:color w:val="auto"/>
        </w:rPr>
      </w:pPr>
      <w:r>
        <w:rPr>
          <w:rFonts w:ascii="Arial" w:cs="Arial" w:eastAsia="Arial" w:hAnsi="Arial"/>
          <w:sz w:val="17"/>
          <w:szCs w:val="17"/>
          <w:color w:val="auto"/>
        </w:rPr>
        <w:t>The consolidated financial statements of Leonardo DRS, Inc. as of December 31, 2020 and 2019, and for each of the years in the three-year period December 31, 2020 have been included herein in reliance upon the report of KPMG LLP, independent registered public accounting firm, appearing elsewhere herein, and upon the authority of said firm as experts in accounting and auditing. The audit report covering these consolidated financial statements refers to a change to the method of accounting for leases.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73" w:lineRule="exact"/>
        <w:rPr>
          <w:sz w:val="20"/>
          <w:szCs w:val="20"/>
          <w:color w:val="auto"/>
        </w:rPr>
      </w:pPr>
    </w:p>
    <w:p>
      <w:pPr>
        <w:ind w:right="240" w:firstLine="299"/>
        <w:spacing w:after="0" w:line="199" w:lineRule="exact"/>
        <w:rPr>
          <w:sz w:val="20"/>
          <w:szCs w:val="20"/>
          <w:color w:val="auto"/>
        </w:rPr>
      </w:pPr>
      <w:r>
        <w:rPr>
          <w:rFonts w:ascii="Arial" w:cs="Arial" w:eastAsia="Arial" w:hAnsi="Arial"/>
          <w:sz w:val="17"/>
          <w:szCs w:val="17"/>
          <w:color w:val="auto"/>
        </w:rPr>
        <w:t>We have filed with the SEC a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of which this prospectus forms a part, with respect to the shares of our common stock being sold in this offering. This prospectus does not contain all of the information set forth in the registration statement and the exhibits thereto because some parts have been omitted in accordance with the rules and regulations of the SEC. For further information with respect to us and the common stock being sold in this offering, reference is made to the registration statement and the exhibits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an internet website that contains reports and other information about issuers, like us, that file electronically with the SEC. The address of that website is www.sec.gov.</w:t>
      </w:r>
    </w:p>
    <w:p>
      <w:pPr>
        <w:spacing w:after="0" w:line="152" w:lineRule="exact"/>
        <w:rPr>
          <w:sz w:val="20"/>
          <w:szCs w:val="20"/>
          <w:color w:val="auto"/>
        </w:rPr>
      </w:pPr>
    </w:p>
    <w:p>
      <w:pPr>
        <w:ind w:firstLine="299"/>
        <w:spacing w:after="0" w:line="199" w:lineRule="exact"/>
        <w:rPr>
          <w:sz w:val="20"/>
          <w:szCs w:val="20"/>
          <w:color w:val="auto"/>
        </w:rPr>
      </w:pPr>
      <w:r>
        <w:rPr>
          <w:rFonts w:ascii="Arial" w:cs="Arial" w:eastAsia="Arial" w:hAnsi="Arial"/>
          <w:sz w:val="16"/>
          <w:szCs w:val="16"/>
          <w:color w:val="auto"/>
        </w:rPr>
        <w:t>Upon completion of this offering, we will be subject to the informational requirements of the Exchange Act and, accordingly, will file annual reports containing financial statements audited by an independent registered public accounting firm, quarterly reports containing unaudited financial statements, current reports, proxy statements and other information with the SEC. These reports, proxy statements and other information will be available on the website of the SEC referred to above. You will also be able to access, free of charge, our reports filed with the SEC (for example,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our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and our Current Reports on Form 8-K and any amendments to those forms) through our website (https://www.leonardodrs.com/). Reports filed with or furnished to the SEC will be available as soon as reasonably practicable after they are filed with or furnished to the SEC. None of the information contained on, or that may be accessed through our website or any other website identified herein is part of, or incorporated into, this prospectus. All website addresses in this prospectus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2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23" w:lineRule="exact"/>
        <w:rPr>
          <w:sz w:val="20"/>
          <w:szCs w:val="20"/>
          <w:color w:val="auto"/>
        </w:rPr>
      </w:pPr>
    </w:p>
    <w:p>
      <w:pPr>
        <w:spacing w:after="0"/>
        <w:rPr>
          <w:rFonts w:ascii="Arial" w:cs="Arial" w:eastAsia="Arial" w:hAnsi="Arial"/>
          <w:sz w:val="17"/>
          <w:szCs w:val="17"/>
          <w:u w:val="single" w:color="auto"/>
          <w:color w:val="0000FF"/>
        </w:rPr>
      </w:pPr>
      <w:hyperlink w:anchor="page199">
        <w:r>
          <w:rPr>
            <w:rFonts w:ascii="Arial" w:cs="Arial" w:eastAsia="Arial" w:hAnsi="Arial"/>
            <w:sz w:val="17"/>
            <w:szCs w:val="17"/>
            <w:u w:val="single" w:color="auto"/>
            <w:color w:val="0000FF"/>
          </w:rPr>
          <w:t>Report of Independent Registered Public Accounting Firm</w:t>
        </w:r>
      </w:hyperlink>
    </w:p>
    <w:p>
      <w:pPr>
        <w:spacing w:after="0" w:line="53" w:lineRule="exact"/>
        <w:rPr>
          <w:sz w:val="20"/>
          <w:szCs w:val="20"/>
          <w:color w:val="auto"/>
        </w:rPr>
      </w:pPr>
    </w:p>
    <w:p>
      <w:pPr>
        <w:spacing w:after="0"/>
        <w:rPr>
          <w:rFonts w:ascii="Arial" w:cs="Arial" w:eastAsia="Arial" w:hAnsi="Arial"/>
          <w:sz w:val="17"/>
          <w:szCs w:val="17"/>
          <w:u w:val="single" w:color="auto"/>
          <w:color w:val="0000FF"/>
        </w:rPr>
      </w:pPr>
      <w:hyperlink w:anchor="page201">
        <w:r>
          <w:rPr>
            <w:rFonts w:ascii="Arial" w:cs="Arial" w:eastAsia="Arial" w:hAnsi="Arial"/>
            <w:sz w:val="17"/>
            <w:szCs w:val="17"/>
            <w:u w:val="single" w:color="auto"/>
            <w:color w:val="0000FF"/>
          </w:rPr>
          <w:t>Consolidated Statements of Earnings (Loss) for the Years Ended December 31, 2020, 2019, and 2018</w:t>
        </w:r>
      </w:hyperlink>
    </w:p>
    <w:p>
      <w:pPr>
        <w:spacing w:after="0" w:line="53" w:lineRule="exact"/>
        <w:rPr>
          <w:sz w:val="20"/>
          <w:szCs w:val="20"/>
          <w:color w:val="auto"/>
        </w:rPr>
      </w:pPr>
    </w:p>
    <w:p>
      <w:pPr>
        <w:ind w:right="1640"/>
        <w:spacing w:after="0" w:line="305" w:lineRule="auto"/>
        <w:rPr>
          <w:rFonts w:ascii="Arial" w:cs="Arial" w:eastAsia="Arial" w:hAnsi="Arial"/>
          <w:sz w:val="17"/>
          <w:szCs w:val="17"/>
          <w:u w:val="single" w:color="auto"/>
          <w:color w:val="0000FF"/>
        </w:rPr>
      </w:pPr>
      <w:hyperlink w:anchor="page202">
        <w:r>
          <w:rPr>
            <w:rFonts w:ascii="Arial" w:cs="Arial" w:eastAsia="Arial" w:hAnsi="Arial"/>
            <w:sz w:val="17"/>
            <w:szCs w:val="17"/>
            <w:u w:val="single" w:color="auto"/>
            <w:color w:val="0000FF"/>
          </w:rPr>
          <w:t>Consolidated Statements of Comprehensive Income (Loss) for the Years Ended December 31, 2020, 2019, and 2018</w:t>
        </w:r>
      </w:hyperlink>
      <w:r>
        <w:rPr>
          <w:rFonts w:ascii="Arial" w:cs="Arial" w:eastAsia="Arial" w:hAnsi="Arial"/>
          <w:sz w:val="17"/>
          <w:szCs w:val="17"/>
          <w:u w:val="single" w:color="auto"/>
          <w:color w:val="0000FF"/>
        </w:rPr>
        <w:t xml:space="preserve"> </w:t>
      </w:r>
      <w:hyperlink w:anchor="page203">
        <w:r>
          <w:rPr>
            <w:rFonts w:ascii="Arial" w:cs="Arial" w:eastAsia="Arial" w:hAnsi="Arial"/>
            <w:sz w:val="17"/>
            <w:szCs w:val="17"/>
            <w:u w:val="single" w:color="auto"/>
            <w:color w:val="0000FF"/>
          </w:rPr>
          <w:t>Consolidated Balance Sheets as of December 31, 2020 and 2019</w:t>
        </w:r>
      </w:hyperlink>
    </w:p>
    <w:p>
      <w:pPr>
        <w:spacing w:after="0" w:line="1" w:lineRule="exact"/>
        <w:rPr>
          <w:sz w:val="20"/>
          <w:szCs w:val="20"/>
          <w:color w:val="auto"/>
        </w:rPr>
      </w:pPr>
    </w:p>
    <w:p>
      <w:pPr>
        <w:ind w:right="2420"/>
        <w:spacing w:after="0" w:line="308" w:lineRule="auto"/>
        <w:rPr>
          <w:rFonts w:ascii="Arial" w:cs="Arial" w:eastAsia="Arial" w:hAnsi="Arial"/>
          <w:sz w:val="17"/>
          <w:szCs w:val="17"/>
          <w:u w:val="single" w:color="auto"/>
          <w:color w:val="0000FF"/>
        </w:rPr>
      </w:pPr>
      <w:hyperlink w:anchor="page204">
        <w:r>
          <w:rPr>
            <w:rFonts w:ascii="Arial" w:cs="Arial" w:eastAsia="Arial" w:hAnsi="Arial"/>
            <w:sz w:val="17"/>
            <w:szCs w:val="17"/>
            <w:u w:val="single" w:color="auto"/>
            <w:color w:val="0000FF"/>
          </w:rPr>
          <w:t>Consolidated Statements of Cash Flows for the Years Ended December 31, 2020, 2019, and 2018</w:t>
        </w:r>
      </w:hyperlink>
      <w:r>
        <w:rPr>
          <w:rFonts w:ascii="Arial" w:cs="Arial" w:eastAsia="Arial" w:hAnsi="Arial"/>
          <w:sz w:val="17"/>
          <w:szCs w:val="17"/>
          <w:u w:val="single" w:color="auto"/>
          <w:color w:val="0000FF"/>
        </w:rPr>
        <w:t xml:space="preserve"> </w:t>
      </w:r>
      <w:hyperlink w:anchor="page205">
        <w:r>
          <w:rPr>
            <w:rFonts w:ascii="Arial" w:cs="Arial" w:eastAsia="Arial" w:hAnsi="Arial"/>
            <w:sz w:val="17"/>
            <w:szCs w:val="17"/>
            <w:u w:val="single" w:color="auto"/>
            <w:color w:val="0000FF"/>
          </w:rPr>
          <w:t>Consolidated Statements of Shareholder's Equity for the Years Ended December 31, 2020, 2019 and 2018</w:t>
        </w:r>
      </w:hyperlink>
      <w:r>
        <w:rPr>
          <w:rFonts w:ascii="Arial" w:cs="Arial" w:eastAsia="Arial" w:hAnsi="Arial"/>
          <w:sz w:val="17"/>
          <w:szCs w:val="17"/>
          <w:u w:val="single" w:color="auto"/>
          <w:color w:val="0000FF"/>
        </w:rPr>
        <w:t xml:space="preserve"> </w:t>
      </w:r>
      <w:hyperlink w:anchor="page206">
        <w:r>
          <w:rPr>
            <w:rFonts w:ascii="Arial" w:cs="Arial" w:eastAsia="Arial" w:hAnsi="Arial"/>
            <w:sz w:val="17"/>
            <w:szCs w:val="17"/>
            <w:u w:val="single" w:color="auto"/>
            <w:color w:val="0000FF"/>
          </w:rPr>
          <w:t>Notes to Consolidated Financial Statements</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15" w:lineRule="exact"/>
        <w:rPr>
          <w:rFonts w:ascii="Arial" w:cs="Arial" w:eastAsia="Arial" w:hAnsi="Arial"/>
          <w:sz w:val="17"/>
          <w:szCs w:val="17"/>
          <w:u w:val="single" w:color="auto"/>
          <w:color w:val="0000FF"/>
        </w:rPr>
      </w:pPr>
    </w:p>
    <w:p>
      <w:pPr>
        <w:jc w:val="center"/>
        <w:ind w:left="980"/>
        <w:spacing w:after="0"/>
        <w:rPr>
          <w:sz w:val="20"/>
          <w:szCs w:val="20"/>
          <w:color w:val="auto"/>
        </w:rPr>
      </w:pPr>
      <w:r>
        <w:rPr>
          <w:rFonts w:ascii="Arial" w:cs="Arial" w:eastAsia="Arial" w:hAnsi="Arial"/>
          <w:sz w:val="17"/>
          <w:szCs w:val="17"/>
          <w:color w:val="auto"/>
        </w:rPr>
        <w:t>F-1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46"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w:anchor="page199">
        <w:r>
          <w:rPr>
            <w:rFonts w:ascii="Arial" w:cs="Arial" w:eastAsia="Arial" w:hAnsi="Arial"/>
            <w:sz w:val="17"/>
            <w:szCs w:val="17"/>
            <w:u w:val="single" w:color="auto"/>
            <w:color w:val="0000FF"/>
          </w:rPr>
          <w:t>F-2</w:t>
        </w:r>
      </w:hyperlink>
    </w:p>
    <w:p>
      <w:pPr>
        <w:spacing w:after="0" w:line="53"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w:anchor="page201">
        <w:r>
          <w:rPr>
            <w:rFonts w:ascii="Arial" w:cs="Arial" w:eastAsia="Arial" w:hAnsi="Arial"/>
            <w:sz w:val="17"/>
            <w:szCs w:val="17"/>
            <w:u w:val="single" w:color="auto"/>
            <w:color w:val="0000FF"/>
          </w:rPr>
          <w:t>F-4</w:t>
        </w:r>
      </w:hyperlink>
    </w:p>
    <w:p>
      <w:pPr>
        <w:spacing w:after="0" w:line="53"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w:anchor="page202">
        <w:r>
          <w:rPr>
            <w:rFonts w:ascii="Arial" w:cs="Arial" w:eastAsia="Arial" w:hAnsi="Arial"/>
            <w:sz w:val="17"/>
            <w:szCs w:val="17"/>
            <w:u w:val="single" w:color="auto"/>
            <w:color w:val="0000FF"/>
          </w:rPr>
          <w:t>F-5</w:t>
        </w:r>
      </w:hyperlink>
    </w:p>
    <w:p>
      <w:pPr>
        <w:spacing w:after="0" w:line="53"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w:anchor="page203">
        <w:r>
          <w:rPr>
            <w:rFonts w:ascii="Arial" w:cs="Arial" w:eastAsia="Arial" w:hAnsi="Arial"/>
            <w:sz w:val="17"/>
            <w:szCs w:val="17"/>
            <w:u w:val="single" w:color="auto"/>
            <w:color w:val="0000FF"/>
          </w:rPr>
          <w:t>F-6</w:t>
        </w:r>
      </w:hyperlink>
    </w:p>
    <w:p>
      <w:pPr>
        <w:spacing w:after="0" w:line="53"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w:anchor="page204">
        <w:r>
          <w:rPr>
            <w:rFonts w:ascii="Arial" w:cs="Arial" w:eastAsia="Arial" w:hAnsi="Arial"/>
            <w:sz w:val="17"/>
            <w:szCs w:val="17"/>
            <w:u w:val="single" w:color="auto"/>
            <w:color w:val="0000FF"/>
          </w:rPr>
          <w:t>F-7</w:t>
        </w:r>
      </w:hyperlink>
    </w:p>
    <w:p>
      <w:pPr>
        <w:spacing w:after="0" w:line="53"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w:anchor="page205">
        <w:r>
          <w:rPr>
            <w:rFonts w:ascii="Arial" w:cs="Arial" w:eastAsia="Arial" w:hAnsi="Arial"/>
            <w:sz w:val="17"/>
            <w:szCs w:val="17"/>
            <w:u w:val="single" w:color="auto"/>
            <w:color w:val="0000FF"/>
          </w:rPr>
          <w:t>F-8</w:t>
        </w:r>
      </w:hyperlink>
    </w:p>
    <w:p>
      <w:pPr>
        <w:spacing w:after="0" w:line="53"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w:anchor="page206">
        <w:r>
          <w:rPr>
            <w:rFonts w:ascii="Arial" w:cs="Arial" w:eastAsia="Arial" w:hAnsi="Arial"/>
            <w:sz w:val="17"/>
            <w:szCs w:val="17"/>
            <w:u w:val="single" w:color="auto"/>
            <w:color w:val="0000FF"/>
          </w:rPr>
          <w:t>F-9</w:t>
        </w:r>
      </w:hyperlink>
    </w:p>
    <w:p>
      <w:pPr>
        <w:sectPr>
          <w:pgSz w:w="11900" w:h="16838" w:orient="portrait"/>
          <w:cols w:equalWidth="0" w:num="2">
            <w:col w:w="10240" w:space="720"/>
            <w:col w:w="260"/>
          </w:cols>
          <w:pgMar w:left="340" w:top="1440" w:right="339" w:bottom="1440" w:gutter="0" w:footer="0" w:header="0"/>
        </w:sectPr>
      </w:pPr>
    </w:p>
    <w:bookmarkStart w:id="199" w:name="page200"/>
    <w:bookmarkEnd w:id="199"/>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 and Board of Directors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Leonardo DRS, Inc.:</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71" w:lineRule="exact"/>
        <w:rPr>
          <w:sz w:val="20"/>
          <w:szCs w:val="20"/>
          <w:color w:val="auto"/>
        </w:rPr>
      </w:pPr>
    </w:p>
    <w:p>
      <w:pPr>
        <w:spacing w:after="0" w:line="199" w:lineRule="exact"/>
        <w:rPr>
          <w:sz w:val="20"/>
          <w:szCs w:val="20"/>
          <w:color w:val="auto"/>
        </w:rPr>
      </w:pPr>
      <w:r>
        <w:rPr>
          <w:rFonts w:ascii="Arial" w:cs="Arial" w:eastAsia="Arial" w:hAnsi="Arial"/>
          <w:sz w:val="17"/>
          <w:szCs w:val="17"/>
          <w:color w:val="auto"/>
        </w:rPr>
        <w:t>We have audited the accompanying consolidated balance sheets of Leonardo DRS, Inc. and subsidiaries (the Company) as of December 31, 2020 and 2019, the related consolidated statements of earnings (loss), comprehensive income (loss), shareholder’s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71"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As discussed in Note 1 to the Consolidated Financial Statements, the Company has changed its method of accounting for leases as of January 1, 2019, in accordance with the adoption of Accounting Standards Codification (ASC) Topic 842, Leases.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7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17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Estimation of costs to complete for select long-term contracts</w:t>
      </w:r>
    </w:p>
    <w:p>
      <w:pPr>
        <w:spacing w:after="0" w:line="171" w:lineRule="exact"/>
        <w:rPr>
          <w:sz w:val="20"/>
          <w:szCs w:val="20"/>
          <w:color w:val="auto"/>
        </w:rPr>
      </w:pPr>
    </w:p>
    <w:p>
      <w:pPr>
        <w:ind w:left="600" w:right="320"/>
        <w:spacing w:after="0" w:line="280" w:lineRule="auto"/>
        <w:rPr>
          <w:sz w:val="20"/>
          <w:szCs w:val="20"/>
          <w:color w:val="auto"/>
        </w:rPr>
      </w:pPr>
      <w:r>
        <w:rPr>
          <w:rFonts w:ascii="Arial" w:cs="Arial" w:eastAsia="Arial" w:hAnsi="Arial"/>
          <w:sz w:val="16"/>
          <w:szCs w:val="16"/>
          <w:color w:val="auto"/>
        </w:rPr>
        <w:t>As discussed in Note 2 to the consolidated financial statements, the Company recognizes revenues for the majority of contracts determined using the ratio of cumulative costs incurred to date to estimated total contract costs at completion. The accounting for long-term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140"/>
          </w:cols>
          <w:pgMar w:left="320" w:top="1440" w:right="439" w:bottom="1440" w:gutter="0" w:footer="0" w:header="0"/>
        </w:sectPr>
      </w:pPr>
    </w:p>
    <w:bookmarkStart w:id="200" w:name="page201"/>
    <w:bookmarkEnd w:id="200"/>
    <w:p>
      <w:pPr>
        <w:spacing w:after="0" w:line="43" w:lineRule="exact"/>
        <w:rPr>
          <w:sz w:val="20"/>
          <w:szCs w:val="20"/>
          <w:color w:val="auto"/>
        </w:rPr>
      </w:pPr>
    </w:p>
    <w:p>
      <w:pPr>
        <w:ind w:left="600"/>
        <w:spacing w:after="0" w:line="247" w:lineRule="auto"/>
        <w:rPr>
          <w:sz w:val="20"/>
          <w:szCs w:val="20"/>
          <w:color w:val="auto"/>
        </w:rPr>
      </w:pPr>
      <w:r>
        <w:rPr>
          <w:rFonts w:ascii="Arial" w:cs="Arial" w:eastAsia="Arial" w:hAnsi="Arial"/>
          <w:sz w:val="17"/>
          <w:szCs w:val="17"/>
          <w:color w:val="auto"/>
        </w:rPr>
        <w:t>involves estimation of the costs to complete a contract in order to accurately recognize the associated revenue. Developing the estimated total cost at completion often requires judgment related to the nature and complexity of the work to be performed, subcontractor performance and the risk and impact of delayed performance.</w:t>
      </w:r>
    </w:p>
    <w:p>
      <w:pPr>
        <w:spacing w:after="0" w:line="143" w:lineRule="exact"/>
        <w:rPr>
          <w:sz w:val="20"/>
          <w:szCs w:val="20"/>
          <w:color w:val="auto"/>
        </w:rPr>
      </w:pPr>
    </w:p>
    <w:p>
      <w:pPr>
        <w:ind w:left="600" w:right="100"/>
        <w:spacing w:after="0" w:line="246" w:lineRule="auto"/>
        <w:rPr>
          <w:sz w:val="20"/>
          <w:szCs w:val="20"/>
          <w:color w:val="auto"/>
        </w:rPr>
      </w:pPr>
      <w:r>
        <w:rPr>
          <w:rFonts w:ascii="Arial" w:cs="Arial" w:eastAsia="Arial" w:hAnsi="Arial"/>
          <w:sz w:val="17"/>
          <w:szCs w:val="17"/>
          <w:color w:val="auto"/>
        </w:rPr>
        <w:t>We identified the assessment of the estimation of costs to complete for a select group of long-term contracts in the Integrated Mission Systems segment as a critical audit matter. The evaluation of the costs to complete for this select group of contracts required a high level of subjective auditor judgment, due to the nature and complexity of the individual contracts. Changes to the estimated costs to complete each contract may have a significant impact on the estimated revenue recorded during the period.</w:t>
      </w:r>
    </w:p>
    <w:p>
      <w:pPr>
        <w:spacing w:after="0" w:line="144" w:lineRule="exact"/>
        <w:rPr>
          <w:sz w:val="20"/>
          <w:szCs w:val="20"/>
          <w:color w:val="auto"/>
        </w:rPr>
      </w:pPr>
    </w:p>
    <w:p>
      <w:pPr>
        <w:ind w:left="600" w:right="80"/>
        <w:spacing w:after="0" w:line="245"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of certain internal controls related to the estimation of costs to complete the selected long-term contracts. This included contract level controls over certain elements of estimated costs. For certain contracts, we compared the Company’s historical estimates of costs to actual costs incurred to assess the Company’s ability to estimate accurately. Based on the nature of the individual contract, we evaluated the Company’s estimation of costs to complete by:</w:t>
      </w:r>
    </w:p>
    <w:p>
      <w:pPr>
        <w:spacing w:after="0" w:line="147" w:lineRule="exact"/>
        <w:rPr>
          <w:sz w:val="20"/>
          <w:szCs w:val="20"/>
          <w:color w:val="auto"/>
        </w:rPr>
      </w:pPr>
    </w:p>
    <w:p>
      <w:pPr>
        <w:ind w:left="900" w:right="900" w:hanging="303"/>
        <w:spacing w:after="0" w:line="250" w:lineRule="auto"/>
        <w:tabs>
          <w:tab w:leader="none" w:pos="89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reading the underlying contract and related amendments to obtain an understanding of the contractual requirements and related performance obligations</w:t>
      </w:r>
    </w:p>
    <w:p>
      <w:pPr>
        <w:spacing w:after="0" w:line="140" w:lineRule="exact"/>
        <w:rPr>
          <w:rFonts w:ascii="Arial" w:cs="Arial" w:eastAsia="Arial" w:hAnsi="Arial"/>
          <w:sz w:val="17"/>
          <w:szCs w:val="17"/>
          <w:color w:val="auto"/>
        </w:rPr>
      </w:pPr>
    </w:p>
    <w:p>
      <w:pPr>
        <w:ind w:left="900" w:right="260" w:hanging="303"/>
        <w:spacing w:after="0" w:line="250" w:lineRule="auto"/>
        <w:tabs>
          <w:tab w:leader="none" w:pos="89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assessing costs incurred to-date compared to estimated total contract costs at completion and the relative progress toward satisfying the performance obligation(s) of the contract</w:t>
      </w:r>
    </w:p>
    <w:p>
      <w:pPr>
        <w:spacing w:after="0" w:line="140" w:lineRule="exact"/>
        <w:rPr>
          <w:rFonts w:ascii="Arial" w:cs="Arial" w:eastAsia="Arial" w:hAnsi="Arial"/>
          <w:sz w:val="17"/>
          <w:szCs w:val="17"/>
          <w:color w:val="auto"/>
        </w:rPr>
      </w:pPr>
    </w:p>
    <w:p>
      <w:pPr>
        <w:ind w:left="900" w:hanging="303"/>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comparing, if relevant, the estimated costs to complete to similar or predecessor contracts and programs</w:t>
      </w:r>
    </w:p>
    <w:p>
      <w:pPr>
        <w:spacing w:after="0" w:line="152" w:lineRule="exact"/>
        <w:rPr>
          <w:rFonts w:ascii="Arial" w:cs="Arial" w:eastAsia="Arial" w:hAnsi="Arial"/>
          <w:sz w:val="17"/>
          <w:szCs w:val="17"/>
          <w:color w:val="auto"/>
        </w:rPr>
      </w:pPr>
    </w:p>
    <w:p>
      <w:pPr>
        <w:ind w:left="900" w:right="380" w:hanging="303"/>
        <w:spacing w:after="0" w:line="250" w:lineRule="auto"/>
        <w:tabs>
          <w:tab w:leader="none" w:pos="89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inquiring of financial and operational personnel of the Company to identify factors that should be considered within the cost to complete estimates or indications of potential management bias</w:t>
      </w:r>
    </w:p>
    <w:p>
      <w:pPr>
        <w:spacing w:after="0" w:line="140" w:lineRule="exact"/>
        <w:rPr>
          <w:rFonts w:ascii="Arial" w:cs="Arial" w:eastAsia="Arial" w:hAnsi="Arial"/>
          <w:sz w:val="17"/>
          <w:szCs w:val="17"/>
          <w:color w:val="auto"/>
        </w:rPr>
      </w:pPr>
    </w:p>
    <w:p>
      <w:pPr>
        <w:ind w:left="900" w:hanging="303"/>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inspecting correspondence, if any, between the Company and the customer regarding actual to-date and expected performance</w:t>
      </w:r>
    </w:p>
    <w:p>
      <w:pPr>
        <w:spacing w:after="0" w:line="152" w:lineRule="exact"/>
        <w:rPr>
          <w:rFonts w:ascii="Arial" w:cs="Arial" w:eastAsia="Arial" w:hAnsi="Arial"/>
          <w:sz w:val="17"/>
          <w:szCs w:val="17"/>
          <w:color w:val="auto"/>
        </w:rPr>
      </w:pPr>
    </w:p>
    <w:p>
      <w:pPr>
        <w:ind w:left="900" w:hanging="303"/>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analyzing the sufficiency of the Company’s assessment of contract performance risks included within the estimated costs to complete.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2012.</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160"/>
          </w:cols>
          <w:pgMar w:left="320" w:top="1440" w:right="419" w:bottom="1440" w:gutter="0" w:footer="0" w:header="0"/>
        </w:sectPr>
      </w:pPr>
    </w:p>
    <w:bookmarkStart w:id="201" w:name="page202"/>
    <w:bookmarkEnd w:id="201"/>
    <w:p>
      <w:pPr>
        <w:ind w:left="464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Consolidated Statements of Earnings (Loss)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2018</w:t>
            </w: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Products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2,412</w:t>
            </w:r>
          </w:p>
        </w:tc>
        <w:tc>
          <w:tcPr>
            <w:tcW w:w="460" w:type="dxa"/>
            <w:vAlign w:val="bottom"/>
            <w:gridSpan w:val="2"/>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2,220</w:t>
            </w:r>
          </w:p>
        </w:tc>
        <w:tc>
          <w:tcPr>
            <w:tcW w:w="8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1,819</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514</w:t>
            </w: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2,778</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2,714</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2,333</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Cost of revenues: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(1,548)</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(371)</w:t>
            </w: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color w:val="auto"/>
              </w:rPr>
              <w:t>Total cost of revenues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(2,284)</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(2,255)</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(1,919)</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w:t>
            </w: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intangibles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Other operating expenses,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earnings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Earnings (loss) before taxes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provision (benefit)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Net earnings (loss)</w:t>
            </w: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1"/>
        </w:trPr>
        <w:tc>
          <w:tcPr>
            <w:tcW w:w="6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Net earnings (loss) per share from common stock:</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Basic and diluted earnings (loss) per share:</w:t>
            </w:r>
          </w:p>
        </w:tc>
        <w:tc>
          <w:tcPr>
            <w:tcW w:w="37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0.59</w:t>
            </w:r>
          </w:p>
        </w:tc>
        <w:tc>
          <w:tcPr>
            <w:tcW w:w="6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68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(0.07)</w:t>
            </w:r>
          </w:p>
        </w:tc>
      </w:tr>
      <w:tr>
        <w:trPr>
          <w:trHeight w:val="672"/>
        </w:trPr>
        <w:tc>
          <w:tcPr>
            <w:tcW w:w="3240" w:type="dxa"/>
            <w:vAlign w:val="bottom"/>
          </w:tcPr>
          <w:p>
            <w:pPr>
              <w:spacing w:after="0"/>
              <w:rPr>
                <w:sz w:val="24"/>
                <w:szCs w:val="24"/>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w w:val="97"/>
              </w:rPr>
              <w:t>See accompanying Notes to Consolidated Financial Statements.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40"/>
          </w:cols>
          <w:pgMar w:left="320" w:top="492" w:right="339" w:bottom="1440" w:gutter="0" w:footer="0" w:header="0"/>
        </w:sectPr>
      </w:pPr>
    </w:p>
    <w:bookmarkStart w:id="202" w:name="page203"/>
    <w:bookmarkEnd w:id="202"/>
    <w:p>
      <w:pPr>
        <w:ind w:left="464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2018</w:t>
            </w:r>
          </w:p>
        </w:tc>
      </w:tr>
      <w:tr>
        <w:trPr>
          <w:trHeight w:val="24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earnings (loss)</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currency translation gain (loss), net of income taxes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Net unrealized gain on hedging derivatives, net of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unrecognized gain (loss) on postretirement obligations, net of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loss, net of income tax</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comprehensive income (loss)</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240"/>
          </w:cols>
          <w:pgMar w:left="320" w:top="492" w:right="339" w:bottom="1440" w:gutter="0" w:footer="0" w:header="0"/>
        </w:sectPr>
      </w:pPr>
    </w:p>
    <w:bookmarkStart w:id="203" w:name="page204"/>
    <w:bookmarkEnd w:id="203"/>
    <w:p>
      <w:pPr>
        <w:ind w:left="464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r>
      <w:tr>
        <w:trPr>
          <w:trHeight w:val="19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b w:val="1"/>
                <w:bCs w:val="1"/>
                <w:color w:val="auto"/>
              </w:rPr>
              <w:t>2019</w:t>
            </w:r>
          </w:p>
        </w:tc>
      </w:tr>
      <w:tr>
        <w:trPr>
          <w:trHeight w:val="21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i w:val="1"/>
                <w:iCs w:val="1"/>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736</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Related party note receivable</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7"/>
        </w:trPr>
        <w:tc>
          <w:tcPr>
            <w:tcW w:w="802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1,263</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1,251</w:t>
            </w:r>
          </w:p>
        </w:tc>
      </w:tr>
      <w:tr>
        <w:trPr>
          <w:trHeight w:val="25"/>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Noncurrent assets: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Goodwill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1,057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1,057</w:t>
            </w: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Other noncurrent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w:t>
            </w:r>
          </w:p>
        </w:tc>
      </w:tr>
      <w:tr>
        <w:trPr>
          <w:trHeight w:val="25"/>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noncurrent 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1,637</w:t>
            </w:r>
          </w:p>
        </w:tc>
      </w:tr>
      <w:tr>
        <w:trPr>
          <w:trHeight w:val="241"/>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2,956</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2,888</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4"/>
        </w:trPr>
        <w:tc>
          <w:tcPr>
            <w:tcW w:w="80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AND SHAREHOLDER'S EQUITY</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i w:val="1"/>
                <w:iCs w:val="1"/>
                <w:color w:val="auto"/>
              </w:rPr>
              <w:t>Current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borrowings and current portion of long-term debt</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536</w:t>
            </w: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5"/>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1,001</w:t>
            </w:r>
          </w:p>
        </w:tc>
      </w:tr>
      <w:tr>
        <w:trPr>
          <w:trHeight w:val="204"/>
        </w:trPr>
        <w:tc>
          <w:tcPr>
            <w:tcW w:w="8020" w:type="dxa"/>
            <w:vAlign w:val="bottom"/>
          </w:tcPr>
          <w:p>
            <w:pPr>
              <w:ind w:left="20"/>
              <w:spacing w:after="0"/>
              <w:rPr>
                <w:sz w:val="20"/>
                <w:szCs w:val="20"/>
                <w:color w:val="auto"/>
              </w:rPr>
            </w:pPr>
            <w:r>
              <w:rPr>
                <w:rFonts w:ascii="Arial" w:cs="Arial" w:eastAsia="Arial" w:hAnsi="Arial"/>
                <w:sz w:val="17"/>
                <w:szCs w:val="17"/>
                <w:i w:val="1"/>
                <w:iCs w:val="1"/>
                <w:color w:val="auto"/>
              </w:rPr>
              <w:t>Noncurrent liabilities:</w:t>
            </w: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 plan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7"/>
        </w:trPr>
        <w:tc>
          <w:tcPr>
            <w:tcW w:w="8020" w:type="dxa"/>
            <w:vAlign w:val="bottom"/>
          </w:tcPr>
          <w:p>
            <w:pPr>
              <w:ind w:left="20"/>
              <w:spacing w:after="0"/>
              <w:rPr>
                <w:sz w:val="20"/>
                <w:szCs w:val="20"/>
                <w:color w:val="auto"/>
              </w:rPr>
            </w:pPr>
            <w:r>
              <w:rPr>
                <w:rFonts w:ascii="Arial" w:cs="Arial" w:eastAsia="Arial" w:hAnsi="Arial"/>
                <w:sz w:val="17"/>
                <w:szCs w:val="17"/>
                <w:color w:val="auto"/>
              </w:rPr>
              <w:t>Total noncurrent liabilities</w:t>
            </w:r>
          </w:p>
        </w:tc>
        <w:tc>
          <w:tcPr>
            <w:tcW w:w="38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554</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868</w:t>
            </w:r>
          </w:p>
        </w:tc>
      </w:tr>
      <w:tr>
        <w:trPr>
          <w:trHeight w:val="25"/>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Shareholder's equity:</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Preferred Stock, $0.01 par value: 10,000,000 shares authorized; none issued</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$0.01 par value: 300,000,000 shares authorized; 145,000,000 shares issued and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w:t>
            </w: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4,633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4,333</w:t>
            </w:r>
          </w:p>
        </w:tc>
      </w:tr>
      <w:tr>
        <w:trPr>
          <w:trHeight w:val="25"/>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(3,222)</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Accumulated other comprehensive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5"/>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r>
      <w:tr>
        <w:trPr>
          <w:trHeight w:val="241"/>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shareholder's equity</w:t>
            </w: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2,956</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2,888</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240"/>
          </w:cols>
          <w:pgMar w:left="320" w:top="4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240"/>
          </w:cols>
          <w:pgMar w:left="320" w:top="492" w:right="339" w:bottom="1440" w:gutter="0" w:footer="0" w:header="0"/>
          <w:type w:val="continuous"/>
        </w:sectPr>
      </w:pPr>
    </w:p>
    <w:bookmarkStart w:id="204" w:name="page205"/>
    <w:bookmarkEnd w:id="204"/>
    <w:p>
      <w:pPr>
        <w:ind w:left="464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2018</w:t>
            </w: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Net earnings (loss)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85</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(loss) to net cash from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assets and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Contract assets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Prepaid expenses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Other noncurrent assets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Defined benefit obligations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Other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Contract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04"/>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Capital expenditures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Business acquisitions, net of cash acquired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Proceeds from sales of assets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Advances (net of repayments received) on related party note receivable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Cost method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Net (decrease) increase in third party borrowings (maturities of 90 days or less)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Repayment of related party debt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(560)</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Borrowings from related parties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532</w:t>
            </w: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Earn-out payment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color w:val="auto"/>
              </w:rPr>
              <w:t>Cash and cash equivalents at beginning of year</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end of year</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04"/>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Forgiveness of related party debt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6340" w:type="dxa"/>
            <w:vAlign w:val="bottom"/>
          </w:tcPr>
          <w:p>
            <w:pPr>
              <w:ind w:left="20"/>
              <w:spacing w:after="0"/>
              <w:rPr>
                <w:sz w:val="20"/>
                <w:szCs w:val="20"/>
                <w:color w:val="auto"/>
              </w:rPr>
            </w:pPr>
            <w:r>
              <w:rPr>
                <w:rFonts w:ascii="Arial" w:cs="Arial" w:eastAsia="Arial" w:hAnsi="Arial"/>
                <w:sz w:val="17"/>
                <w:szCs w:val="17"/>
                <w:color w:val="auto"/>
                <w:w w:val="98"/>
              </w:rPr>
              <w:t>Additions of property plant and equipment and long-term debt for a build-to-suit lease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240"/>
          </w:cols>
          <w:pgMar w:left="320" w:top="492" w:right="339" w:bottom="1440" w:gutter="0" w:footer="0" w:header="0"/>
        </w:sectPr>
      </w:pPr>
    </w:p>
    <w:bookmarkStart w:id="205" w:name="page206"/>
    <w:bookmarkEnd w:id="205"/>
    <w:p>
      <w:pPr>
        <w:ind w:left="464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Additional paid- in</w:t>
            </w: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Accumulated other</w:t>
            </w:r>
          </w:p>
        </w:tc>
        <w:tc>
          <w:tcPr>
            <w:tcW w:w="14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Accumulated deficit</w:t>
            </w:r>
          </w:p>
        </w:tc>
        <w:tc>
          <w:tcPr>
            <w:tcW w:w="320" w:type="dxa"/>
            <w:vAlign w:val="bottom"/>
          </w:tcPr>
          <w:p>
            <w:pPr>
              <w:spacing w:after="0"/>
              <w:rPr>
                <w:sz w:val="14"/>
                <w:szCs w:val="14"/>
                <w:color w:val="auto"/>
              </w:rPr>
            </w:pPr>
          </w:p>
        </w:tc>
        <w:tc>
          <w:tcPr>
            <w:tcW w:w="1000" w:type="dxa"/>
            <w:vAlign w:val="bottom"/>
            <w:vMerge w:val="restart"/>
          </w:tcPr>
          <w:p>
            <w:pPr>
              <w:jc w:val="right"/>
              <w:ind w:right="41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2"/>
                <w:szCs w:val="12"/>
                <w:color w:val="auto"/>
              </w:rPr>
              <w:t>(Dollars in millions, except per share amounts)</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comprehensive loss</w:t>
            </w:r>
          </w:p>
        </w:tc>
        <w:tc>
          <w:tcPr>
            <w:tcW w:w="14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4,333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CCEEFF"/>
            </w:tcBorders>
            <w:shd w:val="clear" w:color="auto" w:fill="CCEEFF"/>
          </w:tcPr>
          <w:p>
            <w:pPr>
              <w:jc w:val="right"/>
              <w:ind w:right="24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Arial" w:cs="Arial" w:eastAsia="Arial" w:hAnsi="Arial"/>
                <w:sz w:val="17"/>
                <w:szCs w:val="17"/>
                <w:color w:val="auto"/>
              </w:rPr>
              <w:t>Cumulative effect of adopting ASC 606</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2018</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rPr>
              <w:t>4,333</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(3,297)</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956</w:t>
            </w:r>
          </w:p>
        </w:tc>
        <w:tc>
          <w:tcPr>
            <w:tcW w:w="0" w:type="dxa"/>
            <w:vAlign w:val="bottom"/>
          </w:tcPr>
          <w:p>
            <w:pPr>
              <w:spacing w:after="0"/>
              <w:rPr>
                <w:sz w:val="1"/>
                <w:szCs w:val="1"/>
                <w:color w:val="auto"/>
              </w:rPr>
            </w:pPr>
          </w:p>
        </w:tc>
      </w:tr>
      <w:tr>
        <w:trPr>
          <w:trHeight w:val="25"/>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2019</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rPr>
              <w:t>4,333</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(3,222)</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1,019</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Forgiveness of related party debt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300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Arial" w:cs="Arial" w:eastAsia="Arial" w:hAnsi="Arial"/>
                <w:sz w:val="17"/>
                <w:szCs w:val="17"/>
                <w:color w:val="auto"/>
              </w:rPr>
              <w:t>Total other comprehensive income</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4,633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240"/>
          </w:cols>
          <w:pgMar w:left="320" w:top="492" w:right="339" w:bottom="1440" w:gutter="0" w:footer="0" w:header="0"/>
        </w:sectPr>
      </w:pPr>
    </w:p>
    <w:bookmarkStart w:id="206" w:name="page207"/>
    <w:bookmarkEnd w:id="206"/>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Summary of Significant Accounting Policies</w:t>
      </w:r>
    </w:p>
    <w:p>
      <w:pPr>
        <w:spacing w:after="0" w:line="153" w:lineRule="exact"/>
        <w:rPr>
          <w:sz w:val="20"/>
          <w:szCs w:val="20"/>
          <w:color w:val="auto"/>
        </w:rPr>
      </w:pPr>
    </w:p>
    <w:p>
      <w:pPr>
        <w:ind w:left="580" w:hanging="580"/>
        <w:spacing w:after="0"/>
        <w:tabs>
          <w:tab w:leader="none" w:pos="58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w:t>
      </w:r>
    </w:p>
    <w:p>
      <w:pPr>
        <w:spacing w:after="0" w:line="173"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Leonardo DRS, Inc., together with its wholly owned subsidiaries (hereinafter, “DRS,” “the Company,” “us,” “our,” or “we”) is a supplier of defense electronics products, systems and military support services. The Company is controlled by Leonardo S.p.A (hereinafter, “Leonardo S.p.A.,” “the Parent”), an Italian multi-national aerospace, defense and security company headquartered in Rome, Italy, through its direct sole ownership of Leonardo US Holding, Inc. (“US Holding”). US Holding is the direct and sole shareholder of the Company.</w:t>
      </w:r>
    </w:p>
    <w:p>
      <w:pPr>
        <w:spacing w:after="0" w:line="144"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soldier sensing, electronic warfare (“EW”), cyber security, network computing, communications, force protection and electrical power conversion and propulsion.</w:t>
      </w:r>
    </w:p>
    <w:p>
      <w:pPr>
        <w:spacing w:after="0" w:line="147"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These capabilities directly align with our three reportable segments: Advanced Sensor Technologies, Network Computing &amp; Communications and Integrated Mission Systems. The U.S. Department of Defense (“DoD”) is our largest customer and accounts for approximately 84% and 89% of our total revenues as an end-user for the years ended December 31, 2020 and 2019, respectively. Specific international and commercial market opportunities exist within these segments and make up approximately 16% and 11% of our total revenues for the years ended December 31, 2020 and 2019. Our three reportable segments reflect the way performance is assessed and resources are allocated by our Chief Executive Officer, who is our chief operating decision maker (“CODM”).</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Advanced Sensor Technologies (“AST”)</w:t>
      </w:r>
    </w:p>
    <w:p>
      <w:pPr>
        <w:spacing w:after="0" w:line="17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AST segment provides electro-optical sensor technologies, laser systems, EW systems and intelligence and surveillance solutions to U.S. military and intelligence community customers. Major solutions include ground vehicle targeting and surveillance sensors, including electro-optical and advanced detection systems. Our soldier sensing applications include infrared imaging solutions and precision targeting systems. Our infrared focal plane array foundry produces small sized cryogenically cooled and uncooled infrared sensors. Beyond the capabilities noted above, AST also provides aircraft training instrumentation equipment and high-performance radio frequency receivers and transceivers for U.S. and international customers. Our quantum cascade laser technology has military and commercial medical applications.</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Network Computing &amp; Communication (“NC&amp;C”)</w:t>
      </w:r>
    </w:p>
    <w:p>
      <w:pPr>
        <w:spacing w:after="0" w:line="171"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The NC&amp;C segment provides defense electronics solutions across all domains of warfare. Our technologies and products can be integrated into legacy and new military platforms, end-to-end network communication systems, satellite services and cyber solutions. We are a provider of ruggedized computing platforms. For the U.S. Navy and its allies, we provide naval computing infrastructure, network and data distribution, radar and rugged naval control systems, which are present on all naval surface and subsurface combatant vessels. Our global communications network is a worldwide network of terrestrial and satellite bandwidth that ensures our customers’ data is secure and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240"/>
          </w:cols>
          <w:pgMar w:left="320" w:top="1440" w:right="339" w:bottom="1440" w:gutter="0" w:footer="0" w:header="0"/>
        </w:sectPr>
      </w:pPr>
    </w:p>
    <w:bookmarkStart w:id="207" w:name="page208"/>
    <w:bookmarkEnd w:id="207"/>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Integrated Mission Systems (“IMS”)</w:t>
      </w:r>
    </w:p>
    <w:p>
      <w:pPr>
        <w:spacing w:after="0" w:line="171" w:lineRule="exact"/>
        <w:rPr>
          <w:sz w:val="20"/>
          <w:szCs w:val="20"/>
          <w:color w:val="auto"/>
        </w:rPr>
      </w:pPr>
    </w:p>
    <w:p>
      <w:pPr>
        <w:ind w:right="160" w:firstLine="299"/>
        <w:spacing w:after="0" w:line="264" w:lineRule="auto"/>
        <w:rPr>
          <w:sz w:val="20"/>
          <w:szCs w:val="20"/>
          <w:color w:val="auto"/>
        </w:rPr>
      </w:pPr>
      <w:r>
        <w:rPr>
          <w:rFonts w:ascii="Arial" w:cs="Arial" w:eastAsia="Arial" w:hAnsi="Arial"/>
          <w:sz w:val="16"/>
          <w:szCs w:val="16"/>
          <w:color w:val="auto"/>
        </w:rPr>
        <w:t>The IMS segment provides critical force protection, vehicle integration, 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We have military transportation and logistics offerings and ground vehicle integration capabilities to support U.S. forces in a wide range of operational environments. For the U.S. Navy, we continue to provide and support multi-generational power conversion and propulsion systems for our nation’s shipbuilding programs.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Other</w:t>
      </w:r>
    </w:p>
    <w:p>
      <w:pPr>
        <w:spacing w:after="0" w:line="171" w:lineRule="exact"/>
        <w:rPr>
          <w:sz w:val="20"/>
          <w:szCs w:val="20"/>
          <w:color w:val="auto"/>
        </w:rPr>
      </w:pPr>
    </w:p>
    <w:p>
      <w:pPr>
        <w:ind w:right="100" w:firstLine="299"/>
        <w:spacing w:after="0" w:line="250" w:lineRule="auto"/>
        <w:rPr>
          <w:sz w:val="20"/>
          <w:szCs w:val="20"/>
          <w:color w:val="auto"/>
        </w:rPr>
      </w:pPr>
      <w:r>
        <w:rPr>
          <w:rFonts w:ascii="Arial" w:cs="Arial" w:eastAsia="Arial" w:hAnsi="Arial"/>
          <w:sz w:val="17"/>
          <w:szCs w:val="17"/>
          <w:color w:val="auto"/>
        </w:rPr>
        <w:t>The Company separately presents the unallocable costs associated with corporate functions and certain non-operating subsidiaries of the Company as Corporate &amp; Eliminations.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17</w:t>
      </w:r>
      <w:r>
        <w:rPr>
          <w:rFonts w:ascii="Arial" w:cs="Arial" w:eastAsia="Arial" w:hAnsi="Arial"/>
          <w:sz w:val="17"/>
          <w:szCs w:val="17"/>
          <w:color w:val="auto"/>
        </w:rPr>
        <w:t xml:space="preserve">: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for further information regarding our business segments.</w:t>
      </w:r>
    </w:p>
    <w:p>
      <w:pPr>
        <w:spacing w:after="0" w:line="151" w:lineRule="exact"/>
        <w:rPr>
          <w:sz w:val="20"/>
          <w:szCs w:val="20"/>
          <w:color w:val="auto"/>
        </w:rPr>
      </w:pPr>
    </w:p>
    <w:p>
      <w:pPr>
        <w:ind w:left="580" w:hanging="580"/>
        <w:spacing w:after="0"/>
        <w:tabs>
          <w:tab w:leader="none" w:pos="58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173" w:lineRule="exact"/>
        <w:rPr>
          <w:sz w:val="20"/>
          <w:szCs w:val="20"/>
          <w:color w:val="auto"/>
        </w:rPr>
      </w:pPr>
    </w:p>
    <w:p>
      <w:pPr>
        <w:ind w:right="320" w:firstLine="299"/>
        <w:spacing w:after="0" w:line="245"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(“U.S. GAAP”) and include the accounts of DRS, its wholly owned subsidiaries and its controlling interests.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 Certain prior year amounts have been reclassified to conform to current year presentation.</w:t>
      </w:r>
    </w:p>
    <w:p>
      <w:pPr>
        <w:spacing w:after="0" w:line="127" w:lineRule="exact"/>
        <w:rPr>
          <w:sz w:val="20"/>
          <w:szCs w:val="20"/>
          <w:color w:val="auto"/>
        </w:rPr>
      </w:pPr>
    </w:p>
    <w:p>
      <w:pPr>
        <w:ind w:left="580" w:hanging="580"/>
        <w:spacing w:after="0"/>
        <w:tabs>
          <w:tab w:leader="none" w:pos="58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Use of estimates</w:t>
      </w:r>
    </w:p>
    <w:p>
      <w:pPr>
        <w:spacing w:after="0" w:line="173" w:lineRule="exact"/>
        <w:rPr>
          <w:sz w:val="20"/>
          <w:szCs w:val="20"/>
          <w:color w:val="auto"/>
        </w:rPr>
      </w:pPr>
    </w:p>
    <w:p>
      <w:pPr>
        <w:ind w:right="140" w:firstLine="299"/>
        <w:spacing w:after="0" w:line="24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 most significant of these estimates and assumptions relate to the recognition of contract revenues and estimated costs to complete contracts in process, recoverability of reported amounts of goodwill, long-lived assets and intangible assets, valuation of pensions and other postretirement benefits, the valuation of deferred tax assets and liabilities and the valuation of unrecognized tax benefits. Actual results could differ from these estimates.</w:t>
      </w:r>
    </w:p>
    <w:p>
      <w:pPr>
        <w:spacing w:after="0" w:line="127" w:lineRule="exact"/>
        <w:rPr>
          <w:sz w:val="20"/>
          <w:szCs w:val="20"/>
          <w:color w:val="auto"/>
        </w:rPr>
      </w:pPr>
    </w:p>
    <w:p>
      <w:pPr>
        <w:ind w:left="580" w:hanging="580"/>
        <w:spacing w:after="0"/>
        <w:tabs>
          <w:tab w:leader="none" w:pos="58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 xml:space="preserve">On January 1, 2018, we adopted Accounting Standards Update (“ASU”) 2014-09, Revenue from Contracts with Customers, and the related amendments of Financial Accounting Standards Board (“FASB”) Accounting Standards Codification (“ASC”) Topic 606, which supersedes most previous U.S. GAAP revenue recognition guidance. As of the date of adoption, we elected the practical expedient for contract modifications, which allows us to assume that the terms of the contract that existed at the beginning of the earliest period presented have been in place since the inception of the contract on the basis that it is not practical to separately evaluate the effects of all prior contract modifications). Our revenues consist of sales of products (tangible goods) and sales of services to customers. We recognize the majority of our revenue from contracts with customers using an over time, cost-to-cost method of accounting. On certain other contracts, primarily time and material (“T&amp;M”) and cost-plus contracts, revenue is recognized using the right-to-invoice practical expedient as we are contractually able to bill our customer based on control transferred to the customer. See </w:t>
      </w:r>
      <w:r>
        <w:rPr>
          <w:rFonts w:ascii="Arial" w:cs="Arial" w:eastAsia="Arial" w:hAnsi="Arial"/>
          <w:sz w:val="17"/>
          <w:szCs w:val="17"/>
          <w:i w:val="1"/>
          <w:iCs w:val="1"/>
          <w:color w:val="auto"/>
        </w:rPr>
        <w:t>Note 2</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for additional information regarding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240"/>
          </w:cols>
          <w:pgMar w:left="320" w:top="492" w:right="339" w:bottom="1440" w:gutter="0" w:footer="0" w:header="0"/>
        </w:sectPr>
      </w:pPr>
    </w:p>
    <w:bookmarkStart w:id="208" w:name="page209"/>
    <w:bookmarkEnd w:id="208"/>
    <w:p>
      <w:pPr>
        <w:jc w:val="center"/>
        <w:ind w:right="16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600" w:hanging="600"/>
        <w:spacing w:after="0"/>
        <w:tabs>
          <w:tab w:leader="none" w:pos="60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Cost of Revenues</w:t>
      </w:r>
    </w:p>
    <w:p>
      <w:pPr>
        <w:spacing w:after="0" w:line="173"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outside processing and inbound freight costs. Labor and overhead costs consist of direct and indirect manufacturing costs, including wages and fringe benefits, operating supplies, depreciation and amortization, occupancy costs, and purchasing, receiving and inspection costs.</w:t>
      </w:r>
    </w:p>
    <w:p>
      <w:pPr>
        <w:spacing w:after="0" w:line="124" w:lineRule="exact"/>
        <w:rPr>
          <w:sz w:val="20"/>
          <w:szCs w:val="20"/>
          <w:color w:val="auto"/>
        </w:rPr>
      </w:pPr>
    </w:p>
    <w:p>
      <w:pPr>
        <w:ind w:left="580" w:hanging="580"/>
        <w:spacing w:after="0"/>
        <w:tabs>
          <w:tab w:leader="none" w:pos="58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Research and Development Expenses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 Company-funded R&amp;D costs charged to cost of revenues totaled $41 million, $31 million and $29 million in 2020, 2019 and 2018, respectively.</w:t>
      </w:r>
    </w:p>
    <w:p>
      <w:pPr>
        <w:spacing w:after="0" w:line="126" w:lineRule="exact"/>
        <w:rPr>
          <w:sz w:val="20"/>
          <w:szCs w:val="20"/>
          <w:color w:val="auto"/>
        </w:rPr>
      </w:pPr>
    </w:p>
    <w:p>
      <w:pPr>
        <w:ind w:left="580" w:hanging="580"/>
        <w:spacing w:after="0"/>
        <w:tabs>
          <w:tab w:leader="none" w:pos="58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Foreign Currency</w:t>
      </w:r>
    </w:p>
    <w:p>
      <w:pPr>
        <w:spacing w:after="0" w:line="173"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Significant transactions in foreign currencies are translated into U.S. dollars at the approximate prevailing rate at the time of the transaction. Foreign exchange transaction gains and losses in 2020, 2019 and 2018 were immaterial to the Company's results of operations. The operations of the Company's foreign subsidiaries are translated from the local (functional) currencies into U.S. dollars using weighted average rates of exchange during each monthly period. The rates of exchange at each balance sheet date are used for translating certain balance sheet accounts and gains or losses resulting from these translation adjustments are included in the accompanying Consolidated Balance Sheet as a component of other comprehensive earnings.</w:t>
      </w:r>
    </w:p>
    <w:p>
      <w:pPr>
        <w:spacing w:after="0" w:line="127" w:lineRule="exact"/>
        <w:rPr>
          <w:sz w:val="20"/>
          <w:szCs w:val="20"/>
          <w:color w:val="auto"/>
        </w:rPr>
      </w:pPr>
    </w:p>
    <w:p>
      <w:pPr>
        <w:ind w:left="580" w:hanging="580"/>
        <w:spacing w:after="0"/>
        <w:tabs>
          <w:tab w:leader="none" w:pos="58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w:t>
      </w:r>
    </w:p>
    <w:p>
      <w:pPr>
        <w:spacing w:after="0" w:line="173" w:lineRule="exact"/>
        <w:rPr>
          <w:sz w:val="20"/>
          <w:szCs w:val="20"/>
          <w:color w:val="auto"/>
        </w:rPr>
      </w:pPr>
    </w:p>
    <w:p>
      <w:pPr>
        <w:ind w:right="180" w:firstLine="299"/>
        <w:spacing w:after="0" w:line="250" w:lineRule="auto"/>
        <w:rPr>
          <w:sz w:val="20"/>
          <w:szCs w:val="20"/>
          <w:color w:val="auto"/>
        </w:rPr>
      </w:pPr>
      <w:r>
        <w:rPr>
          <w:rFonts w:ascii="Arial" w:cs="Arial" w:eastAsia="Arial" w:hAnsi="Arial"/>
          <w:sz w:val="17"/>
          <w:szCs w:val="17"/>
          <w:color w:val="auto"/>
        </w:rPr>
        <w:t>Cash and cash equivalents include cash on hand, deposits with banks or other short-term, highly liquid investments with original maturities of three months or less.</w:t>
      </w:r>
    </w:p>
    <w:p>
      <w:pPr>
        <w:spacing w:after="0" w:line="120" w:lineRule="exact"/>
        <w:rPr>
          <w:sz w:val="20"/>
          <w:szCs w:val="20"/>
          <w:color w:val="auto"/>
        </w:rPr>
      </w:pPr>
    </w:p>
    <w:p>
      <w:pPr>
        <w:ind w:left="580" w:hanging="580"/>
        <w:spacing w:after="0"/>
        <w:tabs>
          <w:tab w:leader="none" w:pos="58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w:t>
      </w:r>
    </w:p>
    <w:p>
      <w:pPr>
        <w:spacing w:after="0" w:line="173" w:lineRule="exact"/>
        <w:rPr>
          <w:sz w:val="20"/>
          <w:szCs w:val="20"/>
          <w:color w:val="auto"/>
        </w:rPr>
      </w:pPr>
    </w:p>
    <w:p>
      <w:pPr>
        <w:ind w:right="100" w:firstLine="299"/>
        <w:spacing w:after="0" w:line="247" w:lineRule="auto"/>
        <w:rPr>
          <w:sz w:val="20"/>
          <w:szCs w:val="20"/>
          <w:color w:val="auto"/>
        </w:rPr>
      </w:pPr>
      <w:r>
        <w:rPr>
          <w:rFonts w:ascii="Arial" w:cs="Arial" w:eastAsia="Arial" w:hAnsi="Arial"/>
          <w:sz w:val="17"/>
          <w:szCs w:val="17"/>
          <w:color w:val="auto"/>
        </w:rPr>
        <w:t xml:space="preserve">Accounts receivable consist of amounts billed and currently due from customers. When events or conditions indicate that amounts outstanding from customers may become uncollectible, an allowance is estimated and recorded. See </w:t>
      </w:r>
      <w:r>
        <w:rPr>
          <w:rFonts w:ascii="Arial" w:cs="Arial" w:eastAsia="Arial" w:hAnsi="Arial"/>
          <w:sz w:val="17"/>
          <w:szCs w:val="17"/>
          <w:i w:val="1"/>
          <w:iCs w:val="1"/>
          <w:color w:val="auto"/>
        </w:rPr>
        <w:t>Note 3</w:t>
      </w:r>
      <w:r>
        <w:rPr>
          <w:rFonts w:ascii="Arial" w:cs="Arial" w:eastAsia="Arial" w:hAnsi="Arial"/>
          <w:sz w:val="17"/>
          <w:szCs w:val="17"/>
          <w:color w:val="auto"/>
        </w:rPr>
        <w:t xml:space="preserve">: </w:t>
      </w:r>
      <w:r>
        <w:rPr>
          <w:rFonts w:ascii="Arial" w:cs="Arial" w:eastAsia="Arial" w:hAnsi="Arial"/>
          <w:sz w:val="17"/>
          <w:szCs w:val="17"/>
          <w:i w:val="1"/>
          <w:iCs w:val="1"/>
          <w:color w:val="auto"/>
        </w:rPr>
        <w:t>Accounts Receivable</w:t>
      </w:r>
      <w:r>
        <w:rPr>
          <w:rFonts w:ascii="Arial" w:cs="Arial" w:eastAsia="Arial" w:hAnsi="Arial"/>
          <w:sz w:val="17"/>
          <w:szCs w:val="17"/>
          <w:color w:val="auto"/>
        </w:rPr>
        <w:t xml:space="preserve"> for additional information regarding accounts receivable.</w:t>
      </w:r>
    </w:p>
    <w:p>
      <w:pPr>
        <w:spacing w:after="0" w:line="123" w:lineRule="exact"/>
        <w:rPr>
          <w:sz w:val="20"/>
          <w:szCs w:val="20"/>
          <w:color w:val="auto"/>
        </w:rPr>
      </w:pPr>
    </w:p>
    <w:p>
      <w:pPr>
        <w:ind w:left="580" w:hanging="580"/>
        <w:spacing w:after="0"/>
        <w:tabs>
          <w:tab w:leader="none" w:pos="58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73"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 xml:space="preserve">Inventories are recorded at the lower of cost (determined by either actual, weighted average or first-in, first-out methods) or net realizable value, and include direct production costs as well as indirect costs, such as factory overhead. The net realizable value is calculated as the expected sales price in the course of normal operations net of estimated costs to finish and sell the goods. See </w:t>
      </w:r>
      <w:r>
        <w:rPr>
          <w:rFonts w:ascii="Arial" w:cs="Arial" w:eastAsia="Arial" w:hAnsi="Arial"/>
          <w:sz w:val="17"/>
          <w:szCs w:val="17"/>
          <w:i w:val="1"/>
          <w:iCs w:val="1"/>
          <w:color w:val="auto"/>
        </w:rPr>
        <w:t>Note 4</w:t>
      </w:r>
      <w:r>
        <w:rPr>
          <w:rFonts w:ascii="Arial" w:cs="Arial" w:eastAsia="Arial" w:hAnsi="Arial"/>
          <w:sz w:val="17"/>
          <w:szCs w:val="17"/>
          <w:color w:val="auto"/>
        </w:rPr>
        <w:t xml:space="preserve">: </w:t>
      </w:r>
      <w:r>
        <w:rPr>
          <w:rFonts w:ascii="Arial" w:cs="Arial" w:eastAsia="Arial" w:hAnsi="Arial"/>
          <w:sz w:val="17"/>
          <w:szCs w:val="17"/>
          <w:i w:val="1"/>
          <w:iCs w:val="1"/>
          <w:color w:val="auto"/>
        </w:rPr>
        <w:t>Inventories</w:t>
      </w:r>
      <w:r>
        <w:rPr>
          <w:rFonts w:ascii="Arial" w:cs="Arial" w:eastAsia="Arial" w:hAnsi="Arial"/>
          <w:sz w:val="17"/>
          <w:szCs w:val="17"/>
          <w:color w:val="auto"/>
        </w:rPr>
        <w:t xml:space="preserve"> for additional information regarding inventories.</w:t>
      </w:r>
    </w:p>
    <w:p>
      <w:pPr>
        <w:spacing w:after="0" w:line="124" w:lineRule="exact"/>
        <w:rPr>
          <w:sz w:val="20"/>
          <w:szCs w:val="20"/>
          <w:color w:val="auto"/>
        </w:rPr>
      </w:pPr>
    </w:p>
    <w:p>
      <w:pPr>
        <w:ind w:left="580" w:hanging="580"/>
        <w:spacing w:after="0"/>
        <w:tabs>
          <w:tab w:leader="none" w:pos="58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173" w:lineRule="exact"/>
        <w:rPr>
          <w:sz w:val="20"/>
          <w:szCs w:val="20"/>
          <w:color w:val="auto"/>
        </w:rPr>
      </w:pPr>
    </w:p>
    <w:p>
      <w:pPr>
        <w:ind w:right="40" w:firstLine="299"/>
        <w:spacing w:after="0" w:line="250" w:lineRule="auto"/>
        <w:rPr>
          <w:sz w:val="20"/>
          <w:szCs w:val="20"/>
          <w:color w:val="auto"/>
        </w:rPr>
      </w:pPr>
      <w:r>
        <w:rPr>
          <w:rFonts w:ascii="Arial" w:cs="Arial" w:eastAsia="Arial" w:hAnsi="Arial"/>
          <w:sz w:val="17"/>
          <w:szCs w:val="17"/>
          <w:color w:val="auto"/>
        </w:rPr>
        <w:t>Property, plant and equipment is carried at cost less accumulated depreciation. Depreciation is calculated on the straight-line method. The estimated useful lives of plant, machinery and equipment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220"/>
          </w:cols>
          <w:pgMar w:left="320" w:top="492" w:right="359" w:bottom="1440" w:gutter="0" w:footer="0" w:header="0"/>
        </w:sectPr>
      </w:pPr>
    </w:p>
    <w:bookmarkStart w:id="209" w:name="page210"/>
    <w:bookmarkEnd w:id="209"/>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building and building improvements generally range from 3 to 10 years and 15 to 40 years, respectively. Leasehold improvements are amortized over the shorter of the estimated useful life of the improvements or the remaining life of the lease.</w:t>
      </w:r>
    </w:p>
    <w:p>
      <w:pPr>
        <w:spacing w:after="0" w:line="140"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 xml:space="preserve">When assets are retired or otherwise disposed of, the cost and related accumulated depreciation or amortization are removed from the Consolidated Balance Sheet, and the net gain or loss is included in the determination of net earnings. Maintenance and repairs are charged to operations as incurred and renewals and improvements are capitalized. See </w:t>
      </w:r>
      <w:r>
        <w:rPr>
          <w:rFonts w:ascii="Arial" w:cs="Arial" w:eastAsia="Arial" w:hAnsi="Arial"/>
          <w:sz w:val="17"/>
          <w:szCs w:val="17"/>
          <w:i w:val="1"/>
          <w:iCs w:val="1"/>
          <w:color w:val="auto"/>
        </w:rPr>
        <w:t>Note 5</w:t>
      </w:r>
      <w:r>
        <w:rPr>
          <w:rFonts w:ascii="Arial" w:cs="Arial" w:eastAsia="Arial" w:hAnsi="Arial"/>
          <w:sz w:val="17"/>
          <w:szCs w:val="17"/>
          <w:color w:val="auto"/>
        </w:rPr>
        <w:t xml:space="preserv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for additional information regarding property, plant and equipment.</w:t>
      </w:r>
    </w:p>
    <w:p>
      <w:pPr>
        <w:spacing w:after="0" w:line="124" w:lineRule="exact"/>
        <w:rPr>
          <w:sz w:val="20"/>
          <w:szCs w:val="20"/>
          <w:color w:val="auto"/>
        </w:rPr>
      </w:pPr>
    </w:p>
    <w:p>
      <w:pPr>
        <w:ind w:left="600" w:hanging="600"/>
        <w:spacing w:after="0"/>
        <w:tabs>
          <w:tab w:leader="none" w:pos="60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155" w:lineRule="exact"/>
        <w:rPr>
          <w:sz w:val="20"/>
          <w:szCs w:val="20"/>
          <w:color w:val="auto"/>
        </w:rPr>
      </w:pPr>
    </w:p>
    <w:p>
      <w:pPr>
        <w:ind w:firstLine="299"/>
        <w:spacing w:after="0" w:line="201" w:lineRule="exact"/>
        <w:rPr>
          <w:sz w:val="20"/>
          <w:szCs w:val="20"/>
          <w:color w:val="auto"/>
        </w:rPr>
      </w:pPr>
      <w:r>
        <w:rPr>
          <w:rFonts w:ascii="Arial" w:cs="Arial" w:eastAsia="Arial" w:hAnsi="Arial"/>
          <w:sz w:val="16"/>
          <w:szCs w:val="16"/>
          <w:color w:val="auto"/>
        </w:rPr>
        <w:t xml:space="preserve">On January 1, 2018, we early adopted ASU 2017-04,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w:t>
      </w:r>
      <w:r>
        <w:rPr>
          <w:rFonts w:ascii="MS PGothic" w:cs="MS PGothic" w:eastAsia="MS PGothic" w:hAnsi="MS PGothic"/>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 (Topic 350), Simplifying the Test for Goodwill Impairment</w:t>
      </w:r>
      <w:r>
        <w:rPr>
          <w:rFonts w:ascii="Arial" w:cs="Arial" w:eastAsia="Arial" w:hAnsi="Arial"/>
          <w:sz w:val="16"/>
          <w:szCs w:val="16"/>
          <w:color w:val="auto"/>
        </w:rPr>
        <w:t>. The standard simplifies the measurement of goodwill impairment by eliminating the requirement that an entity compute the implied fair value of goodwill based on the fair values of its assets and liabilities to measure impairment. Instead, goodwill impairment will be measured as the difference between the fair value and the carrying value of the reporting unit. Goodwill represents the excess purchase price paid to acquire a business over the fair value of net assets acquired. Goodwill is assigned to reporting units and is reviewed for impairment at the reporting unit level on an annual basis, or whenever changes in circumstances indicate that the carrying amount may not be recoverable. A reporting unit is an operating segment, or one level below that operating segment (the component level) if discrete financial information is prepared and regularly reviewed by the segment manager. Two or more components of an operating segment may be aggregated and deemed a single reporting unit if the components have similar economic characteristics. Based upon the aggregation criteria the Company concluded it had seven reporting units at both December 31, 2020 and 2019.</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annual impairment test is typically performed after completion of the Company's annual financial operating plan, which occurs as of December</w:t>
      </w:r>
    </w:p>
    <w:p>
      <w:pPr>
        <w:spacing w:after="0" w:line="15" w:lineRule="exact"/>
        <w:rPr>
          <w:sz w:val="20"/>
          <w:szCs w:val="20"/>
          <w:color w:val="auto"/>
        </w:rPr>
      </w:pPr>
    </w:p>
    <w:p>
      <w:pPr>
        <w:ind w:right="20"/>
        <w:spacing w:after="0" w:line="262" w:lineRule="auto"/>
        <w:tabs>
          <w:tab w:leader="none" w:pos="27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Company uses quantitative assessments and qualitative factors to determine whether it is more likely than not that the fair value of a reporting unit is less than its carrying value. If the optional qualitative assessment is performed (Step 0) and the Company concludes that it is more likely than not that the fair value of a reporting unit is less than its carrying amount, an additional quantitative fair value test (Step 1) is performed. When performing the Step 1 goodwill impairment test, we compare the fair values of each of our reporting units to their respective carrying values. In order to compute the fair value of our reporting units, we primarily use the income approach based on the discounted cash flows that each reporting unit expects to generate in the future, consistent with our operating plans. Determining the fair value of our reporting units requires significant judgments, including the timing and amount of future cash flows, long-term growth rates, determination of the weighted-average cost of capital and terminal value assumptions. If, based on the quantitative fair value test, the Company concludes that the carrying value of the reporting unit exceeds its fair value, the Company will recognize a goodwill impairment loss in an amount equal to that excess. The Company completed impairment tests as of December 31, 2020 and 2019 and no adjustment to the carrying value of goodwill was deemed to be necessary. See </w:t>
      </w:r>
      <w:r>
        <w:rPr>
          <w:rFonts w:ascii="Arial" w:cs="Arial" w:eastAsia="Arial" w:hAnsi="Arial"/>
          <w:sz w:val="16"/>
          <w:szCs w:val="16"/>
          <w:i w:val="1"/>
          <w:iCs w:val="1"/>
          <w:color w:val="auto"/>
        </w:rPr>
        <w:t>Note 7</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for additional information regarding goodwill.</w:t>
      </w:r>
    </w:p>
    <w:p>
      <w:pPr>
        <w:spacing w:after="0" w:line="112" w:lineRule="exact"/>
        <w:rPr>
          <w:sz w:val="20"/>
          <w:szCs w:val="20"/>
          <w:color w:val="auto"/>
        </w:rPr>
      </w:pPr>
    </w:p>
    <w:p>
      <w:pPr>
        <w:ind w:left="600" w:hanging="600"/>
        <w:spacing w:after="0"/>
        <w:tabs>
          <w:tab w:leader="none" w:pos="60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Long-Lived Assets and Acquired Identifiable Intangible Assets</w:t>
      </w:r>
    </w:p>
    <w:p>
      <w:pPr>
        <w:spacing w:after="0" w:line="173"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Identifiable intangible assets represent assets acquired as part of the Company's business acquisitions and include customer and program/contract-related assets. The values assigned to acquired identifiable intangible assets are determined as of the date of acquisition based on estimates and judgments regarding expectations for the estimated future after-tax cash flows from those assets over their lives, including the probability of expected future contract renewals and revenues, all of which are discounted to present value.</w:t>
      </w:r>
    </w:p>
    <w:p>
      <w:pPr>
        <w:spacing w:after="0" w:line="144" w:lineRule="exact"/>
        <w:rPr>
          <w:sz w:val="20"/>
          <w:szCs w:val="20"/>
          <w:color w:val="auto"/>
        </w:rPr>
      </w:pPr>
    </w:p>
    <w:p>
      <w:pPr>
        <w:ind w:right="140" w:firstLine="299"/>
        <w:spacing w:after="0" w:line="250" w:lineRule="auto"/>
        <w:rPr>
          <w:sz w:val="20"/>
          <w:szCs w:val="20"/>
          <w:color w:val="auto"/>
        </w:rPr>
      </w:pPr>
      <w:r>
        <w:rPr>
          <w:rFonts w:ascii="Arial" w:cs="Arial" w:eastAsia="Arial" w:hAnsi="Arial"/>
          <w:sz w:val="17"/>
          <w:szCs w:val="17"/>
          <w:color w:val="auto"/>
        </w:rPr>
        <w:t>The Company assesses the recoverability of the carrying value of its long-lived assets and intangible assets with finite useful lives whenever events or changes in circumstances indicate that the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240"/>
          </w:cols>
          <w:pgMar w:left="320" w:top="492" w:right="339" w:bottom="1440" w:gutter="0" w:footer="0" w:header="0"/>
        </w:sectPr>
      </w:pPr>
    </w:p>
    <w:bookmarkStart w:id="210" w:name="page211"/>
    <w:bookmarkEnd w:id="210"/>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 xml:space="preserve">amount of the assets or asset group may not be recoverable. If there are any indicators of impairment present, the Company then evaluates the recoverability of the potentially impaired long-lived assets and acquired identifiable intangible assets based upon expectations of undiscounted net cash flows from such assets. If the sum of the expected future undiscounted net cash flows is less than the carrying amount of the asset or asset group, a loss is recognized for the difference between the estimated fair value and the carrying amount of the assets. Assets to be disposed of, including those of discontinued operations, are reported at the lower of the carrying amount or fair value, less the costs to sell. See </w:t>
      </w:r>
      <w:r>
        <w:rPr>
          <w:rFonts w:ascii="Arial" w:cs="Arial" w:eastAsia="Arial" w:hAnsi="Arial"/>
          <w:sz w:val="17"/>
          <w:szCs w:val="17"/>
          <w:i w:val="1"/>
          <w:iCs w:val="1"/>
          <w:color w:val="auto"/>
        </w:rPr>
        <w:t>Note 5</w:t>
      </w:r>
      <w:r>
        <w:rPr>
          <w:rFonts w:ascii="Arial" w:cs="Arial" w:eastAsia="Arial" w:hAnsi="Arial"/>
          <w:sz w:val="17"/>
          <w:szCs w:val="17"/>
          <w:color w:val="auto"/>
        </w:rPr>
        <w:t xml:space="preserv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8</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for additional information regarding long-lived assets and intangible assets.</w:t>
      </w:r>
    </w:p>
    <w:p>
      <w:pPr>
        <w:spacing w:after="0" w:line="127" w:lineRule="exact"/>
        <w:rPr>
          <w:sz w:val="20"/>
          <w:szCs w:val="20"/>
          <w:color w:val="auto"/>
        </w:rPr>
      </w:pPr>
    </w:p>
    <w:p>
      <w:pPr>
        <w:ind w:left="580" w:hanging="580"/>
        <w:spacing w:after="0"/>
        <w:tabs>
          <w:tab w:leader="none" w:pos="58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 Financial Instruments</w:t>
      </w:r>
    </w:p>
    <w:p>
      <w:pPr>
        <w:spacing w:after="0" w:line="173"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The Company does not use derivative financial instruments for trading purposes. All derivative instruments are carried on the Consolidated Balance Sheet as either assets or liabilities at fair value. The classification of gains and losses resulting from changes in the fair values of derivatives depends on the intended use of the derivative and its resultant designation. The Company had no significant derivative or hedging instruments during the years ended December 31, 2020, 2019 or 2018.</w:t>
      </w:r>
    </w:p>
    <w:p>
      <w:pPr>
        <w:spacing w:after="0" w:line="124" w:lineRule="exact"/>
        <w:rPr>
          <w:sz w:val="20"/>
          <w:szCs w:val="20"/>
          <w:color w:val="auto"/>
        </w:rPr>
      </w:pPr>
    </w:p>
    <w:p>
      <w:pPr>
        <w:ind w:left="580" w:hanging="580"/>
        <w:spacing w:after="0"/>
        <w:tabs>
          <w:tab w:leader="none" w:pos="58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Pension and Other Postretirement Benefits</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 xml:space="preserve">The obligations for the Company's pension plans and postretirement benefit plans and the related annual costs of employee benefits are calculated based on several long-term assumptions, including discount rates for employee benefit liabilities, rates of return on plan assets, expected annual rates of salary increases for employee participants in the case of pension plans and expected annual increases in the costs of medical and other health care benefits in the case of postretirement benefit plans. These long-term assumptions are subject to revision based on changes in interest rates, financial market conditions, expected versus actual returns on plan assets, participant mortality rates and other actuarial assumptions, including future rates of salary increases, benefit formulas and levels, and rates of increase in the costs of benefits. Changes in these assumptions, if significant, can materially affect the amount of annual net periodic benefit costs recognized in the Company's results of operations from one year to the next, the liabilities for the pension plans and postretirement benefit plans and the Company's annual cash requirements to fund these plans. See </w:t>
      </w:r>
      <w:r>
        <w:rPr>
          <w:rFonts w:ascii="Arial" w:cs="Arial" w:eastAsia="Arial" w:hAnsi="Arial"/>
          <w:sz w:val="17"/>
          <w:szCs w:val="17"/>
          <w:i w:val="1"/>
          <w:iCs w:val="1"/>
          <w:color w:val="auto"/>
        </w:rPr>
        <w:t>Note 12: Pension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Postretirement Benefits </w:t>
      </w:r>
      <w:r>
        <w:rPr>
          <w:rFonts w:ascii="Arial" w:cs="Arial" w:eastAsia="Arial" w:hAnsi="Arial"/>
          <w:sz w:val="17"/>
          <w:szCs w:val="17"/>
          <w:color w:val="auto"/>
        </w:rPr>
        <w:t>for further information regarding our pension and postretirement plans.</w:t>
      </w:r>
    </w:p>
    <w:p>
      <w:pPr>
        <w:spacing w:after="0" w:line="125" w:lineRule="exact"/>
        <w:rPr>
          <w:sz w:val="20"/>
          <w:szCs w:val="20"/>
          <w:color w:val="auto"/>
        </w:rPr>
      </w:pPr>
    </w:p>
    <w:p>
      <w:pPr>
        <w:ind w:left="580" w:hanging="580"/>
        <w:spacing w:after="0"/>
        <w:tabs>
          <w:tab w:leader="none" w:pos="58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73" w:lineRule="exact"/>
        <w:rPr>
          <w:sz w:val="20"/>
          <w:szCs w:val="20"/>
          <w:color w:val="auto"/>
        </w:rPr>
      </w:pPr>
    </w:p>
    <w:p>
      <w:pPr>
        <w:ind w:firstLine="299"/>
        <w:spacing w:after="0" w:line="262" w:lineRule="auto"/>
        <w:rPr>
          <w:sz w:val="20"/>
          <w:szCs w:val="20"/>
          <w:color w:val="auto"/>
        </w:rPr>
      </w:pPr>
      <w:r>
        <w:rPr>
          <w:rFonts w:ascii="Arial" w:cs="Arial" w:eastAsia="Arial" w:hAnsi="Arial"/>
          <w:sz w:val="16"/>
          <w:szCs w:val="16"/>
          <w:color w:val="auto"/>
        </w:rPr>
        <w:t>We and US Holding have entered into a Tax Allocation Agreement (“Tax Allocation Agreement”), dated as of November 16, 2020, with members of an affiliated group, as defined in Section 1504(a) of the U.S. Internal Revenue Code of 1986, as amended (the “Tax Code”), members of one or more consolidated, combined, unitary or similar state tax groups and additional parties who are part of an “expanded affiliated group” for certain tax purposes, prior to this offering. The agreement provides for the method of computing and allocating the consolidated U.S. federal tax liability of the affiliated group among its members and of allocating any state group tax liabilities among the state members for the taxable year ending December 31, 2020 and each subsequent year in which the parties are members of a group (whether federal or state). The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agreement, the parties have agreed to calculate and allocate their respective tax liabilities and other tax attributes for taxable years beginning with the first consolidated taxable year that included DRS (i.e., the taxable year ended December 31, 2008) as if the agreement was then in effect.</w:t>
      </w:r>
    </w:p>
    <w:p>
      <w:pPr>
        <w:spacing w:after="0" w:line="132" w:lineRule="exact"/>
        <w:rPr>
          <w:sz w:val="20"/>
          <w:szCs w:val="20"/>
          <w:color w:val="auto"/>
        </w:rPr>
      </w:pPr>
    </w:p>
    <w:p>
      <w:pPr>
        <w:ind w:right="140" w:firstLine="299"/>
        <w:spacing w:after="0" w:line="247" w:lineRule="auto"/>
        <w:rPr>
          <w:sz w:val="20"/>
          <w:szCs w:val="20"/>
          <w:color w:val="auto"/>
        </w:rPr>
      </w:pPr>
      <w:r>
        <w:rPr>
          <w:rFonts w:ascii="Arial" w:cs="Arial" w:eastAsia="Arial" w:hAnsi="Arial"/>
          <w:sz w:val="17"/>
          <w:szCs w:val="17"/>
          <w:color w:val="auto"/>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Income taxes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240"/>
          </w:cols>
          <w:pgMar w:left="320" w:top="492" w:right="339" w:bottom="1440" w:gutter="0" w:footer="0" w:header="0"/>
        </w:sectPr>
      </w:pPr>
    </w:p>
    <w:bookmarkStart w:id="211" w:name="page212"/>
    <w:bookmarkEnd w:id="211"/>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presented attribute deferred income taxes of US Holding to DRS in a manner that is systematic, rational and consistent with the asset and liability method and the governing Tax Allocation Agreement which allocates the tax liability amongst the entities, including DRS.</w:t>
      </w:r>
    </w:p>
    <w:p>
      <w:pPr>
        <w:spacing w:after="0" w:line="140" w:lineRule="exact"/>
        <w:rPr>
          <w:sz w:val="20"/>
          <w:szCs w:val="20"/>
          <w:color w:val="auto"/>
        </w:rPr>
      </w:pPr>
    </w:p>
    <w:p>
      <w:pPr>
        <w:ind w:right="60" w:firstLine="299"/>
        <w:spacing w:after="0" w:line="247" w:lineRule="auto"/>
        <w:rPr>
          <w:sz w:val="20"/>
          <w:szCs w:val="20"/>
          <w:color w:val="auto"/>
        </w:rPr>
      </w:pPr>
      <w:r>
        <w:rPr>
          <w:rFonts w:ascii="Arial" w:cs="Arial" w:eastAsia="Arial" w:hAnsi="Arial"/>
          <w:sz w:val="17"/>
          <w:szCs w:val="17"/>
          <w:color w:val="auto"/>
        </w:rPr>
        <w:t>The provision for income taxes represents income taxes paid or payable for the current year plus the change in deferred taxes during the year. Deferred taxes result from differences between the financial and tax basis of DRS’ assets and liabilities and are adjusted for changes in tax rates and tax laws when such changes are enacted.</w:t>
      </w:r>
    </w:p>
    <w:p>
      <w:pPr>
        <w:spacing w:after="0" w:line="143"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In general, the taxable income of DRS is included in the consolidated U.S. federal and state tax returns of US Holding. Where applicable, US Holding’s current portion of U.S. federal income taxes payable were offset against DRS’ net operating loss carryforwards in the period the related tax expense was recorded. Consequently, our net operating loss carryforwards are deemed to have been settled with US Holding in each year in an amount commensurate with the carrying value of the tax effected net operating loss utilized.</w:t>
      </w:r>
    </w:p>
    <w:p>
      <w:pPr>
        <w:spacing w:after="0" w:line="14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If management determines that some portion or all of a deferred tax asset is not “more likely than not” to be realized, a valuation allowance is recorded as a component of the income tax provision to reduce the deferred tax asset to the amounts expected to be realized. In determining whether the Company’s deferred tax assets are realizable, management considers all evidence, both positive and negative, including the history of financial reporting earnings, existing taxable temporary differences and their projected reversals, as well as projected future income and tax planning strategies. We believe it is more likely than not that we will generate sufficient taxable income in future periods to realize our deferred tax assets, subject to the valuation allowances recognized.</w:t>
      </w:r>
    </w:p>
    <w:p>
      <w:pPr>
        <w:spacing w:after="0" w:line="147"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The Company assesses its tax positions for all periods open to examination by tax authorities based on the latest available information. Those positions are evaluated to determine whether they will more likely than not be sustained upon examination by the relevant taxing authorities. Liabilities for unrecognized tax benefits are measured based on the largest amount of benefit that is greater than 50% likely of being realized upon ultimate settlement. These unrecognized tax benefits are recorded as a component of income tax expense. Interest and penalties related to unrecognized tax benefits are not material.</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10</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additional information regarding income taxes.</w:t>
      </w:r>
    </w:p>
    <w:p>
      <w:pPr>
        <w:spacing w:after="0" w:line="151" w:lineRule="exact"/>
        <w:rPr>
          <w:sz w:val="20"/>
          <w:szCs w:val="20"/>
          <w:color w:val="auto"/>
        </w:rPr>
      </w:pPr>
    </w:p>
    <w:p>
      <w:pPr>
        <w:ind w:left="580" w:hanging="580"/>
        <w:spacing w:after="0"/>
        <w:tabs>
          <w:tab w:leader="none" w:pos="58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73" w:lineRule="exact"/>
        <w:rPr>
          <w:sz w:val="20"/>
          <w:szCs w:val="20"/>
          <w:color w:val="auto"/>
        </w:rPr>
      </w:pPr>
    </w:p>
    <w:p>
      <w:pPr>
        <w:ind w:firstLine="299"/>
        <w:spacing w:after="0" w:line="264" w:lineRule="auto"/>
        <w:rPr>
          <w:sz w:val="20"/>
          <w:szCs w:val="20"/>
          <w:color w:val="auto"/>
        </w:rPr>
      </w:pPr>
      <w:r>
        <w:rPr>
          <w:rFonts w:ascii="Arial" w:cs="Arial" w:eastAsia="Arial" w:hAnsi="Arial"/>
          <w:sz w:val="16"/>
          <w:szCs w:val="16"/>
          <w:color w:val="auto"/>
        </w:rPr>
        <w:t>Basic earnings per share (“EPS”) is computed by dividing net earnings by the weighted average number of shares of common stock outstanding during each period. The computation of diluted EPS includes the dilutive effect of outstanding stock-based compensation awards, only in periods in which such effect would have been dilutive for the period. In February 2021, the Company completed a forward stock split of 1-for-1,450,000 shares of common stock. The consolidated financials statements have been retroactively adjusted to reflect the forward stock split for all periods presented. There were 100 shares and 145.00 million basic and diluted common shares outstanding before and after the forward stock split, respectively, for all periods presented.</w:t>
      </w:r>
    </w:p>
    <w:p>
      <w:pPr>
        <w:spacing w:after="0" w:line="113" w:lineRule="exact"/>
        <w:rPr>
          <w:sz w:val="20"/>
          <w:szCs w:val="20"/>
          <w:color w:val="auto"/>
        </w:rPr>
      </w:pPr>
    </w:p>
    <w:p>
      <w:pPr>
        <w:ind w:left="580" w:hanging="580"/>
        <w:spacing w:after="0"/>
        <w:tabs>
          <w:tab w:leader="none" w:pos="58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73" w:lineRule="exact"/>
        <w:rPr>
          <w:sz w:val="20"/>
          <w:szCs w:val="20"/>
          <w:color w:val="auto"/>
        </w:rPr>
      </w:pPr>
    </w:p>
    <w:p>
      <w:pPr>
        <w:ind w:right="160" w:firstLine="299"/>
        <w:spacing w:after="0" w:line="246" w:lineRule="auto"/>
        <w:rPr>
          <w:sz w:val="20"/>
          <w:szCs w:val="20"/>
          <w:color w:val="auto"/>
        </w:rPr>
      </w:pPr>
      <w:r>
        <w:rPr>
          <w:rFonts w:ascii="Arial" w:cs="Arial" w:eastAsia="Arial" w:hAnsi="Arial"/>
          <w:sz w:val="17"/>
          <w:szCs w:val="17"/>
          <w:color w:val="auto"/>
        </w:rPr>
        <w:t>Fair value is the price the Company would receive to sell an asset or pay to transfer a liability in an orderly transaction with a market participant on the measurement date. We are required to maximize the use of observable inputs and minimize the use of unobservable inputs in measuring fair value, and to utilize a three-level fair value hierarchy that prioritizes the inputs used to measure fair value. The three hierarchical levels used to measure fair value are as follows: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240"/>
          </w:cols>
          <w:pgMar w:left="320" w:top="492" w:right="339" w:bottom="1440" w:gutter="0" w:footer="0" w:header="0"/>
        </w:sectPr>
      </w:pPr>
    </w:p>
    <w:bookmarkStart w:id="212" w:name="page213"/>
    <w:bookmarkEnd w:id="212"/>
    <w:p>
      <w:pPr>
        <w:jc w:val="center"/>
        <w:ind w:right="14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Level 2 — Quoted prices for similar assets or liabilities in active markets; quoted prices for identical or similar assets or liabilities in markets that are not active; and inputs other than quoted prices that are directly or indirectly observable.</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3 — Significant inputs to the valuation model are unobservable.</w:t>
      </w:r>
    </w:p>
    <w:p>
      <w:pPr>
        <w:spacing w:after="0" w:line="153" w:lineRule="exact"/>
        <w:rPr>
          <w:sz w:val="20"/>
          <w:szCs w:val="20"/>
          <w:color w:val="auto"/>
        </w:rPr>
      </w:pPr>
    </w:p>
    <w:p>
      <w:pPr>
        <w:ind w:right="80" w:firstLine="299"/>
        <w:spacing w:after="0" w:line="245" w:lineRule="auto"/>
        <w:rPr>
          <w:rFonts w:ascii="Arial" w:cs="Arial" w:eastAsia="Arial" w:hAnsi="Arial"/>
          <w:sz w:val="17"/>
          <w:szCs w:val="17"/>
          <w:i w:val="1"/>
          <w:iCs w:val="1"/>
          <w:color w:val="auto"/>
        </w:rPr>
      </w:pPr>
      <w:r>
        <w:rPr>
          <w:rFonts w:ascii="Arial" w:cs="Arial" w:eastAsia="Arial" w:hAnsi="Arial"/>
          <w:sz w:val="17"/>
          <w:szCs w:val="17"/>
          <w:color w:val="auto"/>
        </w:rPr>
        <w:t xml:space="preserve">In certain instances, fair value is determined through information obtained from third parties using the latest available market data. In obtaining such data from third parties, we have evaluated the methodologies used to develop the estimate of fair value in order to assess whether such valuations are representative of fair value. The Company categorizes plan assets for disclosure purposes in accordance with this fair value hierarchy. Certain plan investments are measured at fair value using the net asset value (“NAV”) per share (or its equivalent) practical expedient and are therefore not </w:t>
      </w:r>
      <w:hyperlink w:anchor="page230">
        <w:r>
          <w:rPr>
            <w:rFonts w:ascii="Arial" w:cs="Arial" w:eastAsia="Arial" w:hAnsi="Arial"/>
            <w:sz w:val="17"/>
            <w:szCs w:val="17"/>
            <w:color w:val="auto"/>
          </w:rPr>
          <w:t xml:space="preserve">categorized as Level 1, 2, or 3. NAV is defined as the total value of the fund divided by the number of the fund’s shares outstanding. See </w:t>
        </w:r>
        <w:r>
          <w:rPr>
            <w:rFonts w:ascii="Arial" w:cs="Arial" w:eastAsia="Arial" w:hAnsi="Arial"/>
            <w:sz w:val="17"/>
            <w:szCs w:val="17"/>
            <w:i w:val="1"/>
            <w:iCs w:val="1"/>
            <w:color w:val="auto"/>
          </w:rPr>
          <w:t>Note 12:</w:t>
        </w:r>
      </w:hyperlink>
      <w:r>
        <w:rPr>
          <w:rFonts w:ascii="Arial" w:cs="Arial" w:eastAsia="Arial" w:hAnsi="Arial"/>
          <w:sz w:val="17"/>
          <w:szCs w:val="17"/>
          <w:color w:val="auto"/>
        </w:rPr>
        <w:t xml:space="preserve"> </w:t>
      </w:r>
      <w:hyperlink w:anchor="page230">
        <w:r>
          <w:rPr>
            <w:rFonts w:ascii="Arial" w:cs="Arial" w:eastAsia="Arial" w:hAnsi="Arial"/>
            <w:sz w:val="17"/>
            <w:szCs w:val="17"/>
            <w:i w:val="1"/>
            <w:iCs w:val="1"/>
            <w:color w:val="auto"/>
          </w:rPr>
          <w:t xml:space="preserve">Pension and Other Postretirement Benefits </w:t>
        </w:r>
        <w:r>
          <w:rPr>
            <w:rFonts w:ascii="Arial" w:cs="Arial" w:eastAsia="Arial" w:hAnsi="Arial"/>
            <w:sz w:val="17"/>
            <w:szCs w:val="17"/>
            <w:color w:val="auto"/>
          </w:rPr>
          <w:t>for further information regarding our pension and postretirement plans.</w:t>
        </w:r>
      </w:hyperlink>
    </w:p>
    <w:p>
      <w:pPr>
        <w:spacing w:after="0" w:line="127" w:lineRule="exact"/>
        <w:rPr>
          <w:sz w:val="20"/>
          <w:szCs w:val="20"/>
          <w:color w:val="auto"/>
        </w:rPr>
      </w:pPr>
    </w:p>
    <w:p>
      <w:pPr>
        <w:ind w:left="600" w:hanging="600"/>
        <w:spacing w:after="0"/>
        <w:tabs>
          <w:tab w:leader="none" w:pos="60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w:t>
      </w:r>
    </w:p>
    <w:p>
      <w:pPr>
        <w:spacing w:after="0" w:line="173" w:lineRule="exact"/>
        <w:rPr>
          <w:sz w:val="20"/>
          <w:szCs w:val="20"/>
          <w:color w:val="auto"/>
        </w:rPr>
      </w:pPr>
    </w:p>
    <w:p>
      <w:pPr>
        <w:ind w:right="240" w:firstLine="299"/>
        <w:spacing w:after="0" w:line="247" w:lineRule="auto"/>
        <w:rPr>
          <w:rFonts w:ascii="Arial" w:cs="Arial" w:eastAsia="Arial" w:hAnsi="Arial"/>
          <w:sz w:val="17"/>
          <w:szCs w:val="17"/>
          <w:color w:val="auto"/>
        </w:rPr>
      </w:pPr>
      <w:r>
        <w:rPr>
          <w:rFonts w:ascii="Arial" w:cs="Arial" w:eastAsia="Arial" w:hAnsi="Arial"/>
          <w:sz w:val="17"/>
          <w:szCs w:val="17"/>
          <w:color w:val="auto"/>
        </w:rPr>
        <w:t xml:space="preserve">Our financial instruments consist primarily of cash and cash equivalents, accounts receivable, accounts payable and accrued expenses and other current liabilities. Financial instruments are reported in the Consolidated Balance Sheet at carrying value, which other than the 7.5% Term loan due November 30, 2022, approximate fair value. See </w:t>
      </w:r>
      <w:hyperlink w:anchor="page228">
        <w:r>
          <w:rPr>
            <w:rFonts w:ascii="Arial" w:cs="Arial" w:eastAsia="Arial" w:hAnsi="Arial"/>
            <w:sz w:val="17"/>
            <w:szCs w:val="17"/>
            <w:i w:val="1"/>
            <w:iCs w:val="1"/>
            <w:color w:val="auto"/>
          </w:rPr>
          <w:t>Note 11: Debt</w:t>
        </w:r>
        <w:r>
          <w:rPr>
            <w:rFonts w:ascii="Arial" w:cs="Arial" w:eastAsia="Arial" w:hAnsi="Arial"/>
            <w:sz w:val="17"/>
            <w:szCs w:val="17"/>
            <w:color w:val="auto"/>
          </w:rPr>
          <w:t xml:space="preserve"> </w:t>
        </w:r>
      </w:hyperlink>
      <w:r>
        <w:rPr>
          <w:rFonts w:ascii="Arial" w:cs="Arial" w:eastAsia="Arial" w:hAnsi="Arial"/>
          <w:sz w:val="17"/>
          <w:szCs w:val="17"/>
          <w:color w:val="auto"/>
        </w:rPr>
        <w:t>for further information regarding our debt.</w:t>
      </w:r>
    </w:p>
    <w:p>
      <w:pPr>
        <w:spacing w:after="0" w:line="123" w:lineRule="exact"/>
        <w:rPr>
          <w:sz w:val="20"/>
          <w:szCs w:val="20"/>
          <w:color w:val="auto"/>
        </w:rPr>
      </w:pPr>
    </w:p>
    <w:p>
      <w:pPr>
        <w:ind w:left="580" w:hanging="580"/>
        <w:spacing w:after="0"/>
        <w:tabs>
          <w:tab w:leader="none" w:pos="58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Investments and Variable Interest Entities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Acquisitions</w:t>
      </w:r>
    </w:p>
    <w:p>
      <w:pPr>
        <w:spacing w:after="0" w:line="171"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Our consolidated financial statements include the operations of acquired businesses from the date of acquisition. We account for acquired businesses using the acquisition method of accounting, which requires that any assets acquired and liabilities assumed be measured at their respective fair values on the acquisition date. The accounting for business combinations requires the Company to make significant judgments and estimates. Any excess of the fair value of consideration transferred over the assigned values of the net assets acquired is recognized as goodwill.</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were no significant acquisitions that were completed for the years ended December 31, 2020 and 2019.</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Investments</w:t>
      </w:r>
    </w:p>
    <w:p>
      <w:pPr>
        <w:spacing w:after="0" w:line="17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 xml:space="preserve">Investments where we have the ability to exercise significant influence, but do not control, are accounted for under the equity method of accounting and are included in other noncurrent assets on our Consolidated Balance Sheet.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(Loss)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therefore recorded during the current period. See </w:t>
      </w:r>
      <w:r>
        <w:rPr>
          <w:rFonts w:ascii="Arial" w:cs="Arial" w:eastAsia="Arial" w:hAnsi="Arial"/>
          <w:sz w:val="17"/>
          <w:szCs w:val="17"/>
          <w:i w:val="1"/>
          <w:iCs w:val="1"/>
          <w:color w:val="auto"/>
        </w:rPr>
        <w:t>Note 13: Equity Method Investments</w:t>
      </w:r>
      <w:r>
        <w:rPr>
          <w:rFonts w:ascii="Arial" w:cs="Arial" w:eastAsia="Arial" w:hAnsi="Arial"/>
          <w:sz w:val="17"/>
          <w:szCs w:val="17"/>
          <w:color w:val="auto"/>
        </w:rPr>
        <w:t xml:space="preserve"> for further information regarding our equity method investments.</w:t>
      </w:r>
    </w:p>
    <w:p>
      <w:pPr>
        <w:spacing w:after="0" w:line="146" w:lineRule="exact"/>
        <w:rPr>
          <w:sz w:val="20"/>
          <w:szCs w:val="20"/>
          <w:color w:val="auto"/>
        </w:rPr>
      </w:pPr>
    </w:p>
    <w:p>
      <w:pPr>
        <w:ind w:right="260" w:firstLine="299"/>
        <w:spacing w:after="0" w:line="250" w:lineRule="auto"/>
        <w:rPr>
          <w:sz w:val="20"/>
          <w:szCs w:val="20"/>
          <w:color w:val="auto"/>
        </w:rPr>
      </w:pPr>
      <w:r>
        <w:rPr>
          <w:rFonts w:ascii="Arial" w:cs="Arial" w:eastAsia="Arial" w:hAnsi="Arial"/>
          <w:sz w:val="17"/>
          <w:szCs w:val="17"/>
          <w:color w:val="auto"/>
        </w:rPr>
        <w:t>The Company’s cost method investment consists of an investment in a private company in which we do not have the ability to exercise significant influence over its operating and financial activities. Management evaluates this investment for possible impairment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200"/>
          </w:cols>
          <w:pgMar w:left="320" w:top="492" w:right="379" w:bottom="1440" w:gutter="0" w:footer="0" w:header="0"/>
        </w:sectPr>
      </w:pPr>
    </w:p>
    <w:bookmarkStart w:id="213" w:name="page214"/>
    <w:bookmarkEnd w:id="213"/>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Variable Interest Entities</w:t>
      </w:r>
    </w:p>
    <w:p>
      <w:pPr>
        <w:spacing w:after="0" w:line="171" w:lineRule="exact"/>
        <w:rPr>
          <w:sz w:val="20"/>
          <w:szCs w:val="20"/>
          <w:color w:val="auto"/>
        </w:rPr>
      </w:pPr>
    </w:p>
    <w:p>
      <w:pPr>
        <w:ind w:right="180" w:firstLine="299"/>
        <w:spacing w:after="0" w:line="246" w:lineRule="auto"/>
        <w:rPr>
          <w:sz w:val="20"/>
          <w:szCs w:val="20"/>
          <w:color w:val="auto"/>
        </w:rPr>
      </w:pPr>
      <w:r>
        <w:rPr>
          <w:rFonts w:ascii="Arial" w:cs="Arial" w:eastAsia="Arial" w:hAnsi="Arial"/>
          <w:sz w:val="17"/>
          <w:szCs w:val="17"/>
          <w:color w:val="auto"/>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if it is, consequently required to consolidate the VIE. The Company did not have any investment in VIEs as of December 31, 2020 or 2019.</w:t>
      </w:r>
    </w:p>
    <w:p>
      <w:pPr>
        <w:spacing w:after="0" w:line="124" w:lineRule="exact"/>
        <w:rPr>
          <w:sz w:val="20"/>
          <w:szCs w:val="20"/>
          <w:color w:val="auto"/>
        </w:rPr>
      </w:pPr>
    </w:p>
    <w:p>
      <w:pPr>
        <w:ind w:left="580" w:hanging="580"/>
        <w:spacing w:after="0"/>
        <w:tabs>
          <w:tab w:leader="none" w:pos="58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New Accounting Pronouncements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Leases</w:t>
      </w:r>
    </w:p>
    <w:p>
      <w:pPr>
        <w:spacing w:after="0" w:line="153"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 xml:space="preserve">Effective January 1, 2019, the Company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amended (“ASC 842”), which requires lessees to recognize most leases on their balance sheets as right-of-use (“ROU”) assets along with corresponding lease liabilities. The new standard requires lessees to apply a dual approach, classifying leases as either finance or operating leases. This classification determines whether lease expense is recognized based on an effective interest method or on a straight-line basis over the term of the lease. The new standard also requires increased disclosures to help financial statement users better understand the amount, timing and uncertainty of cash flows arising from leases. ASC 842 provides companies with the option to elect an optional transition method whereby companies apply the standard to new and existing leases within the scope of the guidance as of the beginning of the period of adoption. We elected this transition method and have recognized ROU assets, lease liabilities and any cumulative-effect adjustments to the opening balance of accumulated deficit as of January 1, 2019. Prior period amounts were not adjusted and will continue to be reported under the accounting standards in effect for those periods. As part of our adoption, we elected to utilize the practical expedients provided which permitted us to not reassess our previous conclusions on lease identification, lease classification and the accounting for initial direct costs for any existing leases. We did not elect the hindsight practical expedient.</w:t>
      </w:r>
    </w:p>
    <w:p>
      <w:pPr>
        <w:spacing w:after="0" w:line="144"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The adoption of the new standard resulted in the recognition of lease assets and lease liabilities of $158 million and $172 million, respectively, on the Consolidated Balance Sheet with no adjustment to our January 1, 2019 beginning accumulated deficit balance. The difference between the right of use asset and lease liability primarily relates to deferred rent recorded prior to adoption. The adoption of the new standard did not have a material impact on our results of operations or cash flows.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Financial Instruments - Credit Losses</w:t>
      </w:r>
    </w:p>
    <w:p>
      <w:pPr>
        <w:spacing w:after="0" w:line="153" w:lineRule="exact"/>
        <w:rPr>
          <w:sz w:val="20"/>
          <w:szCs w:val="20"/>
          <w:color w:val="auto"/>
        </w:rPr>
      </w:pPr>
    </w:p>
    <w:p>
      <w:pPr>
        <w:ind w:right="20" w:firstLine="299"/>
        <w:spacing w:after="0" w:line="202" w:lineRule="exact"/>
        <w:rPr>
          <w:sz w:val="20"/>
          <w:szCs w:val="20"/>
          <w:color w:val="auto"/>
        </w:rPr>
      </w:pPr>
      <w:r>
        <w:rPr>
          <w:rFonts w:ascii="Arial" w:cs="Arial" w:eastAsia="Arial" w:hAnsi="Arial"/>
          <w:sz w:val="17"/>
          <w:szCs w:val="17"/>
          <w:color w:val="auto"/>
        </w:rPr>
        <w:t>Effective January 1, 2020, the Company adopted ASU 2016</w:t>
      </w:r>
      <w:r>
        <w:rPr>
          <w:rFonts w:ascii="MS PGothic" w:cs="MS PGothic" w:eastAsia="MS PGothic" w:hAnsi="MS PGothic"/>
          <w:sz w:val="17"/>
          <w:szCs w:val="17"/>
          <w:color w:val="auto"/>
        </w:rPr>
        <w:t>‐</w:t>
      </w:r>
      <w:r>
        <w:rPr>
          <w:rFonts w:ascii="Arial" w:cs="Arial" w:eastAsia="Arial" w:hAnsi="Arial"/>
          <w:sz w:val="17"/>
          <w:szCs w:val="17"/>
          <w:color w:val="auto"/>
        </w:rPr>
        <w:t xml:space="preserve">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w:t>
      </w:r>
      <w:r>
        <w:rPr>
          <w:rFonts w:ascii="MS PGothic" w:cs="MS PGothic" w:eastAsia="MS PGothic" w:hAnsi="MS PGothic"/>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color w:val="auto"/>
        </w:rPr>
        <w:t>, as amended. The standard requires a change in the measurement approach for credit losses on financial assets measured on an</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The adoption of the standard did not have a material impact on our operating results,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240"/>
          </w:cols>
          <w:pgMar w:left="320" w:top="492" w:right="339" w:bottom="1440" w:gutter="0" w:footer="0" w:header="0"/>
        </w:sectPr>
      </w:pPr>
    </w:p>
    <w:bookmarkStart w:id="214" w:name="page215"/>
    <w:bookmarkEnd w:id="214"/>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Accounting Guidance Issued but Not Yet Adopted as of December 31, 2020:</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Changes to Disclosure Requirements for Defined Benefit Plans</w:t>
      </w:r>
    </w:p>
    <w:p>
      <w:pPr>
        <w:spacing w:after="0" w:line="153" w:lineRule="exact"/>
        <w:rPr>
          <w:sz w:val="20"/>
          <w:szCs w:val="20"/>
          <w:color w:val="auto"/>
        </w:rPr>
      </w:pPr>
    </w:p>
    <w:p>
      <w:pPr>
        <w:ind w:firstLine="299"/>
        <w:spacing w:after="0" w:line="248"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 - Retirement Benefits - Defined Benefit Plans - General (Subtopic 715-20):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 - Changes to the Disclosure Requirements for Defined Benefit Plans</w:t>
      </w:r>
      <w:r>
        <w:rPr>
          <w:rFonts w:ascii="Arial" w:cs="Arial" w:eastAsia="Arial" w:hAnsi="Arial"/>
          <w:sz w:val="17"/>
          <w:szCs w:val="17"/>
          <w:color w:val="auto"/>
        </w:rPr>
        <w:t>. Specifically, the amendment removes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amounts classified in accumulated other comprehensive income expected to be recognized over the next year and the effects of a one-percentage-point change in the assumed health care cost trend rate on service cost, interest cost and the benefit obligation for postretirement benefits. The amendment also requires additional disclosure around weighted-average interest crediting rates for cash balance plans, a narrative description of the reasons for significant gains and losses, and an explanation of any other significant changes in the benefit obligation or plan assets. The standard is effective for fiscal years beginning after December 15, 2020, with early adoption permitted. The Company does not expect the adoption to have a material impact on our disclosures.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Simplifying the Accounting for Income Taxes</w:t>
      </w:r>
    </w:p>
    <w:p>
      <w:pPr>
        <w:spacing w:after="0" w:line="153" w:lineRule="exact"/>
        <w:rPr>
          <w:sz w:val="20"/>
          <w:szCs w:val="20"/>
          <w:color w:val="auto"/>
        </w:rPr>
      </w:pPr>
    </w:p>
    <w:p>
      <w:pPr>
        <w:ind w:right="40" w:firstLine="299"/>
        <w:spacing w:after="0" w:line="251"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removes certain exceptions to the general principles in Topic 740 for: recognizing deferred taxes for investments, performing intra-period allocations and calculating taxes in interim periods. The amendments also improve consistent application of and simplify U.S. GAAP for other areas of Topic 740 by clarifying and amending existing guidance. The standard is effective for fiscal years beginning after December 15, 2020. The Company does not expect the adoption to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Revenue from Contracts with Customers</w:t>
      </w:r>
    </w:p>
    <w:p>
      <w:pPr>
        <w:spacing w:after="0" w:line="173" w:lineRule="exact"/>
        <w:rPr>
          <w:sz w:val="20"/>
          <w:szCs w:val="20"/>
          <w:color w:val="auto"/>
        </w:rPr>
      </w:pPr>
    </w:p>
    <w:p>
      <w:pPr>
        <w:ind w:right="60" w:firstLine="299"/>
        <w:spacing w:after="0" w:line="261" w:lineRule="auto"/>
        <w:rPr>
          <w:sz w:val="20"/>
          <w:szCs w:val="20"/>
          <w:color w:val="auto"/>
        </w:rPr>
      </w:pPr>
      <w:r>
        <w:rPr>
          <w:rFonts w:ascii="Arial" w:cs="Arial" w:eastAsia="Arial" w:hAnsi="Arial"/>
          <w:sz w:val="16"/>
          <w:szCs w:val="16"/>
          <w:color w:val="auto"/>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We classify revenues as products or services on our Consolidated Statements of Earnings (Loss) based on the predominant attributes of the performance obligations. While the Company provides warranties on certain contracts, we typically do not provide for services beyond standard assurances and therefore do not consider warranties to be separate performance obligations. Typically we enter into three types of contracts: fixed-price contracts, cost-plus contracts and T&amp;M contracts (cost-plus contracts and T&amp;M contracts are aggregated below as flexibly priced contracts). The majority of our total revenues are derived from fixed-price contracts; refer to the revenue disaggregation disclosures that follow.</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 fixed-price contracts, customers agree to pay a fixed amount, negotiated in advanced for a specified scope of work.</w:t>
      </w:r>
    </w:p>
    <w:p>
      <w:pPr>
        <w:spacing w:after="0" w:line="153"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240"/>
          </w:cols>
          <w:pgMar w:left="320" w:top="492" w:right="339" w:bottom="1440" w:gutter="0" w:footer="0" w:header="0"/>
        </w:sectPr>
      </w:pPr>
    </w:p>
    <w:bookmarkStart w:id="215" w:name="page216"/>
    <w:bookmarkEnd w:id="215"/>
    <w:p>
      <w:pPr>
        <w:jc w:val="center"/>
        <w:ind w:right="20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360" w:firstLine="299"/>
        <w:spacing w:after="0" w:line="280" w:lineRule="auto"/>
        <w:rPr>
          <w:sz w:val="20"/>
          <w:szCs w:val="20"/>
          <w:color w:val="auto"/>
        </w:rPr>
      </w:pPr>
      <w:r>
        <w:rPr>
          <w:rFonts w:ascii="Arial" w:cs="Arial" w:eastAsia="Arial" w:hAnsi="Arial"/>
          <w:sz w:val="16"/>
          <w:szCs w:val="16"/>
          <w:color w:val="auto"/>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spacing w:after="0" w:line="118" w:lineRule="exact"/>
        <w:rPr>
          <w:sz w:val="20"/>
          <w:szCs w:val="20"/>
          <w:color w:val="auto"/>
        </w:rPr>
      </w:pPr>
    </w:p>
    <w:p>
      <w:pPr>
        <w:jc w:val="both"/>
        <w:ind w:right="40" w:firstLine="299"/>
        <w:spacing w:after="0" w:line="247" w:lineRule="auto"/>
        <w:rPr>
          <w:sz w:val="20"/>
          <w:szCs w:val="20"/>
          <w:color w:val="auto"/>
        </w:rPr>
      </w:pPr>
      <w:r>
        <w:rPr>
          <w:rFonts w:ascii="Arial" w:cs="Arial" w:eastAsia="Arial" w:hAnsi="Arial"/>
          <w:sz w:val="17"/>
          <w:szCs w:val="17"/>
          <w:color w:val="auto"/>
        </w:rPr>
        <w:t>Estimating the transaction price for an arrangement requires judgment and is based on expected results which are determined using the Company’s historical data. We estimate that the revenue that we expect to be entitled to receive from a customer to the extent it is probable that a significant reversal of cumulative revenue recognized will not occur.</w:t>
      </w:r>
    </w:p>
    <w:p>
      <w:pPr>
        <w:spacing w:after="0" w:line="143" w:lineRule="exact"/>
        <w:rPr>
          <w:sz w:val="20"/>
          <w:szCs w:val="20"/>
          <w:color w:val="auto"/>
        </w:rPr>
      </w:pPr>
    </w:p>
    <w:p>
      <w:pPr>
        <w:ind w:right="80" w:firstLine="299"/>
        <w:spacing w:after="0" w:line="250" w:lineRule="auto"/>
        <w:rPr>
          <w:sz w:val="20"/>
          <w:szCs w:val="20"/>
          <w:color w:val="auto"/>
        </w:rPr>
      </w:pPr>
      <w:r>
        <w:rPr>
          <w:rFonts w:ascii="Arial" w:cs="Arial" w:eastAsia="Arial" w:hAnsi="Arial"/>
          <w:sz w:val="17"/>
          <w:szCs w:val="17"/>
          <w:color w:val="auto"/>
        </w:rPr>
        <w:t>Revenue from contracts with customers is recognized when the performance obligations are satisfied through the transfer of control over the good or service to the customer, which may occur either over time or at a point in time.</w:t>
      </w:r>
    </w:p>
    <w:p>
      <w:pPr>
        <w:spacing w:after="0" w:line="140"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Revenues for the majority of our contracts are measured as determined by the ratio of cumulative costs incurred to date to estimated total contract costs at completion (the "cost-to-cost method").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total cost at completion and total transaction price often requires judgment. Factors that must be considered in estimating the cost of the work to be completed include the nature and complexity of the work to be performed, subcontractor performance and the risk and impact of delayed performance.</w:t>
      </w:r>
    </w:p>
    <w:p>
      <w:pPr>
        <w:spacing w:after="0" w:line="147" w:lineRule="exact"/>
        <w:rPr>
          <w:sz w:val="20"/>
          <w:szCs w:val="20"/>
          <w:color w:val="auto"/>
        </w:rPr>
      </w:pPr>
    </w:p>
    <w:p>
      <w:pPr>
        <w:ind w:right="320" w:firstLine="299"/>
        <w:spacing w:after="0" w:line="263" w:lineRule="auto"/>
        <w:rPr>
          <w:sz w:val="20"/>
          <w:szCs w:val="20"/>
          <w:color w:val="auto"/>
        </w:rPr>
      </w:pPr>
      <w:r>
        <w:rPr>
          <w:rFonts w:ascii="Arial" w:cs="Arial" w:eastAsia="Arial" w:hAnsi="Arial"/>
          <w:sz w:val="16"/>
          <w:szCs w:val="16"/>
          <w:color w:val="auto"/>
        </w:rPr>
        <w:t>After establishing the estimated total cost at completion, we follow a standard Estimate at Completion (“EAC”) process in which we review the progress and performance on our ongoing contracts at least quarterly.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and are also required if contract modifications occur. When adjustments in estimated total costs at completion or in estimated total transaction price are determined, the related impact on revenue and operating income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EAC adjustments had the following impacts to revenue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113665</wp:posOffset>
            </wp:positionV>
            <wp:extent cx="7620" cy="134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20" cy="13462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92"/>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6"/>
                <w:szCs w:val="16"/>
                <w:color w:val="auto"/>
              </w:rPr>
            </w:pPr>
          </w:p>
        </w:tc>
      </w:tr>
      <w:tr>
        <w:trPr>
          <w:trHeight w:val="22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9"/>
                <w:szCs w:val="19"/>
                <w:color w:val="auto"/>
              </w:rPr>
            </w:pPr>
          </w:p>
        </w:tc>
      </w:tr>
      <w:tr>
        <w:trPr>
          <w:trHeight w:val="224"/>
        </w:trPr>
        <w:tc>
          <w:tcPr>
            <w:tcW w:w="6100" w:type="dxa"/>
            <w:vAlign w:val="bottom"/>
          </w:tcPr>
          <w:p>
            <w:pPr>
              <w:ind w:left="20"/>
              <w:spacing w:after="0"/>
              <w:rPr>
                <w:sz w:val="20"/>
                <w:szCs w:val="20"/>
                <w:color w:val="auto"/>
              </w:rPr>
            </w:pPr>
            <w:r>
              <w:rPr>
                <w:rFonts w:ascii="Arial" w:cs="Arial" w:eastAsia="Arial" w:hAnsi="Arial"/>
                <w:sz w:val="17"/>
                <w:szCs w:val="17"/>
                <w:color w:val="auto"/>
              </w:rPr>
              <w:t>Total % of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1 %</w:t>
            </w:r>
          </w:p>
        </w:tc>
        <w:tc>
          <w:tcPr>
            <w:tcW w:w="20" w:type="dxa"/>
            <w:vAlign w:val="bottom"/>
          </w:tcPr>
          <w:p>
            <w:pPr>
              <w:spacing w:after="0"/>
              <w:rPr>
                <w:sz w:val="19"/>
                <w:szCs w:val="19"/>
                <w:color w:val="auto"/>
              </w:rPr>
            </w:pPr>
          </w:p>
        </w:tc>
      </w:tr>
    </w:tbl>
    <w:p>
      <w:pPr>
        <w:spacing w:after="0" w:line="17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 impacts noted above are attributed primarily to changes in our firm-fixed-price development type programs. As changes happen in the design required to achieve contractual specifications, those changes often result in the programs’ estimate and related profitability. The reductions to revenue for the years ended December 31, 2020, 2019 and 2018 were related to certain masted surveillance and submarine electronic propulsion programs within our IMS segment, solider sensing programs within our AST segment and adjustments to the measurement of variable consideration related to certain requests for equitable adjustment with the U.S. Navy.</w:t>
      </w:r>
    </w:p>
    <w:p>
      <w:pPr>
        <w:spacing w:after="0" w:line="147" w:lineRule="exact"/>
        <w:rPr>
          <w:sz w:val="20"/>
          <w:szCs w:val="20"/>
          <w:color w:val="auto"/>
        </w:rPr>
      </w:pPr>
    </w:p>
    <w:p>
      <w:pPr>
        <w:ind w:right="140" w:firstLine="299"/>
        <w:spacing w:after="0" w:line="247" w:lineRule="auto"/>
        <w:rPr>
          <w:sz w:val="20"/>
          <w:szCs w:val="20"/>
          <w:color w:val="auto"/>
        </w:rPr>
      </w:pPr>
      <w:r>
        <w:rPr>
          <w:rFonts w:ascii="Arial" w:cs="Arial" w:eastAsia="Arial" w:hAnsi="Arial"/>
          <w:sz w:val="17"/>
          <w:szCs w:val="17"/>
          <w:color w:val="auto"/>
        </w:rPr>
        <w:t>Conversely, if the requirements for the recognition of contracts over time are not met, revenue is recognized at a point in time when control transfers to the customer, which is generally upon transfer of title. In such cases, the production that is in progress and costs that will be recognized at a future point in time are reported within "inventories".</w:t>
      </w:r>
    </w:p>
    <w:p>
      <w:pPr>
        <w:spacing w:after="0" w:line="143" w:lineRule="exact"/>
        <w:rPr>
          <w:sz w:val="20"/>
          <w:szCs w:val="20"/>
          <w:color w:val="auto"/>
        </w:rPr>
      </w:pPr>
    </w:p>
    <w:p>
      <w:pPr>
        <w:ind w:right="280" w:firstLine="299"/>
        <w:spacing w:after="0" w:line="250" w:lineRule="auto"/>
        <w:rPr>
          <w:sz w:val="20"/>
          <w:szCs w:val="20"/>
          <w:color w:val="auto"/>
        </w:rPr>
      </w:pPr>
      <w:r>
        <w:rPr>
          <w:rFonts w:ascii="Arial" w:cs="Arial" w:eastAsia="Arial" w:hAnsi="Arial"/>
          <w:sz w:val="17"/>
          <w:szCs w:val="17"/>
          <w:color w:val="auto"/>
        </w:rPr>
        <w:t>Costs to obtain a contract are incremental direct costs incurred to obtain a contract with a customer, including sales commissions and dealer fees, and are capitalized if material. Costs to fulfill a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260"/>
          </w:cols>
          <w:pgMar w:left="320" w:top="492" w:right="319" w:bottom="1440" w:gutter="0" w:footer="0" w:header="0"/>
        </w:sectPr>
      </w:pPr>
    </w:p>
    <w:bookmarkStart w:id="216" w:name="page217"/>
    <w:bookmarkEnd w:id="216"/>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include costs directly related to a contract or specific anticipated contract (e.g., certain design costs) that generate or enhance our ability to satisfy our performance obligations under these contracts. These costs are capitalized to the extent they are expected to be recovered from the associated contract.</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Contract Assets and Liabilities</w:t>
      </w:r>
    </w:p>
    <w:p>
      <w:pPr>
        <w:spacing w:after="0" w:line="171"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(contract liabilities) on the Consolidated Balance Sheet. Amounts are billed as work progresses in accordance with agreed-upon contractual terms, either at periodic intervals (e.g., biweekly or monthly) or upon achievement of contractual milestones. Generally, billing occurs subsequent to revenue recognition, resulting in contract assets. However, we sometimes receive advances or deposits from our customers before revenue is recognized, resulting in contract liabilities.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3"/>
                <w:szCs w:val="13"/>
                <w:b w:val="1"/>
                <w:bCs w:val="1"/>
                <w:color w:val="auto"/>
              </w:rPr>
              <w:t>Year Ended December 31,</w:t>
            </w: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2019</w:t>
            </w:r>
          </w:p>
        </w:tc>
      </w:tr>
      <w:tr>
        <w:trPr>
          <w:trHeight w:val="22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736</w:t>
            </w: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Contract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5"/>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contract assets</w:t>
            </w: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400" w:firstLine="299"/>
        <w:spacing w:after="0" w:line="250" w:lineRule="auto"/>
        <w:rPr>
          <w:sz w:val="20"/>
          <w:szCs w:val="20"/>
          <w:color w:val="auto"/>
        </w:rPr>
      </w:pPr>
      <w:r>
        <w:rPr>
          <w:rFonts w:ascii="Arial" w:cs="Arial" w:eastAsia="Arial" w:hAnsi="Arial"/>
          <w:sz w:val="17"/>
          <w:szCs w:val="17"/>
          <w:color w:val="auto"/>
        </w:rPr>
        <w:t>Revenue recognized in 2020 and 2019 that was included in the contract liability balance at the beginning of each year was $104 million and $62 million, respectively.</w:t>
      </w:r>
    </w:p>
    <w:p>
      <w:pPr>
        <w:spacing w:after="0" w:line="140" w:lineRule="exact"/>
        <w:rPr>
          <w:sz w:val="20"/>
          <w:szCs w:val="20"/>
          <w:color w:val="auto"/>
        </w:rPr>
      </w:pPr>
    </w:p>
    <w:p>
      <w:pPr>
        <w:ind w:right="300" w:firstLine="299"/>
        <w:spacing w:after="0" w:line="250" w:lineRule="auto"/>
        <w:rPr>
          <w:sz w:val="20"/>
          <w:szCs w:val="20"/>
          <w:color w:val="auto"/>
        </w:rPr>
      </w:pPr>
      <w:r>
        <w:rPr>
          <w:rFonts w:ascii="Arial" w:cs="Arial" w:eastAsia="Arial" w:hAnsi="Arial"/>
          <w:sz w:val="17"/>
          <w:szCs w:val="17"/>
          <w:color w:val="auto"/>
        </w:rPr>
        <w:t>The change in the balances of the Company’s contract assets and liabilities primarily results from timing differences between revenue recognition and customer billings and/or payments.</w:t>
      </w:r>
    </w:p>
    <w:p>
      <w:pPr>
        <w:spacing w:after="0" w:line="140" w:lineRule="exact"/>
        <w:rPr>
          <w:sz w:val="20"/>
          <w:szCs w:val="20"/>
          <w:color w:val="auto"/>
        </w:rPr>
      </w:pPr>
    </w:p>
    <w:p>
      <w:pPr>
        <w:ind w:right="100" w:firstLine="299"/>
        <w:spacing w:after="0" w:line="266" w:lineRule="auto"/>
        <w:rPr>
          <w:sz w:val="20"/>
          <w:szCs w:val="20"/>
          <w:color w:val="auto"/>
        </w:rPr>
      </w:pPr>
      <w:r>
        <w:rPr>
          <w:rFonts w:ascii="Arial" w:cs="Arial" w:eastAsia="Arial" w:hAnsi="Arial"/>
          <w:sz w:val="16"/>
          <w:szCs w:val="16"/>
          <w:color w:val="auto"/>
        </w:rPr>
        <w:t>Contract assets related to amounts withheld by customers until contract completion are not considered a significant financing component of our contracts because the intent is to protect the customers from our failure to satisfactorily complete our performance obligations. Payments received from customers in advance of revenue recognition (contract liabilities) are not considered a significant financing component of our contracts because they are utilized to pay for contract costs within a one-year period or are requested by us to ensure the customers meet their payment obligations.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Value of Remaining Performance Obligations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value of remaining performance obligations, which we also refer to as total backlog, includes the following components:</w:t>
      </w:r>
    </w:p>
    <w:p>
      <w:pPr>
        <w:spacing w:after="0" w:line="153" w:lineRule="exact"/>
        <w:rPr>
          <w:sz w:val="20"/>
          <w:szCs w:val="20"/>
          <w:color w:val="auto"/>
        </w:rPr>
      </w:pPr>
    </w:p>
    <w:p>
      <w:pPr>
        <w:ind w:left="600" w:right="540" w:hanging="302"/>
        <w:spacing w:after="0" w:line="250" w:lineRule="auto"/>
        <w:tabs>
          <w:tab w:leader="none" w:pos="59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Funded - Funded backlog represents the revenue value of orders for services under existing contracts for which funding is appropriated or otherwise authorized less revenue previously recognized on these contracts.</w:t>
      </w:r>
    </w:p>
    <w:p>
      <w:pPr>
        <w:spacing w:after="0" w:line="140" w:lineRule="exact"/>
        <w:rPr>
          <w:rFonts w:ascii="Arial" w:cs="Arial" w:eastAsia="Arial" w:hAnsi="Arial"/>
          <w:sz w:val="17"/>
          <w:szCs w:val="17"/>
          <w:color w:val="auto"/>
        </w:rPr>
      </w:pPr>
    </w:p>
    <w:p>
      <w:pPr>
        <w:ind w:left="600" w:right="240" w:hanging="302"/>
        <w:spacing w:after="0" w:line="250" w:lineRule="auto"/>
        <w:tabs>
          <w:tab w:leader="none" w:pos="59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value of our backlog at December 31, 2020 and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Backlog:</w:t>
            </w:r>
          </w:p>
        </w:tc>
        <w:tc>
          <w:tcPr>
            <w:tcW w:w="3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3"/>
                <w:szCs w:val="13"/>
                <w:b w:val="1"/>
                <w:bCs w:val="1"/>
                <w:color w:val="auto"/>
              </w:rPr>
              <w:t>Year Ended December 31,</w:t>
            </w: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2019</w:t>
            </w:r>
          </w:p>
        </w:tc>
      </w:tr>
      <w:tr>
        <w:trPr>
          <w:trHeight w:val="24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Funded</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2,547</w:t>
            </w: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color w:val="auto"/>
              </w:rPr>
              <w:t>Unfunded</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w:t>
            </w:r>
          </w:p>
        </w:tc>
      </w:tr>
      <w:tr>
        <w:trPr>
          <w:trHeight w:val="25"/>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Backlog</w:t>
            </w: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600" w:firstLine="299"/>
        <w:spacing w:after="0" w:line="250" w:lineRule="auto"/>
        <w:rPr>
          <w:sz w:val="20"/>
          <w:szCs w:val="20"/>
          <w:color w:val="auto"/>
        </w:rPr>
      </w:pPr>
      <w:r>
        <w:rPr>
          <w:rFonts w:ascii="Arial" w:cs="Arial" w:eastAsia="Arial" w:hAnsi="Arial"/>
          <w:sz w:val="17"/>
          <w:szCs w:val="17"/>
          <w:color w:val="auto"/>
        </w:rPr>
        <w:t>We expect to recognize approximately 69% of our December 31, 2020 backlog as revenue over the next 12 months, with the remainder to be recognized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240"/>
          </w:cols>
          <w:pgMar w:left="320" w:top="492" w:right="339" w:bottom="1440" w:gutter="0" w:footer="0" w:header="0"/>
        </w:sectPr>
      </w:pPr>
    </w:p>
    <w:bookmarkStart w:id="217" w:name="page218"/>
    <w:bookmarkEnd w:id="217"/>
    <w:p>
      <w:pPr>
        <w:jc w:val="center"/>
        <w:ind w:right="20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Disaggregation of Revenue</w:t>
      </w:r>
    </w:p>
    <w:p>
      <w:pPr>
        <w:spacing w:after="0" w:line="153" w:lineRule="exact"/>
        <w:rPr>
          <w:sz w:val="20"/>
          <w:szCs w:val="20"/>
          <w:color w:val="auto"/>
        </w:rPr>
      </w:pPr>
    </w:p>
    <w:p>
      <w:pPr>
        <w:ind w:right="120" w:firstLine="299"/>
        <w:spacing w:after="0" w:line="258" w:lineRule="auto"/>
        <w:rPr>
          <w:sz w:val="20"/>
          <w:szCs w:val="20"/>
          <w:color w:val="auto"/>
        </w:rPr>
      </w:pPr>
      <w:r>
        <w:rPr>
          <w:rFonts w:ascii="Arial" w:cs="Arial" w:eastAsia="Arial" w:hAnsi="Arial"/>
          <w:sz w:val="17"/>
          <w:szCs w:val="17"/>
          <w:i w:val="1"/>
          <w:iCs w:val="1"/>
          <w:color w:val="auto"/>
        </w:rPr>
        <w:t>AST</w:t>
      </w:r>
      <w:r>
        <w:rPr>
          <w:rFonts w:ascii="Arial" w:cs="Arial" w:eastAsia="Arial" w:hAnsi="Arial"/>
          <w:sz w:val="17"/>
          <w:szCs w:val="17"/>
          <w:color w:val="auto"/>
        </w:rPr>
        <w:t>: AST revenue is primarily derived from U.S. government development and production contracts and is generally recognized over time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cost-to-cost method. We disaggregate AST revenue by geographical region, customer relationship and contract type. We believe these categories best depict how the nature, amount, timing and uncertainty of AST revenue and cash flows are affected by economic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101600</wp:posOffset>
            </wp:positionV>
            <wp:extent cx="7620"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20" cy="13462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 by Geographical Region</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821</w:t>
            </w:r>
          </w:p>
        </w:tc>
        <w:tc>
          <w:tcPr>
            <w:tcW w:w="460" w:type="dxa"/>
            <w:vAlign w:val="bottom"/>
            <w:gridSpan w:val="2"/>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711</w:t>
            </w:r>
          </w:p>
        </w:tc>
        <w:tc>
          <w:tcPr>
            <w:tcW w:w="8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Intersegment Sales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Revenue by Customer Relationship</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Prime contractor</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460" w:type="dxa"/>
            <w:vAlign w:val="bottom"/>
            <w:tcBorders>
              <w:bottom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Subcontractor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Intersegment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940</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781</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 by Contract Type</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Firm Fixed Price</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813</w:t>
            </w:r>
          </w:p>
        </w:tc>
        <w:tc>
          <w:tcPr>
            <w:tcW w:w="460" w:type="dxa"/>
            <w:vAlign w:val="bottom"/>
            <w:gridSpan w:val="2"/>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614</w:t>
            </w:r>
          </w:p>
        </w:tc>
        <w:tc>
          <w:tcPr>
            <w:tcW w:w="8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Flexibly Priced</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Intersegment Sales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3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340" w:type="dxa"/>
            <w:vAlign w:val="bottom"/>
          </w:tcPr>
          <w:p>
            <w:pPr>
              <w:spacing w:after="0"/>
              <w:rPr>
                <w:sz w:val="20"/>
                <w:szCs w:val="20"/>
                <w:color w:val="auto"/>
              </w:rPr>
            </w:pPr>
            <w:r>
              <w:rPr>
                <w:rFonts w:ascii="Arial" w:cs="Arial" w:eastAsia="Arial" w:hAnsi="Arial"/>
                <w:sz w:val="15"/>
                <w:szCs w:val="15"/>
                <w:color w:val="auto"/>
              </w:rPr>
              <w:t>(1)  Includes revenue derived from time-and-materials contracts.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right="100" w:firstLine="299"/>
        <w:spacing w:after="0" w:line="304" w:lineRule="auto"/>
        <w:rPr>
          <w:sz w:val="20"/>
          <w:szCs w:val="20"/>
          <w:color w:val="auto"/>
        </w:rPr>
      </w:pPr>
      <w:r>
        <w:rPr>
          <w:rFonts w:ascii="Arial" w:cs="Arial" w:eastAsia="Arial" w:hAnsi="Arial"/>
          <w:sz w:val="16"/>
          <w:szCs w:val="16"/>
          <w:i w:val="1"/>
          <w:iCs w:val="1"/>
          <w:color w:val="auto"/>
        </w:rPr>
        <w:t xml:space="preserve">NC&amp;C: NC&amp;C </w:t>
      </w:r>
      <w:r>
        <w:rPr>
          <w:rFonts w:ascii="Arial" w:cs="Arial" w:eastAsia="Arial" w:hAnsi="Arial"/>
          <w:sz w:val="16"/>
          <w:szCs w:val="16"/>
          <w:color w:val="auto"/>
        </w:rPr>
        <w:t>revenue is primarily derived from U.S. government development and production contracts and is generally recognized over time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cost-to-cost method. We disaggregate NC&amp;C revenue by geographical region, customer relationship and contract type. We believe these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260"/>
          </w:cols>
          <w:pgMar w:left="320" w:top="492" w:right="319" w:bottom="1440" w:gutter="0" w:footer="0" w:header="0"/>
        </w:sectPr>
      </w:pPr>
    </w:p>
    <w:bookmarkStart w:id="218" w:name="page219"/>
    <w:bookmarkEnd w:id="218"/>
    <w:p>
      <w:pPr>
        <w:jc w:val="center"/>
        <w:ind w:right="20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best depict how the nature, amount, timing and uncertainty of NC&amp;C revenue and cash flows are affected by economic factors: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 by Geographical Region</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942</w:t>
            </w:r>
          </w:p>
        </w:tc>
        <w:tc>
          <w:tcPr>
            <w:tcW w:w="460" w:type="dxa"/>
            <w:vAlign w:val="bottom"/>
            <w:gridSpan w:val="2"/>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988</w:t>
            </w:r>
          </w:p>
        </w:tc>
        <w:tc>
          <w:tcPr>
            <w:tcW w:w="8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Intersegment Sales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w:t>
            </w: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Revenue by Customer Relationship</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Prime contractor</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460" w:type="dxa"/>
            <w:vAlign w:val="bottom"/>
            <w:tcBorders>
              <w:bottom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Subcontractor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Intersegment Sales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1,026</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1,053</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 by Contract Type</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Firm Fixed Price</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903</w:t>
            </w:r>
          </w:p>
        </w:tc>
        <w:tc>
          <w:tcPr>
            <w:tcW w:w="460" w:type="dxa"/>
            <w:vAlign w:val="bottom"/>
            <w:gridSpan w:val="2"/>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956</w:t>
            </w:r>
          </w:p>
        </w:tc>
        <w:tc>
          <w:tcPr>
            <w:tcW w:w="8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Flexibly Priced</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Intersegment Sales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w:t>
            </w: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3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340" w:type="dxa"/>
            <w:vAlign w:val="bottom"/>
          </w:tcPr>
          <w:p>
            <w:pPr>
              <w:spacing w:after="0"/>
              <w:rPr>
                <w:sz w:val="20"/>
                <w:szCs w:val="20"/>
                <w:color w:val="auto"/>
              </w:rPr>
            </w:pPr>
            <w:r>
              <w:rPr>
                <w:rFonts w:ascii="Arial" w:cs="Arial" w:eastAsia="Arial" w:hAnsi="Arial"/>
                <w:sz w:val="15"/>
                <w:szCs w:val="15"/>
                <w:color w:val="auto"/>
              </w:rPr>
              <w:t>(1)  Includes revenue derived from time-and-materials contracts.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right="160" w:firstLine="299"/>
        <w:spacing w:after="0" w:line="258" w:lineRule="auto"/>
        <w:rPr>
          <w:sz w:val="20"/>
          <w:szCs w:val="20"/>
          <w:color w:val="auto"/>
        </w:rPr>
      </w:pPr>
      <w:r>
        <w:rPr>
          <w:rFonts w:ascii="Arial" w:cs="Arial" w:eastAsia="Arial" w:hAnsi="Arial"/>
          <w:sz w:val="17"/>
          <w:szCs w:val="17"/>
          <w:i w:val="1"/>
          <w:iCs w:val="1"/>
          <w:color w:val="auto"/>
        </w:rPr>
        <w:t>IMS</w:t>
      </w:r>
      <w:r>
        <w:rPr>
          <w:rFonts w:ascii="Arial" w:cs="Arial" w:eastAsia="Arial" w:hAnsi="Arial"/>
          <w:sz w:val="17"/>
          <w:szCs w:val="17"/>
          <w:color w:val="auto"/>
        </w:rPr>
        <w:t>: IMS revenue is primarily derived from U.S. government development and production contracts and is generally recognized over time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cost-to-cost method. We disaggregate IMS revenue by geographical region, customer relationship and contract type. We believe these categories best depict how the nature, amount, timing and uncertainty of IMS revenue and cash flows are affected by economic factors: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 by Geographical Region</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792</w:t>
            </w:r>
          </w:p>
        </w:tc>
        <w:tc>
          <w:tcPr>
            <w:tcW w:w="460" w:type="dxa"/>
            <w:vAlign w:val="bottom"/>
            <w:gridSpan w:val="2"/>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895</w:t>
            </w:r>
          </w:p>
        </w:tc>
        <w:tc>
          <w:tcPr>
            <w:tcW w:w="8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Intersegment Sales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Revenue by Customer Relationship</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Prime contractor</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460" w:type="dxa"/>
            <w:vAlign w:val="bottom"/>
            <w:tcBorders>
              <w:bottom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Subcontractor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Intersegment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834</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 by Contract Type</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Firm Fixed Price</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692</w:t>
            </w:r>
          </w:p>
        </w:tc>
        <w:tc>
          <w:tcPr>
            <w:tcW w:w="460" w:type="dxa"/>
            <w:vAlign w:val="bottom"/>
            <w:gridSpan w:val="2"/>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763</w:t>
            </w:r>
          </w:p>
        </w:tc>
        <w:tc>
          <w:tcPr>
            <w:tcW w:w="8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Flexibly Priced</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Intersegment Sales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3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340" w:type="dxa"/>
            <w:vAlign w:val="bottom"/>
          </w:tcPr>
          <w:p>
            <w:pPr>
              <w:spacing w:after="0"/>
              <w:rPr>
                <w:sz w:val="20"/>
                <w:szCs w:val="20"/>
                <w:color w:val="auto"/>
              </w:rPr>
            </w:pPr>
            <w:r>
              <w:rPr>
                <w:rFonts w:ascii="Arial" w:cs="Arial" w:eastAsia="Arial" w:hAnsi="Arial"/>
                <w:sz w:val="15"/>
                <w:szCs w:val="15"/>
                <w:color w:val="auto"/>
              </w:rPr>
              <w:t>(1)  Includes revenue derived from time-and-materials contracts.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260"/>
          </w:cols>
          <w:pgMar w:left="320" w:top="492" w:right="319" w:bottom="1440" w:gutter="0" w:footer="0" w:header="0"/>
        </w:sectPr>
      </w:pPr>
    </w:p>
    <w:bookmarkStart w:id="219" w:name="page220"/>
    <w:bookmarkEnd w:id="219"/>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Accounts Receivable</w:t>
      </w:r>
    </w:p>
    <w:p>
      <w:pPr>
        <w:spacing w:after="0" w:line="173"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Accounts receivable represent amounts billed and currently due from customers. Payment is typically received from our customers either at periodic intervals (e.g., biweekly, or monthly) or upon achievement of contractual milestones.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Accounts receivable consist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2019</w:t>
            </w:r>
          </w:p>
        </w:tc>
      </w:tr>
      <w:tr>
        <w:trPr>
          <w:trHeight w:val="22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Less allowance for doubtful accounts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Accounts receivable, net</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The Company maintains certain agreements with financial institutions to sell certain trade receivables. Receivables are derecognized in their entirety when sold, and the Company’s continuing involvement in the sold receivables is limited to their servicing, for which the Company receives a fee commensurate with the service provided. Pursuant to the servicing agreements, the Company collected approximately $27 million and $38 million at December 31, 2020 and 2019, respectively, of these sold receivables that had not yet been remitted to the financial institutions. These unremitted amounts collected on behalf of the financial institutions are included within short-term borrowings and current portion of long-term debt in the Consolidated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Inventories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Inventories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2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Work in progress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5"/>
        </w:trPr>
        <w:tc>
          <w:tcPr>
            <w:tcW w:w="8000" w:type="dxa"/>
            <w:vAlign w:val="bottom"/>
            <w:vMerge w:val="restart"/>
          </w:tcPr>
          <w:p>
            <w:pPr>
              <w:spacing w:after="0"/>
              <w:rPr>
                <w:sz w:val="20"/>
                <w:szCs w:val="20"/>
                <w:color w:val="auto"/>
              </w:rPr>
            </w:pPr>
            <w:r>
              <w:rPr>
                <w:rFonts w:ascii="Arial" w:cs="Arial" w:eastAsia="Arial" w:hAnsi="Arial"/>
                <w:sz w:val="17"/>
                <w:szCs w:val="17"/>
                <w:b w:val="1"/>
                <w:bCs w:val="1"/>
                <w:color w:val="auto"/>
              </w:rPr>
              <w:t>Note 5. Property, Plant and Equipment</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000" w:type="dxa"/>
            <w:vAlign w:val="bottom"/>
          </w:tcPr>
          <w:p>
            <w:pPr>
              <w:ind w:left="300"/>
              <w:spacing w:after="0"/>
              <w:rPr>
                <w:sz w:val="20"/>
                <w:szCs w:val="20"/>
                <w:color w:val="auto"/>
              </w:rPr>
            </w:pPr>
            <w:r>
              <w:rPr>
                <w:rFonts w:ascii="Arial" w:cs="Arial" w:eastAsia="Arial" w:hAnsi="Arial"/>
                <w:sz w:val="17"/>
                <w:szCs w:val="17"/>
                <w:color w:val="auto"/>
              </w:rPr>
              <w:t>Property, plant and equipment by major asset class consists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2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 buildings and improvements</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Plant and machinery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Equipment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color w:val="auto"/>
              </w:rPr>
              <w:t>Total property, plant and equipment, at cost</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 property, plant and equipment, net</w:t>
            </w: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Depreciation expense related to property, plant and equipment was $44 million, $42 million and $35 million for the years ended December 31, 2020, 2019 and 2018, respectively.</w:t>
      </w:r>
    </w:p>
    <w:p>
      <w:pPr>
        <w:spacing w:after="0" w:line="140" w:lineRule="exact"/>
        <w:rPr>
          <w:sz w:val="20"/>
          <w:szCs w:val="20"/>
          <w:color w:val="auto"/>
        </w:rPr>
      </w:pPr>
    </w:p>
    <w:p>
      <w:pPr>
        <w:ind w:right="180" w:firstLine="299"/>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Land, buildings and improvements include assets under finance leases in the amount of $108 million and $67 million as of December 31, 2020 and 2019, respectively. See </w:t>
      </w:r>
      <w:hyperlink w:anchor="page222">
        <w:r>
          <w:rPr>
            <w:rFonts w:ascii="Arial" w:cs="Arial" w:eastAsia="Arial" w:hAnsi="Arial"/>
            <w:sz w:val="17"/>
            <w:szCs w:val="17"/>
            <w:i w:val="1"/>
            <w:iCs w:val="1"/>
            <w:color w:val="auto"/>
          </w:rPr>
          <w:t>Note 9: Leases</w:t>
        </w:r>
        <w:r>
          <w:rPr>
            <w:rFonts w:ascii="Arial" w:cs="Arial" w:eastAsia="Arial" w:hAnsi="Arial"/>
            <w:sz w:val="17"/>
            <w:szCs w:val="17"/>
            <w:color w:val="auto"/>
          </w:rPr>
          <w:t xml:space="preserve"> </w:t>
        </w:r>
      </w:hyperlink>
      <w:r>
        <w:rPr>
          <w:rFonts w:ascii="Arial" w:cs="Arial" w:eastAsia="Arial" w:hAnsi="Arial"/>
          <w:sz w:val="17"/>
          <w:szCs w:val="17"/>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240"/>
          </w:cols>
          <w:pgMar w:left="320" w:top="492" w:right="339" w:bottom="1440" w:gutter="0" w:footer="0" w:header="0"/>
        </w:sectPr>
      </w:pPr>
    </w:p>
    <w:bookmarkStart w:id="220" w:name="page221"/>
    <w:bookmarkEnd w:id="220"/>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460" w:firstLine="299"/>
        <w:spacing w:after="0" w:line="250" w:lineRule="auto"/>
        <w:rPr>
          <w:sz w:val="20"/>
          <w:szCs w:val="20"/>
          <w:color w:val="auto"/>
        </w:rPr>
      </w:pPr>
      <w:r>
        <w:rPr>
          <w:rFonts w:ascii="Arial" w:cs="Arial" w:eastAsia="Arial" w:hAnsi="Arial"/>
          <w:sz w:val="17"/>
          <w:szCs w:val="17"/>
          <w:color w:val="auto"/>
        </w:rPr>
        <w:t xml:space="preserve">As of December 31, 2020, the Company accounted for our manufacturing facility in Menomonee Falls as a build-to-suit lease with a failed sale-leaseback and is included in the Land, building, and improvements in the above table. See </w:t>
      </w:r>
      <w:r>
        <w:rPr>
          <w:rFonts w:ascii="Arial" w:cs="Arial" w:eastAsia="Arial" w:hAnsi="Arial"/>
          <w:sz w:val="17"/>
          <w:szCs w:val="17"/>
          <w:i w:val="1"/>
          <w:iCs w:val="1"/>
          <w:color w:val="auto"/>
        </w:rPr>
        <w:t>Note 11: Debt</w:t>
      </w:r>
      <w:r>
        <w:rPr>
          <w:rFonts w:ascii="Arial" w:cs="Arial" w:eastAsia="Arial" w:hAnsi="Arial"/>
          <w:sz w:val="17"/>
          <w:szCs w:val="17"/>
          <w:color w:val="auto"/>
        </w:rPr>
        <w:t xml:space="preserve">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Other Liabilities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summary of significant other liabilities by balance sheet caption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2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Salaries, wages and accrued bonuses</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Fringe benefits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Litigation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Restructuring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contract losses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41"/>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 other current liabilities</w:t>
            </w: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Retirement benefits</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9"/>
                <w:szCs w:val="19"/>
                <w:color w:val="auto"/>
              </w:rPr>
            </w:pPr>
          </w:p>
        </w:tc>
        <w:tc>
          <w:tcPr>
            <w:tcW w:w="52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41"/>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 other noncurrent liabilities</w:t>
            </w: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00" w:right="100" w:hanging="300"/>
        <w:spacing w:after="0" w:line="242" w:lineRule="auto"/>
        <w:tabs>
          <w:tab w:leader="none" w:pos="296" w:val="left"/>
        </w:tabs>
        <w:numPr>
          <w:ilvl w:val="0"/>
          <w:numId w:val="139"/>
        </w:numPr>
        <w:rPr>
          <w:rFonts w:ascii="Arial" w:cs="Arial" w:eastAsia="Arial" w:hAnsi="Arial"/>
          <w:sz w:val="15"/>
          <w:szCs w:val="15"/>
          <w:color w:val="auto"/>
        </w:rPr>
      </w:pPr>
      <w:r>
        <w:rPr>
          <w:rFonts w:ascii="Arial" w:cs="Arial" w:eastAsia="Arial" w:hAnsi="Arial"/>
          <w:sz w:val="15"/>
          <w:szCs w:val="15"/>
          <w:color w:val="auto"/>
        </w:rPr>
        <w:t xml:space="preserve">Consists primarily of taxes payable, environmental remediation reserves and warranty reserves. </w:t>
      </w:r>
      <w:r>
        <w:rPr>
          <w:rFonts w:ascii="Arial" w:cs="Arial" w:eastAsia="Arial" w:hAnsi="Arial"/>
          <w:sz w:val="15"/>
          <w:szCs w:val="15"/>
          <w:i w:val="1"/>
          <w:iCs w:val="1"/>
          <w:color w:val="auto"/>
        </w:rPr>
        <w:t>See Note 15: Commitments and Contingencies for more information</w:t>
      </w:r>
      <w:r>
        <w:rPr>
          <w:rFonts w:ascii="Arial" w:cs="Arial" w:eastAsia="Arial" w:hAnsi="Arial"/>
          <w:sz w:val="15"/>
          <w:szCs w:val="15"/>
          <w:color w:val="auto"/>
        </w:rPr>
        <w:t xml:space="preserve"> </w:t>
      </w:r>
      <w:r>
        <w:rPr>
          <w:rFonts w:ascii="Arial" w:cs="Arial" w:eastAsia="Arial" w:hAnsi="Arial"/>
          <w:sz w:val="15"/>
          <w:szCs w:val="15"/>
          <w:i w:val="1"/>
          <w:iCs w:val="1"/>
          <w:color w:val="auto"/>
        </w:rPr>
        <w:t>regarding the warranty provision.</w:t>
      </w:r>
    </w:p>
    <w:p>
      <w:pPr>
        <w:ind w:left="300" w:hanging="300"/>
        <w:spacing w:after="0"/>
        <w:tabs>
          <w:tab w:leader="none" w:pos="30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Consists primarily of workers’ compensation liabilities and certain payroll taxes deferred under the CARES Act.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Changes in the carrying amount of goodwill by reportable segment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rPr>
              <w:t>AST</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NC&amp;C</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rPr>
              <w:t>IMS</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Total</w:t>
            </w:r>
          </w:p>
        </w:tc>
      </w:tr>
      <w:tr>
        <w:trPr>
          <w:trHeight w:val="246"/>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 xml:space="preserve">Balance at January 1, 2019 </w:t>
            </w:r>
            <w:r>
              <w:rPr>
                <w:rFonts w:ascii="Arial" w:cs="Arial" w:eastAsia="Arial" w:hAnsi="Arial"/>
                <w:sz w:val="21"/>
                <w:szCs w:val="21"/>
                <w:b w:val="1"/>
                <w:bCs w:val="1"/>
                <w:color w:val="auto"/>
                <w:vertAlign w:val="superscript"/>
              </w:rPr>
              <w:t>(1)</w:t>
            </w:r>
          </w:p>
        </w:tc>
        <w:tc>
          <w:tcPr>
            <w:tcW w:w="1080" w:type="dxa"/>
            <w:vAlign w:val="bottom"/>
            <w:shd w:val="clear" w:color="auto" w:fill="CCEEFF"/>
          </w:tcPr>
          <w:p>
            <w:pPr>
              <w:jc w:val="right"/>
              <w:ind w:right="88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w:t>
            </w:r>
          </w:p>
        </w:tc>
      </w:tr>
      <w:tr>
        <w:trPr>
          <w:trHeight w:val="224"/>
        </w:trPr>
        <w:tc>
          <w:tcPr>
            <w:tcW w:w="470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1,057</w:t>
            </w:r>
          </w:p>
        </w:tc>
      </w:tr>
      <w:tr>
        <w:trPr>
          <w:trHeight w:val="224"/>
        </w:trPr>
        <w:tc>
          <w:tcPr>
            <w:tcW w:w="470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10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1080" w:type="dxa"/>
            <w:vAlign w:val="bottom"/>
            <w:tcBorders>
              <w:bottom w:val="single" w:sz="8" w:color="CCEEFF"/>
            </w:tcBorders>
            <w:shd w:val="clear" w:color="auto" w:fill="CCEEFF"/>
          </w:tcPr>
          <w:p>
            <w:pPr>
              <w:jc w:val="right"/>
              <w:ind w:right="88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ind w:left="300" w:right="320" w:hanging="300"/>
        <w:spacing w:after="0" w:line="251" w:lineRule="auto"/>
        <w:tabs>
          <w:tab w:leader="none" w:pos="296" w:val="left"/>
        </w:tabs>
        <w:numPr>
          <w:ilvl w:val="0"/>
          <w:numId w:val="140"/>
        </w:numPr>
        <w:rPr>
          <w:rFonts w:ascii="Arial" w:cs="Arial" w:eastAsia="Arial" w:hAnsi="Arial"/>
          <w:sz w:val="15"/>
          <w:szCs w:val="15"/>
          <w:color w:val="auto"/>
        </w:rPr>
      </w:pPr>
      <w:r>
        <w:rPr>
          <w:rFonts w:ascii="Arial" w:cs="Arial" w:eastAsia="Arial" w:hAnsi="Arial"/>
          <w:sz w:val="15"/>
          <w:szCs w:val="15"/>
          <w:color w:val="auto"/>
        </w:rPr>
        <w:t>Goodwill is reported net of $1,313 million, $1,049 million and $606 million of accumulated impairments as of January 2019 for the AST, NC&amp;C and IMS segments respectively.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Intangible Assets</w:t>
      </w:r>
    </w:p>
    <w:p>
      <w:pPr>
        <w:spacing w:after="0" w:line="173"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Other intangible assets mainly refer to the fair value of existing customer contractual relationships attributable to the acquired business and patents which are being amortized over their respective lives. The fair value of intangible assets typically is determined, as of the date of acquisition, based on estimates and judgments regarding expectations for the estimated future after-tax earnings and cash flows (including cash flows for working capital) arising from backlog and follow-on sales to the customer over their estimated lives, including the probability of expected future contract renewals and sales, less a contributory assets charge, all of which is discounted to present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240"/>
          </w:cols>
          <w:pgMar w:left="320" w:top="492" w:right="339" w:bottom="1440" w:gutter="0" w:footer="0" w:header="0"/>
        </w:sectPr>
      </w:pPr>
    </w:p>
    <w:bookmarkStart w:id="221" w:name="page222"/>
    <w:bookmarkEnd w:id="221"/>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220" w:firstLine="299"/>
        <w:spacing w:after="0" w:line="250" w:lineRule="auto"/>
        <w:rPr>
          <w:sz w:val="20"/>
          <w:szCs w:val="20"/>
          <w:color w:val="auto"/>
        </w:rPr>
      </w:pPr>
      <w:r>
        <w:rPr>
          <w:rFonts w:ascii="Arial" w:cs="Arial" w:eastAsia="Arial" w:hAnsi="Arial"/>
          <w:sz w:val="17"/>
          <w:szCs w:val="17"/>
          <w:color w:val="auto"/>
        </w:rPr>
        <w:t>The following disclosure presents certain information regarding the Company's intangible assets as of December 31, 2020 and 2019. All intangible assets are being amortized over their estimated useful lives, as indicated below, with no estimated residual values.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December 31, 2020</w:t>
            </w:r>
          </w:p>
        </w:tc>
        <w:tc>
          <w:tcPr>
            <w:tcW w:w="6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December 31, 2019</w:t>
            </w:r>
          </w:p>
        </w:tc>
        <w:tc>
          <w:tcPr>
            <w:tcW w:w="6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60"/>
        </w:trPr>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Gross Carrying</w:t>
            </w:r>
          </w:p>
        </w:tc>
        <w:tc>
          <w:tcPr>
            <w:tcW w:w="12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Gross Carrying</w:t>
            </w:r>
          </w:p>
        </w:tc>
        <w:tc>
          <w:tcPr>
            <w:tcW w:w="12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Amortization</w:t>
            </w:r>
          </w:p>
        </w:tc>
        <w:tc>
          <w:tcPr>
            <w:tcW w:w="1520" w:type="dxa"/>
            <w:vAlign w:val="bottom"/>
            <w:gridSpan w:val="3"/>
          </w:tcPr>
          <w:p>
            <w:pPr>
              <w:ind w:left="40"/>
              <w:spacing w:after="0"/>
              <w:rPr>
                <w:sz w:val="20"/>
                <w:szCs w:val="20"/>
                <w:color w:val="auto"/>
              </w:rPr>
            </w:pPr>
            <w:r>
              <w:rPr>
                <w:rFonts w:ascii="Arial" w:cs="Arial" w:eastAsia="Arial" w:hAnsi="Arial"/>
                <w:sz w:val="13"/>
                <w:szCs w:val="13"/>
                <w:b w:val="1"/>
                <w:bCs w:val="1"/>
                <w:color w:val="auto"/>
              </w:rPr>
              <w:t>Net Carrying Amount</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Amortization</w:t>
            </w:r>
          </w:p>
        </w:tc>
        <w:tc>
          <w:tcPr>
            <w:tcW w:w="1440" w:type="dxa"/>
            <w:vAlign w:val="bottom"/>
            <w:gridSpan w:val="2"/>
          </w:tcPr>
          <w:p>
            <w:pPr>
              <w:jc w:val="right"/>
              <w:spacing w:after="0"/>
              <w:rPr>
                <w:sz w:val="20"/>
                <w:szCs w:val="20"/>
                <w:color w:val="auto"/>
              </w:rPr>
            </w:pPr>
            <w:r>
              <w:rPr>
                <w:rFonts w:ascii="Arial" w:cs="Arial" w:eastAsia="Arial" w:hAnsi="Arial"/>
                <w:sz w:val="13"/>
                <w:szCs w:val="13"/>
                <w:b w:val="1"/>
                <w:bCs w:val="1"/>
                <w:color w:val="auto"/>
              </w:rPr>
              <w:t>Net Carrying Amount</w:t>
            </w:r>
          </w:p>
        </w:tc>
      </w:tr>
      <w:tr>
        <w:trPr>
          <w:trHeight w:val="226"/>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7"/>
                <w:szCs w:val="17"/>
                <w:color w:val="auto"/>
              </w:rPr>
              <w:t>957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jc w:val="right"/>
              <w:ind w:right="463"/>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ind w:right="463"/>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24"/>
        </w:trPr>
        <w:tc>
          <w:tcPr>
            <w:tcW w:w="2200" w:type="dxa"/>
            <w:vAlign w:val="bottom"/>
          </w:tcPr>
          <w:p>
            <w:pPr>
              <w:ind w:left="20"/>
              <w:spacing w:after="0"/>
              <w:rPr>
                <w:sz w:val="20"/>
                <w:szCs w:val="20"/>
                <w:color w:val="auto"/>
              </w:rPr>
            </w:pPr>
            <w:r>
              <w:rPr>
                <w:rFonts w:ascii="Arial" w:cs="Arial" w:eastAsia="Arial" w:hAnsi="Arial"/>
                <w:sz w:val="17"/>
                <w:szCs w:val="17"/>
                <w:color w:val="auto"/>
              </w:rPr>
              <w:t>Patents and licenses</w:t>
            </w:r>
          </w:p>
        </w:tc>
        <w:tc>
          <w:tcPr>
            <w:tcW w:w="180" w:type="dxa"/>
            <w:vAlign w:val="bottom"/>
          </w:tcPr>
          <w:p>
            <w:pPr>
              <w:spacing w:after="0"/>
              <w:rPr>
                <w:sz w:val="19"/>
                <w:szCs w:val="19"/>
                <w:color w:val="auto"/>
              </w:rPr>
            </w:pPr>
          </w:p>
        </w:tc>
        <w:tc>
          <w:tcPr>
            <w:tcW w:w="1260" w:type="dxa"/>
            <w:vAlign w:val="bottom"/>
          </w:tcPr>
          <w:p>
            <w:pPr>
              <w:jc w:val="right"/>
              <w:ind w:right="4"/>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2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6"/>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b w:val="1"/>
                <w:bCs w:val="1"/>
                <w:color w:val="auto"/>
              </w:rPr>
              <w:t>964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(904)</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360" w:firstLine="299"/>
        <w:spacing w:after="0" w:line="250" w:lineRule="auto"/>
        <w:rPr>
          <w:sz w:val="20"/>
          <w:szCs w:val="20"/>
          <w:color w:val="auto"/>
        </w:rPr>
      </w:pPr>
      <w:r>
        <w:rPr>
          <w:rFonts w:ascii="Arial" w:cs="Arial" w:eastAsia="Arial" w:hAnsi="Arial"/>
          <w:sz w:val="17"/>
          <w:szCs w:val="17"/>
          <w:color w:val="auto"/>
        </w:rPr>
        <w:t>Amortization expense related to intangible assets was $9 million, $9 million and 93 million, respectively, for the years ended December 31, 2020, 2019 and 2018.</w:t>
      </w:r>
    </w:p>
    <w:p>
      <w:pPr>
        <w:spacing w:after="0" w:line="140" w:lineRule="exact"/>
        <w:rPr>
          <w:sz w:val="20"/>
          <w:szCs w:val="20"/>
          <w:color w:val="auto"/>
        </w:rPr>
      </w:pPr>
    </w:p>
    <w:p>
      <w:pPr>
        <w:jc w:val="both"/>
        <w:ind w:right="140" w:firstLine="299"/>
        <w:spacing w:after="0" w:line="247" w:lineRule="auto"/>
        <w:rPr>
          <w:sz w:val="20"/>
          <w:szCs w:val="20"/>
          <w:color w:val="auto"/>
        </w:rPr>
      </w:pPr>
      <w:r>
        <w:rPr>
          <w:rFonts w:ascii="Arial" w:cs="Arial" w:eastAsia="Arial" w:hAnsi="Arial"/>
          <w:sz w:val="17"/>
          <w:szCs w:val="17"/>
          <w:color w:val="auto"/>
        </w:rPr>
        <w:t>Customer relationships are amortized on a straight-line basis over their estimated useful lives of 10 to 15 years. Patents and licenses are amortized on a straight-line basis over their estimated useful lives of 5 to 10 years. The estimated annual amortization expense related to intangible assets for the subsequent five years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ind w:left="20"/>
              <w:spacing w:after="0"/>
              <w:rPr>
                <w:sz w:val="20"/>
                <w:szCs w:val="20"/>
                <w:color w:val="auto"/>
              </w:rPr>
            </w:pPr>
            <w:r>
              <w:rPr>
                <w:rFonts w:ascii="Arial" w:cs="Arial" w:eastAsia="Arial" w:hAnsi="Arial"/>
                <w:sz w:val="13"/>
                <w:szCs w:val="13"/>
                <w:i w:val="1"/>
                <w:iCs w:val="1"/>
                <w:color w:val="auto"/>
              </w:rPr>
              <w:t>(in millions)</w:t>
            </w:r>
          </w:p>
        </w:tc>
        <w:tc>
          <w:tcPr>
            <w:tcW w:w="180" w:type="dxa"/>
            <w:vAlign w:val="bottom"/>
          </w:tcPr>
          <w:p>
            <w:pPr>
              <w:spacing w:after="0"/>
              <w:rPr>
                <w:sz w:val="13"/>
                <w:szCs w:val="13"/>
                <w:color w:val="auto"/>
              </w:rPr>
            </w:pPr>
          </w:p>
        </w:tc>
        <w:tc>
          <w:tcPr>
            <w:tcW w:w="1400" w:type="dxa"/>
            <w:vAlign w:val="bottom"/>
          </w:tcPr>
          <w:p>
            <w:pPr>
              <w:jc w:val="right"/>
              <w:ind w:right="142"/>
              <w:spacing w:after="0"/>
              <w:rPr>
                <w:sz w:val="20"/>
                <w:szCs w:val="20"/>
                <w:color w:val="auto"/>
              </w:rPr>
            </w:pPr>
            <w:r>
              <w:rPr>
                <w:rFonts w:ascii="Arial" w:cs="Arial" w:eastAsia="Arial" w:hAnsi="Arial"/>
                <w:sz w:val="13"/>
                <w:szCs w:val="13"/>
                <w:b w:val="1"/>
                <w:bCs w:val="1"/>
                <w:color w:val="auto"/>
              </w:rPr>
              <w:t>Estimated Annual</w:t>
            </w:r>
          </w:p>
        </w:tc>
      </w:tr>
      <w:tr>
        <w:trPr>
          <w:trHeight w:val="181"/>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Year Ending December 31,</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Amortization</w:t>
            </w:r>
          </w:p>
        </w:tc>
      </w:tr>
      <w:tr>
        <w:trPr>
          <w:trHeight w:val="22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
        </w:trPr>
        <w:tc>
          <w:tcPr>
            <w:tcW w:w="9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
        </w:trPr>
        <w:tc>
          <w:tcPr>
            <w:tcW w:w="9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5"/>
        </w:trPr>
        <w:tc>
          <w:tcPr>
            <w:tcW w:w="9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173"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The Company leases various real estate for manufacturing facilities, administrative offices and warehouses under both finance leases and operating leases. In addition, the Company leases vehicles, machinery and office equipment under operating leases. We determine whether our contracts are or contain a lease at the inception of such arrangements. A contract is or contains a lease if it conveys the right to control the use of an identified asset for a period of time in exchange for consideration.</w:t>
      </w:r>
    </w:p>
    <w:p>
      <w:pPr>
        <w:spacing w:after="0" w:line="144"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ROU assets and lease liabilities are recorded on the Consolidated Balance Sheet as of the lease commencement based on the present value of the future lease payments over the lease term. As our leases do not generally explicitly state the discount rate implicit in the lease, we use our incremental borrowing rate, which is determined based on the rate of interest that the Company would have to pay to borrow an amount equal to the lease payments on a collateralized basis over a similar term as of the lease commencement date. In addition to the present value of the future lease payments, the calculation of the ROU asset also includes lease payments made at or before the commencement date of the lease, less any lease incentives received. The remaining lease cost is amortized over the remaining life of the lease on a straight-line basis. We evaluate ROU assets for impairment consistent with the treatment of other long-lived assets.</w:t>
      </w:r>
    </w:p>
    <w:p>
      <w:pPr>
        <w:spacing w:after="0" w:line="146" w:lineRule="exact"/>
        <w:rPr>
          <w:sz w:val="20"/>
          <w:szCs w:val="20"/>
          <w:color w:val="auto"/>
        </w:rPr>
      </w:pPr>
    </w:p>
    <w:p>
      <w:pPr>
        <w:ind w:right="40" w:firstLine="299"/>
        <w:spacing w:after="0" w:line="247" w:lineRule="auto"/>
        <w:rPr>
          <w:sz w:val="20"/>
          <w:szCs w:val="20"/>
          <w:color w:val="auto"/>
        </w:rPr>
      </w:pPr>
      <w:r>
        <w:rPr>
          <w:rFonts w:ascii="Arial" w:cs="Arial" w:eastAsia="Arial" w:hAnsi="Arial"/>
          <w:sz w:val="17"/>
          <w:szCs w:val="17"/>
          <w:color w:val="auto"/>
        </w:rPr>
        <w:t>Some of our leases include options to extend the lease terms or to terminate the lease early. We include the impact of the option in the determination of the ROU assets and liabilities when it is reasonably certain that we will exercise the option. Our lease payments are largely fixed, but may include variable payments that do not depend on an index or rate, such as usage-based amounts,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240"/>
          </w:cols>
          <w:pgMar w:left="320" w:top="492" w:right="339" w:bottom="1440" w:gutter="0" w:footer="0" w:header="0"/>
        </w:sectPr>
      </w:pPr>
    </w:p>
    <w:bookmarkStart w:id="222" w:name="page223"/>
    <w:bookmarkEnd w:id="222"/>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720"/>
        <w:spacing w:after="0" w:line="250" w:lineRule="auto"/>
        <w:rPr>
          <w:sz w:val="20"/>
          <w:szCs w:val="20"/>
          <w:color w:val="auto"/>
        </w:rPr>
      </w:pPr>
      <w:r>
        <w:rPr>
          <w:rFonts w:ascii="Arial" w:cs="Arial" w:eastAsia="Arial" w:hAnsi="Arial"/>
          <w:sz w:val="17"/>
          <w:szCs w:val="17"/>
          <w:color w:val="auto"/>
        </w:rPr>
        <w:t>recorded as a lease expense in the period incurred. The Company’s lease agreements do not contain any material residual value guarantees or restrictive covenants.</w:t>
      </w:r>
    </w:p>
    <w:p>
      <w:pPr>
        <w:spacing w:after="0" w:line="140" w:lineRule="exact"/>
        <w:rPr>
          <w:sz w:val="20"/>
          <w:szCs w:val="20"/>
          <w:color w:val="auto"/>
        </w:rPr>
      </w:pPr>
    </w:p>
    <w:p>
      <w:pPr>
        <w:ind w:right="140" w:firstLine="299"/>
        <w:spacing w:after="0" w:line="246" w:lineRule="auto"/>
        <w:rPr>
          <w:sz w:val="20"/>
          <w:szCs w:val="20"/>
          <w:color w:val="auto"/>
        </w:rPr>
      </w:pPr>
      <w:r>
        <w:rPr>
          <w:rFonts w:ascii="Arial" w:cs="Arial" w:eastAsia="Arial" w:hAnsi="Arial"/>
          <w:sz w:val="17"/>
          <w:szCs w:val="17"/>
          <w:color w:val="auto"/>
        </w:rPr>
        <w:t>In 2019, we have entered into a sale-leaseback transaction related to a facility in Milwaukee, WI. We have analyzed the transaction and determined the criteria to recognize a sale has been met and we have derecognized the related assets. The arrangement does not contain a repurchase option or other substantive obligations related to the property. Further, we have determined that the underlying lease meets the criteria to be classified as an operating lease. As a result, we have recognized an immaterial loss related to the transaction.</w:t>
      </w:r>
    </w:p>
    <w:p>
      <w:pPr>
        <w:spacing w:after="0" w:line="144"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As of December 31, 2020, the Company has not entered into any significant leases that have not yet commenced. We elected not to recognize a ROU asset and lease liability for leases with an initial term of 12 months or less. These leases are expensed on a straight-line basis over the lease term. The Company elected the practical expedient to not separate lease and non-lease components and to instead account for them as a single component. We have elected this practical expedient for all classes of assets.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Lease Cost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Company’s total lease cost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Year Ended December 31,</w:t>
            </w: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r>
      <w:tr>
        <w:trPr>
          <w:trHeight w:val="246"/>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49"/>
        </w:trPr>
        <w:tc>
          <w:tcPr>
            <w:tcW w:w="8000" w:type="dxa"/>
            <w:vAlign w:val="bottom"/>
          </w:tcPr>
          <w:p>
            <w:pPr>
              <w:ind w:left="20"/>
              <w:spacing w:after="0"/>
              <w:rPr>
                <w:sz w:val="20"/>
                <w:szCs w:val="20"/>
                <w:color w:val="auto"/>
              </w:rPr>
            </w:pPr>
            <w:r>
              <w:rPr>
                <w:rFonts w:ascii="Arial" w:cs="Arial" w:eastAsia="Arial" w:hAnsi="Arial"/>
                <w:sz w:val="17"/>
                <w:szCs w:val="17"/>
                <w:color w:val="auto"/>
              </w:rPr>
              <w:t>Finance lease cost</w:t>
            </w:r>
            <w:r>
              <w:rPr>
                <w:rFonts w:ascii="Arial" w:cs="Arial" w:eastAsia="Arial" w:hAnsi="Arial"/>
                <w:sz w:val="21"/>
                <w:szCs w:val="21"/>
                <w:color w:val="auto"/>
                <w:vertAlign w:val="superscript"/>
              </w:rPr>
              <w:t>(2)</w:t>
            </w: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Amortization of right-of-use assets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Interest on lease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lease cost</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jc w:val="both"/>
        <w:ind w:left="300" w:right="20" w:hanging="300"/>
        <w:spacing w:after="0" w:line="242" w:lineRule="auto"/>
        <w:tabs>
          <w:tab w:leader="none" w:pos="296" w:val="left"/>
        </w:tabs>
        <w:numPr>
          <w:ilvl w:val="0"/>
          <w:numId w:val="141"/>
        </w:numPr>
        <w:rPr>
          <w:rFonts w:ascii="Arial" w:cs="Arial" w:eastAsia="Arial" w:hAnsi="Arial"/>
          <w:sz w:val="15"/>
          <w:szCs w:val="15"/>
          <w:color w:val="auto"/>
        </w:rPr>
      </w:pPr>
      <w:r>
        <w:rPr>
          <w:rFonts w:ascii="Arial" w:cs="Arial" w:eastAsia="Arial" w:hAnsi="Arial"/>
          <w:sz w:val="15"/>
          <w:szCs w:val="15"/>
          <w:color w:val="auto"/>
        </w:rPr>
        <w:t>Operating lease expense is included within cost of products, cost of services or general and administrative expenses, dependent upon the nature and use of the ROU asset, in the Company’s Consolidated Statements of Earnings (Loss). Operating lease cost includes short-term leases of approximately $5 million and an insignificant amount of variable lease cost for both 2020 and 2019.</w:t>
      </w:r>
    </w:p>
    <w:p>
      <w:pPr>
        <w:ind w:left="300" w:right="500" w:hanging="300"/>
        <w:spacing w:after="0" w:line="251" w:lineRule="auto"/>
        <w:tabs>
          <w:tab w:leader="none" w:pos="296" w:val="left"/>
        </w:tabs>
        <w:numPr>
          <w:ilvl w:val="0"/>
          <w:numId w:val="141"/>
        </w:numPr>
        <w:rPr>
          <w:rFonts w:ascii="Arial" w:cs="Arial" w:eastAsia="Arial" w:hAnsi="Arial"/>
          <w:sz w:val="15"/>
          <w:szCs w:val="15"/>
          <w:color w:val="auto"/>
        </w:rPr>
      </w:pPr>
      <w:r>
        <w:rPr>
          <w:rFonts w:ascii="Arial" w:cs="Arial" w:eastAsia="Arial" w:hAnsi="Arial"/>
          <w:sz w:val="15"/>
          <w:szCs w:val="15"/>
          <w:color w:val="auto"/>
        </w:rPr>
        <w:t>Finance lease expense is recorded as depreciation and amortization expense within cost of products, cost of services or general and administrative expenses, dependent upon the nature and use of the ROU asset and interest expense, net in the Company’s Consolidated Statements of Earnings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240"/>
          </w:cols>
          <w:pgMar w:left="320" w:top="492" w:right="339" w:bottom="1440" w:gutter="0" w:footer="0" w:header="0"/>
        </w:sectPr>
      </w:pPr>
    </w:p>
    <w:bookmarkStart w:id="223" w:name="page224"/>
    <w:bookmarkEnd w:id="223"/>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Supplemental Balance Sheet Information</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Supplemental balance sheet information related to leases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2019</w:t>
            </w:r>
          </w:p>
        </w:tc>
      </w:tr>
      <w:tr>
        <w:trPr>
          <w:trHeight w:val="21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ROU assets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9"/>
        </w:trPr>
        <w:tc>
          <w:tcPr>
            <w:tcW w:w="8000" w:type="dxa"/>
            <w:vAlign w:val="bottom"/>
          </w:tcPr>
          <w:p>
            <w:pPr>
              <w:ind w:left="20"/>
              <w:spacing w:after="0"/>
              <w:rPr>
                <w:sz w:val="20"/>
                <w:szCs w:val="20"/>
                <w:color w:val="auto"/>
              </w:rPr>
            </w:pPr>
            <w:r>
              <w:rPr>
                <w:rFonts w:ascii="Arial" w:cs="Arial" w:eastAsia="Arial" w:hAnsi="Arial"/>
                <w:sz w:val="17"/>
                <w:szCs w:val="17"/>
                <w:color w:val="auto"/>
              </w:rPr>
              <w:t>Operating leases</w:t>
            </w:r>
            <w:r>
              <w:rPr>
                <w:rFonts w:ascii="Arial" w:cs="Arial" w:eastAsia="Arial" w:hAnsi="Arial"/>
                <w:sz w:val="21"/>
                <w:szCs w:val="21"/>
                <w:color w:val="auto"/>
                <w:vertAlign w:val="superscript"/>
              </w:rPr>
              <w:t>(1)</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21"/>
                <w:szCs w:val="21"/>
                <w:color w:val="auto"/>
              </w:rPr>
            </w:pPr>
          </w:p>
        </w:tc>
        <w:tc>
          <w:tcPr>
            <w:tcW w:w="52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4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leases</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 leased assets</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196</w:t>
            </w:r>
          </w:p>
        </w:tc>
        <w:tc>
          <w:tcPr>
            <w:tcW w:w="80" w:type="dxa"/>
            <w:vAlign w:val="bottom"/>
          </w:tcPr>
          <w:p>
            <w:pPr>
              <w:spacing w:after="0"/>
              <w:rPr>
                <w:sz w:val="18"/>
                <w:szCs w:val="18"/>
                <w:color w:val="auto"/>
              </w:rPr>
            </w:pPr>
          </w:p>
        </w:tc>
        <w:tc>
          <w:tcPr>
            <w:tcW w:w="52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5"/>
        </w:trPr>
        <w:tc>
          <w:tcPr>
            <w:tcW w:w="8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4"/>
        </w:trPr>
        <w:tc>
          <w:tcPr>
            <w:tcW w:w="80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7"/>
                <w:szCs w:val="17"/>
                <w:color w:val="auto"/>
              </w:rPr>
              <w:t>Current lease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9"/>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49"/>
        </w:trPr>
        <w:tc>
          <w:tcPr>
            <w:tcW w:w="8000" w:type="dxa"/>
            <w:vAlign w:val="bottom"/>
          </w:tcPr>
          <w:p>
            <w:pPr>
              <w:ind w:left="220"/>
              <w:spacing w:after="0"/>
              <w:rPr>
                <w:sz w:val="20"/>
                <w:szCs w:val="20"/>
                <w:color w:val="auto"/>
              </w:rPr>
            </w:pPr>
            <w:r>
              <w:rPr>
                <w:rFonts w:ascii="Arial" w:cs="Arial" w:eastAsia="Arial" w:hAnsi="Arial"/>
                <w:sz w:val="17"/>
                <w:szCs w:val="17"/>
                <w:color w:val="auto"/>
              </w:rPr>
              <w:t>Finance</w:t>
            </w:r>
            <w:r>
              <w:rPr>
                <w:rFonts w:ascii="Arial" w:cs="Arial" w:eastAsia="Arial" w:hAnsi="Arial"/>
                <w:sz w:val="21"/>
                <w:szCs w:val="21"/>
                <w:color w:val="auto"/>
                <w:vertAlign w:val="superscript"/>
              </w:rPr>
              <w:t>(2)</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 lease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9"/>
        </w:trPr>
        <w:tc>
          <w:tcPr>
            <w:tcW w:w="8000" w:type="dxa"/>
            <w:vAlign w:val="bottom"/>
          </w:tcPr>
          <w:p>
            <w:pPr>
              <w:ind w:left="220"/>
              <w:spacing w:after="0"/>
              <w:rPr>
                <w:sz w:val="20"/>
                <w:szCs w:val="20"/>
                <w:color w:val="auto"/>
              </w:rPr>
            </w:pPr>
            <w:r>
              <w:rPr>
                <w:rFonts w:ascii="Arial" w:cs="Arial" w:eastAsia="Arial" w:hAnsi="Arial"/>
                <w:sz w:val="17"/>
                <w:szCs w:val="17"/>
                <w:color w:val="auto"/>
              </w:rPr>
              <w:t>Operating</w:t>
            </w:r>
            <w:r>
              <w:rPr>
                <w:rFonts w:ascii="Arial" w:cs="Arial" w:eastAsia="Arial" w:hAnsi="Arial"/>
                <w:sz w:val="21"/>
                <w:szCs w:val="21"/>
                <w:color w:val="auto"/>
                <w:vertAlign w:val="superscript"/>
              </w:rPr>
              <w:t>(1)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49"/>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Finance</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 lease liabilities</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217</w:t>
            </w:r>
          </w:p>
        </w:tc>
        <w:tc>
          <w:tcPr>
            <w:tcW w:w="80" w:type="dxa"/>
            <w:vAlign w:val="bottom"/>
          </w:tcPr>
          <w:p>
            <w:pPr>
              <w:spacing w:after="0"/>
              <w:rPr>
                <w:sz w:val="18"/>
                <w:szCs w:val="18"/>
                <w:color w:val="auto"/>
              </w:rPr>
            </w:pPr>
          </w:p>
        </w:tc>
        <w:tc>
          <w:tcPr>
            <w:tcW w:w="52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15875</wp:posOffset>
            </wp:positionV>
            <wp:extent cx="2062480"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62480" cy="317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ind w:left="300" w:right="20" w:hanging="300"/>
        <w:spacing w:after="0" w:line="242" w:lineRule="auto"/>
        <w:tabs>
          <w:tab w:leader="none" w:pos="296" w:val="left"/>
        </w:tabs>
        <w:numPr>
          <w:ilvl w:val="0"/>
          <w:numId w:val="142"/>
        </w:numPr>
        <w:rPr>
          <w:rFonts w:ascii="Arial" w:cs="Arial" w:eastAsia="Arial" w:hAnsi="Arial"/>
          <w:sz w:val="15"/>
          <w:szCs w:val="15"/>
          <w:color w:val="auto"/>
        </w:rPr>
      </w:pPr>
      <w:r>
        <w:rPr>
          <w:rFonts w:ascii="Arial" w:cs="Arial" w:eastAsia="Arial" w:hAnsi="Arial"/>
          <w:sz w:val="15"/>
          <w:szCs w:val="15"/>
          <w:color w:val="auto"/>
        </w:rPr>
        <w:t>Operating lease assets are included within other noncurrent assets and operating lease liabilities are included within other current liabilities (current portion) and other noncurrent liabilities (noncurrent portion) in the Company’s Consolidated Balance Sheet.</w:t>
      </w:r>
    </w:p>
    <w:p>
      <w:pPr>
        <w:ind w:left="300" w:right="80" w:hanging="300"/>
        <w:spacing w:after="0" w:line="251" w:lineRule="auto"/>
        <w:tabs>
          <w:tab w:leader="none" w:pos="296" w:val="left"/>
        </w:tabs>
        <w:numPr>
          <w:ilvl w:val="0"/>
          <w:numId w:val="142"/>
        </w:numPr>
        <w:rPr>
          <w:rFonts w:ascii="Arial" w:cs="Arial" w:eastAsia="Arial" w:hAnsi="Arial"/>
          <w:sz w:val="15"/>
          <w:szCs w:val="15"/>
          <w:color w:val="auto"/>
        </w:rPr>
      </w:pPr>
      <w:r>
        <w:rPr>
          <w:rFonts w:ascii="Arial" w:cs="Arial" w:eastAsia="Arial" w:hAnsi="Arial"/>
          <w:sz w:val="15"/>
          <w:szCs w:val="15"/>
          <w:color w:val="auto"/>
        </w:rPr>
        <w:t>Finance lease assets are included within property, plant and equipment, net and finance lease liabilities are included within short-term borrowings and current portion of long-term debt (current portion) and long-term debt (noncurrent portion) in the Company’s Consolidated Balance Sheet.</w:t>
      </w:r>
    </w:p>
    <w:p>
      <w:pPr>
        <w:spacing w:after="0" w:line="114"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Supplemental Cash Flow Information</w:t>
      </w:r>
    </w:p>
    <w:p>
      <w:pPr>
        <w:spacing w:after="0" w:line="172"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Supplemental cash flow information related to leases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Year Ended December 31,</w:t>
            </w:r>
          </w:p>
        </w:tc>
      </w:tr>
      <w:tr>
        <w:trPr>
          <w:trHeight w:val="18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r>
      <w:tr>
        <w:trPr>
          <w:trHeight w:val="196"/>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40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cash flows from finance leases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2"/>
        </w:trPr>
        <w:tc>
          <w:tcPr>
            <w:tcW w:w="8000" w:type="dxa"/>
            <w:vAlign w:val="bottom"/>
          </w:tcPr>
          <w:p>
            <w:pPr>
              <w:ind w:left="220"/>
              <w:spacing w:after="0"/>
              <w:rPr>
                <w:sz w:val="20"/>
                <w:szCs w:val="20"/>
                <w:color w:val="auto"/>
              </w:rPr>
            </w:pPr>
            <w:r>
              <w:rPr>
                <w:rFonts w:ascii="Arial" w:cs="Arial" w:eastAsia="Arial" w:hAnsi="Arial"/>
                <w:sz w:val="17"/>
                <w:szCs w:val="17"/>
                <w:color w:val="auto"/>
              </w:rPr>
              <w:t>Financing cash flows from finance leases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new lease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2"/>
        </w:trPr>
        <w:tc>
          <w:tcPr>
            <w:tcW w:w="800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2"/>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Finance leases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240"/>
          </w:cols>
          <w:pgMar w:left="320" w:top="492" w:right="339" w:bottom="1440" w:gutter="0" w:footer="0" w:header="0"/>
        </w:sectPr>
      </w:pPr>
    </w:p>
    <w:bookmarkStart w:id="224" w:name="page225"/>
    <w:bookmarkEnd w:id="224"/>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Weighted Average Lease Term and Discount Rate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Lease terms and discount rates related to leases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2180" w:type="dxa"/>
            <w:vAlign w:val="bottom"/>
            <w:tcBorders>
              <w:bottom w:val="single" w:sz="8" w:color="auto"/>
            </w:tcBorders>
            <w:gridSpan w:val="3"/>
          </w:tcPr>
          <w:p>
            <w:pPr>
              <w:ind w:left="120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72"/>
        </w:trPr>
        <w:tc>
          <w:tcPr>
            <w:tcW w:w="80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r>
      <w:tr>
        <w:trPr>
          <w:trHeight w:val="192"/>
        </w:trPr>
        <w:tc>
          <w:tcPr>
            <w:tcW w:w="800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Weighted-average remaining lease term:</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2180" w:type="dxa"/>
            <w:vAlign w:val="bottom"/>
            <w:gridSpan w:val="3"/>
          </w:tcPr>
          <w:p>
            <w:pPr>
              <w:jc w:val="right"/>
              <w:ind w:right="620"/>
              <w:spacing w:after="0"/>
              <w:rPr>
                <w:sz w:val="20"/>
                <w:szCs w:val="20"/>
                <w:color w:val="auto"/>
              </w:rPr>
            </w:pPr>
            <w:r>
              <w:rPr>
                <w:rFonts w:ascii="Arial" w:cs="Arial" w:eastAsia="Arial" w:hAnsi="Arial"/>
                <w:sz w:val="17"/>
                <w:szCs w:val="17"/>
                <w:color w:val="auto"/>
              </w:rPr>
              <w:t>5 years</w:t>
            </w:r>
          </w:p>
        </w:tc>
        <w:tc>
          <w:tcPr>
            <w:tcW w:w="1060" w:type="dxa"/>
            <w:vAlign w:val="bottom"/>
          </w:tcPr>
          <w:p>
            <w:pPr>
              <w:jc w:val="right"/>
              <w:spacing w:after="0"/>
              <w:rPr>
                <w:sz w:val="20"/>
                <w:szCs w:val="20"/>
                <w:color w:val="auto"/>
              </w:rPr>
            </w:pPr>
            <w:r>
              <w:rPr>
                <w:rFonts w:ascii="Arial" w:cs="Arial" w:eastAsia="Arial" w:hAnsi="Arial"/>
                <w:sz w:val="17"/>
                <w:szCs w:val="17"/>
                <w:color w:val="auto"/>
              </w:rPr>
              <w:t>6 years</w:t>
            </w:r>
          </w:p>
        </w:tc>
      </w:tr>
      <w:tr>
        <w:trPr>
          <w:trHeight w:val="25"/>
        </w:trPr>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Finance leases</w:t>
            </w:r>
          </w:p>
        </w:tc>
        <w:tc>
          <w:tcPr>
            <w:tcW w:w="21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16 years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 years</w:t>
            </w:r>
          </w:p>
        </w:tc>
      </w:tr>
      <w:tr>
        <w:trPr>
          <w:trHeight w:val="212"/>
        </w:trPr>
        <w:tc>
          <w:tcPr>
            <w:tcW w:w="800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Finance leases</w:t>
            </w:r>
          </w:p>
        </w:tc>
        <w:tc>
          <w:tcPr>
            <w:tcW w:w="158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w:t>
            </w:r>
          </w:p>
        </w:tc>
      </w:tr>
    </w:tbl>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Maturity of Lease Liabilities:</w:t>
      </w:r>
    </w:p>
    <w:p>
      <w:pPr>
        <w:spacing w:after="0" w:line="173" w:lineRule="exact"/>
        <w:rPr>
          <w:sz w:val="20"/>
          <w:szCs w:val="20"/>
          <w:color w:val="auto"/>
        </w:rPr>
      </w:pPr>
    </w:p>
    <w:p>
      <w:pPr>
        <w:ind w:right="400" w:firstLine="299"/>
        <w:spacing w:after="0" w:line="250" w:lineRule="auto"/>
        <w:rPr>
          <w:sz w:val="20"/>
          <w:szCs w:val="20"/>
          <w:color w:val="auto"/>
        </w:rPr>
      </w:pPr>
      <w:r>
        <w:rPr>
          <w:rFonts w:ascii="Arial" w:cs="Arial" w:eastAsia="Arial" w:hAnsi="Arial"/>
          <w:sz w:val="17"/>
          <w:szCs w:val="17"/>
          <w:color w:val="auto"/>
        </w:rPr>
        <w:t>As of December 31, 2020, future minimum rental payments on leases with initial non-cancellable lease terms in excess of one year were due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Operating Leases</w:t>
            </w:r>
          </w:p>
        </w:tc>
        <w:tc>
          <w:tcPr>
            <w:tcW w:w="220" w:type="dxa"/>
            <w:vAlign w:val="bottom"/>
          </w:tcPr>
          <w:p>
            <w:pPr>
              <w:spacing w:after="0"/>
              <w:rPr>
                <w:sz w:val="15"/>
                <w:szCs w:val="15"/>
                <w:color w:val="auto"/>
              </w:rPr>
            </w:pPr>
          </w:p>
        </w:tc>
        <w:tc>
          <w:tcPr>
            <w:tcW w:w="1360" w:type="dxa"/>
            <w:vAlign w:val="bottom"/>
          </w:tcPr>
          <w:p>
            <w:pPr>
              <w:jc w:val="right"/>
              <w:ind w:right="199"/>
              <w:spacing w:after="0"/>
              <w:rPr>
                <w:sz w:val="20"/>
                <w:szCs w:val="20"/>
                <w:color w:val="auto"/>
              </w:rPr>
            </w:pPr>
            <w:r>
              <w:rPr>
                <w:rFonts w:ascii="Arial" w:cs="Arial" w:eastAsia="Arial" w:hAnsi="Arial"/>
                <w:sz w:val="13"/>
                <w:szCs w:val="13"/>
                <w:b w:val="1"/>
                <w:bCs w:val="1"/>
                <w:color w:val="auto"/>
              </w:rPr>
              <w:t>Finance Leases</w:t>
            </w:r>
          </w:p>
        </w:tc>
        <w:tc>
          <w:tcPr>
            <w:tcW w:w="0" w:type="dxa"/>
            <w:vAlign w:val="bottom"/>
          </w:tcPr>
          <w:p>
            <w:pPr>
              <w:spacing w:after="0"/>
              <w:rPr>
                <w:sz w:val="1"/>
                <w:szCs w:val="1"/>
                <w:color w:val="auto"/>
              </w:rPr>
            </w:pPr>
          </w:p>
        </w:tc>
      </w:tr>
      <w:tr>
        <w:trPr>
          <w:trHeight w:val="214"/>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2021</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2023</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2025</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 lease payments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Present value of lease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current maturities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7"/>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Long-term lease obligations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5"/>
        </w:trPr>
        <w:tc>
          <w:tcPr>
            <w:tcW w:w="6340" w:type="dxa"/>
            <w:vAlign w:val="bottom"/>
            <w:vMerge w:val="restart"/>
          </w:tcPr>
          <w:p>
            <w:pPr>
              <w:spacing w:after="0"/>
              <w:rPr>
                <w:sz w:val="20"/>
                <w:szCs w:val="20"/>
                <w:color w:val="auto"/>
              </w:rPr>
            </w:pPr>
            <w:r>
              <w:rPr>
                <w:rFonts w:ascii="Arial" w:cs="Arial" w:eastAsia="Arial" w:hAnsi="Arial"/>
                <w:sz w:val="17"/>
                <w:szCs w:val="17"/>
                <w:b w:val="1"/>
                <w:bCs w:val="1"/>
                <w:color w:val="auto"/>
              </w:rPr>
              <w:t>Note 10. Income Taxes</w:t>
            </w: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5"/>
        </w:trPr>
        <w:tc>
          <w:tcPr>
            <w:tcW w:w="6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340" w:type="dxa"/>
            <w:vAlign w:val="bottom"/>
          </w:tcPr>
          <w:p>
            <w:pPr>
              <w:ind w:left="300"/>
              <w:spacing w:after="0"/>
              <w:rPr>
                <w:sz w:val="20"/>
                <w:szCs w:val="20"/>
                <w:color w:val="auto"/>
              </w:rPr>
            </w:pPr>
            <w:r>
              <w:rPr>
                <w:rFonts w:ascii="Arial" w:cs="Arial" w:eastAsia="Arial" w:hAnsi="Arial"/>
                <w:sz w:val="17"/>
                <w:szCs w:val="17"/>
                <w:color w:val="auto"/>
              </w:rPr>
              <w:t>Earnings (loss) before taxes consists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(loss) before taxes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Domestic</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112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Foreign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6139180</wp:posOffset>
            </wp:positionH>
            <wp:positionV relativeFrom="paragraph">
              <wp:posOffset>-2931160</wp:posOffset>
            </wp:positionV>
            <wp:extent cx="10033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033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240"/>
          </w:cols>
          <w:pgMar w:left="320" w:top="492" w:right="339" w:bottom="1440" w:gutter="0" w:footer="0" w:header="0"/>
        </w:sectPr>
      </w:pPr>
    </w:p>
    <w:bookmarkStart w:id="225" w:name="page226"/>
    <w:bookmarkEnd w:id="225"/>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Income tax provision (benefit)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2018</w:t>
            </w: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Federal</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Foreign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63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6340" w:type="dxa"/>
            <w:vAlign w:val="bottom"/>
          </w:tcPr>
          <w:p>
            <w:pPr>
              <w:ind w:left="20"/>
              <w:spacing w:after="0"/>
              <w:rPr>
                <w:sz w:val="20"/>
                <w:szCs w:val="20"/>
                <w:color w:val="auto"/>
              </w:rPr>
            </w:pPr>
            <w:r>
              <w:rPr>
                <w:rFonts w:ascii="Arial" w:cs="Arial" w:eastAsia="Arial" w:hAnsi="Arial"/>
                <w:sz w:val="17"/>
                <w:szCs w:val="17"/>
                <w:color w:val="auto"/>
              </w:rPr>
              <w:t>Deferred:</w:t>
            </w: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Federal</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4"/>
        </w:trPr>
        <w:tc>
          <w:tcPr>
            <w:tcW w:w="6340" w:type="dxa"/>
            <w:vAlign w:val="bottom"/>
          </w:tcPr>
          <w:p>
            <w:pPr>
              <w:ind w:left="220"/>
              <w:spacing w:after="0"/>
              <w:rPr>
                <w:sz w:val="20"/>
                <w:szCs w:val="20"/>
                <w:color w:val="auto"/>
              </w:rPr>
            </w:pPr>
            <w:r>
              <w:rPr>
                <w:rFonts w:ascii="Arial" w:cs="Arial" w:eastAsia="Arial" w:hAnsi="Arial"/>
                <w:sz w:val="17"/>
                <w:szCs w:val="17"/>
                <w:color w:val="auto"/>
              </w:rPr>
              <w:t>State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Foreign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6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reconciliation from the statutory federal income tax rate to our effective income tax rate follows:</w:t>
      </w:r>
    </w:p>
    <w:p>
      <w:pPr>
        <w:spacing w:after="0" w:line="192" w:lineRule="exact"/>
        <w:rPr>
          <w:sz w:val="20"/>
          <w:szCs w:val="20"/>
          <w:color w:val="auto"/>
        </w:rPr>
      </w:pPr>
    </w:p>
    <w:p>
      <w:pPr>
        <w:ind w:left="78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22860</wp:posOffset>
            </wp:positionV>
            <wp:extent cx="32867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86760" cy="762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3"/>
                <w:szCs w:val="13"/>
                <w:b w:val="1"/>
                <w:bCs w:val="1"/>
                <w:color w:val="auto"/>
              </w:rPr>
              <w:t>2018</w:t>
            </w:r>
          </w:p>
        </w:tc>
      </w:tr>
      <w:tr>
        <w:trPr>
          <w:trHeight w:val="226"/>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Statutory federal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24"/>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State rate, net of federal benefit</w:t>
            </w:r>
          </w:p>
        </w:tc>
        <w:tc>
          <w:tcPr>
            <w:tcW w:w="620" w:type="dxa"/>
            <w:vAlign w:val="bottom"/>
          </w:tcPr>
          <w:p>
            <w:pPr>
              <w:jc w:val="right"/>
              <w:spacing w:after="0"/>
              <w:rPr>
                <w:sz w:val="20"/>
                <w:szCs w:val="20"/>
                <w:color w:val="auto"/>
              </w:rPr>
            </w:pPr>
            <w:r>
              <w:rPr>
                <w:rFonts w:ascii="Arial" w:cs="Arial" w:eastAsia="Arial" w:hAnsi="Arial"/>
                <w:sz w:val="17"/>
                <w:szCs w:val="17"/>
                <w:color w:val="auto"/>
              </w:rPr>
              <w:t>2.3 %</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0.5 %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7.9 %</w:t>
            </w:r>
          </w:p>
        </w:tc>
      </w:tr>
      <w:tr>
        <w:trPr>
          <w:trHeight w:val="25"/>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Foreign rate differential</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4"/>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Research &amp; development credit, net of reserves</w:t>
            </w:r>
          </w:p>
        </w:tc>
        <w:tc>
          <w:tcPr>
            <w:tcW w:w="620" w:type="dxa"/>
            <w:vAlign w:val="bottom"/>
          </w:tcPr>
          <w:p>
            <w:pPr>
              <w:jc w:val="right"/>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26.0 %</w:t>
            </w:r>
          </w:p>
        </w:tc>
      </w:tr>
      <w:tr>
        <w:trPr>
          <w:trHeight w:val="25"/>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Nondeductible expenses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24"/>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Global intangible low taxed income</w:t>
            </w:r>
          </w:p>
        </w:tc>
        <w:tc>
          <w:tcPr>
            <w:tcW w:w="620" w:type="dxa"/>
            <w:vAlign w:val="bottom"/>
          </w:tcPr>
          <w:p>
            <w:pPr>
              <w:jc w:val="right"/>
              <w:spacing w:after="0"/>
              <w:rPr>
                <w:sz w:val="20"/>
                <w:szCs w:val="20"/>
                <w:color w:val="auto"/>
              </w:rPr>
            </w:pPr>
            <w:r>
              <w:rPr>
                <w:rFonts w:ascii="Arial" w:cs="Arial" w:eastAsia="Arial" w:hAnsi="Arial"/>
                <w:sz w:val="17"/>
                <w:szCs w:val="17"/>
                <w:color w:val="auto"/>
              </w:rPr>
              <w:t>0.2 %</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5"/>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4"/>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Change in tax reserves</w:t>
            </w:r>
          </w:p>
        </w:tc>
        <w:tc>
          <w:tcPr>
            <w:tcW w:w="620" w:type="dxa"/>
            <w:vAlign w:val="bottom"/>
          </w:tcPr>
          <w:p>
            <w:pPr>
              <w:jc w:val="right"/>
              <w:spacing w:after="0"/>
              <w:rPr>
                <w:sz w:val="20"/>
                <w:szCs w:val="20"/>
                <w:color w:val="auto"/>
              </w:rPr>
            </w:pPr>
            <w:r>
              <w:rPr>
                <w:rFonts w:ascii="Arial" w:cs="Arial" w:eastAsia="Arial" w:hAnsi="Arial"/>
                <w:sz w:val="17"/>
                <w:szCs w:val="17"/>
                <w:color w:val="auto"/>
              </w:rPr>
              <w:t>2.2 %</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0.2 %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7.0 %</w:t>
            </w:r>
          </w:p>
        </w:tc>
      </w:tr>
      <w:tr>
        <w:trPr>
          <w:trHeight w:val="25"/>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41"/>
        </w:trPr>
        <w:tc>
          <w:tcPr>
            <w:tcW w:w="608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0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24.1 %</w:t>
            </w:r>
          </w:p>
        </w:tc>
        <w:tc>
          <w:tcPr>
            <w:tcW w:w="80" w:type="dxa"/>
            <w:vAlign w:val="bottom"/>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21.1 %</w:t>
            </w:r>
          </w:p>
        </w:tc>
        <w:tc>
          <w:tcPr>
            <w:tcW w:w="80" w:type="dxa"/>
            <w:vAlign w:val="bottom"/>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41.2 %</w:t>
            </w:r>
          </w:p>
        </w:tc>
      </w:tr>
      <w:tr>
        <w:trPr>
          <w:trHeight w:val="20"/>
        </w:trPr>
        <w:tc>
          <w:tcPr>
            <w:tcW w:w="6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240"/>
          </w:cols>
          <w:pgMar w:left="320" w:top="492" w:right="339" w:bottom="1440" w:gutter="0" w:footer="0" w:header="0"/>
        </w:sectPr>
      </w:pPr>
    </w:p>
    <w:bookmarkStart w:id="226" w:name="page227"/>
    <w:bookmarkEnd w:id="226"/>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320" w:firstLine="299"/>
        <w:spacing w:after="0" w:line="250" w:lineRule="auto"/>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at December 31, 2020 and 2019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r>
      <w:tr>
        <w:trPr>
          <w:trHeight w:val="21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Federal net operating losses</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9"/>
                <w:szCs w:val="19"/>
                <w:color w:val="auto"/>
              </w:rPr>
            </w:pPr>
          </w:p>
        </w:tc>
        <w:tc>
          <w:tcPr>
            <w:tcW w:w="54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State net operating losses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Tax credit carryforwards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compensation and benefits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Contract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Pension and post-retirement plans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Inventory capitalization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Other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Disallowed interest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 gross deferred tax assets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w:t>
            </w: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valuation allowance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w:t>
            </w:r>
          </w:p>
        </w:tc>
      </w:tr>
      <w:tr>
        <w:trPr>
          <w:trHeight w:val="25"/>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Intangible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Fixed assets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4"/>
        </w:trPr>
        <w:tc>
          <w:tcPr>
            <w:tcW w:w="8000" w:type="dxa"/>
            <w:vAlign w:val="bottom"/>
          </w:tcPr>
          <w:p>
            <w:pPr>
              <w:ind w:left="220"/>
              <w:spacing w:after="0"/>
              <w:rPr>
                <w:sz w:val="20"/>
                <w:szCs w:val="20"/>
                <w:color w:val="auto"/>
              </w:rPr>
            </w:pPr>
            <w:r>
              <w:rPr>
                <w:rFonts w:ascii="Arial" w:cs="Arial" w:eastAsia="Arial" w:hAnsi="Arial"/>
                <w:sz w:val="17"/>
                <w:szCs w:val="17"/>
                <w:color w:val="auto"/>
              </w:rPr>
              <w:t>Other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41"/>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Net deferred tax asset</w:t>
            </w: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20" w:firstLine="299"/>
        <w:spacing w:after="0" w:line="262" w:lineRule="auto"/>
        <w:rPr>
          <w:sz w:val="20"/>
          <w:szCs w:val="20"/>
          <w:color w:val="auto"/>
        </w:rPr>
      </w:pPr>
      <w:r>
        <w:rPr>
          <w:rFonts w:ascii="Arial" w:cs="Arial" w:eastAsia="Arial" w:hAnsi="Arial"/>
          <w:sz w:val="16"/>
          <w:szCs w:val="16"/>
          <w:color w:val="auto"/>
        </w:rPr>
        <w:t xml:space="preserve">Our deferred tax balance associated with our retirement benefit plans includes a deferred tax asset of $14 million and $21 million as of December 31, 2020 and 2019, respectively, that are recorded in accumulated other comprehensive earnings to recognize the funded status of our retirement plans. See </w:t>
      </w:r>
      <w:r>
        <w:rPr>
          <w:rFonts w:ascii="Arial" w:cs="Arial" w:eastAsia="Arial" w:hAnsi="Arial"/>
          <w:sz w:val="16"/>
          <w:szCs w:val="16"/>
          <w:i w:val="1"/>
          <w:iCs w:val="1"/>
          <w:color w:val="auto"/>
        </w:rPr>
        <w:t xml:space="preserve">Note 12: Pension and Other Postretirement Benefits </w:t>
      </w:r>
      <w:r>
        <w:rPr>
          <w:rFonts w:ascii="Arial" w:cs="Arial" w:eastAsia="Arial" w:hAnsi="Arial"/>
          <w:sz w:val="16"/>
          <w:szCs w:val="16"/>
          <w:color w:val="auto"/>
        </w:rPr>
        <w:t>for additional details. As of December 31, 2020 and 2019 the Company had U.S. federal net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loss carryforwards of $131 million and $246 million, respectively, which we anticipate we will be able to apply prior to their expiration which commences in 2025. The annual utilization of approximately $34 million of certain our Federal net operating losses is subject to limitations under section 382 of the Internal Revenue Code. As of December 30, 2020 and 2019 we had apportioned state net operating loss carryforwards of $ 327 million and $325 million, respectively, substantially all of which are associated with jurisdictions in which we currently file and the Company expect to utilize prior to expiration. We have federal tax credit carryforwards that commence expiring in 2032, which we anticipate being able to utilize prior to their expiration.</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Tax Uncertainties</w:t>
      </w:r>
    </w:p>
    <w:p>
      <w:pPr>
        <w:spacing w:after="0" w:line="17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231F20"/>
        </w:rPr>
        <w:t xml:space="preserve">The Company maintains reserves for uncertain tax positions related to unrecognized income tax benefits. These reserves involve considerable judgment and estimation and are evaluated by management at least quarterly based on the best information available. </w:t>
      </w:r>
      <w:r>
        <w:rPr>
          <w:rFonts w:ascii="Arial" w:cs="Arial" w:eastAsia="Arial" w:hAnsi="Arial"/>
          <w:sz w:val="17"/>
          <w:szCs w:val="17"/>
          <w:color w:val="000000"/>
        </w:rPr>
        <w:t>The Company’s total liability for</w:t>
      </w:r>
      <w:r>
        <w:rPr>
          <w:rFonts w:ascii="Arial" w:cs="Arial" w:eastAsia="Arial" w:hAnsi="Arial"/>
          <w:sz w:val="17"/>
          <w:szCs w:val="17"/>
          <w:color w:val="231F20"/>
        </w:rPr>
        <w:t xml:space="preserve"> </w:t>
      </w:r>
      <w:r>
        <w:rPr>
          <w:rFonts w:ascii="Arial" w:cs="Arial" w:eastAsia="Arial" w:hAnsi="Arial"/>
          <w:sz w:val="17"/>
          <w:szCs w:val="17"/>
          <w:color w:val="000000"/>
        </w:rPr>
        <w:t>unrecognized tax benefits as of December 31, 2020, 2019 and 2018 was approximately $25 million, $18 million and $14 million, respectively; all of which will impact the effective tax rate when recognized. Approximately $22 million, $16 million and $12 million as of December 31, 2020, 2019 and 2018, respectively, have been recorded within (and as an offset to) deferred tax assets. In addition, the Company does not believe there are any tax positions for which it is reasonably possible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240"/>
          </w:cols>
          <w:pgMar w:left="320" w:top="492" w:right="339" w:bottom="1440" w:gutter="0" w:footer="0" w:header="0"/>
        </w:sectPr>
      </w:pPr>
    </w:p>
    <w:bookmarkStart w:id="227" w:name="page228"/>
    <w:bookmarkEnd w:id="227"/>
    <w:p>
      <w:pPr>
        <w:jc w:val="center"/>
        <w:ind w:right="20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unrecognized tax benefits will vary significantly over the next 12 months. The table below summarizes the activity associated with our unrecognized tax benefits: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2018</w:t>
            </w:r>
          </w:p>
        </w:tc>
      </w:tr>
      <w:tr>
        <w:trPr>
          <w:trHeight w:val="24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January 1,</w:t>
            </w:r>
          </w:p>
        </w:tc>
        <w:tc>
          <w:tcPr>
            <w:tcW w:w="1120" w:type="dxa"/>
            <w:vAlign w:val="bottom"/>
            <w:shd w:val="clear" w:color="auto" w:fill="CCEEFF"/>
          </w:tcPr>
          <w:p>
            <w:pPr>
              <w:jc w:val="right"/>
              <w:ind w:right="92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6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49"/>
        </w:trPr>
        <w:tc>
          <w:tcPr>
            <w:tcW w:w="6340" w:type="dxa"/>
            <w:vAlign w:val="bottom"/>
          </w:tcPr>
          <w:p>
            <w:pPr>
              <w:ind w:left="20"/>
              <w:spacing w:after="0"/>
              <w:rPr>
                <w:sz w:val="20"/>
                <w:szCs w:val="20"/>
                <w:color w:val="auto"/>
              </w:rPr>
            </w:pPr>
            <w:r>
              <w:rPr>
                <w:rFonts w:ascii="Arial" w:cs="Arial" w:eastAsia="Arial" w:hAnsi="Arial"/>
                <w:sz w:val="17"/>
                <w:szCs w:val="17"/>
                <w:color w:val="auto"/>
              </w:rPr>
              <w:t>Increase related to prior year tax positions</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related to current year tax positions</w:t>
            </w: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6340" w:type="dxa"/>
            <w:vAlign w:val="bottom"/>
          </w:tcPr>
          <w:p>
            <w:pPr>
              <w:ind w:left="20"/>
              <w:spacing w:after="0"/>
              <w:rPr>
                <w:sz w:val="20"/>
                <w:szCs w:val="20"/>
                <w:color w:val="auto"/>
              </w:rPr>
            </w:pPr>
            <w:r>
              <w:rPr>
                <w:rFonts w:ascii="Arial" w:cs="Arial" w:eastAsia="Arial" w:hAnsi="Arial"/>
                <w:sz w:val="17"/>
                <w:szCs w:val="17"/>
                <w:color w:val="auto"/>
              </w:rPr>
              <w:t>Decreases related to prior year tax positions</w:t>
            </w:r>
          </w:p>
        </w:tc>
        <w:tc>
          <w:tcPr>
            <w:tcW w:w="112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Lapse of statute of limitations</w:t>
            </w:r>
          </w:p>
        </w:tc>
        <w:tc>
          <w:tcPr>
            <w:tcW w:w="1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9"/>
        </w:trPr>
        <w:tc>
          <w:tcPr>
            <w:tcW w:w="6340" w:type="dxa"/>
            <w:vAlign w:val="bottom"/>
          </w:tcPr>
          <w:p>
            <w:pPr>
              <w:ind w:left="20"/>
              <w:spacing w:after="0"/>
              <w:rPr>
                <w:sz w:val="20"/>
                <w:szCs w:val="20"/>
                <w:color w:val="auto"/>
              </w:rPr>
            </w:pPr>
            <w:r>
              <w:rPr>
                <w:rFonts w:ascii="Arial" w:cs="Arial" w:eastAsia="Arial" w:hAnsi="Arial"/>
                <w:sz w:val="17"/>
                <w:szCs w:val="17"/>
                <w:color w:val="auto"/>
              </w:rPr>
              <w:t>Settlements with taxing authorities</w:t>
            </w:r>
          </w:p>
        </w:tc>
        <w:tc>
          <w:tcPr>
            <w:tcW w:w="112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6"/>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w:t>
            </w:r>
          </w:p>
        </w:tc>
        <w:tc>
          <w:tcPr>
            <w:tcW w:w="1120" w:type="dxa"/>
            <w:vAlign w:val="bottom"/>
            <w:tcBorders>
              <w:top w:val="single" w:sz="8" w:color="auto"/>
              <w:bottom w:val="single" w:sz="8" w:color="CCEEFF"/>
            </w:tcBorders>
            <w:shd w:val="clear" w:color="auto" w:fill="CCEEFF"/>
          </w:tcPr>
          <w:p>
            <w:pPr>
              <w:jc w:val="right"/>
              <w:ind w:right="923"/>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jc w:val="right"/>
              <w:ind w:right="963"/>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00" w:firstLine="299"/>
        <w:spacing w:after="0" w:line="245" w:lineRule="auto"/>
        <w:rPr>
          <w:sz w:val="20"/>
          <w:szCs w:val="20"/>
          <w:color w:val="auto"/>
        </w:rPr>
      </w:pPr>
      <w:r>
        <w:rPr>
          <w:rFonts w:ascii="Arial" w:cs="Arial" w:eastAsia="Arial" w:hAnsi="Arial"/>
          <w:sz w:val="17"/>
          <w:szCs w:val="17"/>
          <w:color w:val="231F20"/>
        </w:rPr>
        <w:t>The Company is subject to U.S. federal income tax as well as income tax of multiple state and foreign jurisdictions. The Company has substantially concluded all U.S. federal income tax matters for years through the tax year ended December 31, 2016 except as it relates to the net operating loss carryforward and tax credit carryforwards. Substantially all material state and local matters have been concluded for years through the tax year ended December 31, 2015. The Company has substantially concluded all material tax matters in foreign jurisdictions for years through the tax years ending during 2016.</w:t>
      </w:r>
    </w:p>
    <w:p>
      <w:pPr>
        <w:spacing w:after="0" w:line="147" w:lineRule="exact"/>
        <w:rPr>
          <w:sz w:val="20"/>
          <w:szCs w:val="20"/>
          <w:color w:val="auto"/>
        </w:rPr>
      </w:pPr>
    </w:p>
    <w:p>
      <w:pPr>
        <w:jc w:val="both"/>
        <w:ind w:right="40" w:firstLine="299"/>
        <w:spacing w:after="0" w:line="200" w:lineRule="exact"/>
        <w:rPr>
          <w:sz w:val="20"/>
          <w:szCs w:val="20"/>
          <w:color w:val="auto"/>
        </w:rPr>
      </w:pPr>
      <w:r>
        <w:rPr>
          <w:rFonts w:ascii="Arial" w:cs="Arial" w:eastAsia="Arial" w:hAnsi="Arial"/>
          <w:sz w:val="16"/>
          <w:szCs w:val="16"/>
          <w:color w:val="auto"/>
        </w:rPr>
        <w:t>As of December 31, 2020, the Company has accumulated undistributed earnings generated by our foreign subsidiaries and most have been taxed in the U.S. as a result of the Tax Cuts and Jobs Act of 2017 (the “TCJA”). The 2017 TCJA allows for a dividend received deduction for repatriation of foreign earnings. We intend to indefinitely reinvest these earnings. Should the Company’s undistributed earnings from its investment in non</w:t>
      </w:r>
      <w:r>
        <w:rPr>
          <w:rFonts w:ascii="MS PGothic" w:cs="MS PGothic" w:eastAsia="MS PGothic" w:hAnsi="MS PGothic"/>
          <w:sz w:val="16"/>
          <w:szCs w:val="16"/>
          <w:color w:val="auto"/>
        </w:rPr>
        <w:t>‐</w:t>
      </w:r>
      <w:r>
        <w:rPr>
          <w:rFonts w:ascii="Arial" w:cs="Arial" w:eastAsia="Arial" w:hAnsi="Arial"/>
          <w:sz w:val="16"/>
          <w:szCs w:val="16"/>
          <w:color w:val="auto"/>
        </w:rPr>
        <w:t>U.S. subsidiaries be distributed in the future in the form of dividends or otherwise, the Company may be subject to foreign and domestic income taxes and withholding taxes.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Debt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Company’s debt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4.0% Term loan due December 31, 2021</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000" w:type="dxa"/>
            <w:vAlign w:val="bottom"/>
          </w:tcPr>
          <w:p>
            <w:pPr>
              <w:ind w:left="20"/>
              <w:spacing w:after="0"/>
              <w:rPr>
                <w:sz w:val="20"/>
                <w:szCs w:val="20"/>
                <w:color w:val="auto"/>
              </w:rPr>
            </w:pPr>
            <w:r>
              <w:rPr>
                <w:rFonts w:ascii="Arial" w:cs="Arial" w:eastAsia="Arial" w:hAnsi="Arial"/>
                <w:sz w:val="17"/>
                <w:szCs w:val="17"/>
                <w:color w:val="auto"/>
              </w:rPr>
              <w:t>7.5% Term loan due November 30, 2022</w:t>
            </w:r>
            <w:r>
              <w:rPr>
                <w:rFonts w:ascii="Arial" w:cs="Arial" w:eastAsia="Arial" w:hAnsi="Arial"/>
                <w:sz w:val="21"/>
                <w:szCs w:val="21"/>
                <w:color w:val="auto"/>
                <w:vertAlign w:val="superscript"/>
              </w:rPr>
              <w:t>(1)</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5.0% Daylight term loan due October 15, 2024</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7"/>
                <w:szCs w:val="17"/>
                <w:color w:val="auto"/>
              </w:rPr>
              <w:t>Finance lease and other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borrowings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 debt principal</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unamortized debt issuance costs and discounts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 debt, net</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short-term borrowings and current portion of long-term debt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Total long-term debt</w:t>
            </w: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656</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-1786255</wp:posOffset>
            </wp:positionV>
            <wp:extent cx="7150735" cy="1501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1501140"/>
                    </a:xfrm>
                    <a:prstGeom prst="rect">
                      <a:avLst/>
                    </a:prstGeom>
                    <a:noFill/>
                  </pic:spPr>
                </pic:pic>
              </a:graphicData>
            </a:graphic>
          </wp:anchor>
        </w:drawing>
      </w:r>
    </w:p>
    <w:p>
      <w:pPr>
        <w:ind w:left="300" w:hanging="300"/>
        <w:spacing w:after="0"/>
        <w:tabs>
          <w:tab w:leader="none" w:pos="30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Company’s debt with related parties consists of two term loans and a working capital credit facility with US Holding, as described below.</w:t>
      </w:r>
    </w:p>
    <w:p>
      <w:pPr>
        <w:spacing w:after="0" w:line="128"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Term Loans</w:t>
      </w:r>
    </w:p>
    <w:p>
      <w:pPr>
        <w:spacing w:after="0" w:line="173" w:lineRule="exact"/>
        <w:rPr>
          <w:sz w:val="20"/>
          <w:szCs w:val="20"/>
          <w:color w:val="auto"/>
        </w:rPr>
      </w:pPr>
    </w:p>
    <w:p>
      <w:pPr>
        <w:ind w:right="80" w:firstLine="299"/>
        <w:spacing w:after="0" w:line="247" w:lineRule="auto"/>
        <w:rPr>
          <w:sz w:val="20"/>
          <w:szCs w:val="20"/>
          <w:color w:val="auto"/>
        </w:rPr>
      </w:pPr>
      <w:r>
        <w:rPr>
          <w:rFonts w:ascii="Arial" w:cs="Arial" w:eastAsia="Arial" w:hAnsi="Arial"/>
          <w:sz w:val="17"/>
          <w:szCs w:val="17"/>
          <w:color w:val="auto"/>
        </w:rPr>
        <w:t>In January 2009, the Company entered into a credit agreement with its ultimate parent company, Finmeccanica S.p.A. (presently Leonardo S.p.A.) in the amount of $2 billion (the “2009 Credit Agreement”). The 2009 Credit Agreement was subsequently assigned to US Holding and has a maturity of November 30, 2022. The 2009 Credit Agreement provides for a term loan bearing interest at a rate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260"/>
          </w:cols>
          <w:pgMar w:left="320" w:top="492" w:right="319" w:bottom="1440" w:gutter="0" w:footer="0" w:header="0"/>
        </w:sectPr>
      </w:pPr>
    </w:p>
    <w:bookmarkStart w:id="228" w:name="page229"/>
    <w:bookmarkEnd w:id="228"/>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7.5%, with interest payments due semi-annually on June 20 and December 20 in each year (the “7.5% Term loan”). The outstanding balance of the 7.5% Term loan at December 31, 2020 and 2019 was $139 million and $ 439 million, respectively. The fair value of this term loan at December 31, 2020 and 2019 was $182 million and $537 million, respectively; however the Company has the ability to prepay the outstanding principal balance at the carrying amount without penalty. During 2020, US Holding forgave $ 300 million of related party debt. This was treated as a capital transaction and the amount was recorded in additional paid-in capital, as US Holding is a related party.</w:t>
      </w:r>
    </w:p>
    <w:p>
      <w:pPr>
        <w:spacing w:after="0" w:line="147"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In June 2017, the Company entered into an unsecured term loan with US Holding in the principal amount of $137.5 million, the proceeds of which were used to finance the acquisition of Daylight Solutions, Inc. (the “Daylight Term Loan”). The Daylight Term Loan had an outstanding balance of $98 million and $113 million at December 31, 2020 and 2019, respectively, which approximates its fair value. The Daylight Term Loan matures on October 15, 2024. The Daylight Term Loan has an interest rate of 5.0%, with interest payments due semi-annually on April 15 and October 15.</w:t>
      </w:r>
    </w:p>
    <w:p>
      <w:pPr>
        <w:spacing w:after="0" w:line="144" w:lineRule="exact"/>
        <w:rPr>
          <w:sz w:val="20"/>
          <w:szCs w:val="20"/>
          <w:color w:val="auto"/>
        </w:rPr>
      </w:pPr>
    </w:p>
    <w:p>
      <w:pPr>
        <w:ind w:right="80" w:firstLine="299"/>
        <w:spacing w:after="0" w:line="247" w:lineRule="auto"/>
        <w:rPr>
          <w:sz w:val="20"/>
          <w:szCs w:val="20"/>
          <w:color w:val="auto"/>
        </w:rPr>
      </w:pPr>
      <w:r>
        <w:rPr>
          <w:rFonts w:ascii="Arial" w:cs="Arial" w:eastAsia="Arial" w:hAnsi="Arial"/>
          <w:sz w:val="17"/>
          <w:szCs w:val="17"/>
          <w:color w:val="auto"/>
        </w:rPr>
        <w:t>During April 2018, the Company was advanced an additional $50 million by US Holding under a term loan. This term loan bears interest at 4.0% and had an initial maturity date of December 31, 2018, which was extended until December 31, 2021. This term loan was repaid in full, with no prepayment penalty, on December 19, 2020.</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The 2009 Credit Agreement provides for a revolving credit facility available for working capital needs of the Company (the “Revolving Credit Facility”). As of December 31, 2020 and 2019, the Revolving Credit Facility had a credit limit of $450 million and $350 million, respectively, and an interest rate of LIBOR plus 3.5%. There is a commitment fee of 0.25% applied to the unused balance of the Revolving Credit Facility and there are no compensating balance requirements. There was no balance on the Revolving Credit Facility as of December 31, 2020 and 2019.</w:t>
      </w:r>
    </w:p>
    <w:p>
      <w:pPr>
        <w:spacing w:after="0" w:line="14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Company also maintains uncommitted working capital credit facilities with certain financial institutions in the aggregate of $60 million and $65 million at December 31, 2020 and 2019, respectively (the “Financial Institution Credit Facilities”). The Financial Institution Credit Facilities are guaranteed by Leonardo S.p.A. The primary purpose of the Financial Institution Credit Facilities is to support standby letter of credit issuances on contracts with customers and also includes a revolving facility with a maximum borrowing limit of $15 million, which bears interest at LIBOR plus 0.5%. At December 31, 2020 and December 31, 2019, there was no balance outstanding on the revolving facility. The Company had letters of credit outstanding of approximately $31 million and $30 million as of December 31, 2020 and 2019, respectively, which reduces the available capacity of the Financial Institution Credit Facilities by an equal amount.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Finance Lease and Other</w:t>
      </w:r>
    </w:p>
    <w:p>
      <w:pPr>
        <w:spacing w:after="0" w:line="173" w:lineRule="exact"/>
        <w:rPr>
          <w:sz w:val="20"/>
          <w:szCs w:val="20"/>
          <w:color w:val="auto"/>
        </w:rPr>
      </w:pPr>
    </w:p>
    <w:p>
      <w:pPr>
        <w:ind w:right="40" w:firstLine="299"/>
        <w:spacing w:after="0" w:line="270" w:lineRule="auto"/>
        <w:rPr>
          <w:sz w:val="20"/>
          <w:szCs w:val="20"/>
          <w:color w:val="auto"/>
        </w:rPr>
      </w:pPr>
      <w:r>
        <w:rPr>
          <w:rFonts w:ascii="Arial" w:cs="Arial" w:eastAsia="Arial" w:hAnsi="Arial"/>
          <w:sz w:val="16"/>
          <w:szCs w:val="16"/>
          <w:color w:val="auto"/>
        </w:rPr>
        <w:t>As of December 31, 2020, finance lease and other includes approximately $ 114 million related to finance lease liabilities and $49 million related to our Menomonee Falls manufacturing facility, which has been accounted for as a build-to-suit lease with a failed sale leaseback. Approximately $5 million has been recognized as the current portion of long-term debt for the finance lease liabilities and financing liability related to the build-to-suit arrangement.</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Short-term Borrowings</w:t>
      </w:r>
    </w:p>
    <w:p>
      <w:pPr>
        <w:spacing w:after="0" w:line="173" w:lineRule="exact"/>
        <w:rPr>
          <w:sz w:val="20"/>
          <w:szCs w:val="20"/>
          <w:color w:val="auto"/>
        </w:rPr>
      </w:pPr>
    </w:p>
    <w:p>
      <w:pPr>
        <w:ind w:right="60" w:firstLine="299"/>
        <w:spacing w:after="0" w:line="250" w:lineRule="auto"/>
        <w:rPr>
          <w:sz w:val="20"/>
          <w:szCs w:val="20"/>
          <w:color w:val="auto"/>
        </w:rPr>
      </w:pPr>
      <w:r>
        <w:rPr>
          <w:rFonts w:ascii="Arial" w:cs="Arial" w:eastAsia="Arial" w:hAnsi="Arial"/>
          <w:sz w:val="17"/>
          <w:szCs w:val="17"/>
          <w:color w:val="auto"/>
        </w:rPr>
        <w:t>As of December 31, 2020 and 2019, the Company recognized $27 million and $38 million, respectively, collected on behalf of the buyers of our trade receivables pursuant to our factoring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240"/>
          </w:cols>
          <w:pgMar w:left="320" w:top="492" w:right="339" w:bottom="1440" w:gutter="0" w:footer="0" w:header="0"/>
        </w:sectPr>
      </w:pPr>
    </w:p>
    <w:bookmarkStart w:id="229" w:name="page230"/>
    <w:bookmarkEnd w:id="229"/>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 xml:space="preserve">arrangements as short-term borrowings and current portion of long-term debt in the Consolidated Balance Sheet, which approximates its fair value. Refer to </w:t>
      </w:r>
      <w:r>
        <w:rPr>
          <w:rFonts w:ascii="Arial" w:cs="Arial" w:eastAsia="Arial" w:hAnsi="Arial"/>
          <w:sz w:val="17"/>
          <w:szCs w:val="17"/>
          <w:i w:val="1"/>
          <w:iCs w:val="1"/>
          <w:color w:val="auto"/>
        </w:rPr>
        <w:t>Note 3: Accounts Receivable</w:t>
      </w:r>
      <w:r>
        <w:rPr>
          <w:rFonts w:ascii="Arial" w:cs="Arial" w:eastAsia="Arial" w:hAnsi="Arial"/>
          <w:sz w:val="17"/>
          <w:szCs w:val="17"/>
          <w:color w:val="auto"/>
        </w:rPr>
        <w:t xml:space="preserve"> for more information.</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Paid</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interest paid associated with our debt was $64 million, $65 million and $58 million in 2020, 2019 and 2018, respectively.</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Maturities of long-term debt as of December 31, 2020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6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9660" w:type="dxa"/>
            <w:vAlign w:val="bottom"/>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68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12"/>
        </w:trPr>
        <w:tc>
          <w:tcPr>
            <w:tcW w:w="9660" w:type="dxa"/>
            <w:vAlign w:val="bottom"/>
          </w:tcPr>
          <w:p>
            <w:pPr>
              <w:ind w:left="20"/>
              <w:spacing w:after="0"/>
              <w:rPr>
                <w:sz w:val="20"/>
                <w:szCs w:val="20"/>
                <w:color w:val="auto"/>
              </w:rPr>
            </w:pPr>
            <w:r>
              <w:rPr>
                <w:rFonts w:ascii="Arial" w:cs="Arial" w:eastAsia="Arial" w:hAnsi="Arial"/>
                <w:sz w:val="17"/>
                <w:szCs w:val="17"/>
                <w:color w:val="auto"/>
              </w:rPr>
              <w:t>2022</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165</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2"/>
        </w:trPr>
        <w:tc>
          <w:tcPr>
            <w:tcW w:w="9660" w:type="dxa"/>
            <w:vAlign w:val="bottom"/>
          </w:tcPr>
          <w:p>
            <w:pPr>
              <w:ind w:left="20"/>
              <w:spacing w:after="0"/>
              <w:rPr>
                <w:sz w:val="20"/>
                <w:szCs w:val="20"/>
                <w:color w:val="auto"/>
              </w:rPr>
            </w:pPr>
            <w:r>
              <w:rPr>
                <w:rFonts w:ascii="Arial" w:cs="Arial" w:eastAsia="Arial" w:hAnsi="Arial"/>
                <w:sz w:val="17"/>
                <w:szCs w:val="17"/>
                <w:color w:val="auto"/>
              </w:rPr>
              <w:t>2024</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2"/>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principal payments</w:t>
            </w:r>
          </w:p>
        </w:tc>
        <w:tc>
          <w:tcPr>
            <w:tcW w:w="68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Pension and Other Postretirement Benefits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Retirement Plan Summary Information</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Company maintains multiple pension plans, both contributory and non-contributory, covering employees at certain locations. Eligibility requirements for participation in the plans vary, and benefits generally are based on the participant's compensation and years of service, as defined in the respective plan. The Company's funding policy generally is to contribute in accordance with cost accounting standards that affect government contractors, subject to the Tax Code and regulations thereunder. Plan assets are invested primarily in equities, bonds (both corporate and U.S. government), U.S. government-sponsored entity instruments, cash and cash equivalents and real estate.</w:t>
      </w:r>
    </w:p>
    <w:p>
      <w:pPr>
        <w:spacing w:after="0" w:line="147"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The Company also provides postretirement medical benefits for certain retired employees and dependents at certain locations. Participants are eligible for these benefits when they retire from active service and meet the eligibility requirements for the Company's postretirement benefit plans. The Company's contractual arrangements with the U.S. government provide for the recovery of contributions to a Voluntary Employees' Beneficiary Association (“VEBA”) trust and, for non-funded plans, recovery of claims on a pay-as-you-go basis, subject to the Tax Code and regulations thereunder, with the retiree generally paying a portion of the costs through contributions, deductibles and coinsurance provisions.</w:t>
      </w:r>
    </w:p>
    <w:p>
      <w:pPr>
        <w:spacing w:after="0" w:line="147" w:lineRule="exact"/>
        <w:rPr>
          <w:sz w:val="20"/>
          <w:szCs w:val="20"/>
          <w:color w:val="auto"/>
        </w:rPr>
      </w:pPr>
    </w:p>
    <w:p>
      <w:pPr>
        <w:ind w:right="280" w:firstLine="299"/>
        <w:spacing w:after="0" w:line="250" w:lineRule="auto"/>
        <w:rPr>
          <w:sz w:val="20"/>
          <w:szCs w:val="20"/>
          <w:color w:val="auto"/>
        </w:rPr>
      </w:pPr>
      <w:r>
        <w:rPr>
          <w:rFonts w:ascii="Arial" w:cs="Arial" w:eastAsia="Arial" w:hAnsi="Arial"/>
          <w:sz w:val="17"/>
          <w:szCs w:val="17"/>
          <w:color w:val="auto"/>
        </w:rPr>
        <w:t>The Company also maintains certain non-contributory and unfunded supplemental retirement plans. Eligibility for participation in the supplemental retirement plans is limited, and benefits generally are based on the participant's compensation and/or years of service.</w:t>
      </w:r>
    </w:p>
    <w:p>
      <w:pPr>
        <w:spacing w:after="0" w:line="140"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The following tables provide certain information regarding the Company's pension, postretirement and supplemental retirement plans as of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240"/>
          </w:cols>
          <w:pgMar w:left="320" w:top="492" w:right="339" w:bottom="1440" w:gutter="0" w:footer="0" w:header="0"/>
        </w:sectPr>
      </w:pPr>
    </w:p>
    <w:bookmarkStart w:id="230" w:name="page231"/>
    <w:bookmarkEnd w:id="230"/>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5"/>
          </w:tcPr>
          <w:p>
            <w:pPr>
              <w:ind w:left="100"/>
              <w:spacing w:after="0"/>
              <w:rPr>
                <w:sz w:val="20"/>
                <w:szCs w:val="20"/>
                <w:color w:val="auto"/>
              </w:rPr>
            </w:pPr>
            <w:r>
              <w:rPr>
                <w:rFonts w:ascii="Arial" w:cs="Arial" w:eastAsia="Arial" w:hAnsi="Arial"/>
                <w:sz w:val="13"/>
                <w:szCs w:val="13"/>
                <w:b w:val="1"/>
                <w:bCs w:val="1"/>
                <w:color w:val="auto"/>
              </w:rPr>
              <w:t>Defined Benefit Pension Plans</w:t>
            </w:r>
          </w:p>
        </w:tc>
        <w:tc>
          <w:tcPr>
            <w:tcW w:w="22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3"/>
                <w:szCs w:val="13"/>
                <w:b w:val="1"/>
                <w:bCs w:val="1"/>
                <w:color w:val="auto"/>
              </w:rPr>
              <w:t>Postretirement Benefit Plans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4"/>
          </w:tcPr>
          <w:p>
            <w:pPr>
              <w:jc w:val="right"/>
              <w:ind w:right="158"/>
              <w:spacing w:after="0"/>
              <w:rPr>
                <w:sz w:val="20"/>
                <w:szCs w:val="20"/>
                <w:color w:val="auto"/>
              </w:rPr>
            </w:pPr>
            <w:r>
              <w:rPr>
                <w:rFonts w:ascii="Arial" w:cs="Arial" w:eastAsia="Arial" w:hAnsi="Arial"/>
                <w:sz w:val="13"/>
                <w:szCs w:val="13"/>
                <w:b w:val="1"/>
                <w:bCs w:val="1"/>
                <w:color w:val="auto"/>
              </w:rPr>
              <w:t>Supplemental Retirement Plans</w:t>
            </w:r>
          </w:p>
        </w:tc>
      </w:tr>
      <w:tr>
        <w:trPr>
          <w:trHeight w:val="19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2019</w:t>
            </w:r>
          </w:p>
        </w:tc>
      </w:tr>
      <w:tr>
        <w:trPr>
          <w:trHeight w:val="21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Change in benefit obligation:</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24"/>
        </w:trPr>
        <w:tc>
          <w:tcPr>
            <w:tcW w:w="3480" w:type="dxa"/>
            <w:vAlign w:val="bottom"/>
          </w:tcPr>
          <w:p>
            <w:pPr>
              <w:ind w:left="320"/>
              <w:spacing w:after="0"/>
              <w:rPr>
                <w:sz w:val="20"/>
                <w:szCs w:val="20"/>
                <w:color w:val="auto"/>
              </w:rPr>
            </w:pPr>
            <w:r>
              <w:rPr>
                <w:rFonts w:ascii="Arial" w:cs="Arial" w:eastAsia="Arial" w:hAnsi="Arial"/>
                <w:sz w:val="17"/>
                <w:szCs w:val="17"/>
                <w:color w:val="auto"/>
              </w:rPr>
              <w:t>Benefit obligation at beginning of year</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261</w:t>
            </w:r>
          </w:p>
        </w:tc>
        <w:tc>
          <w:tcPr>
            <w:tcW w:w="14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226</w:t>
            </w:r>
          </w:p>
        </w:tc>
        <w:tc>
          <w:tcPr>
            <w:tcW w:w="14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860" w:type="dxa"/>
            <w:vAlign w:val="bottom"/>
          </w:tcPr>
          <w:p>
            <w:pPr>
              <w:jc w:val="right"/>
              <w:ind w:right="6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37"/>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20</w:t>
            </w:r>
          </w:p>
        </w:tc>
      </w:tr>
      <w:tr>
        <w:trPr>
          <w:trHeight w:val="25"/>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Service cost</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3480" w:type="dxa"/>
            <w:vAlign w:val="bottom"/>
          </w:tcPr>
          <w:p>
            <w:pPr>
              <w:ind w:left="320"/>
              <w:spacing w:after="0"/>
              <w:rPr>
                <w:sz w:val="20"/>
                <w:szCs w:val="20"/>
                <w:color w:val="auto"/>
              </w:rPr>
            </w:pPr>
            <w:r>
              <w:rPr>
                <w:rFonts w:ascii="Arial" w:cs="Arial" w:eastAsia="Arial" w:hAnsi="Arial"/>
                <w:sz w:val="17"/>
                <w:szCs w:val="17"/>
                <w:color w:val="auto"/>
              </w:rPr>
              <w:t>Interest cost</w:t>
            </w: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w:t>
            </w:r>
          </w:p>
        </w:tc>
      </w:tr>
      <w:tr>
        <w:trPr>
          <w:trHeight w:val="25"/>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Plan participants' contributions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3480" w:type="dxa"/>
            <w:vAlign w:val="bottom"/>
          </w:tcPr>
          <w:p>
            <w:pPr>
              <w:ind w:left="320"/>
              <w:spacing w:after="0"/>
              <w:rPr>
                <w:sz w:val="20"/>
                <w:szCs w:val="20"/>
                <w:color w:val="auto"/>
              </w:rPr>
            </w:pPr>
            <w:r>
              <w:rPr>
                <w:rFonts w:ascii="Arial" w:cs="Arial" w:eastAsia="Arial" w:hAnsi="Arial"/>
                <w:sz w:val="17"/>
                <w:szCs w:val="17"/>
                <w:color w:val="auto"/>
              </w:rPr>
              <w:t>Actuarial (gain) loss</w:t>
            </w: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4</w:t>
            </w:r>
          </w:p>
        </w:tc>
      </w:tr>
      <w:tr>
        <w:trPr>
          <w:trHeight w:val="25"/>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Benefits paid</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w:t>
            </w:r>
          </w:p>
        </w:tc>
      </w:tr>
      <w:tr>
        <w:trPr>
          <w:trHeight w:val="224"/>
        </w:trPr>
        <w:tc>
          <w:tcPr>
            <w:tcW w:w="3480" w:type="dxa"/>
            <w:vAlign w:val="bottom"/>
          </w:tcPr>
          <w:p>
            <w:pPr>
              <w:ind w:left="320"/>
              <w:spacing w:after="0"/>
              <w:rPr>
                <w:sz w:val="20"/>
                <w:szCs w:val="20"/>
                <w:color w:val="auto"/>
              </w:rPr>
            </w:pPr>
            <w:r>
              <w:rPr>
                <w:rFonts w:ascii="Arial" w:cs="Arial" w:eastAsia="Arial" w:hAnsi="Arial"/>
                <w:sz w:val="17"/>
                <w:szCs w:val="17"/>
                <w:color w:val="auto"/>
              </w:rPr>
              <w:t>(Gain) loss due to settlement</w:t>
            </w: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Plan amendments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3480" w:type="dxa"/>
            <w:vAlign w:val="bottom"/>
          </w:tcPr>
          <w:p>
            <w:pPr>
              <w:ind w:left="320"/>
              <w:spacing w:after="0"/>
              <w:rPr>
                <w:sz w:val="20"/>
                <w:szCs w:val="20"/>
                <w:color w:val="auto"/>
              </w:rPr>
            </w:pPr>
            <w:r>
              <w:rPr>
                <w:rFonts w:ascii="Arial" w:cs="Arial" w:eastAsia="Arial" w:hAnsi="Arial"/>
                <w:sz w:val="17"/>
                <w:szCs w:val="17"/>
                <w:color w:val="auto"/>
              </w:rPr>
              <w:t>Exchange rate differences and other</w:t>
            </w: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
        </w:trPr>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1"/>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Benefit obligation at end of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226</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w:t>
            </w:r>
          </w:p>
        </w:tc>
      </w:tr>
      <w:tr>
        <w:trPr>
          <w:trHeight w:val="204"/>
        </w:trPr>
        <w:tc>
          <w:tcPr>
            <w:tcW w:w="3480" w:type="dxa"/>
            <w:vAlign w:val="bottom"/>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5"/>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Fair value of plan assets at beginning of</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5"/>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158</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133</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w:t>
            </w:r>
          </w:p>
        </w:tc>
      </w:tr>
      <w:tr>
        <w:trPr>
          <w:trHeight w:val="224"/>
        </w:trPr>
        <w:tc>
          <w:tcPr>
            <w:tcW w:w="3480" w:type="dxa"/>
            <w:vAlign w:val="bottom"/>
          </w:tcPr>
          <w:p>
            <w:pPr>
              <w:ind w:left="320"/>
              <w:spacing w:after="0"/>
              <w:rPr>
                <w:sz w:val="20"/>
                <w:szCs w:val="20"/>
                <w:color w:val="auto"/>
              </w:rPr>
            </w:pPr>
            <w:r>
              <w:rPr>
                <w:rFonts w:ascii="Arial" w:cs="Arial" w:eastAsia="Arial" w:hAnsi="Arial"/>
                <w:sz w:val="17"/>
                <w:szCs w:val="17"/>
                <w:color w:val="auto"/>
              </w:rPr>
              <w:t>Actual return on plan assets</w:t>
            </w: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340" w:type="dxa"/>
            <w:vAlign w:val="bottom"/>
          </w:tcPr>
          <w:p>
            <w:pPr>
              <w:jc w:val="right"/>
              <w:ind w:right="37"/>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w:t>
            </w:r>
          </w:p>
        </w:tc>
      </w:tr>
      <w:tr>
        <w:trPr>
          <w:trHeight w:val="25"/>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Plan participants' contributions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3480" w:type="dxa"/>
            <w:vAlign w:val="bottom"/>
          </w:tcPr>
          <w:p>
            <w:pPr>
              <w:ind w:left="320"/>
              <w:spacing w:after="0"/>
              <w:rPr>
                <w:sz w:val="20"/>
                <w:szCs w:val="20"/>
                <w:color w:val="auto"/>
              </w:rPr>
            </w:pPr>
            <w:r>
              <w:rPr>
                <w:rFonts w:ascii="Arial" w:cs="Arial" w:eastAsia="Arial" w:hAnsi="Arial"/>
                <w:sz w:val="17"/>
                <w:szCs w:val="17"/>
                <w:color w:val="auto"/>
              </w:rPr>
              <w:t>Employer contributions</w:t>
            </w: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w:t>
            </w:r>
          </w:p>
        </w:tc>
      </w:tr>
      <w:tr>
        <w:trPr>
          <w:trHeight w:val="25"/>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Benefits paid</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6"/>
              </w:rPr>
              <w:t>(8)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w:t>
            </w:r>
          </w:p>
        </w:tc>
      </w:tr>
      <w:tr>
        <w:trPr>
          <w:trHeight w:val="224"/>
        </w:trPr>
        <w:tc>
          <w:tcPr>
            <w:tcW w:w="3480" w:type="dxa"/>
            <w:vAlign w:val="bottom"/>
          </w:tcPr>
          <w:p>
            <w:pPr>
              <w:ind w:left="320"/>
              <w:spacing w:after="0"/>
              <w:rPr>
                <w:sz w:val="20"/>
                <w:szCs w:val="20"/>
                <w:color w:val="auto"/>
              </w:rPr>
            </w:pPr>
            <w:r>
              <w:rPr>
                <w:rFonts w:ascii="Arial" w:cs="Arial" w:eastAsia="Arial" w:hAnsi="Arial"/>
                <w:sz w:val="17"/>
                <w:szCs w:val="17"/>
                <w:color w:val="auto"/>
              </w:rPr>
              <w:t>(Loss) gain due to settlement</w:t>
            </w: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Exchange rate differences and other</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3480" w:type="dxa"/>
            <w:vAlign w:val="bottom"/>
          </w:tcPr>
          <w:p>
            <w:pPr>
              <w:ind w:left="320"/>
              <w:spacing w:after="0"/>
              <w:rPr>
                <w:sz w:val="20"/>
                <w:szCs w:val="20"/>
                <w:color w:val="auto"/>
              </w:rPr>
            </w:pPr>
            <w:r>
              <w:rPr>
                <w:rFonts w:ascii="Arial" w:cs="Arial" w:eastAsia="Arial" w:hAnsi="Arial"/>
                <w:sz w:val="17"/>
                <w:szCs w:val="17"/>
                <w:color w:val="auto"/>
              </w:rPr>
              <w:t>Fair value of plan assets at end of year</w:t>
            </w: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151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ind w:right="37"/>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10</w:t>
            </w:r>
          </w:p>
        </w:tc>
      </w:tr>
      <w:tr>
        <w:trPr>
          <w:trHeight w:val="25"/>
        </w:trPr>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9"/>
              </w:rPr>
              <w:t>Contributions between measurement date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5"/>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and year end</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41"/>
        </w:trPr>
        <w:tc>
          <w:tcPr>
            <w:tcW w:w="3480" w:type="dxa"/>
            <w:vAlign w:val="bottom"/>
          </w:tcPr>
          <w:p>
            <w:pPr>
              <w:ind w:left="320"/>
              <w:spacing w:after="0"/>
              <w:rPr>
                <w:sz w:val="20"/>
                <w:szCs w:val="20"/>
                <w:color w:val="auto"/>
              </w:rPr>
            </w:pPr>
            <w:r>
              <w:rPr>
                <w:rFonts w:ascii="Arial" w:cs="Arial" w:eastAsia="Arial" w:hAnsi="Arial"/>
                <w:sz w:val="17"/>
                <w:szCs w:val="17"/>
                <w:color w:val="auto"/>
              </w:rPr>
              <w:t>Funded status of the plans at year end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(75)</w:t>
            </w:r>
          </w:p>
        </w:tc>
        <w:tc>
          <w:tcPr>
            <w:tcW w:w="1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(103)</w:t>
            </w: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96"/>
              </w:rPr>
              <w:t>(2)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(14)</w:t>
            </w:r>
          </w:p>
        </w:tc>
      </w:tr>
      <w:tr>
        <w:trPr>
          <w:trHeight w:val="20"/>
        </w:trPr>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amounts recognized in the Consolidated Balance Sheet, as of December 31, 2020 and 2019 consist of: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5"/>
          </w:tcPr>
          <w:p>
            <w:pPr>
              <w:ind w:left="100"/>
              <w:spacing w:after="0"/>
              <w:rPr>
                <w:sz w:val="20"/>
                <w:szCs w:val="20"/>
                <w:color w:val="auto"/>
              </w:rPr>
            </w:pPr>
            <w:r>
              <w:rPr>
                <w:rFonts w:ascii="Arial" w:cs="Arial" w:eastAsia="Arial" w:hAnsi="Arial"/>
                <w:sz w:val="13"/>
                <w:szCs w:val="13"/>
                <w:b w:val="1"/>
                <w:bCs w:val="1"/>
                <w:color w:val="auto"/>
              </w:rPr>
              <w:t>Defined Benefit Pension Plans</w:t>
            </w:r>
          </w:p>
        </w:tc>
        <w:tc>
          <w:tcPr>
            <w:tcW w:w="24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3"/>
                <w:szCs w:val="13"/>
                <w:b w:val="1"/>
                <w:bCs w:val="1"/>
                <w:color w:val="auto"/>
              </w:rPr>
              <w:t>Postretirement Benefit Plans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Supplemental Retirement Plans</w:t>
            </w:r>
          </w:p>
        </w:tc>
      </w:tr>
      <w:tr>
        <w:trPr>
          <w:trHeight w:val="192"/>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2019</w:t>
            </w:r>
          </w:p>
        </w:tc>
      </w:tr>
      <w:tr>
        <w:trPr>
          <w:trHeight w:val="22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 assets</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56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224"/>
        </w:trPr>
        <w:tc>
          <w:tcPr>
            <w:tcW w:w="34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7"/>
                <w:szCs w:val="17"/>
                <w:color w:val="auto"/>
              </w:rPr>
              <w:t>—</w:t>
            </w:r>
          </w:p>
        </w:tc>
      </w:tr>
      <w:tr>
        <w:trPr>
          <w:trHeight w:val="25"/>
        </w:trPr>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9"/>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6"/>
              </w:rPr>
              <w:t>(2)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9"/>
              </w:rPr>
              <w:t>(11)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w:t>
            </w:r>
          </w:p>
        </w:tc>
      </w:tr>
      <w:tr>
        <w:trPr>
          <w:trHeight w:val="241"/>
        </w:trPr>
        <w:tc>
          <w:tcPr>
            <w:tcW w:w="3460" w:type="dxa"/>
            <w:vAlign w:val="bottom"/>
          </w:tcPr>
          <w:p>
            <w:pPr>
              <w:ind w:left="20"/>
              <w:spacing w:after="0"/>
              <w:rPr>
                <w:sz w:val="20"/>
                <w:szCs w:val="20"/>
                <w:color w:val="auto"/>
              </w:rPr>
            </w:pPr>
            <w:r>
              <w:rPr>
                <w:rFonts w:ascii="Arial" w:cs="Arial" w:eastAsia="Arial" w:hAnsi="Arial"/>
                <w:sz w:val="17"/>
                <w:szCs w:val="17"/>
                <w:b w:val="1"/>
                <w:bCs w:val="1"/>
                <w:color w:val="auto"/>
              </w:rPr>
              <w:t>Net liability recognized</w:t>
            </w: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(75)</w:t>
            </w:r>
          </w:p>
        </w:tc>
        <w:tc>
          <w:tcPr>
            <w:tcW w:w="1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96"/>
              </w:rPr>
              <w:t>(1)</w:t>
            </w: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99"/>
              </w:rPr>
              <w:t>(11)</w:t>
            </w:r>
          </w:p>
        </w:tc>
        <w:tc>
          <w:tcPr>
            <w:tcW w:w="1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(14)</w:t>
            </w:r>
          </w:p>
        </w:tc>
      </w:tr>
      <w:tr>
        <w:trPr>
          <w:trHeight w:val="20"/>
        </w:trPr>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240"/>
          </w:cols>
          <w:pgMar w:left="320" w:top="492" w:right="339" w:bottom="1440" w:gutter="0" w:footer="0" w:header="0"/>
        </w:sectPr>
      </w:pPr>
    </w:p>
    <w:bookmarkStart w:id="231" w:name="page232"/>
    <w:bookmarkEnd w:id="231"/>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Amounts recognized in accumulated other comprehensive earnings (before taxes) at December 31, 2020 and 2019 consist of: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5"/>
          </w:tcPr>
          <w:p>
            <w:pPr>
              <w:ind w:left="120"/>
              <w:spacing w:after="0"/>
              <w:rPr>
                <w:sz w:val="20"/>
                <w:szCs w:val="20"/>
                <w:color w:val="auto"/>
              </w:rPr>
            </w:pPr>
            <w:r>
              <w:rPr>
                <w:rFonts w:ascii="Arial" w:cs="Arial" w:eastAsia="Arial" w:hAnsi="Arial"/>
                <w:sz w:val="13"/>
                <w:szCs w:val="13"/>
                <w:b w:val="1"/>
                <w:bCs w:val="1"/>
                <w:color w:val="auto"/>
              </w:rPr>
              <w:t>Defined Benefit Pension Plans</w:t>
            </w:r>
          </w:p>
        </w:tc>
        <w:tc>
          <w:tcPr>
            <w:tcW w:w="260" w:type="dxa"/>
            <w:vAlign w:val="bottom"/>
          </w:tcPr>
          <w:p>
            <w:pPr>
              <w:spacing w:after="0"/>
              <w:rPr>
                <w:sz w:val="15"/>
                <w:szCs w:val="15"/>
                <w:color w:val="auto"/>
              </w:rPr>
            </w:pPr>
          </w:p>
        </w:tc>
        <w:tc>
          <w:tcPr>
            <w:tcW w:w="2460" w:type="dxa"/>
            <w:vAlign w:val="bottom"/>
            <w:gridSpan w:val="5"/>
          </w:tcPr>
          <w:p>
            <w:pPr>
              <w:ind w:left="120"/>
              <w:spacing w:after="0"/>
              <w:rPr>
                <w:sz w:val="20"/>
                <w:szCs w:val="20"/>
                <w:color w:val="auto"/>
              </w:rPr>
            </w:pPr>
            <w:r>
              <w:rPr>
                <w:rFonts w:ascii="Arial" w:cs="Arial" w:eastAsia="Arial" w:hAnsi="Arial"/>
                <w:sz w:val="13"/>
                <w:szCs w:val="13"/>
                <w:b w:val="1"/>
                <w:bCs w:val="1"/>
                <w:color w:val="auto"/>
              </w:rPr>
              <w:t>Postretirement Benefit Plans</w:t>
            </w:r>
          </w:p>
        </w:tc>
        <w:tc>
          <w:tcPr>
            <w:tcW w:w="200" w:type="dxa"/>
            <w:vAlign w:val="bottom"/>
          </w:tcPr>
          <w:p>
            <w:pPr>
              <w:spacing w:after="0"/>
              <w:rPr>
                <w:sz w:val="15"/>
                <w:szCs w:val="15"/>
                <w:color w:val="auto"/>
              </w:rPr>
            </w:pPr>
          </w:p>
        </w:tc>
        <w:tc>
          <w:tcPr>
            <w:tcW w:w="2300" w:type="dxa"/>
            <w:vAlign w:val="bottom"/>
            <w:gridSpan w:val="4"/>
          </w:tcPr>
          <w:p>
            <w:pPr>
              <w:jc w:val="right"/>
              <w:ind w:right="141"/>
              <w:spacing w:after="0"/>
              <w:rPr>
                <w:sz w:val="20"/>
                <w:szCs w:val="20"/>
                <w:color w:val="auto"/>
              </w:rPr>
            </w:pPr>
            <w:r>
              <w:rPr>
                <w:rFonts w:ascii="Arial" w:cs="Arial" w:eastAsia="Arial" w:hAnsi="Arial"/>
                <w:sz w:val="13"/>
                <w:szCs w:val="13"/>
                <w:b w:val="1"/>
                <w:bCs w:val="1"/>
                <w:color w:val="auto"/>
              </w:rPr>
              <w:t>Supplemental Retirement Plans</w:t>
            </w:r>
          </w:p>
        </w:tc>
      </w:tr>
      <w:tr>
        <w:trPr>
          <w:trHeight w:val="192"/>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2019</w:t>
            </w:r>
          </w:p>
        </w:tc>
      </w:tr>
      <w:tr>
        <w:trPr>
          <w:trHeight w:val="226"/>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Prior service cost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r>
      <w:tr>
        <w:trPr>
          <w:trHeight w:val="224"/>
        </w:trPr>
        <w:tc>
          <w:tcPr>
            <w:tcW w:w="3300" w:type="dxa"/>
            <w:vAlign w:val="bottom"/>
          </w:tcPr>
          <w:p>
            <w:pPr>
              <w:ind w:left="20"/>
              <w:spacing w:after="0"/>
              <w:rPr>
                <w:sz w:val="20"/>
                <w:szCs w:val="20"/>
                <w:color w:val="auto"/>
              </w:rPr>
            </w:pPr>
            <w:r>
              <w:rPr>
                <w:rFonts w:ascii="Arial" w:cs="Arial" w:eastAsia="Arial" w:hAnsi="Arial"/>
                <w:sz w:val="17"/>
                <w:szCs w:val="17"/>
                <w:color w:val="auto"/>
              </w:rPr>
              <w:t>Net actuarial loss (gain)</w:t>
            </w:r>
          </w:p>
        </w:tc>
        <w:tc>
          <w:tcPr>
            <w:tcW w:w="220" w:type="dxa"/>
            <w:vAlign w:val="bottom"/>
          </w:tcPr>
          <w:p>
            <w:pPr>
              <w:spacing w:after="0"/>
              <w:rPr>
                <w:sz w:val="19"/>
                <w:szCs w:val="19"/>
                <w:color w:val="auto"/>
              </w:rPr>
            </w:pPr>
          </w:p>
        </w:tc>
        <w:tc>
          <w:tcPr>
            <w:tcW w:w="960" w:type="dxa"/>
            <w:vAlign w:val="bottom"/>
          </w:tcPr>
          <w:p>
            <w:pPr>
              <w:jc w:val="right"/>
              <w:ind w:right="44"/>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9</w:t>
            </w:r>
          </w:p>
        </w:tc>
      </w:tr>
      <w:tr>
        <w:trPr>
          <w:trHeight w:val="25"/>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8"/>
        </w:trPr>
        <w:tc>
          <w:tcPr>
            <w:tcW w:w="330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b w:val="1"/>
                <w:bCs w:val="1"/>
                <w:color w:val="auto"/>
                <w:w w:val="98"/>
              </w:rPr>
              <w:t>Total amount recognized in accumulated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5"/>
        </w:trPr>
        <w:tc>
          <w:tcPr>
            <w:tcW w:w="352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 xml:space="preserve">other comprehensive losses (earnings) </w:t>
            </w:r>
            <w:r>
              <w:rPr>
                <w:rFonts w:ascii="Arial" w:cs="Arial" w:eastAsia="Arial" w:hAnsi="Arial"/>
                <w:sz w:val="17"/>
                <w:szCs w:val="17"/>
                <w:color w:val="auto"/>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9</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The aggregate accumulated benefit obligation (“ABO”) for the Company's defined benefit pension plans combined was $ 249 million and $285 million at December 31, 2020 and 2019, respectively. The ABO represents benefits accrued without assuming future compensation increases to plan participants and is approximately equal to our projected benefit obligation (“PBO”).The table below presents information for the pension plans with an ABO and PBO in excess of the fair value of plan assets at December 31, 2020 and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6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2020</w:t>
            </w:r>
          </w:p>
        </w:tc>
        <w:tc>
          <w:tcPr>
            <w:tcW w:w="14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Arial" w:cs="Arial" w:eastAsia="Arial" w:hAnsi="Arial"/>
                <w:sz w:val="13"/>
                <w:szCs w:val="13"/>
                <w:b w:val="1"/>
                <w:bCs w:val="1"/>
                <w:color w:val="auto"/>
              </w:rPr>
              <w:t>December 31, 2019</w:t>
            </w:r>
          </w:p>
        </w:tc>
      </w:tr>
      <w:tr>
        <w:trPr>
          <w:trHeight w:val="226"/>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Projected benefit obligation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Accumulated benefit obligation</w:t>
            </w:r>
          </w:p>
        </w:tc>
        <w:tc>
          <w:tcPr>
            <w:tcW w:w="16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7"/>
                <w:szCs w:val="17"/>
                <w:color w:val="auto"/>
              </w:rPr>
              <w:t>249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285</w:t>
            </w:r>
          </w:p>
        </w:tc>
      </w:tr>
      <w:tr>
        <w:trPr>
          <w:trHeight w:val="25"/>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5"/>
        </w:trPr>
        <w:tc>
          <w:tcPr>
            <w:tcW w:w="8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ind w:right="280" w:firstLine="299"/>
        <w:spacing w:after="0" w:line="250" w:lineRule="auto"/>
        <w:rPr>
          <w:sz w:val="20"/>
          <w:szCs w:val="20"/>
          <w:color w:val="auto"/>
        </w:rPr>
      </w:pPr>
      <w:r>
        <w:rPr>
          <w:rFonts w:ascii="Arial" w:cs="Arial" w:eastAsia="Arial" w:hAnsi="Arial"/>
          <w:sz w:val="17"/>
          <w:szCs w:val="17"/>
          <w:color w:val="auto"/>
        </w:rPr>
        <w:t>The following table summarizes the weighted average actuarial assumptions used to determine our benefit obligations at December 31, 2020 and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276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Defined Benefit Pension Plans</w:t>
            </w:r>
          </w:p>
        </w:tc>
        <w:tc>
          <w:tcPr>
            <w:tcW w:w="100" w:type="dxa"/>
            <w:vAlign w:val="bottom"/>
          </w:tcPr>
          <w:p>
            <w:pPr>
              <w:spacing w:after="0"/>
              <w:rPr>
                <w:sz w:val="15"/>
                <w:szCs w:val="15"/>
                <w:color w:val="auto"/>
              </w:rPr>
            </w:pPr>
          </w:p>
        </w:tc>
        <w:tc>
          <w:tcPr>
            <w:tcW w:w="27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3"/>
                <w:szCs w:val="13"/>
                <w:b w:val="1"/>
                <w:bCs w:val="1"/>
                <w:color w:val="auto"/>
              </w:rPr>
              <w:t>Postretirement Benefit Plans</w:t>
            </w:r>
          </w:p>
        </w:tc>
        <w:tc>
          <w:tcPr>
            <w:tcW w:w="80" w:type="dxa"/>
            <w:vAlign w:val="bottom"/>
          </w:tcPr>
          <w:p>
            <w:pPr>
              <w:spacing w:after="0"/>
              <w:rPr>
                <w:sz w:val="15"/>
                <w:szCs w:val="15"/>
                <w:color w:val="auto"/>
              </w:rPr>
            </w:pPr>
          </w:p>
        </w:tc>
        <w:tc>
          <w:tcPr>
            <w:tcW w:w="280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rPr>
              <w:t>Supplemental Retirement Plans</w:t>
            </w:r>
          </w:p>
        </w:tc>
      </w:tr>
      <w:tr>
        <w:trPr>
          <w:trHeight w:val="192"/>
        </w:trPr>
        <w:tc>
          <w:tcPr>
            <w:tcW w:w="3580" w:type="dxa"/>
            <w:vAlign w:val="bottom"/>
            <w:gridSpan w:val="2"/>
          </w:tcPr>
          <w:p>
            <w:pPr>
              <w:ind w:left="3240"/>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ind w:left="52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6"/>
                <w:szCs w:val="16"/>
                <w:color w:val="auto"/>
              </w:rPr>
            </w:pPr>
          </w:p>
        </w:tc>
        <w:tc>
          <w:tcPr>
            <w:tcW w:w="1340" w:type="dxa"/>
            <w:vAlign w:val="bottom"/>
          </w:tcPr>
          <w:p>
            <w:pPr>
              <w:jc w:val="right"/>
              <w:ind w:right="441"/>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6"/>
                <w:szCs w:val="16"/>
                <w:color w:val="auto"/>
              </w:rPr>
            </w:pPr>
          </w:p>
        </w:tc>
        <w:tc>
          <w:tcPr>
            <w:tcW w:w="1360" w:type="dxa"/>
            <w:vAlign w:val="bottom"/>
          </w:tcPr>
          <w:p>
            <w:pPr>
              <w:ind w:left="5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c>
          <w:tcPr>
            <w:tcW w:w="1340" w:type="dxa"/>
            <w:vAlign w:val="bottom"/>
          </w:tcPr>
          <w:p>
            <w:pPr>
              <w:ind w:left="520"/>
              <w:spacing w:after="0"/>
              <w:rPr>
                <w:sz w:val="20"/>
                <w:szCs w:val="20"/>
                <w:color w:val="auto"/>
              </w:rPr>
            </w:pPr>
            <w:r>
              <w:rPr>
                <w:rFonts w:ascii="Arial" w:cs="Arial" w:eastAsia="Arial" w:hAnsi="Arial"/>
                <w:sz w:val="13"/>
                <w:szCs w:val="13"/>
                <w:b w:val="1"/>
                <w:bCs w:val="1"/>
                <w:color w:val="auto"/>
              </w:rPr>
              <w:t>2019</w:t>
            </w:r>
          </w:p>
        </w:tc>
      </w:tr>
      <w:tr>
        <w:trPr>
          <w:trHeight w:val="214"/>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Rate assumptions</w:t>
            </w: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7"/>
                <w:szCs w:val="17"/>
                <w:color w:val="auto"/>
              </w:rPr>
              <w:t>Discount rate</w:t>
            </w:r>
          </w:p>
        </w:tc>
        <w:tc>
          <w:tcPr>
            <w:tcW w:w="480" w:type="dxa"/>
            <w:vAlign w:val="bottom"/>
          </w:tcPr>
          <w:p>
            <w:pPr>
              <w:ind w:left="20"/>
              <w:spacing w:after="0"/>
              <w:rPr>
                <w:sz w:val="20"/>
                <w:szCs w:val="20"/>
                <w:color w:val="auto"/>
              </w:rPr>
            </w:pPr>
            <w:r>
              <w:rPr>
                <w:rFonts w:ascii="Arial" w:cs="Arial" w:eastAsia="Arial" w:hAnsi="Arial"/>
                <w:sz w:val="17"/>
                <w:szCs w:val="17"/>
                <w:color w:val="auto"/>
              </w:rPr>
              <w:t>2.4 %</w:t>
            </w:r>
          </w:p>
        </w:tc>
        <w:tc>
          <w:tcPr>
            <w:tcW w:w="80" w:type="dxa"/>
            <w:vAlign w:val="bottom"/>
          </w:tcPr>
          <w:p>
            <w:pPr>
              <w:spacing w:after="0"/>
              <w:rPr>
                <w:sz w:val="19"/>
                <w:szCs w:val="19"/>
                <w:color w:val="auto"/>
              </w:rPr>
            </w:pPr>
          </w:p>
        </w:tc>
        <w:tc>
          <w:tcPr>
            <w:tcW w:w="1340" w:type="dxa"/>
            <w:vAlign w:val="bottom"/>
          </w:tcPr>
          <w:p>
            <w:pPr>
              <w:ind w:left="900"/>
              <w:spacing w:after="0"/>
              <w:rPr>
                <w:sz w:val="20"/>
                <w:szCs w:val="20"/>
                <w:color w:val="auto"/>
              </w:rPr>
            </w:pPr>
            <w:r>
              <w:rPr>
                <w:rFonts w:ascii="Arial" w:cs="Arial" w:eastAsia="Arial" w:hAnsi="Arial"/>
                <w:sz w:val="17"/>
                <w:szCs w:val="17"/>
                <w:color w:val="auto"/>
                <w:w w:val="96"/>
              </w:rPr>
              <w:t>2.7 %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2.9 %</w:t>
            </w:r>
          </w:p>
        </w:tc>
        <w:tc>
          <w:tcPr>
            <w:tcW w:w="80" w:type="dxa"/>
            <w:vAlign w:val="bottom"/>
          </w:tcPr>
          <w:p>
            <w:pPr>
              <w:spacing w:after="0"/>
              <w:rPr>
                <w:sz w:val="19"/>
                <w:szCs w:val="19"/>
                <w:color w:val="auto"/>
              </w:rPr>
            </w:pPr>
          </w:p>
        </w:tc>
        <w:tc>
          <w:tcPr>
            <w:tcW w:w="1360" w:type="dxa"/>
            <w:vAlign w:val="bottom"/>
          </w:tcPr>
          <w:p>
            <w:pPr>
              <w:ind w:left="920"/>
              <w:spacing w:after="0"/>
              <w:rPr>
                <w:sz w:val="20"/>
                <w:szCs w:val="20"/>
                <w:color w:val="auto"/>
              </w:rPr>
            </w:pPr>
            <w:r>
              <w:rPr>
                <w:rFonts w:ascii="Arial" w:cs="Arial" w:eastAsia="Arial" w:hAnsi="Arial"/>
                <w:sz w:val="17"/>
                <w:szCs w:val="17"/>
                <w:color w:val="auto"/>
                <w:w w:val="96"/>
              </w:rPr>
              <w:t>2.5 %</w:t>
            </w:r>
          </w:p>
        </w:tc>
        <w:tc>
          <w:tcPr>
            <w:tcW w:w="100" w:type="dxa"/>
            <w:vAlign w:val="bottom"/>
          </w:tcPr>
          <w:p>
            <w:pPr>
              <w:spacing w:after="0"/>
              <w:rPr>
                <w:sz w:val="19"/>
                <w:szCs w:val="19"/>
                <w:color w:val="auto"/>
              </w:rPr>
            </w:pPr>
          </w:p>
        </w:tc>
        <w:tc>
          <w:tcPr>
            <w:tcW w:w="1340" w:type="dxa"/>
            <w:vAlign w:val="bottom"/>
          </w:tcPr>
          <w:p>
            <w:pPr>
              <w:ind w:left="900"/>
              <w:spacing w:after="0"/>
              <w:rPr>
                <w:sz w:val="20"/>
                <w:szCs w:val="20"/>
                <w:color w:val="auto"/>
              </w:rPr>
            </w:pPr>
            <w:r>
              <w:rPr>
                <w:rFonts w:ascii="Arial" w:cs="Arial" w:eastAsia="Arial" w:hAnsi="Arial"/>
                <w:sz w:val="17"/>
                <w:szCs w:val="17"/>
                <w:color w:val="auto"/>
                <w:w w:val="96"/>
              </w:rPr>
              <w:t>2.6 %</w:t>
            </w:r>
          </w:p>
        </w:tc>
      </w:tr>
      <w:tr>
        <w:trPr>
          <w:trHeight w:val="25"/>
        </w:trPr>
        <w:tc>
          <w:tcPr>
            <w:tcW w:w="2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in future compensation</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05"/>
        </w:trPr>
        <w:tc>
          <w:tcPr>
            <w:tcW w:w="3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levels</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N/A</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7"/>
                <w:szCs w:val="17"/>
                <w:color w:val="auto"/>
              </w:rPr>
              <w:t>N/A</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7"/>
                <w:szCs w:val="17"/>
                <w:color w:val="auto"/>
              </w:rPr>
              <w:t>N/A</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7"/>
                <w:szCs w:val="17"/>
                <w:color w:val="auto"/>
              </w:rPr>
              <w:t>N/A</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7"/>
                <w:szCs w:val="17"/>
                <w:color w:val="auto"/>
              </w:rPr>
              <w:t>N/A</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w w:val="91"/>
              </w:rPr>
              <w:t>N/A</w:t>
            </w:r>
          </w:p>
        </w:tc>
      </w:tr>
      <w:tr>
        <w:trPr>
          <w:trHeight w:val="223"/>
        </w:trPr>
        <w:tc>
          <w:tcPr>
            <w:tcW w:w="3580" w:type="dxa"/>
            <w:vAlign w:val="bottom"/>
            <w:gridSpan w:val="2"/>
          </w:tcPr>
          <w:p>
            <w:pPr>
              <w:ind w:left="20"/>
              <w:spacing w:after="0"/>
              <w:rPr>
                <w:sz w:val="20"/>
                <w:szCs w:val="20"/>
                <w:color w:val="auto"/>
              </w:rPr>
            </w:pPr>
            <w:r>
              <w:rPr>
                <w:rFonts w:ascii="Arial" w:cs="Arial" w:eastAsia="Arial" w:hAnsi="Arial"/>
                <w:sz w:val="17"/>
                <w:szCs w:val="17"/>
                <w:color w:val="auto"/>
              </w:rPr>
              <w:t>Expected long-term return on plan</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0"/>
        </w:trPr>
        <w:tc>
          <w:tcPr>
            <w:tcW w:w="3580" w:type="dxa"/>
            <w:vAlign w:val="bottom"/>
            <w:gridSpan w:val="2"/>
          </w:tcPr>
          <w:p>
            <w:pPr>
              <w:ind w:left="160"/>
              <w:spacing w:after="0"/>
              <w:rPr>
                <w:sz w:val="20"/>
                <w:szCs w:val="20"/>
                <w:color w:val="auto"/>
              </w:rPr>
            </w:pPr>
            <w:r>
              <w:rPr>
                <w:rFonts w:ascii="Arial" w:cs="Arial" w:eastAsia="Arial" w:hAnsi="Arial"/>
                <w:sz w:val="17"/>
                <w:szCs w:val="17"/>
                <w:color w:val="auto"/>
              </w:rPr>
              <w:t>assets</w:t>
            </w:r>
          </w:p>
        </w:tc>
        <w:tc>
          <w:tcPr>
            <w:tcW w:w="480" w:type="dxa"/>
            <w:vAlign w:val="bottom"/>
          </w:tcPr>
          <w:p>
            <w:pPr>
              <w:ind w:left="20"/>
              <w:spacing w:after="0"/>
              <w:rPr>
                <w:sz w:val="20"/>
                <w:szCs w:val="20"/>
                <w:color w:val="auto"/>
              </w:rPr>
            </w:pPr>
            <w:r>
              <w:rPr>
                <w:rFonts w:ascii="Arial" w:cs="Arial" w:eastAsia="Arial" w:hAnsi="Arial"/>
                <w:sz w:val="17"/>
                <w:szCs w:val="17"/>
                <w:color w:val="auto"/>
              </w:rPr>
              <w:t>6.4 %</w:t>
            </w:r>
          </w:p>
        </w:tc>
        <w:tc>
          <w:tcPr>
            <w:tcW w:w="80" w:type="dxa"/>
            <w:vAlign w:val="bottom"/>
          </w:tcPr>
          <w:p>
            <w:pPr>
              <w:spacing w:after="0"/>
              <w:rPr>
                <w:sz w:val="17"/>
                <w:szCs w:val="17"/>
                <w:color w:val="auto"/>
              </w:rPr>
            </w:pPr>
          </w:p>
        </w:tc>
        <w:tc>
          <w:tcPr>
            <w:tcW w:w="1340" w:type="dxa"/>
            <w:vAlign w:val="bottom"/>
          </w:tcPr>
          <w:p>
            <w:pPr>
              <w:ind w:left="900"/>
              <w:spacing w:after="0"/>
              <w:rPr>
                <w:sz w:val="20"/>
                <w:szCs w:val="20"/>
                <w:color w:val="auto"/>
              </w:rPr>
            </w:pPr>
            <w:r>
              <w:rPr>
                <w:rFonts w:ascii="Arial" w:cs="Arial" w:eastAsia="Arial" w:hAnsi="Arial"/>
                <w:sz w:val="17"/>
                <w:szCs w:val="17"/>
                <w:color w:val="auto"/>
                <w:w w:val="96"/>
              </w:rPr>
              <w:t>6.3 %</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6.4 %</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5.8 %</w:t>
            </w:r>
          </w:p>
        </w:tc>
        <w:tc>
          <w:tcPr>
            <w:tcW w:w="80" w:type="dxa"/>
            <w:vAlign w:val="bottom"/>
          </w:tcPr>
          <w:p>
            <w:pPr>
              <w:spacing w:after="0"/>
              <w:rPr>
                <w:sz w:val="17"/>
                <w:szCs w:val="17"/>
                <w:color w:val="auto"/>
              </w:rPr>
            </w:pPr>
          </w:p>
        </w:tc>
        <w:tc>
          <w:tcPr>
            <w:tcW w:w="1460" w:type="dxa"/>
            <w:vAlign w:val="bottom"/>
            <w:gridSpan w:val="2"/>
          </w:tcPr>
          <w:p>
            <w:pPr>
              <w:ind w:left="1080"/>
              <w:spacing w:after="0"/>
              <w:rPr>
                <w:sz w:val="20"/>
                <w:szCs w:val="20"/>
                <w:color w:val="auto"/>
              </w:rPr>
            </w:pPr>
            <w:r>
              <w:rPr>
                <w:rFonts w:ascii="Arial" w:cs="Arial" w:eastAsia="Arial" w:hAnsi="Arial"/>
                <w:sz w:val="17"/>
                <w:szCs w:val="17"/>
                <w:color w:val="auto"/>
              </w:rPr>
              <w:t>N/A</w:t>
            </w:r>
          </w:p>
        </w:tc>
        <w:tc>
          <w:tcPr>
            <w:tcW w:w="1340" w:type="dxa"/>
            <w:vAlign w:val="bottom"/>
          </w:tcPr>
          <w:p>
            <w:pPr>
              <w:ind w:left="1060"/>
              <w:spacing w:after="0"/>
              <w:rPr>
                <w:sz w:val="20"/>
                <w:szCs w:val="20"/>
                <w:color w:val="auto"/>
              </w:rPr>
            </w:pPr>
            <w:r>
              <w:rPr>
                <w:rFonts w:ascii="Arial" w:cs="Arial" w:eastAsia="Arial" w:hAnsi="Arial"/>
                <w:sz w:val="17"/>
                <w:szCs w:val="17"/>
                <w:color w:val="auto"/>
                <w:w w:val="91"/>
              </w:rPr>
              <w:t>N/A</w:t>
            </w:r>
          </w:p>
        </w:tc>
      </w:tr>
      <w:tr>
        <w:trPr>
          <w:trHeight w:val="25"/>
        </w:trPr>
        <w:tc>
          <w:tcPr>
            <w:tcW w:w="2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Health care trend rate assumed for</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05"/>
        </w:trPr>
        <w:tc>
          <w:tcPr>
            <w:tcW w:w="3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next year</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N/A</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7"/>
                <w:szCs w:val="17"/>
                <w:color w:val="auto"/>
              </w:rPr>
              <w:t>N/A</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5.8 %</w:t>
            </w:r>
          </w:p>
        </w:tc>
        <w:tc>
          <w:tcPr>
            <w:tcW w:w="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7"/>
                <w:szCs w:val="17"/>
                <w:color w:val="auto"/>
              </w:rPr>
              <w:t>N/A</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w w:val="91"/>
              </w:rPr>
              <w:t>N/A</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7"/>
                <w:szCs w:val="17"/>
                <w:color w:val="auto"/>
              </w:rPr>
              <w:t>Ultimate health care trend rate</w:t>
            </w:r>
          </w:p>
        </w:tc>
        <w:tc>
          <w:tcPr>
            <w:tcW w:w="560" w:type="dxa"/>
            <w:vAlign w:val="bottom"/>
            <w:gridSpan w:val="2"/>
          </w:tcPr>
          <w:p>
            <w:pPr>
              <w:ind w:left="180"/>
              <w:spacing w:after="0"/>
              <w:rPr>
                <w:sz w:val="20"/>
                <w:szCs w:val="20"/>
                <w:color w:val="auto"/>
              </w:rPr>
            </w:pPr>
            <w:r>
              <w:rPr>
                <w:rFonts w:ascii="Arial" w:cs="Arial" w:eastAsia="Arial" w:hAnsi="Arial"/>
                <w:sz w:val="17"/>
                <w:szCs w:val="17"/>
                <w:color w:val="auto"/>
              </w:rPr>
              <w:t>N/A</w:t>
            </w:r>
          </w:p>
        </w:tc>
        <w:tc>
          <w:tcPr>
            <w:tcW w:w="1440" w:type="dxa"/>
            <w:vAlign w:val="bottom"/>
            <w:gridSpan w:val="2"/>
          </w:tcPr>
          <w:p>
            <w:pPr>
              <w:ind w:left="1060"/>
              <w:spacing w:after="0"/>
              <w:rPr>
                <w:sz w:val="20"/>
                <w:szCs w:val="20"/>
                <w:color w:val="auto"/>
              </w:rPr>
            </w:pPr>
            <w:r>
              <w:rPr>
                <w:rFonts w:ascii="Arial" w:cs="Arial" w:eastAsia="Arial" w:hAnsi="Arial"/>
                <w:sz w:val="17"/>
                <w:szCs w:val="17"/>
                <w:color w:val="auto"/>
              </w:rPr>
              <w:t>N/A</w:t>
            </w:r>
          </w:p>
        </w:tc>
        <w:tc>
          <w:tcPr>
            <w:tcW w:w="1340" w:type="dxa"/>
            <w:vAlign w:val="bottom"/>
          </w:tcPr>
          <w:p>
            <w:pPr>
              <w:jc w:val="right"/>
              <w:spacing w:after="0"/>
              <w:rPr>
                <w:sz w:val="20"/>
                <w:szCs w:val="20"/>
                <w:color w:val="auto"/>
              </w:rPr>
            </w:pPr>
            <w:r>
              <w:rPr>
                <w:rFonts w:ascii="Arial" w:cs="Arial" w:eastAsia="Arial" w:hAnsi="Arial"/>
                <w:sz w:val="17"/>
                <w:szCs w:val="17"/>
                <w:color w:val="auto"/>
              </w:rPr>
              <w:t>4.3 %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4.5 %</w:t>
            </w:r>
          </w:p>
        </w:tc>
        <w:tc>
          <w:tcPr>
            <w:tcW w:w="80" w:type="dxa"/>
            <w:vAlign w:val="bottom"/>
          </w:tcPr>
          <w:p>
            <w:pPr>
              <w:spacing w:after="0"/>
              <w:rPr>
                <w:sz w:val="19"/>
                <w:szCs w:val="19"/>
                <w:color w:val="auto"/>
              </w:rPr>
            </w:pPr>
          </w:p>
        </w:tc>
        <w:tc>
          <w:tcPr>
            <w:tcW w:w="1460" w:type="dxa"/>
            <w:vAlign w:val="bottom"/>
            <w:gridSpan w:val="2"/>
          </w:tcPr>
          <w:p>
            <w:pPr>
              <w:ind w:left="1080"/>
              <w:spacing w:after="0"/>
              <w:rPr>
                <w:sz w:val="20"/>
                <w:szCs w:val="20"/>
                <w:color w:val="auto"/>
              </w:rPr>
            </w:pPr>
            <w:r>
              <w:rPr>
                <w:rFonts w:ascii="Arial" w:cs="Arial" w:eastAsia="Arial" w:hAnsi="Arial"/>
                <w:sz w:val="17"/>
                <w:szCs w:val="17"/>
                <w:color w:val="auto"/>
              </w:rPr>
              <w:t>N/A</w:t>
            </w:r>
          </w:p>
        </w:tc>
        <w:tc>
          <w:tcPr>
            <w:tcW w:w="1340" w:type="dxa"/>
            <w:vAlign w:val="bottom"/>
          </w:tcPr>
          <w:p>
            <w:pPr>
              <w:ind w:left="1060"/>
              <w:spacing w:after="0"/>
              <w:rPr>
                <w:sz w:val="20"/>
                <w:szCs w:val="20"/>
                <w:color w:val="auto"/>
              </w:rPr>
            </w:pPr>
            <w:r>
              <w:rPr>
                <w:rFonts w:ascii="Arial" w:cs="Arial" w:eastAsia="Arial" w:hAnsi="Arial"/>
                <w:sz w:val="17"/>
                <w:szCs w:val="17"/>
                <w:color w:val="auto"/>
                <w:w w:val="91"/>
              </w:rPr>
              <w:t>N/A</w:t>
            </w:r>
          </w:p>
        </w:tc>
      </w:tr>
      <w:tr>
        <w:trPr>
          <w:trHeight w:val="25"/>
        </w:trPr>
        <w:tc>
          <w:tcPr>
            <w:tcW w:w="2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Year rate reaches ultimate trend rate</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N/A</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N/A</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N/A</w:t>
            </w:r>
          </w:p>
        </w:tc>
        <w:tc>
          <w:tcPr>
            <w:tcW w:w="134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1"/>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240"/>
          </w:cols>
          <w:pgMar w:left="320" w:top="492" w:right="339" w:bottom="1440" w:gutter="0" w:footer="0" w:header="0"/>
        </w:sectPr>
      </w:pPr>
    </w:p>
    <w:bookmarkStart w:id="232" w:name="page233"/>
    <w:bookmarkEnd w:id="232"/>
    <w:p>
      <w:pPr>
        <w:jc w:val="center"/>
        <w:ind w:right="12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40" w:firstLine="299"/>
        <w:spacing w:after="0" w:line="250" w:lineRule="auto"/>
        <w:rPr>
          <w:sz w:val="20"/>
          <w:szCs w:val="20"/>
          <w:color w:val="auto"/>
        </w:rPr>
      </w:pPr>
      <w:r>
        <w:rPr>
          <w:rFonts w:ascii="Arial" w:cs="Arial" w:eastAsia="Arial" w:hAnsi="Arial"/>
          <w:sz w:val="17"/>
          <w:szCs w:val="17"/>
          <w:color w:val="auto"/>
        </w:rPr>
        <w:t>The following table summarizes the components of net periodic benefit cost for the Company's pension, postretirement and supplemental retirement plans for the years ended December 31, 2020, 2019 and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2460" w:type="dxa"/>
            <w:vAlign w:val="bottom"/>
            <w:gridSpan w:val="7"/>
          </w:tcPr>
          <w:p>
            <w:pPr>
              <w:jc w:val="right"/>
              <w:ind w:right="63"/>
              <w:spacing w:after="0"/>
              <w:rPr>
                <w:sz w:val="20"/>
                <w:szCs w:val="20"/>
                <w:color w:val="auto"/>
              </w:rPr>
            </w:pPr>
            <w:r>
              <w:rPr>
                <w:rFonts w:ascii="Arial" w:cs="Arial" w:eastAsia="Arial" w:hAnsi="Arial"/>
                <w:sz w:val="13"/>
                <w:szCs w:val="13"/>
                <w:b w:val="1"/>
                <w:bCs w:val="1"/>
                <w:color w:val="auto"/>
              </w:rPr>
              <w:t>Defined Benefit Pension Plans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8"/>
          </w:tcPr>
          <w:p>
            <w:pPr>
              <w:ind w:left="260"/>
              <w:spacing w:after="0"/>
              <w:rPr>
                <w:sz w:val="20"/>
                <w:szCs w:val="20"/>
                <w:color w:val="auto"/>
              </w:rPr>
            </w:pPr>
            <w:r>
              <w:rPr>
                <w:rFonts w:ascii="Arial" w:cs="Arial" w:eastAsia="Arial" w:hAnsi="Arial"/>
                <w:sz w:val="13"/>
                <w:szCs w:val="13"/>
                <w:b w:val="1"/>
                <w:bCs w:val="1"/>
                <w:color w:val="auto"/>
              </w:rPr>
              <w:t>Postretirement Benefit Plans</w:t>
            </w:r>
          </w:p>
        </w:tc>
        <w:tc>
          <w:tcPr>
            <w:tcW w:w="180" w:type="dxa"/>
            <w:vAlign w:val="bottom"/>
          </w:tcPr>
          <w:p>
            <w:pPr>
              <w:spacing w:after="0"/>
              <w:rPr>
                <w:sz w:val="15"/>
                <w:szCs w:val="15"/>
                <w:color w:val="auto"/>
              </w:rPr>
            </w:pPr>
          </w:p>
        </w:tc>
        <w:tc>
          <w:tcPr>
            <w:tcW w:w="2520" w:type="dxa"/>
            <w:vAlign w:val="bottom"/>
            <w:gridSpan w:val="7"/>
          </w:tcPr>
          <w:p>
            <w:pPr>
              <w:jc w:val="right"/>
              <w:ind w:right="279"/>
              <w:spacing w:after="0"/>
              <w:rPr>
                <w:sz w:val="20"/>
                <w:szCs w:val="20"/>
                <w:color w:val="auto"/>
              </w:rPr>
            </w:pPr>
            <w:r>
              <w:rPr>
                <w:rFonts w:ascii="Arial" w:cs="Arial" w:eastAsia="Arial" w:hAnsi="Arial"/>
                <w:sz w:val="13"/>
                <w:szCs w:val="13"/>
                <w:b w:val="1"/>
                <w:bCs w:val="1"/>
                <w:color w:val="auto"/>
              </w:rPr>
              <w:t>Supplemental Retirement Plans</w:t>
            </w:r>
          </w:p>
        </w:tc>
      </w:tr>
      <w:tr>
        <w:trPr>
          <w:trHeight w:val="192"/>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2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2018</w:t>
            </w:r>
          </w:p>
        </w:tc>
      </w:tr>
      <w:tr>
        <w:trPr>
          <w:trHeight w:val="226"/>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58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600" w:type="dxa"/>
            <w:vAlign w:val="bottom"/>
            <w:tcBorders>
              <w:bottom w:val="single" w:sz="8" w:color="CCEEFF"/>
            </w:tcBorders>
            <w:shd w:val="clear" w:color="auto" w:fill="CCEEFF"/>
          </w:tcPr>
          <w:p>
            <w:pPr>
              <w:jc w:val="right"/>
              <w:ind w:right="40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600" w:type="dxa"/>
            <w:vAlign w:val="bottom"/>
            <w:tcBorders>
              <w:bottom w:val="single" w:sz="8" w:color="CCEEFF"/>
            </w:tcBorders>
            <w:shd w:val="clear" w:color="auto" w:fill="CCEEFF"/>
          </w:tcPr>
          <w:p>
            <w:pPr>
              <w:jc w:val="right"/>
              <w:ind w:right="423"/>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28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5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(7)</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880" w:type="dxa"/>
            <w:vAlign w:val="bottom"/>
          </w:tcPr>
          <w:p>
            <w:pPr>
              <w:ind w:left="20"/>
              <w:spacing w:after="0"/>
              <w:rPr>
                <w:sz w:val="20"/>
                <w:szCs w:val="20"/>
                <w:color w:val="auto"/>
              </w:rPr>
            </w:pPr>
            <w:r>
              <w:rPr>
                <w:rFonts w:ascii="Arial" w:cs="Arial" w:eastAsia="Arial" w:hAnsi="Arial"/>
                <w:sz w:val="17"/>
                <w:szCs w:val="17"/>
                <w:color w:val="auto"/>
              </w:rPr>
              <w:t>Amortization of net actuarial loss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0"/>
        </w:trPr>
        <w:tc>
          <w:tcPr>
            <w:tcW w:w="2880" w:type="dxa"/>
            <w:vAlign w:val="bottom"/>
          </w:tcPr>
          <w:p>
            <w:pPr>
              <w:ind w:left="160"/>
              <w:spacing w:after="0"/>
              <w:rPr>
                <w:sz w:val="20"/>
                <w:szCs w:val="20"/>
                <w:color w:val="auto"/>
              </w:rPr>
            </w:pPr>
            <w:r>
              <w:rPr>
                <w:rFonts w:ascii="Arial" w:cs="Arial" w:eastAsia="Arial" w:hAnsi="Arial"/>
                <w:sz w:val="17"/>
                <w:szCs w:val="17"/>
                <w:color w:val="auto"/>
              </w:rPr>
              <w:t>(gain)</w:t>
            </w:r>
          </w:p>
        </w:tc>
        <w:tc>
          <w:tcPr>
            <w:tcW w:w="5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ind w:left="440"/>
              <w:spacing w:after="0"/>
              <w:rPr>
                <w:sz w:val="20"/>
                <w:szCs w:val="20"/>
                <w:color w:val="auto"/>
              </w:rPr>
            </w:pPr>
            <w:r>
              <w:rPr>
                <w:rFonts w:ascii="Arial" w:cs="Arial" w:eastAsia="Arial" w:hAnsi="Arial"/>
                <w:sz w:val="17"/>
                <w:szCs w:val="17"/>
                <w:color w:val="auto"/>
                <w:w w:val="96"/>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service cost</w:t>
            </w:r>
          </w:p>
        </w:tc>
        <w:tc>
          <w:tcPr>
            <w:tcW w:w="5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6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6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2880" w:type="dxa"/>
            <w:vAlign w:val="bottom"/>
          </w:tcPr>
          <w:p>
            <w:pPr>
              <w:ind w:left="20"/>
              <w:spacing w:after="0"/>
              <w:rPr>
                <w:sz w:val="20"/>
                <w:szCs w:val="20"/>
                <w:color w:val="auto"/>
              </w:rPr>
            </w:pPr>
            <w:r>
              <w:rPr>
                <w:rFonts w:ascii="Arial" w:cs="Arial" w:eastAsia="Arial" w:hAnsi="Arial"/>
                <w:sz w:val="17"/>
                <w:szCs w:val="17"/>
                <w:color w:val="auto"/>
              </w:rPr>
              <w:t>Settlement expense (income)</w:t>
            </w: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w:t>
            </w:r>
          </w:p>
        </w:tc>
        <w:tc>
          <w:tcPr>
            <w:tcW w:w="6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1"/>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periodic benefit cost</w:t>
            </w:r>
          </w:p>
        </w:tc>
        <w:tc>
          <w:tcPr>
            <w:tcW w:w="580" w:type="dxa"/>
            <w:vAlign w:val="bottom"/>
            <w:shd w:val="clear" w:color="auto" w:fill="CCEEFF"/>
          </w:tcPr>
          <w:p>
            <w:pPr>
              <w:jc w:val="right"/>
              <w:ind w:right="38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0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7"/>
                <w:szCs w:val="17"/>
                <w:color w:val="auto"/>
                <w:w w:val="84"/>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6"/>
              </w:rPr>
              <w:t>(1)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180"/>
          </w:cols>
          <w:pgMar w:left="320" w:top="492" w:right="399" w:bottom="1440" w:gutter="0" w:footer="0" w:header="0"/>
        </w:sectPr>
      </w:pPr>
    </w:p>
    <w:bookmarkStart w:id="233" w:name="page234"/>
    <w:bookmarkEnd w:id="233"/>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other changes in plan assets and benefit obligations recognized in other comprehensive earnings for the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Company's pension, postretirement and supplemental retirement benefit plans for the years ended December 31, 2020, 2019 and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8"/>
          </w:tcPr>
          <w:p>
            <w:pPr>
              <w:ind w:left="180"/>
              <w:spacing w:after="0"/>
              <w:rPr>
                <w:sz w:val="20"/>
                <w:szCs w:val="20"/>
                <w:color w:val="auto"/>
              </w:rPr>
            </w:pPr>
            <w:r>
              <w:rPr>
                <w:rFonts w:ascii="Arial" w:cs="Arial" w:eastAsia="Arial" w:hAnsi="Arial"/>
                <w:sz w:val="13"/>
                <w:szCs w:val="13"/>
                <w:b w:val="1"/>
                <w:bCs w:val="1"/>
                <w:color w:val="auto"/>
              </w:rPr>
              <w:t>Defined Benefit Pension Plans</w:t>
            </w:r>
          </w:p>
        </w:tc>
        <w:tc>
          <w:tcPr>
            <w:tcW w:w="180" w:type="dxa"/>
            <w:vAlign w:val="bottom"/>
          </w:tcPr>
          <w:p>
            <w:pPr>
              <w:spacing w:after="0"/>
              <w:rPr>
                <w:sz w:val="15"/>
                <w:szCs w:val="15"/>
                <w:color w:val="auto"/>
              </w:rPr>
            </w:pPr>
          </w:p>
        </w:tc>
        <w:tc>
          <w:tcPr>
            <w:tcW w:w="2620" w:type="dxa"/>
            <w:vAlign w:val="bottom"/>
            <w:gridSpan w:val="8"/>
          </w:tcPr>
          <w:p>
            <w:pPr>
              <w:ind w:left="260"/>
              <w:spacing w:after="0"/>
              <w:rPr>
                <w:sz w:val="20"/>
                <w:szCs w:val="20"/>
                <w:color w:val="auto"/>
              </w:rPr>
            </w:pPr>
            <w:r>
              <w:rPr>
                <w:rFonts w:ascii="Arial" w:cs="Arial" w:eastAsia="Arial" w:hAnsi="Arial"/>
                <w:sz w:val="13"/>
                <w:szCs w:val="13"/>
                <w:b w:val="1"/>
                <w:bCs w:val="1"/>
                <w:color w:val="auto"/>
              </w:rPr>
              <w:t>Postretirement Benefit Plans</w:t>
            </w:r>
          </w:p>
        </w:tc>
        <w:tc>
          <w:tcPr>
            <w:tcW w:w="180" w:type="dxa"/>
            <w:vAlign w:val="bottom"/>
          </w:tcPr>
          <w:p>
            <w:pPr>
              <w:spacing w:after="0"/>
              <w:rPr>
                <w:sz w:val="15"/>
                <w:szCs w:val="15"/>
                <w:color w:val="auto"/>
              </w:rPr>
            </w:pPr>
          </w:p>
        </w:tc>
        <w:tc>
          <w:tcPr>
            <w:tcW w:w="2520" w:type="dxa"/>
            <w:vAlign w:val="bottom"/>
            <w:gridSpan w:val="7"/>
          </w:tcPr>
          <w:p>
            <w:pPr>
              <w:ind w:left="180"/>
              <w:spacing w:after="0"/>
              <w:rPr>
                <w:sz w:val="20"/>
                <w:szCs w:val="20"/>
                <w:color w:val="auto"/>
              </w:rPr>
            </w:pPr>
            <w:r>
              <w:rPr>
                <w:rFonts w:ascii="Arial" w:cs="Arial" w:eastAsia="Arial" w:hAnsi="Arial"/>
                <w:sz w:val="13"/>
                <w:szCs w:val="13"/>
                <w:b w:val="1"/>
                <w:bCs w:val="1"/>
                <w:color w:val="auto"/>
              </w:rPr>
              <w:t>Supplemental Retirement Plans</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actuarial (gain) loss</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6"/>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(1)</w:t>
            </w:r>
          </w:p>
        </w:tc>
        <w:tc>
          <w:tcPr>
            <w:tcW w:w="0" w:type="dxa"/>
            <w:vAlign w:val="bottom"/>
          </w:tcPr>
          <w:p>
            <w:pPr>
              <w:spacing w:after="0"/>
              <w:rPr>
                <w:sz w:val="1"/>
                <w:szCs w:val="1"/>
                <w:color w:val="auto"/>
              </w:rPr>
            </w:pPr>
          </w:p>
        </w:tc>
      </w:tr>
      <w:tr>
        <w:trPr>
          <w:trHeight w:val="249"/>
        </w:trPr>
        <w:tc>
          <w:tcPr>
            <w:tcW w:w="2960" w:type="dxa"/>
            <w:vAlign w:val="bottom"/>
          </w:tcPr>
          <w:p>
            <w:pPr>
              <w:ind w:left="20"/>
              <w:spacing w:after="0"/>
              <w:rPr>
                <w:sz w:val="20"/>
                <w:szCs w:val="20"/>
                <w:color w:val="auto"/>
              </w:rPr>
            </w:pPr>
            <w:r>
              <w:rPr>
                <w:rFonts w:ascii="Arial" w:cs="Arial" w:eastAsia="Arial" w:hAnsi="Arial"/>
                <w:sz w:val="17"/>
                <w:szCs w:val="17"/>
                <w:color w:val="auto"/>
              </w:rPr>
              <w:t>Prior service cost</w:t>
            </w:r>
          </w:p>
        </w:tc>
        <w:tc>
          <w:tcPr>
            <w:tcW w:w="200" w:type="dxa"/>
            <w:vAlign w:val="bottom"/>
          </w:tcPr>
          <w:p>
            <w:pPr>
              <w:spacing w:after="0"/>
              <w:rPr>
                <w:sz w:val="21"/>
                <w:szCs w:val="21"/>
                <w:color w:val="auto"/>
              </w:rPr>
            </w:pP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64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Amortization of net actuarial (loss) gain</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from prior years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2960" w:type="dxa"/>
            <w:vAlign w:val="bottom"/>
          </w:tcPr>
          <w:p>
            <w:pPr>
              <w:ind w:left="20"/>
              <w:spacing w:after="0"/>
              <w:rPr>
                <w:sz w:val="20"/>
                <w:szCs w:val="20"/>
                <w:color w:val="auto"/>
              </w:rPr>
            </w:pPr>
            <w:r>
              <w:rPr>
                <w:rFonts w:ascii="Arial" w:cs="Arial" w:eastAsia="Arial" w:hAnsi="Arial"/>
                <w:sz w:val="17"/>
                <w:szCs w:val="17"/>
                <w:color w:val="auto"/>
              </w:rPr>
              <w:t>Amortization of prior service cost</w:t>
            </w:r>
          </w:p>
        </w:tc>
        <w:tc>
          <w:tcPr>
            <w:tcW w:w="200" w:type="dxa"/>
            <w:vAlign w:val="bottom"/>
          </w:tcPr>
          <w:p>
            <w:pPr>
              <w:spacing w:after="0"/>
              <w:rPr>
                <w:sz w:val="21"/>
                <w:szCs w:val="21"/>
                <w:color w:val="auto"/>
              </w:rPr>
            </w:pP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64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960" w:type="dxa"/>
            <w:vAlign w:val="bottom"/>
          </w:tcPr>
          <w:p>
            <w:pPr>
              <w:ind w:left="220"/>
              <w:spacing w:after="0" w:line="183" w:lineRule="exact"/>
              <w:rPr>
                <w:sz w:val="20"/>
                <w:szCs w:val="20"/>
                <w:color w:val="auto"/>
              </w:rPr>
            </w:pPr>
            <w:r>
              <w:rPr>
                <w:rFonts w:ascii="Arial" w:cs="Arial" w:eastAsia="Arial" w:hAnsi="Arial"/>
                <w:sz w:val="17"/>
                <w:szCs w:val="17"/>
                <w:b w:val="1"/>
                <w:bCs w:val="1"/>
                <w:color w:val="auto"/>
              </w:rPr>
              <w:t>Total recognized in other</w:t>
            </w:r>
          </w:p>
        </w:tc>
        <w:tc>
          <w:tcPr>
            <w:tcW w:w="200" w:type="dxa"/>
            <w:vAlign w:val="bottom"/>
            <w:vMerge w:val="restart"/>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ind w:left="4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vMerge w:val="restart"/>
          </w:tcPr>
          <w:p>
            <w:pPr>
              <w:ind w:left="420"/>
              <w:spacing w:after="0"/>
              <w:rPr>
                <w:sz w:val="20"/>
                <w:szCs w:val="20"/>
                <w:color w:val="auto"/>
              </w:rPr>
            </w:pPr>
            <w:r>
              <w:rPr>
                <w:rFonts w:ascii="Arial" w:cs="Arial" w:eastAsia="Arial" w:hAnsi="Arial"/>
                <w:sz w:val="17"/>
                <w:szCs w:val="17"/>
                <w:color w:val="auto"/>
              </w:rPr>
              <w:t>—</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vMerge w:val="restart"/>
          </w:tcPr>
          <w:p>
            <w:pPr>
              <w:ind w:left="440"/>
              <w:spacing w:after="0"/>
              <w:rPr>
                <w:sz w:val="20"/>
                <w:szCs w:val="20"/>
                <w:color w:val="auto"/>
              </w:rPr>
            </w:pPr>
            <w:r>
              <w:rPr>
                <w:rFonts w:ascii="Arial" w:cs="Arial" w:eastAsia="Arial" w:hAnsi="Arial"/>
                <w:sz w:val="17"/>
                <w:szCs w:val="17"/>
                <w:color w:val="auto"/>
                <w:w w:val="96"/>
              </w:rPr>
              <w:t>(1)</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960" w:type="dxa"/>
            <w:vAlign w:val="bottom"/>
          </w:tcPr>
          <w:p>
            <w:pPr>
              <w:ind w:left="360"/>
              <w:spacing w:after="0"/>
              <w:rPr>
                <w:sz w:val="20"/>
                <w:szCs w:val="20"/>
                <w:color w:val="auto"/>
              </w:rPr>
            </w:pPr>
            <w:r>
              <w:rPr>
                <w:rFonts w:ascii="Arial" w:cs="Arial" w:eastAsia="Arial" w:hAnsi="Arial"/>
                <w:sz w:val="17"/>
                <w:szCs w:val="17"/>
                <w:b w:val="1"/>
                <w:bCs w:val="1"/>
                <w:color w:val="auto"/>
              </w:rPr>
              <w:t>comprehensive income</w:t>
            </w: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ind w:left="420"/>
              <w:spacing w:after="0"/>
              <w:rPr>
                <w:sz w:val="20"/>
                <w:szCs w:val="20"/>
                <w:color w:val="auto"/>
              </w:rPr>
            </w:pPr>
            <w:r>
              <w:rPr>
                <w:rFonts w:ascii="Arial" w:cs="Arial" w:eastAsia="Arial" w:hAnsi="Arial"/>
                <w:sz w:val="17"/>
                <w:szCs w:val="17"/>
                <w:color w:val="auto"/>
                <w:w w:val="96"/>
              </w:rPr>
              <w:t>(1)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(1) Includes foreign exchange translation.</w:t>
      </w:r>
    </w:p>
    <w:p>
      <w:pPr>
        <w:spacing w:after="0" w:line="149" w:lineRule="exact"/>
        <w:rPr>
          <w:sz w:val="20"/>
          <w:szCs w:val="20"/>
          <w:color w:val="auto"/>
        </w:rPr>
      </w:pPr>
    </w:p>
    <w:p>
      <w:pPr>
        <w:ind w:right="100" w:firstLine="299"/>
        <w:spacing w:after="0" w:line="250" w:lineRule="auto"/>
        <w:rPr>
          <w:sz w:val="20"/>
          <w:szCs w:val="20"/>
          <w:color w:val="auto"/>
        </w:rPr>
      </w:pPr>
      <w:r>
        <w:rPr>
          <w:rFonts w:ascii="Arial" w:cs="Arial" w:eastAsia="Arial" w:hAnsi="Arial"/>
          <w:sz w:val="17"/>
          <w:szCs w:val="17"/>
          <w:color w:val="auto"/>
        </w:rPr>
        <w:t>The following table summarizes the amounts expected to be amortized from accumulated other comprehensive loss and recognized as components of net periodic benefit costs during the year ended December 31,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tcPr>
          <w:p>
            <w:pPr>
              <w:spacing w:after="0"/>
              <w:rPr>
                <w:sz w:val="13"/>
                <w:szCs w:val="13"/>
                <w:color w:val="auto"/>
              </w:rPr>
            </w:pPr>
          </w:p>
        </w:tc>
        <w:tc>
          <w:tcPr>
            <w:tcW w:w="1660" w:type="dxa"/>
            <w:vAlign w:val="bottom"/>
            <w:gridSpan w:val="3"/>
          </w:tcPr>
          <w:p>
            <w:pPr>
              <w:ind w:left="20"/>
              <w:spacing w:after="0"/>
              <w:rPr>
                <w:sz w:val="20"/>
                <w:szCs w:val="20"/>
                <w:color w:val="auto"/>
              </w:rPr>
            </w:pPr>
            <w:r>
              <w:rPr>
                <w:rFonts w:ascii="Arial" w:cs="Arial" w:eastAsia="Arial" w:hAnsi="Arial"/>
                <w:sz w:val="13"/>
                <w:szCs w:val="13"/>
                <w:b w:val="1"/>
                <w:bCs w:val="1"/>
                <w:color w:val="auto"/>
              </w:rPr>
              <w:t>Defined Benefit Pension</w:t>
            </w:r>
          </w:p>
        </w:tc>
        <w:tc>
          <w:tcPr>
            <w:tcW w:w="16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Postretirement Benefit</w:t>
            </w:r>
          </w:p>
        </w:tc>
        <w:tc>
          <w:tcPr>
            <w:tcW w:w="180" w:type="dxa"/>
            <w:vAlign w:val="bottom"/>
          </w:tcPr>
          <w:p>
            <w:pPr>
              <w:spacing w:after="0"/>
              <w:rPr>
                <w:sz w:val="13"/>
                <w:szCs w:val="13"/>
                <w:color w:val="auto"/>
              </w:rPr>
            </w:pPr>
          </w:p>
        </w:tc>
        <w:tc>
          <w:tcPr>
            <w:tcW w:w="1400" w:type="dxa"/>
            <w:vAlign w:val="bottom"/>
          </w:tcPr>
          <w:p>
            <w:pPr>
              <w:jc w:val="center"/>
              <w:ind w:right="84"/>
              <w:spacing w:after="0"/>
              <w:rPr>
                <w:sz w:val="20"/>
                <w:szCs w:val="20"/>
                <w:color w:val="auto"/>
              </w:rPr>
            </w:pPr>
            <w:r>
              <w:rPr>
                <w:rFonts w:ascii="Arial" w:cs="Arial" w:eastAsia="Arial" w:hAnsi="Arial"/>
                <w:sz w:val="13"/>
                <w:szCs w:val="13"/>
                <w:b w:val="1"/>
                <w:bCs w:val="1"/>
                <w:color w:val="auto"/>
              </w:rPr>
              <w:t>Supplemental</w:t>
            </w:r>
          </w:p>
        </w:tc>
      </w:tr>
      <w:tr>
        <w:trPr>
          <w:trHeight w:val="181"/>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Plans</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81"/>
              <w:spacing w:after="0"/>
              <w:rPr>
                <w:sz w:val="20"/>
                <w:szCs w:val="20"/>
                <w:color w:val="auto"/>
              </w:rPr>
            </w:pPr>
            <w:r>
              <w:rPr>
                <w:rFonts w:ascii="Arial" w:cs="Arial" w:eastAsia="Arial" w:hAnsi="Arial"/>
                <w:sz w:val="13"/>
                <w:szCs w:val="13"/>
                <w:b w:val="1"/>
                <w:bCs w:val="1"/>
                <w:color w:val="auto"/>
                <w:w w:val="97"/>
              </w:rPr>
              <w:t>Plans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rPr>
              <w:t>Retirement Plans</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Prior service cost</w:t>
            </w:r>
          </w:p>
        </w:tc>
        <w:tc>
          <w:tcPr>
            <w:tcW w:w="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Net actuarial loss (gain)</w:t>
            </w:r>
          </w:p>
        </w:tc>
        <w:tc>
          <w:tcPr>
            <w:tcW w:w="36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7"/>
                <w:szCs w:val="17"/>
                <w:color w:val="auto"/>
                <w:w w:val="96"/>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ind w:left="1180"/>
              <w:spacing w:after="0"/>
              <w:rPr>
                <w:sz w:val="20"/>
                <w:szCs w:val="20"/>
                <w:color w:val="auto"/>
              </w:rPr>
            </w:pPr>
            <w:r>
              <w:rPr>
                <w:rFonts w:ascii="Arial" w:cs="Arial" w:eastAsia="Arial" w:hAnsi="Arial"/>
                <w:sz w:val="17"/>
                <w:szCs w:val="17"/>
                <w:color w:val="auto"/>
              </w:rPr>
              <w:t>—</w:t>
            </w:r>
          </w:p>
        </w:tc>
      </w:tr>
      <w:tr>
        <w:trPr>
          <w:trHeight w:val="25"/>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6"/>
        </w:trPr>
        <w:tc>
          <w:tcPr>
            <w:tcW w:w="6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7"/>
                <w:szCs w:val="17"/>
                <w:color w:val="auto"/>
                <w:w w:val="96"/>
              </w:rPr>
              <w:t>(1)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the weighted average actuarial assumptions used to determine our net periodic cost of the plans for the years ended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2019 and 2018:</w:t>
      </w:r>
    </w:p>
    <w:p>
      <w:pPr>
        <w:sectPr>
          <w:pgSz w:w="11900" w:h="16838" w:orient="portrait"/>
          <w:cols w:equalWidth="0" w:num="1">
            <w:col w:w="11240"/>
          </w:cols>
          <w:pgMar w:left="320" w:top="492"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20" w:right="940"/>
        <w:spacing w:after="0" w:line="321" w:lineRule="auto"/>
        <w:rPr>
          <w:sz w:val="20"/>
          <w:szCs w:val="20"/>
          <w:color w:val="auto"/>
        </w:rPr>
      </w:pPr>
      <w:r>
        <w:rPr>
          <w:rFonts w:ascii="Arial" w:cs="Arial" w:eastAsia="Arial" w:hAnsi="Arial"/>
          <w:sz w:val="16"/>
          <w:szCs w:val="16"/>
          <w:b w:val="1"/>
          <w:bCs w:val="1"/>
          <w:color w:val="auto"/>
        </w:rPr>
        <w:t xml:space="preserve">Rate assumptions </w:t>
      </w:r>
      <w:r>
        <w:rPr>
          <w:rFonts w:ascii="Arial" w:cs="Arial" w:eastAsia="Arial" w:hAnsi="Arial"/>
          <w:sz w:val="16"/>
          <w:szCs w:val="16"/>
          <w:color w:val="auto"/>
        </w:rPr>
        <w:t>Discount rate</w:t>
      </w:r>
    </w:p>
    <w:p>
      <w:pPr>
        <w:spacing w:after="0" w:line="1" w:lineRule="exact"/>
        <w:rPr>
          <w:sz w:val="20"/>
          <w:szCs w:val="20"/>
          <w:color w:val="auto"/>
        </w:rPr>
      </w:pPr>
    </w:p>
    <w:p>
      <w:pPr>
        <w:ind w:left="160" w:right="120" w:hanging="148"/>
        <w:spacing w:after="0" w:line="250" w:lineRule="auto"/>
        <w:rPr>
          <w:sz w:val="20"/>
          <w:szCs w:val="20"/>
          <w:color w:val="auto"/>
        </w:rPr>
      </w:pPr>
      <w:r>
        <w:rPr>
          <w:rFonts w:ascii="Arial" w:cs="Arial" w:eastAsia="Arial" w:hAnsi="Arial"/>
          <w:sz w:val="17"/>
          <w:szCs w:val="17"/>
          <w:color w:val="auto"/>
        </w:rPr>
        <w:t>Expected long - term return on plan assets</w:t>
      </w:r>
    </w:p>
    <w:p>
      <w:pPr>
        <w:spacing w:after="0" w:line="41" w:lineRule="exact"/>
        <w:rPr>
          <w:sz w:val="20"/>
          <w:szCs w:val="20"/>
          <w:color w:val="auto"/>
        </w:rPr>
      </w:pPr>
    </w:p>
    <w:p>
      <w:pPr>
        <w:ind w:left="160" w:hanging="148"/>
        <w:spacing w:after="0" w:line="250" w:lineRule="auto"/>
        <w:rPr>
          <w:sz w:val="20"/>
          <w:szCs w:val="20"/>
          <w:color w:val="auto"/>
        </w:rPr>
      </w:pPr>
      <w:r>
        <w:rPr>
          <w:rFonts w:ascii="Arial" w:cs="Arial" w:eastAsia="Arial" w:hAnsi="Arial"/>
          <w:sz w:val="17"/>
          <w:szCs w:val="17"/>
          <w:color w:val="auto"/>
        </w:rPr>
        <w:t>Increase in future compensation levels</w:t>
      </w:r>
    </w:p>
    <w:p>
      <w:pPr>
        <w:spacing w:after="0" w:line="41" w:lineRule="exact"/>
        <w:rPr>
          <w:sz w:val="20"/>
          <w:szCs w:val="20"/>
          <w:color w:val="auto"/>
        </w:rPr>
      </w:pPr>
    </w:p>
    <w:p>
      <w:pPr>
        <w:ind w:left="160" w:right="40" w:hanging="148"/>
        <w:spacing w:after="0" w:line="250" w:lineRule="auto"/>
        <w:rPr>
          <w:sz w:val="20"/>
          <w:szCs w:val="20"/>
          <w:color w:val="auto"/>
        </w:rPr>
      </w:pPr>
      <w:r>
        <w:rPr>
          <w:rFonts w:ascii="Arial" w:cs="Arial" w:eastAsia="Arial" w:hAnsi="Arial"/>
          <w:sz w:val="17"/>
          <w:szCs w:val="17"/>
          <w:color w:val="auto"/>
        </w:rPr>
        <w:t>Health care trend rate assumed for next year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Ultimate health care trend rate</w:t>
      </w:r>
    </w:p>
    <w:p>
      <w:pPr>
        <w:spacing w:after="0" w:line="53" w:lineRule="exact"/>
        <w:rPr>
          <w:sz w:val="20"/>
          <w:szCs w:val="20"/>
          <w:color w:val="auto"/>
        </w:rPr>
      </w:pPr>
    </w:p>
    <w:p>
      <w:pPr>
        <w:ind w:left="160" w:hanging="148"/>
        <w:spacing w:after="0" w:line="250" w:lineRule="auto"/>
        <w:rPr>
          <w:sz w:val="20"/>
          <w:szCs w:val="20"/>
          <w:color w:val="auto"/>
        </w:rPr>
      </w:pPr>
      <w:r>
        <w:rPr>
          <w:rFonts w:ascii="Arial" w:cs="Arial" w:eastAsia="Arial" w:hAnsi="Arial"/>
          <w:sz w:val="17"/>
          <w:szCs w:val="17"/>
          <w:color w:val="auto"/>
        </w:rPr>
        <w:t>Year rate reaches ultimate trend rate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920" w:type="dxa"/>
            <w:vAlign w:val="bottom"/>
            <w:gridSpan w:val="6"/>
          </w:tcPr>
          <w:p>
            <w:pPr>
              <w:ind w:left="460"/>
              <w:spacing w:after="0"/>
              <w:rPr>
                <w:sz w:val="20"/>
                <w:szCs w:val="20"/>
                <w:color w:val="auto"/>
              </w:rPr>
            </w:pPr>
            <w:r>
              <w:rPr>
                <w:rFonts w:ascii="Arial" w:cs="Arial" w:eastAsia="Arial" w:hAnsi="Arial"/>
                <w:sz w:val="13"/>
                <w:szCs w:val="13"/>
                <w:b w:val="1"/>
                <w:bCs w:val="1"/>
                <w:color w:val="auto"/>
              </w:rPr>
              <w:t>Defined Benefit Pension Plans</w:t>
            </w:r>
          </w:p>
        </w:tc>
        <w:tc>
          <w:tcPr>
            <w:tcW w:w="2900" w:type="dxa"/>
            <w:vAlign w:val="bottom"/>
            <w:gridSpan w:val="6"/>
          </w:tcPr>
          <w:p>
            <w:pPr>
              <w:ind w:left="500"/>
              <w:spacing w:after="0"/>
              <w:rPr>
                <w:sz w:val="20"/>
                <w:szCs w:val="20"/>
                <w:color w:val="auto"/>
              </w:rPr>
            </w:pPr>
            <w:r>
              <w:rPr>
                <w:rFonts w:ascii="Arial" w:cs="Arial" w:eastAsia="Arial" w:hAnsi="Arial"/>
                <w:sz w:val="13"/>
                <w:szCs w:val="13"/>
                <w:b w:val="1"/>
                <w:bCs w:val="1"/>
                <w:color w:val="auto"/>
              </w:rPr>
              <w:t>Postretirement Benefit Plans</w:t>
            </w:r>
          </w:p>
        </w:tc>
        <w:tc>
          <w:tcPr>
            <w:tcW w:w="2860" w:type="dxa"/>
            <w:vAlign w:val="bottom"/>
            <w:gridSpan w:val="5"/>
          </w:tcPr>
          <w:p>
            <w:pPr>
              <w:ind w:left="440"/>
              <w:spacing w:after="0"/>
              <w:rPr>
                <w:sz w:val="20"/>
                <w:szCs w:val="20"/>
                <w:color w:val="auto"/>
              </w:rPr>
            </w:pPr>
            <w:r>
              <w:rPr>
                <w:rFonts w:ascii="Arial" w:cs="Arial" w:eastAsia="Arial" w:hAnsi="Arial"/>
                <w:sz w:val="13"/>
                <w:szCs w:val="13"/>
                <w:b w:val="1"/>
                <w:bCs w:val="1"/>
                <w:color w:val="auto"/>
              </w:rPr>
              <w:t>Supplemental Retirement Plans</w:t>
            </w:r>
          </w:p>
        </w:tc>
      </w:tr>
      <w:tr>
        <w:trPr>
          <w:trHeight w:val="192"/>
        </w:trPr>
        <w:tc>
          <w:tcPr>
            <w:tcW w:w="8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2018</w:t>
            </w:r>
          </w:p>
        </w:tc>
      </w:tr>
      <w:tr>
        <w:trPr>
          <w:trHeight w:val="446"/>
        </w:trPr>
        <w:tc>
          <w:tcPr>
            <w:tcW w:w="880" w:type="dxa"/>
            <w:vAlign w:val="bottom"/>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17"/>
                <w:szCs w:val="17"/>
                <w:color w:val="auto"/>
              </w:rPr>
              <w:t>3.6 %</w:t>
            </w:r>
          </w:p>
        </w:tc>
        <w:tc>
          <w:tcPr>
            <w:tcW w:w="8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7"/>
                <w:szCs w:val="17"/>
                <w:color w:val="auto"/>
                <w:w w:val="96"/>
              </w:rPr>
              <w:t>3.1 %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2.8 %</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3.0 %</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2.6 %</w:t>
            </w:r>
          </w:p>
        </w:tc>
        <w:tc>
          <w:tcPr>
            <w:tcW w:w="80" w:type="dxa"/>
            <w:vAlign w:val="bottom"/>
          </w:tcPr>
          <w:p>
            <w:pPr>
              <w:spacing w:after="0"/>
              <w:rPr>
                <w:sz w:val="24"/>
                <w:szCs w:val="24"/>
                <w:color w:val="auto"/>
              </w:rPr>
            </w:pPr>
          </w:p>
        </w:tc>
        <w:tc>
          <w:tcPr>
            <w:tcW w:w="900" w:type="dxa"/>
            <w:vAlign w:val="bottom"/>
          </w:tcPr>
          <w:p>
            <w:pPr>
              <w:ind w:left="460"/>
              <w:spacing w:after="0"/>
              <w:rPr>
                <w:sz w:val="20"/>
                <w:szCs w:val="20"/>
                <w:color w:val="auto"/>
              </w:rPr>
            </w:pPr>
            <w:r>
              <w:rPr>
                <w:rFonts w:ascii="Arial" w:cs="Arial" w:eastAsia="Arial" w:hAnsi="Arial"/>
                <w:sz w:val="17"/>
                <w:szCs w:val="17"/>
                <w:color w:val="auto"/>
                <w:w w:val="96"/>
              </w:rPr>
              <w:t>3.5 %</w:t>
            </w:r>
          </w:p>
        </w:tc>
        <w:tc>
          <w:tcPr>
            <w:tcW w:w="10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7"/>
                <w:szCs w:val="17"/>
                <w:color w:val="auto"/>
                <w:w w:val="96"/>
              </w:rPr>
              <w:t>3.0 %</w:t>
            </w:r>
          </w:p>
        </w:tc>
      </w:tr>
      <w:tr>
        <w:trPr>
          <w:trHeight w:val="448"/>
        </w:trPr>
        <w:tc>
          <w:tcPr>
            <w:tcW w:w="880" w:type="dxa"/>
            <w:vAlign w:val="bottom"/>
          </w:tcPr>
          <w:p>
            <w:pPr>
              <w:jc w:val="right"/>
              <w:spacing w:after="0"/>
              <w:rPr>
                <w:sz w:val="20"/>
                <w:szCs w:val="20"/>
                <w:color w:val="auto"/>
              </w:rPr>
            </w:pPr>
            <w:r>
              <w:rPr>
                <w:rFonts w:ascii="Arial" w:cs="Arial" w:eastAsia="Arial" w:hAnsi="Arial"/>
                <w:sz w:val="17"/>
                <w:szCs w:val="17"/>
                <w:color w:val="auto"/>
              </w:rPr>
              <w:t>6.3 %</w:t>
            </w:r>
          </w:p>
        </w:tc>
        <w:tc>
          <w:tcPr>
            <w:tcW w:w="10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17"/>
                <w:szCs w:val="17"/>
                <w:color w:val="auto"/>
              </w:rPr>
              <w:t>6.9 %</w:t>
            </w:r>
          </w:p>
        </w:tc>
        <w:tc>
          <w:tcPr>
            <w:tcW w:w="8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7"/>
                <w:szCs w:val="17"/>
                <w:color w:val="auto"/>
                <w:w w:val="96"/>
              </w:rPr>
              <w:t>7.0 %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5.8 %</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5.4 %</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1000" w:type="dxa"/>
            <w:vAlign w:val="bottom"/>
            <w:gridSpan w:val="2"/>
          </w:tcPr>
          <w:p>
            <w:pPr>
              <w:ind w:left="620"/>
              <w:spacing w:after="0"/>
              <w:rPr>
                <w:sz w:val="20"/>
                <w:szCs w:val="20"/>
                <w:color w:val="auto"/>
              </w:rPr>
            </w:pPr>
            <w:r>
              <w:rPr>
                <w:rFonts w:ascii="Arial" w:cs="Arial" w:eastAsia="Arial" w:hAnsi="Arial"/>
                <w:sz w:val="17"/>
                <w:szCs w:val="17"/>
                <w:color w:val="auto"/>
              </w:rPr>
              <w:t>N/A</w:t>
            </w:r>
          </w:p>
        </w:tc>
        <w:tc>
          <w:tcPr>
            <w:tcW w:w="880" w:type="dxa"/>
            <w:vAlign w:val="bottom"/>
          </w:tcPr>
          <w:p>
            <w:pPr>
              <w:ind w:left="600"/>
              <w:spacing w:after="0"/>
              <w:rPr>
                <w:sz w:val="20"/>
                <w:szCs w:val="20"/>
                <w:color w:val="auto"/>
              </w:rPr>
            </w:pPr>
            <w:r>
              <w:rPr>
                <w:rFonts w:ascii="Arial" w:cs="Arial" w:eastAsia="Arial" w:hAnsi="Arial"/>
                <w:sz w:val="17"/>
                <w:szCs w:val="17"/>
                <w:color w:val="auto"/>
                <w:w w:val="91"/>
              </w:rPr>
              <w:t>N/A</w:t>
            </w:r>
          </w:p>
        </w:tc>
      </w:tr>
      <w:tr>
        <w:trPr>
          <w:trHeight w:val="448"/>
        </w:trPr>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N/A</w:t>
            </w:r>
          </w:p>
        </w:tc>
        <w:tc>
          <w:tcPr>
            <w:tcW w:w="980" w:type="dxa"/>
            <w:vAlign w:val="bottom"/>
            <w:gridSpan w:val="2"/>
          </w:tcPr>
          <w:p>
            <w:pPr>
              <w:ind w:left="600"/>
              <w:spacing w:after="0"/>
              <w:rPr>
                <w:sz w:val="20"/>
                <w:szCs w:val="20"/>
                <w:color w:val="auto"/>
              </w:rPr>
            </w:pPr>
            <w:r>
              <w:rPr>
                <w:rFonts w:ascii="Arial" w:cs="Arial" w:eastAsia="Arial" w:hAnsi="Arial"/>
                <w:sz w:val="17"/>
                <w:szCs w:val="17"/>
                <w:color w:val="auto"/>
              </w:rPr>
              <w:t>N/A</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N/A</w:t>
            </w:r>
          </w:p>
        </w:tc>
        <w:tc>
          <w:tcPr>
            <w:tcW w:w="980" w:type="dxa"/>
            <w:vAlign w:val="bottom"/>
            <w:gridSpan w:val="2"/>
          </w:tcPr>
          <w:p>
            <w:pPr>
              <w:ind w:left="600"/>
              <w:spacing w:after="0"/>
              <w:rPr>
                <w:sz w:val="20"/>
                <w:szCs w:val="20"/>
                <w:color w:val="auto"/>
              </w:rPr>
            </w:pPr>
            <w:r>
              <w:rPr>
                <w:rFonts w:ascii="Arial" w:cs="Arial" w:eastAsia="Arial" w:hAnsi="Arial"/>
                <w:sz w:val="17"/>
                <w:szCs w:val="17"/>
                <w:color w:val="auto"/>
              </w:rPr>
              <w:t>N/A</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N/A</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1000" w:type="dxa"/>
            <w:vAlign w:val="bottom"/>
            <w:gridSpan w:val="2"/>
          </w:tcPr>
          <w:p>
            <w:pPr>
              <w:ind w:left="620"/>
              <w:spacing w:after="0"/>
              <w:rPr>
                <w:sz w:val="20"/>
                <w:szCs w:val="20"/>
                <w:color w:val="auto"/>
              </w:rPr>
            </w:pPr>
            <w:r>
              <w:rPr>
                <w:rFonts w:ascii="Arial" w:cs="Arial" w:eastAsia="Arial" w:hAnsi="Arial"/>
                <w:sz w:val="17"/>
                <w:szCs w:val="17"/>
                <w:color w:val="auto"/>
              </w:rPr>
              <w:t>N/A</w:t>
            </w:r>
          </w:p>
        </w:tc>
        <w:tc>
          <w:tcPr>
            <w:tcW w:w="880" w:type="dxa"/>
            <w:vAlign w:val="bottom"/>
          </w:tcPr>
          <w:p>
            <w:pPr>
              <w:ind w:left="600"/>
              <w:spacing w:after="0"/>
              <w:rPr>
                <w:sz w:val="20"/>
                <w:szCs w:val="20"/>
                <w:color w:val="auto"/>
              </w:rPr>
            </w:pPr>
            <w:r>
              <w:rPr>
                <w:rFonts w:ascii="Arial" w:cs="Arial" w:eastAsia="Arial" w:hAnsi="Arial"/>
                <w:sz w:val="17"/>
                <w:szCs w:val="17"/>
                <w:color w:val="auto"/>
                <w:w w:val="91"/>
              </w:rPr>
              <w:t>N/A</w:t>
            </w:r>
          </w:p>
        </w:tc>
      </w:tr>
      <w:tr>
        <w:trPr>
          <w:trHeight w:val="448"/>
        </w:trPr>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N/A</w:t>
            </w:r>
          </w:p>
        </w:tc>
        <w:tc>
          <w:tcPr>
            <w:tcW w:w="980" w:type="dxa"/>
            <w:vAlign w:val="bottom"/>
            <w:gridSpan w:val="2"/>
          </w:tcPr>
          <w:p>
            <w:pPr>
              <w:ind w:left="600"/>
              <w:spacing w:after="0"/>
              <w:rPr>
                <w:sz w:val="20"/>
                <w:szCs w:val="20"/>
                <w:color w:val="auto"/>
              </w:rPr>
            </w:pPr>
            <w:r>
              <w:rPr>
                <w:rFonts w:ascii="Arial" w:cs="Arial" w:eastAsia="Arial" w:hAnsi="Arial"/>
                <w:sz w:val="17"/>
                <w:szCs w:val="17"/>
                <w:color w:val="auto"/>
              </w:rPr>
              <w:t>N/A</w:t>
            </w:r>
          </w:p>
        </w:tc>
        <w:tc>
          <w:tcPr>
            <w:tcW w:w="880" w:type="dxa"/>
            <w:vAlign w:val="bottom"/>
          </w:tcPr>
          <w:p>
            <w:pPr>
              <w:jc w:val="right"/>
              <w:spacing w:after="0"/>
              <w:rPr>
                <w:sz w:val="20"/>
                <w:szCs w:val="20"/>
                <w:color w:val="auto"/>
              </w:rPr>
            </w:pPr>
            <w:r>
              <w:rPr>
                <w:rFonts w:ascii="Arial" w:cs="Arial" w:eastAsia="Arial" w:hAnsi="Arial"/>
                <w:sz w:val="17"/>
                <w:szCs w:val="17"/>
                <w:color w:val="auto"/>
              </w:rPr>
              <w:t>6.0 %</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6.5 %</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6.5 %</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1000" w:type="dxa"/>
            <w:vAlign w:val="bottom"/>
            <w:gridSpan w:val="2"/>
          </w:tcPr>
          <w:p>
            <w:pPr>
              <w:ind w:left="620"/>
              <w:spacing w:after="0"/>
              <w:rPr>
                <w:sz w:val="20"/>
                <w:szCs w:val="20"/>
                <w:color w:val="auto"/>
              </w:rPr>
            </w:pPr>
            <w:r>
              <w:rPr>
                <w:rFonts w:ascii="Arial" w:cs="Arial" w:eastAsia="Arial" w:hAnsi="Arial"/>
                <w:sz w:val="17"/>
                <w:szCs w:val="17"/>
                <w:color w:val="auto"/>
              </w:rPr>
              <w:t>N/A</w:t>
            </w:r>
          </w:p>
        </w:tc>
        <w:tc>
          <w:tcPr>
            <w:tcW w:w="880" w:type="dxa"/>
            <w:vAlign w:val="bottom"/>
          </w:tcPr>
          <w:p>
            <w:pPr>
              <w:ind w:left="600"/>
              <w:spacing w:after="0"/>
              <w:rPr>
                <w:sz w:val="20"/>
                <w:szCs w:val="20"/>
                <w:color w:val="auto"/>
              </w:rPr>
            </w:pPr>
            <w:r>
              <w:rPr>
                <w:rFonts w:ascii="Arial" w:cs="Arial" w:eastAsia="Arial" w:hAnsi="Arial"/>
                <w:sz w:val="17"/>
                <w:szCs w:val="17"/>
                <w:color w:val="auto"/>
                <w:w w:val="91"/>
              </w:rPr>
              <w:t>N/A</w:t>
            </w:r>
          </w:p>
        </w:tc>
      </w:tr>
      <w:tr>
        <w:trPr>
          <w:trHeight w:val="249"/>
        </w:trPr>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N/A</w:t>
            </w:r>
          </w:p>
        </w:tc>
        <w:tc>
          <w:tcPr>
            <w:tcW w:w="980" w:type="dxa"/>
            <w:vAlign w:val="bottom"/>
            <w:gridSpan w:val="2"/>
          </w:tcPr>
          <w:p>
            <w:pPr>
              <w:ind w:left="600"/>
              <w:spacing w:after="0"/>
              <w:rPr>
                <w:sz w:val="20"/>
                <w:szCs w:val="20"/>
                <w:color w:val="auto"/>
              </w:rPr>
            </w:pPr>
            <w:r>
              <w:rPr>
                <w:rFonts w:ascii="Arial" w:cs="Arial" w:eastAsia="Arial" w:hAnsi="Arial"/>
                <w:sz w:val="17"/>
                <w:szCs w:val="17"/>
                <w:color w:val="auto"/>
              </w:rPr>
              <w:t>N/A</w:t>
            </w:r>
          </w:p>
        </w:tc>
        <w:tc>
          <w:tcPr>
            <w:tcW w:w="880" w:type="dxa"/>
            <w:vAlign w:val="bottom"/>
          </w:tcPr>
          <w:p>
            <w:pPr>
              <w:jc w:val="right"/>
              <w:spacing w:after="0"/>
              <w:rPr>
                <w:sz w:val="20"/>
                <w:szCs w:val="20"/>
                <w:color w:val="auto"/>
              </w:rPr>
            </w:pPr>
            <w:r>
              <w:rPr>
                <w:rFonts w:ascii="Arial" w:cs="Arial" w:eastAsia="Arial" w:hAnsi="Arial"/>
                <w:sz w:val="17"/>
                <w:szCs w:val="17"/>
                <w:color w:val="auto"/>
              </w:rPr>
              <w:t>4.5 %</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4.5 %</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4.5 %</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1000" w:type="dxa"/>
            <w:vAlign w:val="bottom"/>
            <w:gridSpan w:val="2"/>
          </w:tcPr>
          <w:p>
            <w:pPr>
              <w:ind w:left="620"/>
              <w:spacing w:after="0"/>
              <w:rPr>
                <w:sz w:val="20"/>
                <w:szCs w:val="20"/>
                <w:color w:val="auto"/>
              </w:rPr>
            </w:pPr>
            <w:r>
              <w:rPr>
                <w:rFonts w:ascii="Arial" w:cs="Arial" w:eastAsia="Arial" w:hAnsi="Arial"/>
                <w:sz w:val="17"/>
                <w:szCs w:val="17"/>
                <w:color w:val="auto"/>
              </w:rPr>
              <w:t>N/A</w:t>
            </w:r>
          </w:p>
        </w:tc>
        <w:tc>
          <w:tcPr>
            <w:tcW w:w="880" w:type="dxa"/>
            <w:vAlign w:val="bottom"/>
          </w:tcPr>
          <w:p>
            <w:pPr>
              <w:ind w:left="600"/>
              <w:spacing w:after="0"/>
              <w:rPr>
                <w:sz w:val="20"/>
                <w:szCs w:val="20"/>
                <w:color w:val="auto"/>
              </w:rPr>
            </w:pPr>
            <w:r>
              <w:rPr>
                <w:rFonts w:ascii="Arial" w:cs="Arial" w:eastAsia="Arial" w:hAnsi="Arial"/>
                <w:sz w:val="17"/>
                <w:szCs w:val="17"/>
                <w:color w:val="auto"/>
                <w:w w:val="91"/>
              </w:rPr>
              <w:t>N/A</w:t>
            </w:r>
          </w:p>
        </w:tc>
      </w:tr>
      <w:tr>
        <w:trPr>
          <w:trHeight w:val="448"/>
        </w:trPr>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N/A</w:t>
            </w:r>
          </w:p>
        </w:tc>
        <w:tc>
          <w:tcPr>
            <w:tcW w:w="980" w:type="dxa"/>
            <w:vAlign w:val="bottom"/>
            <w:gridSpan w:val="2"/>
          </w:tcPr>
          <w:p>
            <w:pPr>
              <w:ind w:left="600"/>
              <w:spacing w:after="0"/>
              <w:rPr>
                <w:sz w:val="20"/>
                <w:szCs w:val="20"/>
                <w:color w:val="auto"/>
              </w:rPr>
            </w:pPr>
            <w:r>
              <w:rPr>
                <w:rFonts w:ascii="Arial" w:cs="Arial" w:eastAsia="Arial" w:hAnsi="Arial"/>
                <w:sz w:val="17"/>
                <w:szCs w:val="17"/>
                <w:color w:val="auto"/>
              </w:rPr>
              <w:t>N/A</w:t>
            </w:r>
          </w:p>
        </w:tc>
        <w:tc>
          <w:tcPr>
            <w:tcW w:w="880" w:type="dxa"/>
            <w:vAlign w:val="bottom"/>
          </w:tcPr>
          <w:p>
            <w:pPr>
              <w:jc w:val="right"/>
              <w:spacing w:after="0"/>
              <w:rPr>
                <w:sz w:val="20"/>
                <w:szCs w:val="20"/>
                <w:color w:val="auto"/>
              </w:rPr>
            </w:pPr>
            <w:r>
              <w:rPr>
                <w:rFonts w:ascii="Arial" w:cs="Arial" w:eastAsia="Arial" w:hAnsi="Arial"/>
                <w:sz w:val="17"/>
                <w:szCs w:val="17"/>
                <w:color w:val="auto"/>
              </w:rPr>
              <w:t>2029</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2027</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1000" w:type="dxa"/>
            <w:vAlign w:val="bottom"/>
            <w:gridSpan w:val="2"/>
          </w:tcPr>
          <w:p>
            <w:pPr>
              <w:ind w:left="620"/>
              <w:spacing w:after="0"/>
              <w:rPr>
                <w:sz w:val="20"/>
                <w:szCs w:val="20"/>
                <w:color w:val="auto"/>
              </w:rPr>
            </w:pPr>
            <w:r>
              <w:rPr>
                <w:rFonts w:ascii="Arial" w:cs="Arial" w:eastAsia="Arial" w:hAnsi="Arial"/>
                <w:sz w:val="17"/>
                <w:szCs w:val="17"/>
                <w:color w:val="auto"/>
              </w:rPr>
              <w:t>N/A</w:t>
            </w:r>
          </w:p>
        </w:tc>
        <w:tc>
          <w:tcPr>
            <w:tcW w:w="880" w:type="dxa"/>
            <w:vAlign w:val="bottom"/>
          </w:tcPr>
          <w:p>
            <w:pPr>
              <w:ind w:left="600"/>
              <w:spacing w:after="0"/>
              <w:rPr>
                <w:sz w:val="20"/>
                <w:szCs w:val="20"/>
                <w:color w:val="auto"/>
              </w:rPr>
            </w:pPr>
            <w:r>
              <w:rPr>
                <w:rFonts w:ascii="Arial" w:cs="Arial" w:eastAsia="Arial" w:hAnsi="Arial"/>
                <w:sz w:val="17"/>
                <w:szCs w:val="17"/>
                <w:color w:val="auto"/>
                <w:w w:val="91"/>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-1587500</wp:posOffset>
            </wp:positionV>
            <wp:extent cx="7143115" cy="134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115" cy="13462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-1295400</wp:posOffset>
            </wp:positionV>
            <wp:extent cx="7143115" cy="284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115" cy="28448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-726440</wp:posOffset>
            </wp:positionV>
            <wp:extent cx="7143115" cy="284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115" cy="28448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-283845</wp:posOffset>
            </wp:positionV>
            <wp:extent cx="7143115" cy="284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115" cy="284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180"/>
            <w:col w:w="8680"/>
          </w:cols>
          <w:pgMar w:left="320" w:top="4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240"/>
          </w:cols>
          <w:pgMar w:left="320" w:top="492" w:right="339" w:bottom="1440" w:gutter="0" w:footer="0" w:header="0"/>
          <w:type w:val="continuous"/>
        </w:sectPr>
      </w:pPr>
    </w:p>
    <w:bookmarkStart w:id="234" w:name="page235"/>
    <w:bookmarkEnd w:id="234"/>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180" w:firstLine="299"/>
        <w:spacing w:after="0" w:line="246" w:lineRule="auto"/>
        <w:rPr>
          <w:sz w:val="20"/>
          <w:szCs w:val="20"/>
          <w:color w:val="auto"/>
        </w:rPr>
      </w:pPr>
      <w:r>
        <w:rPr>
          <w:rFonts w:ascii="Arial" w:cs="Arial" w:eastAsia="Arial" w:hAnsi="Arial"/>
          <w:sz w:val="17"/>
          <w:szCs w:val="17"/>
          <w:color w:val="auto"/>
        </w:rPr>
        <w:t>The expected long-term return on plan assets assumption represents the average rate that the Company expects to earn over the long-term on the assets of the Company's benefit plans, including those from dividends, interest income and capital appreciation. The assumption has been determined based on expectations regarding future rates of return for the plans' investment portfolio, with consideration given to the allocation of investments by asset class and historical rates of return for each individual asset class.</w:t>
      </w:r>
    </w:p>
    <w:p>
      <w:pPr>
        <w:spacing w:after="0" w:line="144" w:lineRule="exact"/>
        <w:rPr>
          <w:sz w:val="20"/>
          <w:szCs w:val="20"/>
          <w:color w:val="auto"/>
        </w:rPr>
      </w:pPr>
    </w:p>
    <w:p>
      <w:pPr>
        <w:ind w:right="340" w:firstLine="299"/>
        <w:spacing w:after="0" w:line="250" w:lineRule="auto"/>
        <w:rPr>
          <w:sz w:val="20"/>
          <w:szCs w:val="20"/>
          <w:color w:val="auto"/>
        </w:rPr>
      </w:pPr>
      <w:r>
        <w:rPr>
          <w:rFonts w:ascii="Arial" w:cs="Arial" w:eastAsia="Arial" w:hAnsi="Arial"/>
          <w:sz w:val="17"/>
          <w:szCs w:val="17"/>
          <w:color w:val="auto"/>
        </w:rPr>
        <w:t>A one percentage increase or decrease in healthcare trend rates in the table above would have an insignificant impact to our service and interest cost and the postretirement medical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Assets</w:t>
      </w:r>
    </w:p>
    <w:p>
      <w:pPr>
        <w:spacing w:after="0" w:line="17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The Company is responsible for formulating the investment policies and strategies for each plan's assets. Presently all of the plans are governed by a single investment policy and are uniformly invested. As part of the policy statement the Company has implemented a glide path which adjusts the percentage of assets invested in return seeking assets based upon the attainment of specific funding percentages. The non-return seeking assets are invested primarily in bonds with maturities closely matching the anticipated payment of benefits.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represents all of the Company's funded pension plans' and postretirement benefit plans' weighted-average asset allocation at</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2019 by asset category:</w:t>
      </w:r>
    </w:p>
    <w:p>
      <w:pPr>
        <w:spacing w:after="0" w:line="192" w:lineRule="exact"/>
        <w:rPr>
          <w:sz w:val="20"/>
          <w:szCs w:val="20"/>
          <w:color w:val="auto"/>
        </w:rPr>
      </w:pPr>
    </w:p>
    <w:p>
      <w:pPr>
        <w:ind w:left="9000"/>
        <w:spacing w:after="0"/>
        <w:rPr>
          <w:sz w:val="20"/>
          <w:szCs w:val="20"/>
          <w:color w:val="auto"/>
        </w:rPr>
      </w:pPr>
      <w:r>
        <w:rPr>
          <w:rFonts w:ascii="Arial" w:cs="Arial" w:eastAsia="Arial" w:hAnsi="Arial"/>
          <w:sz w:val="13"/>
          <w:szCs w:val="13"/>
          <w:b w:val="1"/>
          <w:bCs w:val="1"/>
          <w:color w:val="auto"/>
        </w:rPr>
        <w:t>Asset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22860</wp:posOffset>
            </wp:positionV>
            <wp:extent cx="22047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04720" cy="762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920" w:type="dxa"/>
            <w:vAlign w:val="bottom"/>
            <w:gridSpan w:val="2"/>
          </w:tcPr>
          <w:p>
            <w:pPr>
              <w:ind w:left="8480"/>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620"/>
              <w:spacing w:after="0"/>
              <w:rPr>
                <w:sz w:val="20"/>
                <w:szCs w:val="20"/>
                <w:color w:val="auto"/>
              </w:rPr>
            </w:pPr>
            <w:r>
              <w:rPr>
                <w:rFonts w:ascii="Arial" w:cs="Arial" w:eastAsia="Arial" w:hAnsi="Arial"/>
                <w:sz w:val="13"/>
                <w:szCs w:val="13"/>
                <w:b w:val="1"/>
                <w:bCs w:val="1"/>
                <w:color w:val="auto"/>
              </w:rPr>
              <w:t>2019</w:t>
            </w:r>
          </w:p>
        </w:tc>
      </w:tr>
      <w:tr>
        <w:trPr>
          <w:trHeight w:val="214"/>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 Category</w:t>
            </w: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49"/>
        </w:trPr>
        <w:tc>
          <w:tcPr>
            <w:tcW w:w="8920" w:type="dxa"/>
            <w:vAlign w:val="bottom"/>
            <w:gridSpan w:val="2"/>
          </w:tcPr>
          <w:p>
            <w:pPr>
              <w:ind w:left="20"/>
              <w:spacing w:after="0"/>
              <w:rPr>
                <w:sz w:val="20"/>
                <w:szCs w:val="20"/>
                <w:color w:val="auto"/>
              </w:rPr>
            </w:pPr>
            <w:r>
              <w:rPr>
                <w:rFonts w:ascii="Arial" w:cs="Arial" w:eastAsia="Arial" w:hAnsi="Arial"/>
                <w:sz w:val="17"/>
                <w:szCs w:val="17"/>
                <w:color w:val="auto"/>
              </w:rPr>
              <w:t>Equity securities</w:t>
            </w:r>
          </w:p>
        </w:tc>
        <w:tc>
          <w:tcPr>
            <w:tcW w:w="540" w:type="dxa"/>
            <w:vAlign w:val="bottom"/>
          </w:tcPr>
          <w:p>
            <w:pPr>
              <w:jc w:val="right"/>
              <w:spacing w:after="0"/>
              <w:rPr>
                <w:sz w:val="20"/>
                <w:szCs w:val="20"/>
                <w:color w:val="auto"/>
              </w:rPr>
            </w:pPr>
            <w:r>
              <w:rPr>
                <w:rFonts w:ascii="Arial" w:cs="Arial" w:eastAsia="Arial" w:hAnsi="Arial"/>
                <w:sz w:val="17"/>
                <w:szCs w:val="17"/>
                <w:color w:val="auto"/>
              </w:rPr>
              <w:t>55 %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49 %</w:t>
            </w:r>
          </w:p>
        </w:tc>
      </w:tr>
      <w:tr>
        <w:trPr>
          <w:trHeight w:val="24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Debt securities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r>
      <w:tr>
        <w:trPr>
          <w:trHeight w:val="249"/>
        </w:trPr>
        <w:tc>
          <w:tcPr>
            <w:tcW w:w="892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540" w:type="dxa"/>
            <w:vAlign w:val="bottom"/>
          </w:tcPr>
          <w:p>
            <w:pPr>
              <w:jc w:val="right"/>
              <w:spacing w:after="0"/>
              <w:rPr>
                <w:sz w:val="20"/>
                <w:szCs w:val="20"/>
                <w:color w:val="auto"/>
              </w:rPr>
            </w:pPr>
            <w:r>
              <w:rPr>
                <w:rFonts w:ascii="Arial" w:cs="Arial" w:eastAsia="Arial" w:hAnsi="Arial"/>
                <w:sz w:val="17"/>
                <w:szCs w:val="17"/>
                <w:color w:val="auto"/>
              </w:rPr>
              <w:t>6 %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6 %</w:t>
            </w:r>
          </w:p>
        </w:tc>
      </w:tr>
      <w:tr>
        <w:trPr>
          <w:trHeight w:val="261"/>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primarily cash and cash equivalents, and hedge funds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-165100</wp:posOffset>
            </wp:positionV>
            <wp:extent cx="107442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74420" cy="7620"/>
                    </a:xfrm>
                    <a:prstGeom prst="rect">
                      <a:avLst/>
                    </a:prstGeom>
                    <a:noFill/>
                  </pic:spPr>
                </pic:pic>
              </a:graphicData>
            </a:graphic>
          </wp:anchor>
        </w:drawing>
      </w:r>
    </w:p>
    <w:p>
      <w:pPr>
        <w:spacing w:after="0" w:line="141" w:lineRule="exact"/>
        <w:rPr>
          <w:sz w:val="20"/>
          <w:szCs w:val="20"/>
          <w:color w:val="auto"/>
        </w:rPr>
      </w:pPr>
    </w:p>
    <w:p>
      <w:pPr>
        <w:ind w:right="160" w:firstLine="299"/>
        <w:spacing w:after="0" w:line="250" w:lineRule="auto"/>
        <w:rPr>
          <w:sz w:val="20"/>
          <w:szCs w:val="20"/>
          <w:color w:val="auto"/>
        </w:rPr>
      </w:pPr>
      <w:r>
        <w:rPr>
          <w:rFonts w:ascii="Arial" w:cs="Arial" w:eastAsia="Arial" w:hAnsi="Arial"/>
          <w:sz w:val="17"/>
          <w:szCs w:val="17"/>
          <w:color w:val="auto"/>
        </w:rPr>
        <w:t>The table below presents the target allocation ranges for each major asset category for the Company's benefit plans for the years ended December 31, 2020 and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Target Asset Allocation Range</w:t>
            </w:r>
          </w:p>
        </w:tc>
        <w:tc>
          <w:tcPr>
            <w:tcW w:w="460" w:type="dxa"/>
            <w:vAlign w:val="bottom"/>
            <w:tcBorders>
              <w:bottom w:val="single" w:sz="8" w:color="auto"/>
            </w:tcBorders>
          </w:tcPr>
          <w:p>
            <w:pPr>
              <w:spacing w:after="0"/>
              <w:rPr>
                <w:sz w:val="15"/>
                <w:szCs w:val="15"/>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6"/>
                <w:szCs w:val="16"/>
                <w:color w:val="auto"/>
              </w:rPr>
            </w:pPr>
          </w:p>
        </w:tc>
      </w:tr>
      <w:tr>
        <w:trPr>
          <w:trHeight w:val="21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 Category</w:t>
            </w: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r>
      <w:tr>
        <w:trPr>
          <w:trHeight w:val="249"/>
        </w:trPr>
        <w:tc>
          <w:tcPr>
            <w:tcW w:w="800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1100" w:type="dxa"/>
            <w:vAlign w:val="bottom"/>
          </w:tcPr>
          <w:p>
            <w:pPr>
              <w:jc w:val="right"/>
              <w:spacing w:after="0"/>
              <w:rPr>
                <w:sz w:val="20"/>
                <w:szCs w:val="20"/>
                <w:color w:val="auto"/>
              </w:rPr>
            </w:pPr>
            <w:r>
              <w:rPr>
                <w:rFonts w:ascii="Arial" w:cs="Arial" w:eastAsia="Arial" w:hAnsi="Arial"/>
                <w:sz w:val="17"/>
                <w:szCs w:val="17"/>
                <w:color w:val="auto"/>
              </w:rPr>
              <w:t>40%</w:t>
            </w:r>
          </w:p>
        </w:tc>
        <w:tc>
          <w:tcPr>
            <w:tcW w:w="480" w:type="dxa"/>
            <w:vAlign w:val="bottom"/>
          </w:tcPr>
          <w:p>
            <w:pPr>
              <w:jc w:val="right"/>
              <w:spacing w:after="0"/>
              <w:rPr>
                <w:sz w:val="20"/>
                <w:szCs w:val="20"/>
                <w:color w:val="auto"/>
              </w:rPr>
            </w:pPr>
            <w:r>
              <w:rPr>
                <w:rFonts w:ascii="Arial" w:cs="Arial" w:eastAsia="Arial" w:hAnsi="Arial"/>
                <w:sz w:val="17"/>
                <w:szCs w:val="17"/>
                <w:color w:val="auto"/>
                <w:w w:val="98"/>
              </w:rPr>
              <w:t>- 60%</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- 60%</w:t>
            </w:r>
          </w:p>
        </w:tc>
      </w:tr>
      <w:tr>
        <w:trPr>
          <w:trHeight w:val="24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- 50%</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- 50%</w:t>
            </w:r>
          </w:p>
        </w:tc>
      </w:tr>
      <w:tr>
        <w:trPr>
          <w:trHeight w:val="249"/>
        </w:trPr>
        <w:tc>
          <w:tcPr>
            <w:tcW w:w="8000" w:type="dxa"/>
            <w:vAlign w:val="bottom"/>
          </w:tcPr>
          <w:p>
            <w:pPr>
              <w:ind w:left="20"/>
              <w:spacing w:after="0"/>
              <w:rPr>
                <w:sz w:val="20"/>
                <w:szCs w:val="20"/>
                <w:color w:val="auto"/>
              </w:rPr>
            </w:pPr>
            <w:r>
              <w:rPr>
                <w:rFonts w:ascii="Arial" w:cs="Arial" w:eastAsia="Arial" w:hAnsi="Arial"/>
                <w:sz w:val="17"/>
                <w:szCs w:val="17"/>
                <w:color w:val="auto"/>
              </w:rPr>
              <w:t>Real estate</w:t>
            </w:r>
          </w:p>
        </w:tc>
        <w:tc>
          <w:tcPr>
            <w:tcW w:w="1100" w:type="dxa"/>
            <w:vAlign w:val="bottom"/>
          </w:tcPr>
          <w:p>
            <w:pPr>
              <w:jc w:val="right"/>
              <w:spacing w:after="0"/>
              <w:rPr>
                <w:sz w:val="20"/>
                <w:szCs w:val="20"/>
                <w:color w:val="auto"/>
              </w:rPr>
            </w:pPr>
            <w:r>
              <w:rPr>
                <w:rFonts w:ascii="Arial" w:cs="Arial" w:eastAsia="Arial" w:hAnsi="Arial"/>
                <w:sz w:val="17"/>
                <w:szCs w:val="17"/>
                <w:color w:val="auto"/>
              </w:rPr>
              <w:t>5%</w:t>
            </w:r>
          </w:p>
        </w:tc>
        <w:tc>
          <w:tcPr>
            <w:tcW w:w="480" w:type="dxa"/>
            <w:vAlign w:val="bottom"/>
          </w:tcPr>
          <w:p>
            <w:pPr>
              <w:jc w:val="right"/>
              <w:spacing w:after="0"/>
              <w:rPr>
                <w:sz w:val="20"/>
                <w:szCs w:val="20"/>
                <w:color w:val="auto"/>
              </w:rPr>
            </w:pPr>
            <w:r>
              <w:rPr>
                <w:rFonts w:ascii="Arial" w:cs="Arial" w:eastAsia="Arial" w:hAnsi="Arial"/>
                <w:sz w:val="17"/>
                <w:szCs w:val="17"/>
                <w:color w:val="auto"/>
                <w:w w:val="98"/>
              </w:rPr>
              <w:t>- 10%</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- 10%</w:t>
            </w:r>
          </w:p>
        </w:tc>
      </w:tr>
      <w:tr>
        <w:trPr>
          <w:trHeight w:val="24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primarily cash and cash equivalents and hedge funds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- 10%</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- 10%</w:t>
            </w:r>
          </w:p>
        </w:tc>
      </w:tr>
    </w:tbl>
    <w:p>
      <w:pPr>
        <w:spacing w:after="0" w:line="149" w:lineRule="exact"/>
        <w:rPr>
          <w:sz w:val="20"/>
          <w:szCs w:val="20"/>
          <w:color w:val="auto"/>
        </w:rPr>
      </w:pPr>
    </w:p>
    <w:p>
      <w:pPr>
        <w:jc w:val="both"/>
        <w:ind w:right="20" w:firstLine="299"/>
        <w:spacing w:after="0" w:line="250" w:lineRule="auto"/>
        <w:rPr>
          <w:sz w:val="20"/>
          <w:szCs w:val="20"/>
          <w:color w:val="auto"/>
        </w:rPr>
      </w:pPr>
      <w:r>
        <w:rPr>
          <w:rFonts w:ascii="Arial" w:cs="Arial" w:eastAsia="Arial" w:hAnsi="Arial"/>
          <w:sz w:val="17"/>
          <w:szCs w:val="17"/>
          <w:color w:val="auto"/>
        </w:rPr>
        <w:t>The following tables provides the fair value of plan assets held by our defined benefit plan by asset category and by fair value hierarchy level. Certain investments are measured at their NAV per share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240"/>
          </w:cols>
          <w:pgMar w:left="320" w:top="492" w:right="339" w:bottom="1440" w:gutter="0" w:footer="0" w:header="0"/>
        </w:sectPr>
      </w:pPr>
    </w:p>
    <w:bookmarkStart w:id="235" w:name="page236"/>
    <w:bookmarkEnd w:id="235"/>
    <w:p>
      <w:pPr>
        <w:jc w:val="center"/>
        <w:ind w:right="20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do not have readily determined fair values. As such, these investments are not subject to leveling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113665</wp:posOffset>
            </wp:positionV>
            <wp:extent cx="7620" cy="268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20" cy="268605"/>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113665</wp:posOffset>
            </wp:positionV>
            <wp:extent cx="7620" cy="134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20" cy="13462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w w:val="99"/>
              </w:rPr>
              <w:t>December 31, 2020</w:t>
            </w: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2</w:t>
            </w:r>
          </w:p>
        </w:tc>
        <w:tc>
          <w:tcPr>
            <w:tcW w:w="56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Level 3</w:t>
            </w:r>
          </w:p>
        </w:tc>
        <w:tc>
          <w:tcPr>
            <w:tcW w:w="380" w:type="dxa"/>
            <w:vAlign w:val="bottom"/>
          </w:tcPr>
          <w:p>
            <w:pPr>
              <w:spacing w:after="0"/>
              <w:rPr>
                <w:sz w:val="16"/>
                <w:szCs w:val="16"/>
                <w:color w:val="auto"/>
              </w:rPr>
            </w:pPr>
          </w:p>
        </w:tc>
        <w:tc>
          <w:tcPr>
            <w:tcW w:w="1180" w:type="dxa"/>
            <w:vAlign w:val="bottom"/>
          </w:tcPr>
          <w:p>
            <w:pPr>
              <w:jc w:val="right"/>
              <w:ind w:right="539"/>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6"/>
                <w:szCs w:val="16"/>
                <w:color w:val="auto"/>
              </w:rPr>
            </w:pPr>
          </w:p>
        </w:tc>
      </w:tr>
      <w:tr>
        <w:trPr>
          <w:trHeight w:val="214"/>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 category</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7"/>
                <w:szCs w:val="17"/>
                <w:i w:val="1"/>
                <w:iCs w:val="1"/>
                <w:color w:val="auto"/>
              </w:rPr>
              <w:t>Investments measured at fair value:</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20"/>
                <w:szCs w:val="20"/>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20"/>
                <w:szCs w:val="20"/>
                <w:color w:val="auto"/>
              </w:rPr>
            </w:pPr>
          </w:p>
        </w:tc>
      </w:tr>
      <w:tr>
        <w:trPr>
          <w:trHeight w:val="25"/>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tcBorders>
              <w:top w:val="single" w:sz="8" w:color="auto"/>
            </w:tcBorders>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r>
      <w:tr>
        <w:trPr>
          <w:trHeight w:val="25"/>
        </w:trPr>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Investments measured at NAV:</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7"/>
                <w:szCs w:val="17"/>
                <w:color w:val="auto"/>
              </w:rPr>
              <w:t>Collective trust funds</w:t>
            </w:r>
          </w:p>
        </w:tc>
        <w:tc>
          <w:tcPr>
            <w:tcW w:w="3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148</w:t>
            </w:r>
          </w:p>
        </w:tc>
        <w:tc>
          <w:tcPr>
            <w:tcW w:w="20" w:type="dxa"/>
            <w:vAlign w:val="bottom"/>
          </w:tcPr>
          <w:p>
            <w:pPr>
              <w:spacing w:after="0"/>
              <w:rPr>
                <w:sz w:val="20"/>
                <w:szCs w:val="20"/>
                <w:color w:val="auto"/>
              </w:rPr>
            </w:pPr>
          </w:p>
        </w:tc>
      </w:tr>
      <w:tr>
        <w:trPr>
          <w:trHeight w:val="25"/>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and fixed income funds</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241"/>
        </w:trPr>
        <w:tc>
          <w:tcPr>
            <w:tcW w:w="472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2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w w:val="99"/>
              </w:rPr>
              <w:t>December 31, 2019</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2</w:t>
            </w:r>
          </w:p>
        </w:tc>
        <w:tc>
          <w:tcPr>
            <w:tcW w:w="56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Level 3</w:t>
            </w:r>
          </w:p>
        </w:tc>
        <w:tc>
          <w:tcPr>
            <w:tcW w:w="380" w:type="dxa"/>
            <w:vAlign w:val="bottom"/>
          </w:tcPr>
          <w:p>
            <w:pPr>
              <w:spacing w:after="0"/>
              <w:rPr>
                <w:sz w:val="16"/>
                <w:szCs w:val="16"/>
                <w:color w:val="auto"/>
              </w:rPr>
            </w:pPr>
          </w:p>
        </w:tc>
        <w:tc>
          <w:tcPr>
            <w:tcW w:w="1180" w:type="dxa"/>
            <w:vAlign w:val="bottom"/>
          </w:tcPr>
          <w:p>
            <w:pPr>
              <w:jc w:val="right"/>
              <w:ind w:right="539"/>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6"/>
                <w:szCs w:val="16"/>
                <w:color w:val="auto"/>
              </w:rPr>
            </w:pPr>
          </w:p>
        </w:tc>
      </w:tr>
      <w:tr>
        <w:trPr>
          <w:trHeight w:val="214"/>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 category</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7"/>
                <w:szCs w:val="17"/>
                <w:i w:val="1"/>
                <w:iCs w:val="1"/>
                <w:color w:val="auto"/>
              </w:rPr>
              <w:t>Investments measured at fair value:</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20"/>
                <w:szCs w:val="20"/>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20"/>
                <w:szCs w:val="20"/>
                <w:color w:val="auto"/>
              </w:rPr>
            </w:pPr>
          </w:p>
        </w:tc>
      </w:tr>
      <w:tr>
        <w:trPr>
          <w:trHeight w:val="25"/>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tcBorders>
              <w:top w:val="single" w:sz="8" w:color="auto"/>
            </w:tcBorders>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r>
      <w:tr>
        <w:trPr>
          <w:trHeight w:val="25"/>
        </w:trPr>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Investments measured at NAV:</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7"/>
                <w:szCs w:val="17"/>
                <w:color w:val="auto"/>
              </w:rPr>
              <w:t>Collective trust funds</w:t>
            </w:r>
          </w:p>
        </w:tc>
        <w:tc>
          <w:tcPr>
            <w:tcW w:w="3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136</w:t>
            </w:r>
          </w:p>
        </w:tc>
        <w:tc>
          <w:tcPr>
            <w:tcW w:w="20" w:type="dxa"/>
            <w:vAlign w:val="bottom"/>
          </w:tcPr>
          <w:p>
            <w:pPr>
              <w:spacing w:after="0"/>
              <w:rPr>
                <w:sz w:val="20"/>
                <w:szCs w:val="20"/>
                <w:color w:val="auto"/>
              </w:rPr>
            </w:pPr>
          </w:p>
        </w:tc>
      </w:tr>
      <w:tr>
        <w:trPr>
          <w:trHeight w:val="25"/>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and fixed income funds</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22"/>
                <w:szCs w:val="22"/>
                <w:color w:val="auto"/>
              </w:rPr>
            </w:pPr>
          </w:p>
        </w:tc>
      </w:tr>
      <w:tr>
        <w:trPr>
          <w:trHeight w:val="241"/>
        </w:trPr>
        <w:tc>
          <w:tcPr>
            <w:tcW w:w="472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2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-3736975</wp:posOffset>
            </wp:positionV>
            <wp:extent cx="2994660" cy="14935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94660" cy="14935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-1943100</wp:posOffset>
            </wp:positionV>
            <wp:extent cx="7150735" cy="1753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1753870"/>
                    </a:xfrm>
                    <a:prstGeom prst="rect">
                      <a:avLst/>
                    </a:prstGeom>
                    <a:noFill/>
                  </pic:spPr>
                </pic:pic>
              </a:graphicData>
            </a:graphic>
          </wp:anchor>
        </w:drawing>
      </w:r>
    </w:p>
    <w:p>
      <w:pPr>
        <w:spacing w:after="0" w:line="79" w:lineRule="exact"/>
        <w:rPr>
          <w:sz w:val="20"/>
          <w:szCs w:val="20"/>
          <w:color w:val="auto"/>
        </w:rPr>
      </w:pPr>
    </w:p>
    <w:p>
      <w:pPr>
        <w:ind w:right="60" w:firstLine="299"/>
        <w:spacing w:after="0" w:line="247" w:lineRule="auto"/>
        <w:rPr>
          <w:sz w:val="20"/>
          <w:szCs w:val="20"/>
          <w:color w:val="auto"/>
        </w:rPr>
      </w:pPr>
      <w:r>
        <w:rPr>
          <w:rFonts w:ascii="Arial" w:cs="Arial" w:eastAsia="Arial" w:hAnsi="Arial"/>
          <w:sz w:val="17"/>
          <w:szCs w:val="17"/>
          <w:color w:val="auto"/>
        </w:rPr>
        <w:t>For the year ended December 31, 2021, the Company expects to contribute $18 million to its pension plans and an inconsequential amount to its postretirement plans. The Company deferred approximately $7 million in pension contributions until 2021 under the CARES Act and IRS Notice 2020-82, which is included in the expected contributions for 2021.</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expected pension and postretirement benefit payments over the next 10 years: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1660" w:type="dxa"/>
            <w:vAlign w:val="bottom"/>
            <w:gridSpan w:val="3"/>
          </w:tcPr>
          <w:p>
            <w:pPr>
              <w:ind w:left="20"/>
              <w:spacing w:after="0"/>
              <w:rPr>
                <w:sz w:val="20"/>
                <w:szCs w:val="20"/>
                <w:color w:val="auto"/>
              </w:rPr>
            </w:pPr>
            <w:r>
              <w:rPr>
                <w:rFonts w:ascii="Arial" w:cs="Arial" w:eastAsia="Arial" w:hAnsi="Arial"/>
                <w:sz w:val="13"/>
                <w:szCs w:val="13"/>
                <w:b w:val="1"/>
                <w:bCs w:val="1"/>
                <w:color w:val="auto"/>
              </w:rPr>
              <w:t>Defined Benefit Pension</w:t>
            </w:r>
          </w:p>
        </w:tc>
        <w:tc>
          <w:tcPr>
            <w:tcW w:w="18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rPr>
              <w:t>Postretirement Benefit</w:t>
            </w:r>
          </w:p>
        </w:tc>
        <w:tc>
          <w:tcPr>
            <w:tcW w:w="1400" w:type="dxa"/>
            <w:vAlign w:val="bottom"/>
          </w:tcPr>
          <w:p>
            <w:pPr>
              <w:jc w:val="right"/>
              <w:ind w:right="261"/>
              <w:spacing w:after="0"/>
              <w:rPr>
                <w:sz w:val="20"/>
                <w:szCs w:val="20"/>
                <w:color w:val="auto"/>
              </w:rPr>
            </w:pPr>
            <w:r>
              <w:rPr>
                <w:rFonts w:ascii="Arial" w:cs="Arial" w:eastAsia="Arial" w:hAnsi="Arial"/>
                <w:sz w:val="13"/>
                <w:szCs w:val="13"/>
                <w:b w:val="1"/>
                <w:bCs w:val="1"/>
                <w:color w:val="auto"/>
              </w:rPr>
              <w:t>Supplemental</w:t>
            </w:r>
          </w:p>
        </w:tc>
      </w:tr>
      <w:tr>
        <w:trPr>
          <w:trHeight w:val="181"/>
        </w:trPr>
        <w:tc>
          <w:tcPr>
            <w:tcW w:w="63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6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Arial" w:cs="Arial" w:eastAsia="Arial" w:hAnsi="Arial"/>
                <w:sz w:val="13"/>
                <w:szCs w:val="13"/>
                <w:b w:val="1"/>
                <w:bCs w:val="1"/>
                <w:color w:val="auto"/>
              </w:rPr>
              <w:t>Plans</w:t>
            </w:r>
          </w:p>
        </w:tc>
        <w:tc>
          <w:tcPr>
            <w:tcW w:w="360" w:type="dxa"/>
            <w:vAlign w:val="bottom"/>
          </w:tcPr>
          <w:p>
            <w:pPr>
              <w:spacing w:after="0"/>
              <w:rPr>
                <w:sz w:val="15"/>
                <w:szCs w:val="15"/>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7"/>
              </w:rPr>
              <w:t>Plans</w:t>
            </w:r>
          </w:p>
        </w:tc>
        <w:tc>
          <w:tcPr>
            <w:tcW w:w="1400" w:type="dxa"/>
            <w:vAlign w:val="bottom"/>
          </w:tcPr>
          <w:p>
            <w:pPr>
              <w:jc w:val="right"/>
              <w:ind w:right="161"/>
              <w:spacing w:after="0"/>
              <w:rPr>
                <w:sz w:val="20"/>
                <w:szCs w:val="20"/>
                <w:color w:val="auto"/>
              </w:rPr>
            </w:pPr>
            <w:r>
              <w:rPr>
                <w:rFonts w:ascii="Arial" w:cs="Arial" w:eastAsia="Arial" w:hAnsi="Arial"/>
                <w:sz w:val="13"/>
                <w:szCs w:val="13"/>
                <w:b w:val="1"/>
                <w:bCs w:val="1"/>
                <w:color w:val="auto"/>
              </w:rPr>
              <w:t>Retirement Plans</w:t>
            </w:r>
          </w:p>
        </w:tc>
      </w:tr>
      <w:tr>
        <w:trPr>
          <w:trHeight w:val="214"/>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Ending December 31,</w:t>
            </w: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49"/>
        </w:trPr>
        <w:tc>
          <w:tcPr>
            <w:tcW w:w="6340" w:type="dxa"/>
            <w:vAlign w:val="bottom"/>
          </w:tcPr>
          <w:p>
            <w:pPr>
              <w:ind w:left="20"/>
              <w:spacing w:after="0"/>
              <w:rPr>
                <w:sz w:val="20"/>
                <w:szCs w:val="20"/>
                <w:color w:val="auto"/>
              </w:rPr>
            </w:pPr>
            <w:r>
              <w:rPr>
                <w:rFonts w:ascii="Arial" w:cs="Arial" w:eastAsia="Arial" w:hAnsi="Arial"/>
                <w:sz w:val="17"/>
                <w:szCs w:val="17"/>
                <w:color w:val="auto"/>
              </w:rPr>
              <w:t>2021</w:t>
            </w: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1"/>
                <w:szCs w:val="21"/>
                <w:color w:val="auto"/>
              </w:rPr>
            </w:pPr>
          </w:p>
        </w:tc>
        <w:tc>
          <w:tcPr>
            <w:tcW w:w="360" w:type="dxa"/>
            <w:vAlign w:val="bottom"/>
          </w:tcPr>
          <w:p>
            <w:pPr>
              <w:jc w:val="right"/>
              <w:ind w:right="185"/>
              <w:spacing w:after="0"/>
              <w:rPr>
                <w:sz w:val="20"/>
                <w:szCs w:val="20"/>
                <w:color w:val="auto"/>
              </w:rPr>
            </w:pPr>
            <w:r>
              <w:rPr>
                <w:rFonts w:ascii="Arial" w:cs="Arial" w:eastAsia="Arial" w:hAnsi="Arial"/>
                <w:sz w:val="17"/>
                <w:szCs w:val="17"/>
                <w:color w:val="auto"/>
                <w:w w:val="84"/>
              </w:rPr>
              <w:t>$</w:t>
            </w:r>
          </w:p>
        </w:tc>
        <w:tc>
          <w:tcPr>
            <w:tcW w:w="1480" w:type="dxa"/>
            <w:vAlign w:val="bottom"/>
            <w:gridSpan w:val="3"/>
          </w:tcPr>
          <w:p>
            <w:pPr>
              <w:ind w:left="980"/>
              <w:spacing w:after="0"/>
              <w:rPr>
                <w:sz w:val="20"/>
                <w:szCs w:val="20"/>
                <w:color w:val="auto"/>
              </w:rPr>
            </w:pPr>
            <w:r>
              <w:rPr>
                <w:rFonts w:ascii="Arial" w:cs="Arial" w:eastAsia="Arial" w:hAnsi="Arial"/>
                <w:sz w:val="17"/>
                <w:szCs w:val="17"/>
                <w:color w:val="auto"/>
              </w:rPr>
              <w:t>—  $</w:t>
            </w: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6340" w:type="dxa"/>
            <w:vAlign w:val="bottom"/>
          </w:tcPr>
          <w:p>
            <w:pPr>
              <w:ind w:left="20"/>
              <w:spacing w:after="0"/>
              <w:rPr>
                <w:sz w:val="20"/>
                <w:szCs w:val="20"/>
                <w:color w:val="auto"/>
              </w:rPr>
            </w:pPr>
            <w:r>
              <w:rPr>
                <w:rFonts w:ascii="Arial" w:cs="Arial" w:eastAsia="Arial" w:hAnsi="Arial"/>
                <w:sz w:val="17"/>
                <w:szCs w:val="17"/>
                <w:color w:val="auto"/>
              </w:rPr>
              <w:t>2023</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6340" w:type="dxa"/>
            <w:vAlign w:val="bottom"/>
          </w:tcPr>
          <w:p>
            <w:pPr>
              <w:ind w:left="20"/>
              <w:spacing w:after="0"/>
              <w:rPr>
                <w:sz w:val="20"/>
                <w:szCs w:val="20"/>
                <w:color w:val="auto"/>
              </w:rPr>
            </w:pPr>
            <w:r>
              <w:rPr>
                <w:rFonts w:ascii="Arial" w:cs="Arial" w:eastAsia="Arial" w:hAnsi="Arial"/>
                <w:sz w:val="17"/>
                <w:szCs w:val="17"/>
                <w:color w:val="auto"/>
              </w:rPr>
              <w:t>2025</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2026-2030</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260"/>
          </w:cols>
          <w:pgMar w:left="320" w:top="492" w:right="319" w:bottom="1440" w:gutter="0" w:footer="0" w:header="0"/>
        </w:sectPr>
      </w:pPr>
    </w:p>
    <w:bookmarkStart w:id="236" w:name="page237"/>
    <w:bookmarkEnd w:id="236"/>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Defined Contribution Plans</w:t>
      </w:r>
    </w:p>
    <w:p>
      <w:pPr>
        <w:spacing w:after="0" w:line="173" w:lineRule="exact"/>
        <w:rPr>
          <w:sz w:val="20"/>
          <w:szCs w:val="20"/>
          <w:color w:val="auto"/>
        </w:rPr>
      </w:pPr>
    </w:p>
    <w:p>
      <w:pPr>
        <w:ind w:right="200" w:firstLine="299"/>
        <w:spacing w:after="0" w:line="280" w:lineRule="auto"/>
        <w:rPr>
          <w:sz w:val="20"/>
          <w:szCs w:val="20"/>
          <w:color w:val="auto"/>
        </w:rPr>
      </w:pPr>
      <w:r>
        <w:rPr>
          <w:rFonts w:ascii="Arial" w:cs="Arial" w:eastAsia="Arial" w:hAnsi="Arial"/>
          <w:sz w:val="16"/>
          <w:szCs w:val="16"/>
          <w:color w:val="auto"/>
        </w:rPr>
        <w:t>The Company maintains defined contribution plans covering substantially all domestic full-time eligible employees. The Company's contributions to these plans for the years ended December 31, 2020, 2019 and 2018 amounted to $21 million, $19 million and $15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Equity Method Investments</w:t>
      </w:r>
    </w:p>
    <w:p>
      <w:pPr>
        <w:spacing w:after="0" w:line="173" w:lineRule="exact"/>
        <w:rPr>
          <w:sz w:val="20"/>
          <w:szCs w:val="20"/>
          <w:color w:val="auto"/>
        </w:rPr>
      </w:pPr>
    </w:p>
    <w:p>
      <w:pPr>
        <w:ind w:right="40" w:firstLine="299"/>
        <w:spacing w:after="0" w:line="250" w:lineRule="auto"/>
        <w:rPr>
          <w:sz w:val="20"/>
          <w:szCs w:val="20"/>
          <w:color w:val="auto"/>
        </w:rPr>
      </w:pPr>
      <w:r>
        <w:rPr>
          <w:rFonts w:ascii="Arial" w:cs="Arial" w:eastAsia="Arial" w:hAnsi="Arial"/>
          <w:sz w:val="17"/>
          <w:szCs w:val="17"/>
          <w:color w:val="auto"/>
        </w:rPr>
        <w:t>Our share of net earnings related to our equity method investments was $3 million, $2 million and $1 million for the years ended December 31, 2020, 2019 and 2018, respectively, which was included in our Network Computing &amp; Communications business segment operating profit.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Below is a list of the entities accounted for under the equity method and recorded in other noncurrent assets on our Consolidated Balance Sheet: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2340" w:type="dxa"/>
            <w:vAlign w:val="bottom"/>
            <w:tcBorders>
              <w:bottom w:val="single" w:sz="8" w:color="auto"/>
            </w:tcBorders>
            <w:gridSpan w:val="3"/>
          </w:tcPr>
          <w:p>
            <w:pPr>
              <w:ind w:left="1220"/>
              <w:spacing w:after="0"/>
              <w:rPr>
                <w:sz w:val="20"/>
                <w:szCs w:val="20"/>
                <w:color w:val="auto"/>
              </w:rPr>
            </w:pPr>
            <w:r>
              <w:rPr>
                <w:rFonts w:ascii="Arial" w:cs="Arial" w:eastAsia="Arial" w:hAnsi="Arial"/>
                <w:sz w:val="13"/>
                <w:szCs w:val="13"/>
                <w:b w:val="1"/>
                <w:bCs w:val="1"/>
                <w:color w:val="auto"/>
              </w:rPr>
              <w:t>% of Ownership</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Carrying Value</w:t>
            </w:r>
          </w:p>
        </w:tc>
        <w:tc>
          <w:tcPr>
            <w:tcW w:w="1000" w:type="dxa"/>
            <w:vAlign w:val="bottom"/>
            <w:tcBorders>
              <w:bottom w:val="single" w:sz="8" w:color="auto"/>
            </w:tcBorders>
          </w:tcPr>
          <w:p>
            <w:pPr>
              <w:spacing w:after="0"/>
              <w:rPr>
                <w:sz w:val="15"/>
                <w:szCs w:val="15"/>
                <w:color w:val="auto"/>
              </w:rPr>
            </w:pPr>
          </w:p>
        </w:tc>
      </w:tr>
      <w:tr>
        <w:trPr>
          <w:trHeight w:val="192"/>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680" w:type="dxa"/>
            <w:vAlign w:val="bottom"/>
            <w:tcBorders>
              <w:bottom w:val="single" w:sz="8" w:color="auto"/>
            </w:tcBorders>
          </w:tcPr>
          <w:p>
            <w:pPr>
              <w:jc w:val="right"/>
              <w:ind w:right="60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2019</w:t>
            </w:r>
          </w:p>
        </w:tc>
      </w:t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Advanced Acoustics Concepts, LLC</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51% $</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5"/>
        </w:trPr>
        <w:tc>
          <w:tcPr>
            <w:tcW w:w="45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Share-based compensation plans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The Company does not have any share-based compensation plans. See </w:t>
      </w:r>
      <w:r>
        <w:rPr>
          <w:rFonts w:ascii="Arial" w:cs="Arial" w:eastAsia="Arial" w:hAnsi="Arial"/>
          <w:sz w:val="17"/>
          <w:szCs w:val="17"/>
          <w:i w:val="1"/>
          <w:iCs w:val="1"/>
          <w:color w:val="auto"/>
        </w:rPr>
        <w:t>Note 6</w:t>
      </w:r>
      <w:r>
        <w:rPr>
          <w:rFonts w:ascii="Arial" w:cs="Arial" w:eastAsia="Arial" w:hAnsi="Arial"/>
          <w:sz w:val="17"/>
          <w:szCs w:val="17"/>
          <w:color w:val="auto"/>
        </w:rPr>
        <w:t xml:space="preserve">: </w:t>
      </w:r>
      <w:r>
        <w:rPr>
          <w:rFonts w:ascii="Arial" w:cs="Arial" w:eastAsia="Arial" w:hAnsi="Arial"/>
          <w:sz w:val="17"/>
          <w:szCs w:val="17"/>
          <w:i w:val="1"/>
          <w:iCs w:val="1"/>
          <w:color w:val="auto"/>
        </w:rPr>
        <w:t>Other Liabilities</w:t>
      </w:r>
      <w:r>
        <w:rPr>
          <w:rFonts w:ascii="Arial" w:cs="Arial" w:eastAsia="Arial" w:hAnsi="Arial"/>
          <w:sz w:val="17"/>
          <w:szCs w:val="17"/>
          <w:color w:val="auto"/>
        </w:rPr>
        <w:t>, for information regarding cash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Commitments and Contingencies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Commitments</w:t>
      </w:r>
    </w:p>
    <w:p>
      <w:pPr>
        <w:spacing w:after="0" w:line="155" w:lineRule="exact"/>
        <w:rPr>
          <w:sz w:val="20"/>
          <w:szCs w:val="20"/>
          <w:color w:val="auto"/>
        </w:rPr>
      </w:pPr>
    </w:p>
    <w:p>
      <w:pPr>
        <w:ind w:right="700" w:firstLine="299"/>
        <w:spacing w:after="0" w:line="272" w:lineRule="auto"/>
        <w:rPr>
          <w:sz w:val="20"/>
          <w:szCs w:val="20"/>
          <w:color w:val="auto"/>
        </w:rPr>
      </w:pPr>
      <w:r>
        <w:rPr>
          <w:rFonts w:ascii="Arial" w:cs="Arial" w:eastAsia="Arial" w:hAnsi="Arial"/>
          <w:sz w:val="17"/>
          <w:szCs w:val="17"/>
          <w:color w:val="auto"/>
        </w:rPr>
        <w:t xml:space="preserve">The Company’s commitments are primarily related to our lease and credit agreements. See </w:t>
      </w:r>
      <w:r>
        <w:rPr>
          <w:rFonts w:ascii="Arial" w:cs="Arial" w:eastAsia="Arial" w:hAnsi="Arial"/>
          <w:sz w:val="17"/>
          <w:szCs w:val="17"/>
          <w:i w:val="1"/>
          <w:iCs w:val="1"/>
          <w:color w:val="auto"/>
        </w:rPr>
        <w:t>Note 9</w:t>
      </w:r>
      <w:r>
        <w:rPr>
          <w:rFonts w:ascii="Arial" w:cs="Arial" w:eastAsia="Arial" w:hAnsi="Arial"/>
          <w:sz w:val="17"/>
          <w:szCs w:val="17"/>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11</w:t>
      </w:r>
      <w:r>
        <w:rPr>
          <w:rFonts w:ascii="Arial" w:cs="Arial" w:eastAsia="Arial" w:hAnsi="Arial"/>
          <w:sz w:val="17"/>
          <w:szCs w:val="17"/>
          <w:color w:val="auto"/>
        </w:rPr>
        <w:t xml:space="preserve">: </w:t>
      </w:r>
      <w:r>
        <w:rPr>
          <w:rFonts w:ascii="Arial" w:cs="Arial" w:eastAsia="Arial" w:hAnsi="Arial"/>
          <w:sz w:val="17"/>
          <w:szCs w:val="17"/>
          <w:i w:val="1"/>
          <w:iCs w:val="1"/>
          <w:color w:val="auto"/>
        </w:rPr>
        <w:t>Debt</w:t>
      </w:r>
      <w:r>
        <w:rPr>
          <w:rFonts w:ascii="Arial" w:cs="Arial" w:eastAsia="Arial" w:hAnsi="Arial"/>
          <w:sz w:val="17"/>
          <w:szCs w:val="17"/>
          <w:color w:val="auto"/>
        </w:rPr>
        <w:t xml:space="preserve"> for additional information on our leases and credit agreements.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Contingencies</w:t>
      </w:r>
    </w:p>
    <w:p>
      <w:pPr>
        <w:spacing w:after="0" w:line="173"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46"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the subsidiary’s response to the RFI, the NPS directed it and another alleged former operator to perform an Engineering Evaluation and Cost Analysis (“EE/CA”) of a portion of the site. The Company’s subsidiary made a good faith offer to conduct an alternative EE/CA work plan, but the NPS rejected this offer and opted to perform the EE/CA itself. The NPS previously posted its intention to open a formal public comment period regarding the EE/CA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240"/>
          </w:cols>
          <w:pgMar w:left="320" w:top="492" w:right="339" w:bottom="1440" w:gutter="0" w:footer="0" w:header="0"/>
        </w:sectPr>
      </w:pPr>
    </w:p>
    <w:bookmarkStart w:id="237" w:name="page238"/>
    <w:bookmarkEnd w:id="237"/>
    <w:p>
      <w:pPr>
        <w:jc w:val="center"/>
        <w:ind w:right="16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end of 2019. To the Company’s knowledge, the EE/CA has not been released and a public comment period has yet to be opened.</w:t>
      </w:r>
    </w:p>
    <w:p>
      <w:pPr>
        <w:spacing w:after="0" w:line="15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The Company believes that it has legitimate defenses to its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145" w:lineRule="exact"/>
        <w:rPr>
          <w:sz w:val="20"/>
          <w:szCs w:val="20"/>
          <w:color w:val="auto"/>
        </w:rPr>
      </w:pPr>
    </w:p>
    <w:p>
      <w:pPr>
        <w:ind w:right="20" w:firstLine="299"/>
        <w:spacing w:after="0" w:line="247" w:lineRule="auto"/>
        <w:rPr>
          <w:sz w:val="20"/>
          <w:szCs w:val="20"/>
          <w:color w:val="auto"/>
        </w:rPr>
      </w:pPr>
      <w:r>
        <w:rPr>
          <w:rFonts w:ascii="Arial" w:cs="Arial" w:eastAsia="Arial" w:hAnsi="Arial"/>
          <w:sz w:val="17"/>
          <w:szCs w:val="17"/>
          <w:color w:val="auto"/>
        </w:rPr>
        <w:t>The Company has recorded its best estimate of damages and its share of remediation costs related to the site to reflect what we and our advisors reasonably believe we would be liable for based on the current information and circumstances of the claim, exclusive of other potential liabilities that may be asserted in the future.</w:t>
      </w:r>
    </w:p>
    <w:p>
      <w:pPr>
        <w:spacing w:after="0" w:line="14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In the performance of our contracts we routinely request contract modifications that require additional funding from the customer. Most often, these requests are due to customer-directed changes in the scope of work. While we are entitled to recovery of these costs under our contracts, the administrative process with our customer may be protracted. Based on the circumstances, we periodically file requests for equitable adjustment (“REAs”) that are sometimes converted into claims. In some cases, these requests are disputed by our customer. We believe our outstanding modifications, REAs and other claims will be resolved without material impact to our results of operations, financial condition or cash flows.</w:t>
      </w:r>
    </w:p>
    <w:p>
      <w:pPr>
        <w:spacing w:after="0" w:line="147" w:lineRule="exact"/>
        <w:rPr>
          <w:sz w:val="20"/>
          <w:szCs w:val="20"/>
          <w:color w:val="auto"/>
        </w:rPr>
      </w:pPr>
    </w:p>
    <w:p>
      <w:pPr>
        <w:ind w:right="20" w:firstLine="299"/>
        <w:spacing w:after="0" w:line="270" w:lineRule="auto"/>
        <w:rPr>
          <w:sz w:val="20"/>
          <w:szCs w:val="20"/>
          <w:color w:val="auto"/>
        </w:rPr>
      </w:pPr>
      <w:r>
        <w:rPr>
          <w:rFonts w:ascii="Arial" w:cs="Arial" w:eastAsia="Arial" w:hAnsi="Arial"/>
          <w:sz w:val="16"/>
          <w:szCs w:val="16"/>
          <w:color w:val="auto"/>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spacing w:after="0" w:line="126" w:lineRule="exact"/>
        <w:rPr>
          <w:sz w:val="20"/>
          <w:szCs w:val="20"/>
          <w:color w:val="auto"/>
        </w:rPr>
      </w:pPr>
    </w:p>
    <w:p>
      <w:pPr>
        <w:ind w:right="120" w:firstLine="299"/>
        <w:spacing w:after="0" w:line="250" w:lineRule="auto"/>
        <w:rPr>
          <w:sz w:val="20"/>
          <w:szCs w:val="20"/>
          <w:color w:val="auto"/>
        </w:rPr>
      </w:pPr>
      <w:r>
        <w:rPr>
          <w:rFonts w:ascii="Arial" w:cs="Arial" w:eastAsia="Arial" w:hAnsi="Arial"/>
          <w:sz w:val="17"/>
          <w:szCs w:val="17"/>
          <w:color w:val="auto"/>
        </w:rPr>
        <w:t>Management believes that adequate provisions for such potential audits, investigations, claims and contract adjustments, if any, have been made in the Consolidated Financial Statements.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Restructuring costs</w:t>
      </w:r>
    </w:p>
    <w:p>
      <w:pPr>
        <w:spacing w:after="0" w:line="17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In 2020, 2019 and 2018 we engaged in restructuring initiatives in order to rationalize headcount and align our operations in a more strategic and cost-efficient structure. In connection with these restructuring initiatives we recorded charges totaling $12 million, $ 20 million and $14 million for the years ended December 31, 2020, 2019 and 2018, respectively. Costs incurred were related to employee termination and severance costs, as well as costs related to discontinuing product lines or closing down of locations. Charges were recorded within other operating expenses, net, with the exception of costs incurred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220"/>
          </w:cols>
          <w:pgMar w:left="320" w:top="492" w:right="359" w:bottom="1440" w:gutter="0" w:footer="0" w:header="0"/>
        </w:sectPr>
      </w:pPr>
    </w:p>
    <w:bookmarkStart w:id="238" w:name="page239"/>
    <w:bookmarkEnd w:id="238"/>
    <w:p>
      <w:pPr>
        <w:jc w:val="center"/>
        <w:ind w:right="20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to the write-down of inventory, which were recorded in cost of products. See the table below for a breakout of restructuring costs incurred by segment and by nature of cost incurred: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Severance</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Facility abandonment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AST</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NC&amp;C</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Facility abandonment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 NC&amp;C</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IMS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Severance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Facility abandonment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IMS</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Corporate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Facility abandonment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 Corporate</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-544830</wp:posOffset>
            </wp:positionV>
            <wp:extent cx="7620" cy="165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0" cy="165735"/>
                    </a:xfrm>
                    <a:prstGeom prst="rect">
                      <a:avLst/>
                    </a:prstGeom>
                    <a:noFill/>
                  </pic:spPr>
                </pic:pic>
              </a:graphicData>
            </a:graphic>
          </wp:anchor>
        </w:drawing>
        <w:drawing>
          <wp:anchor simplePos="0" relativeHeight="251657728" behindDoc="1" locked="0" layoutInCell="0" allowOverlap="1">
            <wp:simplePos x="0" y="0"/>
            <wp:positionH relativeFrom="column">
              <wp:posOffset>7142480</wp:posOffset>
            </wp:positionH>
            <wp:positionV relativeFrom="paragraph">
              <wp:posOffset>-2172335</wp:posOffset>
            </wp:positionV>
            <wp:extent cx="7620" cy="165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20" cy="165735"/>
                    </a:xfrm>
                    <a:prstGeom prst="rect">
                      <a:avLst/>
                    </a:prstGeom>
                    <a:noFill/>
                  </pic:spPr>
                </pic:pic>
              </a:graphicData>
            </a:graphic>
          </wp:anchor>
        </w:drawing>
        <w:drawing>
          <wp:anchor simplePos="0" relativeHeight="251657728" behindDoc="1" locked="0" layoutInCell="0" allowOverlap="1">
            <wp:simplePos x="0" y="0"/>
            <wp:positionH relativeFrom="column">
              <wp:posOffset>7142480</wp:posOffset>
            </wp:positionH>
            <wp:positionV relativeFrom="paragraph">
              <wp:posOffset>-2986405</wp:posOffset>
            </wp:positionV>
            <wp:extent cx="7620" cy="165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0" cy="165735"/>
                    </a:xfrm>
                    <a:prstGeom prst="rect">
                      <a:avLst/>
                    </a:prstGeom>
                    <a:noFill/>
                  </pic:spPr>
                </pic:pic>
              </a:graphicData>
            </a:graphic>
          </wp:anchor>
        </w:drawing>
        <w:drawing>
          <wp:anchor simplePos="0" relativeHeight="251657728" behindDoc="1" locked="0" layoutInCell="0" allowOverlap="1">
            <wp:simplePos x="0" y="0"/>
            <wp:positionH relativeFrom="column">
              <wp:posOffset>7142480</wp:posOffset>
            </wp:positionH>
            <wp:positionV relativeFrom="paragraph">
              <wp:posOffset>-3594735</wp:posOffset>
            </wp:positionV>
            <wp:extent cx="7620" cy="142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0" cy="142240"/>
                    </a:xfrm>
                    <a:prstGeom prst="rect">
                      <a:avLst/>
                    </a:prstGeom>
                    <a:noFill/>
                  </pic:spPr>
                </pic:pic>
              </a:graphicData>
            </a:graphic>
          </wp:anchor>
        </w:drawing>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is a summary of changes in the restructuring provision balance during the years ended December 31, 2019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7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2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January 1, 2019</w:t>
            </w:r>
          </w:p>
        </w:tc>
        <w:tc>
          <w:tcPr>
            <w:tcW w:w="70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Additional provision</w:t>
            </w: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5"/>
        </w:trPr>
        <w:tc>
          <w:tcPr>
            <w:tcW w:w="9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Reversal and utilization</w:t>
            </w: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7"/>
        </w:trPr>
        <w:tc>
          <w:tcPr>
            <w:tcW w:w="966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5"/>
        </w:trPr>
        <w:tc>
          <w:tcPr>
            <w:tcW w:w="9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Additional provision</w:t>
            </w:r>
          </w:p>
        </w:tc>
        <w:tc>
          <w:tcPr>
            <w:tcW w:w="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Reversal and utilization</w:t>
            </w: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5"/>
        </w:trPr>
        <w:tc>
          <w:tcPr>
            <w:tcW w:w="9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7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173" w:lineRule="exact"/>
        <w:rPr>
          <w:sz w:val="20"/>
          <w:szCs w:val="20"/>
          <w:color w:val="auto"/>
        </w:rPr>
      </w:pPr>
    </w:p>
    <w:p>
      <w:pPr>
        <w:ind w:right="20" w:firstLine="299"/>
        <w:spacing w:after="0" w:line="246" w:lineRule="auto"/>
        <w:rPr>
          <w:sz w:val="20"/>
          <w:szCs w:val="20"/>
          <w:color w:val="auto"/>
        </w:rPr>
      </w:pPr>
      <w:r>
        <w:rPr>
          <w:rFonts w:ascii="Arial" w:cs="Arial" w:eastAsia="Arial" w:hAnsi="Arial"/>
          <w:sz w:val="17"/>
          <w:szCs w:val="17"/>
          <w:color w:val="auto"/>
        </w:rPr>
        <w:t>Product warranty costs generally are accrued in proportion to product revenue realized in conjunction with our over-time revenue recognition policy. Product warranty expense is recognized based on the term of the product warranty, generally one year to three years, and the related estimated costs, considering historical claims expense. Accrued warranty costs are reduced as these costs are incurred and as the warranty period expires, and otherwise may be modified as specific product performance issues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260"/>
          </w:cols>
          <w:pgMar w:left="320" w:top="492" w:right="319" w:bottom="1440" w:gutter="0" w:footer="0" w:header="0"/>
        </w:sectPr>
      </w:pPr>
    </w:p>
    <w:bookmarkStart w:id="239" w:name="page240"/>
    <w:bookmarkEnd w:id="239"/>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identified and resolved. The following is a summary of changes in the product warranty balances during the years ended December 31, 2019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66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4"/>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January 1, 2019</w:t>
            </w:r>
          </w:p>
        </w:tc>
        <w:tc>
          <w:tcPr>
            <w:tcW w:w="70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center"/>
              <w:ind w:left="497"/>
              <w:spacing w:after="0"/>
              <w:rPr>
                <w:sz w:val="20"/>
                <w:szCs w:val="20"/>
                <w:color w:val="auto"/>
              </w:rPr>
            </w:pPr>
            <w:r>
              <w:rPr>
                <w:rFonts w:ascii="Arial" w:cs="Arial" w:eastAsia="Arial" w:hAnsi="Arial"/>
                <w:sz w:val="17"/>
                <w:szCs w:val="17"/>
                <w:color w:val="auto"/>
                <w:w w:val="94"/>
              </w:rPr>
              <w:t>16</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Additional provision</w:t>
            </w:r>
          </w:p>
        </w:tc>
        <w:tc>
          <w:tcPr>
            <w:tcW w:w="700" w:type="dxa"/>
            <w:vAlign w:val="bottom"/>
          </w:tcPr>
          <w:p>
            <w:pPr>
              <w:spacing w:after="0"/>
              <w:rPr>
                <w:sz w:val="19"/>
                <w:szCs w:val="19"/>
                <w:color w:val="auto"/>
              </w:rPr>
            </w:pPr>
          </w:p>
        </w:tc>
        <w:tc>
          <w:tcPr>
            <w:tcW w:w="880" w:type="dxa"/>
            <w:vAlign w:val="bottom"/>
          </w:tcPr>
          <w:p>
            <w:pPr>
              <w:jc w:val="center"/>
              <w:ind w:left="497"/>
              <w:spacing w:after="0"/>
              <w:rPr>
                <w:sz w:val="20"/>
                <w:szCs w:val="20"/>
                <w:color w:val="auto"/>
              </w:rPr>
            </w:pPr>
            <w:r>
              <w:rPr>
                <w:rFonts w:ascii="Arial" w:cs="Arial" w:eastAsia="Arial" w:hAnsi="Arial"/>
                <w:sz w:val="17"/>
                <w:szCs w:val="17"/>
                <w:color w:val="auto"/>
                <w:w w:val="94"/>
              </w:rPr>
              <w:t>10</w:t>
            </w:r>
          </w:p>
        </w:tc>
      </w:tr>
      <w:tr>
        <w:trPr>
          <w:trHeight w:val="25"/>
        </w:trPr>
        <w:tc>
          <w:tcPr>
            <w:tcW w:w="9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Reversal and utilization</w:t>
            </w: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457"/>
              <w:spacing w:after="0"/>
              <w:rPr>
                <w:sz w:val="20"/>
                <w:szCs w:val="20"/>
                <w:color w:val="auto"/>
              </w:rPr>
            </w:pPr>
            <w:r>
              <w:rPr>
                <w:rFonts w:ascii="Arial" w:cs="Arial" w:eastAsia="Arial" w:hAnsi="Arial"/>
                <w:sz w:val="17"/>
                <w:szCs w:val="17"/>
                <w:color w:val="auto"/>
                <w:w w:val="99"/>
              </w:rPr>
              <w:t>(13)</w:t>
            </w:r>
          </w:p>
        </w:tc>
      </w:tr>
      <w:tr>
        <w:trPr>
          <w:trHeight w:val="217"/>
        </w:trPr>
        <w:tc>
          <w:tcPr>
            <w:tcW w:w="966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left="497"/>
              <w:spacing w:after="0"/>
              <w:rPr>
                <w:sz w:val="20"/>
                <w:szCs w:val="20"/>
                <w:color w:val="auto"/>
              </w:rPr>
            </w:pPr>
            <w:r>
              <w:rPr>
                <w:rFonts w:ascii="Arial" w:cs="Arial" w:eastAsia="Arial" w:hAnsi="Arial"/>
                <w:sz w:val="17"/>
                <w:szCs w:val="17"/>
                <w:color w:val="auto"/>
                <w:w w:val="94"/>
              </w:rPr>
              <w:t>13</w:t>
            </w:r>
          </w:p>
        </w:tc>
      </w:tr>
      <w:tr>
        <w:trPr>
          <w:trHeight w:val="25"/>
        </w:trPr>
        <w:tc>
          <w:tcPr>
            <w:tcW w:w="9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Additional provision</w:t>
            </w:r>
          </w:p>
        </w:tc>
        <w:tc>
          <w:tcPr>
            <w:tcW w:w="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ind w:left="497"/>
              <w:spacing w:after="0"/>
              <w:rPr>
                <w:sz w:val="20"/>
                <w:szCs w:val="20"/>
                <w:color w:val="auto"/>
              </w:rPr>
            </w:pPr>
            <w:r>
              <w:rPr>
                <w:rFonts w:ascii="Arial" w:cs="Arial" w:eastAsia="Arial" w:hAnsi="Arial"/>
                <w:sz w:val="17"/>
                <w:szCs w:val="17"/>
                <w:color w:val="auto"/>
                <w:w w:val="94"/>
              </w:rPr>
              <w:t>16</w:t>
            </w: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Reversal and utilization</w:t>
            </w:r>
          </w:p>
        </w:tc>
        <w:tc>
          <w:tcPr>
            <w:tcW w:w="700" w:type="dxa"/>
            <w:vAlign w:val="bottom"/>
          </w:tcPr>
          <w:p>
            <w:pPr>
              <w:spacing w:after="0"/>
              <w:rPr>
                <w:sz w:val="19"/>
                <w:szCs w:val="19"/>
                <w:color w:val="auto"/>
              </w:rPr>
            </w:pPr>
          </w:p>
        </w:tc>
        <w:tc>
          <w:tcPr>
            <w:tcW w:w="880" w:type="dxa"/>
            <w:vAlign w:val="bottom"/>
          </w:tcPr>
          <w:p>
            <w:pPr>
              <w:jc w:val="center"/>
              <w:ind w:left="457"/>
              <w:spacing w:after="0"/>
              <w:rPr>
                <w:sz w:val="20"/>
                <w:szCs w:val="20"/>
                <w:color w:val="auto"/>
              </w:rPr>
            </w:pPr>
            <w:r>
              <w:rPr>
                <w:rFonts w:ascii="Arial" w:cs="Arial" w:eastAsia="Arial" w:hAnsi="Arial"/>
                <w:sz w:val="17"/>
                <w:szCs w:val="17"/>
                <w:color w:val="auto"/>
                <w:w w:val="99"/>
              </w:rPr>
              <w:t>(12)</w:t>
            </w:r>
          </w:p>
        </w:tc>
      </w:tr>
      <w:tr>
        <w:trPr>
          <w:trHeight w:val="25"/>
        </w:trPr>
        <w:tc>
          <w:tcPr>
            <w:tcW w:w="9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7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center"/>
              <w:ind w:left="497"/>
              <w:spacing w:after="0"/>
              <w:rPr>
                <w:sz w:val="20"/>
                <w:szCs w:val="20"/>
                <w:color w:val="auto"/>
              </w:rPr>
            </w:pPr>
            <w:r>
              <w:rPr>
                <w:rFonts w:ascii="Arial" w:cs="Arial" w:eastAsia="Arial" w:hAnsi="Arial"/>
                <w:sz w:val="17"/>
                <w:szCs w:val="17"/>
                <w:color w:val="auto"/>
                <w:w w:val="94"/>
              </w:rPr>
              <w:t>17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Related Party Transactions</w:t>
      </w:r>
    </w:p>
    <w:p>
      <w:pPr>
        <w:spacing w:after="0" w:line="173" w:lineRule="exact"/>
        <w:rPr>
          <w:sz w:val="20"/>
          <w:szCs w:val="20"/>
          <w:color w:val="auto"/>
        </w:rPr>
      </w:pPr>
    </w:p>
    <w:p>
      <w:pPr>
        <w:ind w:right="240" w:firstLine="299"/>
        <w:spacing w:after="0" w:line="280" w:lineRule="auto"/>
        <w:rPr>
          <w:sz w:val="20"/>
          <w:szCs w:val="20"/>
          <w:color w:val="auto"/>
        </w:rPr>
      </w:pPr>
      <w:r>
        <w:rPr>
          <w:rFonts w:ascii="Arial" w:cs="Arial" w:eastAsia="Arial" w:hAnsi="Arial"/>
          <w:sz w:val="16"/>
          <w:szCs w:val="16"/>
          <w:color w:val="auto"/>
        </w:rPr>
        <w:t>Under our current proxy agreement, DRS remains largely independent from the Parent. Additionally, the Company provides services related to the US interface for the Parent and its other affiliates. These services include financial, tax, trade compliance, marketing and communications and legal.</w:t>
      </w:r>
    </w:p>
    <w:p>
      <w:pPr>
        <w:spacing w:after="0" w:line="118"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Company also has related-party sales with the Parent and its other affiliates that occur in the regular course of business. Related-party sales for these transactions are included in revenues and were $26 million, $16 million and $20 million for the years ended December 31, 2020, 2019 and 2018, respectively. The receivables related to these transactions with the Parent and its other affiliates of $ 5 million and $2 million, respectively, and payables of $8 million and $10 million, respectively, are included in accounts receivable and accounts payable in our Consolidated Balance Sheet as of December 31, 2020 and 2019.</w:t>
      </w:r>
    </w:p>
    <w:p>
      <w:pPr>
        <w:spacing w:after="0" w:line="147" w:lineRule="exact"/>
        <w:rPr>
          <w:sz w:val="20"/>
          <w:szCs w:val="20"/>
          <w:color w:val="auto"/>
        </w:rPr>
      </w:pPr>
    </w:p>
    <w:p>
      <w:pPr>
        <w:ind w:right="240" w:firstLine="299"/>
        <w:spacing w:after="0" w:line="246" w:lineRule="auto"/>
        <w:rPr>
          <w:sz w:val="20"/>
          <w:szCs w:val="20"/>
          <w:color w:val="auto"/>
        </w:rPr>
      </w:pPr>
      <w:r>
        <w:rPr>
          <w:rFonts w:ascii="Arial" w:cs="Arial" w:eastAsia="Arial" w:hAnsi="Arial"/>
          <w:sz w:val="17"/>
          <w:szCs w:val="17"/>
          <w:color w:val="auto"/>
        </w:rPr>
        <w:t>The Company entered into a Surplus Treasury Agreement with US Holding (the “Surplus Agreement”) in December 2019. The Surplus Agreement allows the Company to advance excess funds to US Holding when funds are available. The advances bear interest at LIBOR plus between 5 and 20 basis points depending on the tenor of the advance. As of December 31, 2020 and 2019, the Company had advanced $115 million and $100 million to US Holding, which is presented on the balance sheet as a related party note receivable.</w:t>
      </w:r>
    </w:p>
    <w:p>
      <w:pPr>
        <w:spacing w:after="0" w:line="144" w:lineRule="exact"/>
        <w:rPr>
          <w:sz w:val="20"/>
          <w:szCs w:val="20"/>
          <w:color w:val="auto"/>
        </w:rPr>
      </w:pPr>
    </w:p>
    <w:p>
      <w:pPr>
        <w:ind w:right="580" w:firstLine="299"/>
        <w:spacing w:after="0" w:line="250" w:lineRule="auto"/>
        <w:rPr>
          <w:sz w:val="20"/>
          <w:szCs w:val="20"/>
          <w:color w:val="auto"/>
        </w:rPr>
      </w:pPr>
      <w:r>
        <w:rPr>
          <w:rFonts w:ascii="Arial" w:cs="Arial" w:eastAsia="Arial" w:hAnsi="Arial"/>
          <w:sz w:val="17"/>
          <w:szCs w:val="17"/>
          <w:color w:val="auto"/>
        </w:rPr>
        <w:t>During 2020, US Holding forgave $300 million of related party debt. This was treated as a capital transaction and the amount was recorded in additional paid-in capital, as US Holding is a related party.</w:t>
      </w:r>
    </w:p>
    <w:p>
      <w:pPr>
        <w:spacing w:after="0" w:line="122" w:lineRule="exact"/>
        <w:rPr>
          <w:sz w:val="20"/>
          <w:szCs w:val="20"/>
          <w:color w:val="auto"/>
        </w:rPr>
      </w:pPr>
    </w:p>
    <w:p>
      <w:pPr>
        <w:ind w:right="400" w:firstLine="299"/>
        <w:spacing w:after="0" w:line="272" w:lineRule="auto"/>
        <w:rPr>
          <w:sz w:val="20"/>
          <w:szCs w:val="20"/>
          <w:color w:val="auto"/>
        </w:rPr>
      </w:pPr>
      <w:r>
        <w:rPr>
          <w:rFonts w:ascii="Arial" w:cs="Arial" w:eastAsia="Arial" w:hAnsi="Arial"/>
          <w:sz w:val="17"/>
          <w:szCs w:val="17"/>
          <w:color w:val="auto"/>
        </w:rPr>
        <w:t xml:space="preserve">The Company entered into Tax Allocation Agreement with US Holding, dated as of November 16, 2020. Refer to </w:t>
      </w:r>
      <w:r>
        <w:rPr>
          <w:rFonts w:ascii="Arial" w:cs="Arial" w:eastAsia="Arial" w:hAnsi="Arial"/>
          <w:sz w:val="17"/>
          <w:szCs w:val="17"/>
          <w:i w:val="1"/>
          <w:iCs w:val="1"/>
          <w:color w:val="auto"/>
        </w:rPr>
        <w:t>Note 1: 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for more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Segment Information</w:t>
      </w:r>
    </w:p>
    <w:p>
      <w:pPr>
        <w:spacing w:after="0" w:line="173"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Operating segments represent components of an enterprise for which separate financial information is available that is regularly reviewed by the CODM in determining how to allocate resources and assess performance. Our Chief Executive Officer is our CODM and he uses a variety of measures to assess the performance of the Company as a whole, depending on the nature of the activity. The Company’s operating and reportable segments consist of AST, NC&amp;C and IMS. All other operations, which consists primarily of DRS Corporate Headquarters and certain non-operating subsidiaries of the Company, are grouped in Corporate &amp; Eliminations.</w:t>
      </w:r>
    </w:p>
    <w:p>
      <w:pPr>
        <w:spacing w:after="0" w:line="147" w:lineRule="exact"/>
        <w:rPr>
          <w:sz w:val="20"/>
          <w:szCs w:val="20"/>
          <w:color w:val="auto"/>
        </w:rPr>
      </w:pPr>
    </w:p>
    <w:p>
      <w:pPr>
        <w:ind w:right="240" w:firstLine="299"/>
        <w:spacing w:after="0" w:line="245" w:lineRule="auto"/>
        <w:rPr>
          <w:sz w:val="20"/>
          <w:szCs w:val="20"/>
          <w:color w:val="auto"/>
        </w:rPr>
      </w:pPr>
      <w:r>
        <w:rPr>
          <w:rFonts w:ascii="Arial" w:cs="Arial" w:eastAsia="Arial" w:hAnsi="Arial"/>
          <w:sz w:val="17"/>
          <w:szCs w:val="17"/>
          <w:color w:val="auto"/>
        </w:rPr>
        <w:t>We primarily use Adjusted EBITDA to manage the Company and allocate resources. Adjusted EBITDA of our business segments includes our net earnings before income taxes, amortization of acquired intangible assets, depreciation, restructuring costs, interest, transaction costs related to this offering, acquisition and divestiture related expenses, foreign exchange, COVID-19 response costs, non-service pension expenditures and other one-time non-operational events. Adjusted EBITDA is used to facilitate a comparison of the ordinary, ongoing and customary course of our operations on a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240"/>
          </w:cols>
          <w:pgMar w:left="320" w:top="492" w:right="339" w:bottom="1440" w:gutter="0" w:footer="0" w:header="0"/>
        </w:sectPr>
      </w:pPr>
    </w:p>
    <w:bookmarkStart w:id="240" w:name="page241"/>
    <w:bookmarkEnd w:id="240"/>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basis from period to period and provide an additional understanding of factors and trends affecting our business segments. This measure assists the CODM in assessing segment operating performance consistently over time without the impact of our capital structure, asset base and items outside the control of the management team and expenses that do not relate to our core operations.</w:t>
      </w:r>
    </w:p>
    <w:p>
      <w:pPr>
        <w:spacing w:after="0" w:line="143"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 xml:space="preserve">Certain information related to our segments for the years ended December 31, 2020, 2019 and 2018, is presented in the following tables. Consistent accounting policies have been applied by all segments within the Company, within all reporting periods. A description of our reportable segments as of December 31, 2020 and 2019 has been included in </w:t>
      </w:r>
      <w:r>
        <w:rPr>
          <w:rFonts w:ascii="Arial" w:cs="Arial" w:eastAsia="Arial" w:hAnsi="Arial"/>
          <w:sz w:val="17"/>
          <w:szCs w:val="17"/>
          <w:i w:val="1"/>
          <w:iCs w:val="1"/>
          <w:color w:val="auto"/>
        </w:rPr>
        <w:t>Note 1: Summary of Significant Accounting Policies</w:t>
      </w:r>
      <w:r>
        <w:rPr>
          <w:rFonts w:ascii="Arial" w:cs="Arial" w:eastAsia="Arial" w:hAnsi="Arial"/>
          <w:sz w:val="17"/>
          <w:szCs w:val="17"/>
          <w:color w:val="auto"/>
        </w:rPr>
        <w:t>. Transactions between segments generally are negotiated and accounted for under terms and conditions that are similar to other government and commercial contracts; however, these intercompany transactions are eliminated in consolidation.</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revenues and intersegment revenues by segment for the years ended December 31, 2020, 2019 and 2018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0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AST</w:t>
            </w:r>
          </w:p>
        </w:tc>
        <w:tc>
          <w:tcPr>
            <w:tcW w:w="1020" w:type="dxa"/>
            <w:vAlign w:val="bottom"/>
            <w:tcBorders>
              <w:bottom w:val="single" w:sz="8" w:color="CCEEFF"/>
            </w:tcBorders>
            <w:gridSpan w:val="2"/>
            <w:shd w:val="clear" w:color="auto" w:fill="CCEEFF"/>
          </w:tcPr>
          <w:p>
            <w:pPr>
              <w:jc w:val="right"/>
              <w:ind w:right="84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659</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NC&amp;C</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1,111</w:t>
            </w:r>
          </w:p>
        </w:tc>
      </w:tr>
      <w:tr>
        <w:trPr>
          <w:trHeight w:val="25"/>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IMS</w:t>
            </w:r>
          </w:p>
        </w:tc>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610</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Corporate &amp; Eliminations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5"/>
        </w:trPr>
        <w:tc>
          <w:tcPr>
            <w:tcW w:w="6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1020" w:type="dxa"/>
            <w:vAlign w:val="bottom"/>
            <w:tcBorders>
              <w:bottom w:val="single" w:sz="8" w:color="auto"/>
            </w:tcBorders>
            <w:gridSpan w:val="2"/>
            <w:shd w:val="clear" w:color="auto" w:fill="CCEEFF"/>
          </w:tcPr>
          <w:p>
            <w:pPr>
              <w:jc w:val="right"/>
              <w:ind w:right="84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AST</w:t>
            </w:r>
          </w:p>
        </w:tc>
        <w:tc>
          <w:tcPr>
            <w:tcW w:w="1020" w:type="dxa"/>
            <w:vAlign w:val="bottom"/>
            <w:tcBorders>
              <w:bottom w:val="single" w:sz="8" w:color="CCEEFF"/>
            </w:tcBorders>
            <w:gridSpan w:val="2"/>
            <w:shd w:val="clear" w:color="auto" w:fill="CCEEFF"/>
          </w:tcPr>
          <w:p>
            <w:pPr>
              <w:jc w:val="right"/>
              <w:ind w:right="82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NC&amp;C</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IMS</w:t>
            </w: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 intersegment revenue</w:t>
            </w:r>
          </w:p>
        </w:tc>
        <w:tc>
          <w:tcPr>
            <w:tcW w:w="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w:t>
            </w:r>
          </w:p>
        </w:tc>
      </w:tr>
      <w:tr>
        <w:trPr>
          <w:trHeight w:val="20"/>
        </w:trPr>
        <w:tc>
          <w:tcPr>
            <w:tcW w:w="636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8"/>
        </w:trPr>
        <w:tc>
          <w:tcPr>
            <w:tcW w:w="7360" w:type="dxa"/>
            <w:vAlign w:val="bottom"/>
            <w:gridSpan w:val="3"/>
          </w:tcPr>
          <w:p>
            <w:pPr>
              <w:ind w:left="300"/>
              <w:spacing w:after="0"/>
              <w:rPr>
                <w:sz w:val="20"/>
                <w:szCs w:val="20"/>
                <w:color w:val="auto"/>
              </w:rPr>
            </w:pPr>
            <w:r>
              <w:rPr>
                <w:rFonts w:ascii="Arial" w:cs="Arial" w:eastAsia="Arial" w:hAnsi="Arial"/>
                <w:sz w:val="17"/>
                <w:szCs w:val="17"/>
                <w:color w:val="auto"/>
              </w:rPr>
              <w:t>Depreciation by segment as of December 31, 2020, 2019 and 2018 consists of the following:</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AST</w:t>
            </w:r>
          </w:p>
        </w:tc>
        <w:tc>
          <w:tcPr>
            <w:tcW w:w="1020" w:type="dxa"/>
            <w:vAlign w:val="bottom"/>
            <w:tcBorders>
              <w:bottom w:val="single" w:sz="8" w:color="CCEEFF"/>
            </w:tcBorders>
            <w:gridSpan w:val="2"/>
            <w:shd w:val="clear" w:color="auto" w:fill="CCEEFF"/>
          </w:tcPr>
          <w:p>
            <w:pPr>
              <w:jc w:val="right"/>
              <w:ind w:right="82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NC&amp;C</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IMS</w:t>
            </w: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 depreciation</w:t>
            </w:r>
          </w:p>
        </w:tc>
        <w:tc>
          <w:tcPr>
            <w:tcW w:w="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0"/>
        </w:trPr>
        <w:tc>
          <w:tcPr>
            <w:tcW w:w="636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8"/>
        </w:trPr>
        <w:tc>
          <w:tcPr>
            <w:tcW w:w="7360" w:type="dxa"/>
            <w:vAlign w:val="bottom"/>
            <w:gridSpan w:val="3"/>
          </w:tcPr>
          <w:p>
            <w:pPr>
              <w:ind w:left="300"/>
              <w:spacing w:after="0"/>
              <w:rPr>
                <w:sz w:val="20"/>
                <w:szCs w:val="20"/>
                <w:color w:val="auto"/>
              </w:rPr>
            </w:pPr>
            <w:r>
              <w:rPr>
                <w:rFonts w:ascii="Arial" w:cs="Arial" w:eastAsia="Arial" w:hAnsi="Arial"/>
                <w:sz w:val="17"/>
                <w:szCs w:val="17"/>
                <w:color w:val="auto"/>
              </w:rPr>
              <w:t>Total assets by segment as of December 31, 2020 and 2019 consist of the following:</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AST</w:t>
            </w:r>
          </w:p>
        </w:tc>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853</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NC&amp;C</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683</w:t>
            </w:r>
          </w:p>
        </w:tc>
      </w:tr>
      <w:tr>
        <w:trPr>
          <w:trHeight w:val="25"/>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IMS</w:t>
            </w:r>
          </w:p>
        </w:tc>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Corporate &amp; Eliminations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418</w:t>
            </w:r>
          </w:p>
        </w:tc>
      </w:tr>
      <w:tr>
        <w:trPr>
          <w:trHeight w:val="25"/>
        </w:trPr>
        <w:tc>
          <w:tcPr>
            <w:tcW w:w="6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240"/>
          </w:cols>
          <w:pgMar w:left="320" w:top="492" w:right="339" w:bottom="1440" w:gutter="0" w:footer="0" w:header="0"/>
        </w:sectPr>
      </w:pPr>
    </w:p>
    <w:bookmarkStart w:id="241" w:name="page242"/>
    <w:bookmarkEnd w:id="241"/>
    <w:p>
      <w:pPr>
        <w:jc w:val="center"/>
        <w:ind w:right="180"/>
        <w:spacing w:after="0"/>
        <w:rPr>
          <w:sz w:val="20"/>
          <w:szCs w:val="20"/>
          <w:color w:val="auto"/>
        </w:rPr>
      </w:pPr>
      <w:r>
        <w:rPr>
          <w:rFonts w:ascii="Arial" w:cs="Arial" w:eastAsia="Arial" w:hAnsi="Arial"/>
          <w:sz w:val="17"/>
          <w:szCs w:val="17"/>
          <w:b w:val="1"/>
          <w:bCs w:val="1"/>
          <w:color w:val="auto"/>
        </w:rPr>
        <w:t>LEONARDO DRS,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Reconciliation of reportable segment Adjusted EBITDA to Net Earnings (loss)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2018</w:t>
            </w: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AST</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NC&amp;C</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IMS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&amp; Eliminations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Total Adjusted EBITDA</w:t>
            </w: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intangibles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Restructuring costs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Transaction costs related to this offering</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Acquisition and divestiture related expenses</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exchange</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COVID-19 response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Non-service pension expense</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4"/>
        </w:trPr>
        <w:tc>
          <w:tcPr>
            <w:tcW w:w="6340" w:type="dxa"/>
            <w:vAlign w:val="bottom"/>
          </w:tcPr>
          <w:p>
            <w:pPr>
              <w:ind w:left="20"/>
              <w:spacing w:after="0"/>
              <w:rPr>
                <w:sz w:val="20"/>
                <w:szCs w:val="20"/>
                <w:color w:val="auto"/>
              </w:rPr>
            </w:pPr>
            <w:r>
              <w:rPr>
                <w:rFonts w:ascii="Arial" w:cs="Arial" w:eastAsia="Arial" w:hAnsi="Arial"/>
                <w:sz w:val="17"/>
                <w:szCs w:val="17"/>
                <w:color w:val="auto"/>
              </w:rPr>
              <w:t>Other one-time non-operational events</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(provision) benefit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Net earnings (loss)</w:t>
            </w: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Subsequent Events</w:t>
      </w:r>
    </w:p>
    <w:p>
      <w:pPr>
        <w:spacing w:after="0" w:line="173" w:lineRule="exact"/>
        <w:rPr>
          <w:sz w:val="20"/>
          <w:szCs w:val="20"/>
          <w:color w:val="auto"/>
        </w:rPr>
      </w:pPr>
    </w:p>
    <w:p>
      <w:pPr>
        <w:ind w:right="680" w:firstLine="299"/>
        <w:spacing w:after="0" w:line="250" w:lineRule="auto"/>
        <w:rPr>
          <w:sz w:val="20"/>
          <w:szCs w:val="20"/>
          <w:color w:val="auto"/>
        </w:rPr>
      </w:pPr>
      <w:r>
        <w:rPr>
          <w:rFonts w:ascii="Arial" w:cs="Arial" w:eastAsia="Arial" w:hAnsi="Arial"/>
          <w:sz w:val="17"/>
          <w:szCs w:val="17"/>
          <w:color w:val="auto"/>
        </w:rPr>
        <w:t>The Company has evaluated subsequent events through February 26, 2021, which represents the date on which the Consolidated Financial Statements were issued.</w:t>
      </w:r>
    </w:p>
    <w:p>
      <w:pPr>
        <w:spacing w:after="0" w:line="140"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 coronavirus (“COVID-19”) pandemic has caused significant disruptions to national and global economies and government activities. We are designated as an essential business in each of the jurisdictions in which we operate and, as such, we have worked to ensure continuity of our operations to meet our contractual obligations. Certain of our businesses have experienced disruptions, such as customer site closures, travel restrictions and social distancing requirements. We have adopted various initiatives at our businesses as part of our business continuity programs, and we continue to work to mitigate risk when disruptions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240"/>
          </w:cols>
          <w:pgMar w:left="320" w:top="492" w:right="339"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997585</wp:posOffset>
            </wp:positionV>
            <wp:extent cx="714311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958215</wp:posOffset>
            </wp:positionV>
            <wp:extent cx="714311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23"/>
          <w:szCs w:val="23"/>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115570</wp:posOffset>
            </wp:positionV>
            <wp:extent cx="151701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015" cy="7620"/>
                    </a:xfrm>
                    <a:prstGeom prst="rect">
                      <a:avLst/>
                    </a:prstGeom>
                    <a:noFill/>
                  </pic:spPr>
                </pic:pic>
              </a:graphicData>
            </a:graphic>
          </wp:anchor>
        </w:drawing>
        <w:drawing>
          <wp:anchor simplePos="0" relativeHeight="251657728" behindDoc="1" locked="0" layoutInCell="0" allowOverlap="1">
            <wp:simplePos x="0" y="0"/>
            <wp:positionH relativeFrom="column">
              <wp:posOffset>1698625</wp:posOffset>
            </wp:positionH>
            <wp:positionV relativeFrom="paragraph">
              <wp:posOffset>558165</wp:posOffset>
            </wp:positionV>
            <wp:extent cx="3745230" cy="4743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4523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30"/>
          <w:szCs w:val="30"/>
          <w:b w:val="1"/>
          <w:bCs w:val="1"/>
          <w:color w:val="auto"/>
        </w:rPr>
        <w:t>Leonardo DRS,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147320</wp:posOffset>
            </wp:positionV>
            <wp:extent cx="151701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0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140" w:type="dxa"/>
        <w:tblCellMar>
          <w:top w:w="0" w:type="dxa"/>
          <w:left w:w="0" w:type="dxa"/>
          <w:bottom w:w="0" w:type="dxa"/>
          <w:right w:w="0" w:type="dxa"/>
        </w:tblCellMar>
      </w:tblPr>
      <w:tr>
        <w:trPr>
          <w:trHeight w:val="308"/>
        </w:trPr>
        <w:tc>
          <w:tcPr>
            <w:tcW w:w="3000" w:type="dxa"/>
            <w:vAlign w:val="bottom"/>
            <w:gridSpan w:val="2"/>
          </w:tcPr>
          <w:p>
            <w:pPr>
              <w:spacing w:after="0"/>
              <w:rPr>
                <w:sz w:val="20"/>
                <w:szCs w:val="20"/>
                <w:color w:val="auto"/>
              </w:rPr>
            </w:pPr>
            <w:r>
              <w:rPr>
                <w:rFonts w:ascii="Arial" w:cs="Arial" w:eastAsia="Arial" w:hAnsi="Arial"/>
                <w:sz w:val="23"/>
                <w:szCs w:val="23"/>
                <w:b w:val="1"/>
                <w:bCs w:val="1"/>
                <w:color w:val="auto"/>
              </w:rPr>
              <w:t>Goldman Sachs &amp; Co. LLC</w:t>
            </w:r>
          </w:p>
        </w:tc>
        <w:tc>
          <w:tcPr>
            <w:tcW w:w="2440" w:type="dxa"/>
            <w:vAlign w:val="bottom"/>
            <w:gridSpan w:val="2"/>
          </w:tcPr>
          <w:p>
            <w:pPr>
              <w:ind w:left="440"/>
              <w:spacing w:after="0"/>
              <w:rPr>
                <w:sz w:val="20"/>
                <w:szCs w:val="20"/>
                <w:color w:val="auto"/>
              </w:rPr>
            </w:pPr>
            <w:r>
              <w:rPr>
                <w:rFonts w:ascii="Arial" w:cs="Arial" w:eastAsia="Arial" w:hAnsi="Arial"/>
                <w:sz w:val="23"/>
                <w:szCs w:val="23"/>
                <w:b w:val="1"/>
                <w:bCs w:val="1"/>
                <w:color w:val="auto"/>
              </w:rPr>
              <w:t>BofA Securities</w:t>
            </w:r>
          </w:p>
        </w:tc>
        <w:tc>
          <w:tcPr>
            <w:tcW w:w="1540" w:type="dxa"/>
            <w:vAlign w:val="bottom"/>
          </w:tcPr>
          <w:p>
            <w:pPr>
              <w:ind w:left="260"/>
              <w:spacing w:after="0"/>
              <w:rPr>
                <w:sz w:val="20"/>
                <w:szCs w:val="20"/>
                <w:color w:val="auto"/>
              </w:rPr>
            </w:pPr>
            <w:r>
              <w:rPr>
                <w:rFonts w:ascii="Arial" w:cs="Arial" w:eastAsia="Arial" w:hAnsi="Arial"/>
                <w:sz w:val="23"/>
                <w:szCs w:val="23"/>
                <w:b w:val="1"/>
                <w:bCs w:val="1"/>
                <w:color w:val="auto"/>
                <w:w w:val="96"/>
              </w:rPr>
              <w:t>J.P. Morgan</w:t>
            </w:r>
          </w:p>
        </w:tc>
      </w:tr>
      <w:tr>
        <w:trPr>
          <w:trHeight w:val="475"/>
        </w:trPr>
        <w:tc>
          <w:tcPr>
            <w:tcW w:w="3000" w:type="dxa"/>
            <w:vAlign w:val="bottom"/>
            <w:gridSpan w:val="2"/>
          </w:tcPr>
          <w:p>
            <w:pPr>
              <w:ind w:left="920"/>
              <w:spacing w:after="0"/>
              <w:rPr>
                <w:sz w:val="20"/>
                <w:szCs w:val="20"/>
                <w:color w:val="auto"/>
              </w:rPr>
            </w:pPr>
            <w:r>
              <w:rPr>
                <w:rFonts w:ascii="Arial" w:cs="Arial" w:eastAsia="Arial" w:hAnsi="Arial"/>
                <w:sz w:val="20"/>
                <w:szCs w:val="20"/>
                <w:b w:val="1"/>
                <w:bCs w:val="1"/>
                <w:color w:val="auto"/>
              </w:rPr>
              <w:t>Barclays  Citigroup</w:t>
            </w:r>
          </w:p>
        </w:tc>
        <w:tc>
          <w:tcPr>
            <w:tcW w:w="3980" w:type="dxa"/>
            <w:vAlign w:val="bottom"/>
            <w:gridSpan w:val="3"/>
          </w:tcPr>
          <w:p>
            <w:pPr>
              <w:ind w:left="80"/>
              <w:spacing w:after="0"/>
              <w:rPr>
                <w:sz w:val="20"/>
                <w:szCs w:val="20"/>
                <w:color w:val="auto"/>
              </w:rPr>
            </w:pPr>
            <w:r>
              <w:rPr>
                <w:rFonts w:ascii="Arial" w:cs="Arial" w:eastAsia="Arial" w:hAnsi="Arial"/>
                <w:sz w:val="20"/>
                <w:szCs w:val="20"/>
                <w:b w:val="1"/>
                <w:bCs w:val="1"/>
                <w:color w:val="auto"/>
              </w:rPr>
              <w:t>Credit Suisse  Morgan Stanley</w:t>
            </w:r>
          </w:p>
        </w:tc>
      </w:tr>
      <w:tr>
        <w:trPr>
          <w:trHeight w:val="214"/>
        </w:trPr>
        <w:tc>
          <w:tcPr>
            <w:tcW w:w="2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41"/>
        </w:trPr>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jc w:val="right"/>
              <w:ind w:right="520"/>
              <w:spacing w:after="0"/>
              <w:rPr>
                <w:sz w:val="20"/>
                <w:szCs w:val="20"/>
                <w:color w:val="auto"/>
              </w:rPr>
            </w:pPr>
            <w:r>
              <w:rPr>
                <w:rFonts w:ascii="Arial" w:cs="Arial" w:eastAsia="Arial" w:hAnsi="Arial"/>
                <w:sz w:val="17"/>
                <w:szCs w:val="17"/>
                <w:color w:val="auto"/>
              </w:rPr>
              <w:t>, 2021</w:t>
            </w: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0" w:lineRule="exact"/>
        <w:rPr>
          <w:sz w:val="20"/>
          <w:szCs w:val="20"/>
          <w:color w:val="auto"/>
        </w:rPr>
      </w:pPr>
    </w:p>
    <w:p>
      <w:pPr>
        <w:spacing w:after="0" w:line="302" w:lineRule="exact"/>
        <w:rPr>
          <w:sz w:val="20"/>
          <w:szCs w:val="20"/>
          <w:color w:val="auto"/>
        </w:rPr>
      </w:pPr>
    </w:p>
    <w:p>
      <w:pPr>
        <w:ind w:firstLine="299"/>
        <w:spacing w:after="0" w:line="259" w:lineRule="auto"/>
        <w:rPr>
          <w:sz w:val="20"/>
          <w:szCs w:val="20"/>
          <w:color w:val="auto"/>
        </w:rPr>
      </w:pPr>
      <w:r>
        <w:rPr>
          <w:rFonts w:ascii="Arial" w:cs="Arial" w:eastAsia="Arial" w:hAnsi="Arial"/>
          <w:sz w:val="17"/>
          <w:szCs w:val="17"/>
          <w:b w:val="1"/>
          <w:bCs w:val="1"/>
          <w:color w:val="auto"/>
        </w:rPr>
        <w:t>Through and including , 2021 (25 days after the date of this prospectus), all dealers that buy, sell or trade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607060</wp:posOffset>
            </wp:positionV>
            <wp:extent cx="714311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582930</wp:posOffset>
            </wp:positionV>
            <wp:extent cx="714311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3" w:name="page244"/>
    <w:bookmarkEnd w:id="243"/>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3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73" w:lineRule="exact"/>
        <w:rPr>
          <w:sz w:val="20"/>
          <w:szCs w:val="20"/>
          <w:color w:val="auto"/>
        </w:rPr>
      </w:pPr>
    </w:p>
    <w:p>
      <w:pPr>
        <w:ind w:right="220" w:firstLine="299"/>
        <w:spacing w:after="0" w:line="250" w:lineRule="auto"/>
        <w:rPr>
          <w:sz w:val="20"/>
          <w:szCs w:val="20"/>
          <w:color w:val="auto"/>
        </w:rPr>
      </w:pPr>
      <w:r>
        <w:rPr>
          <w:rFonts w:ascii="Arial" w:cs="Arial" w:eastAsia="Arial" w:hAnsi="Arial"/>
          <w:sz w:val="17"/>
          <w:szCs w:val="17"/>
          <w:color w:val="auto"/>
        </w:rPr>
        <w:t>The following table sets forth the estimated expenses payable by us in connection with the sale and distribution of the securities registered hereby, other than underwriting discounts or commissions. All amounts are estimates except for the SEC registration fee and the FINRA filing fee.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 Registration Fee</w:t>
            </w:r>
          </w:p>
        </w:tc>
        <w:tc>
          <w:tcPr>
            <w:tcW w:w="8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FINRA Filing Fee</w:t>
            </w: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9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Listing Fee</w:t>
            </w:r>
          </w:p>
        </w:tc>
        <w:tc>
          <w:tcPr>
            <w:tcW w:w="8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Printing Fees and Expenses</w:t>
            </w: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9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Accounting Fees and Expenses</w:t>
            </w:r>
          </w:p>
        </w:tc>
        <w:tc>
          <w:tcPr>
            <w:tcW w:w="8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Legal Fees and Expenses</w:t>
            </w: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9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Blue Sky Fees and Expenses</w:t>
            </w:r>
          </w:p>
        </w:tc>
        <w:tc>
          <w:tcPr>
            <w:tcW w:w="8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9660" w:type="dxa"/>
            <w:vAlign w:val="bottom"/>
          </w:tcPr>
          <w:p>
            <w:pPr>
              <w:ind w:left="20"/>
              <w:spacing w:after="0"/>
              <w:rPr>
                <w:sz w:val="20"/>
                <w:szCs w:val="20"/>
                <w:color w:val="auto"/>
              </w:rPr>
            </w:pPr>
            <w:r>
              <w:rPr>
                <w:rFonts w:ascii="Arial" w:cs="Arial" w:eastAsia="Arial" w:hAnsi="Arial"/>
                <w:sz w:val="17"/>
                <w:szCs w:val="17"/>
                <w:color w:val="auto"/>
              </w:rPr>
              <w:t>Transfer Agent Fees and Expenses</w:t>
            </w: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9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Miscellaneous</w:t>
            </w: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9660" w:type="dxa"/>
            <w:vAlign w:val="bottom"/>
          </w:tcPr>
          <w:p>
            <w:pPr>
              <w:ind w:left="20"/>
              <w:spacing w:after="0"/>
              <w:rPr>
                <w:sz w:val="20"/>
                <w:szCs w:val="20"/>
                <w:color w:val="auto"/>
              </w:rPr>
            </w:pPr>
            <w:r>
              <w:rPr>
                <w:rFonts w:ascii="Arial" w:cs="Arial" w:eastAsia="Arial" w:hAnsi="Arial"/>
                <w:sz w:val="17"/>
                <w:szCs w:val="17"/>
                <w:color w:val="auto"/>
              </w:rPr>
              <w:t>Total:</w:t>
            </w: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66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660" w:type="dxa"/>
            <w:vAlign w:val="bottom"/>
          </w:tcPr>
          <w:p>
            <w:pPr>
              <w:spacing w:after="0"/>
              <w:rPr>
                <w:sz w:val="20"/>
                <w:szCs w:val="20"/>
                <w:color w:val="auto"/>
              </w:rPr>
            </w:pPr>
            <w:r>
              <w:rPr>
                <w:rFonts w:ascii="Arial" w:cs="Arial" w:eastAsia="Arial" w:hAnsi="Arial"/>
                <w:sz w:val="15"/>
                <w:szCs w:val="15"/>
                <w:color w:val="auto"/>
              </w:rPr>
              <w:t>*   To be provided by amendment.</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Leonardo DRS, Inc. Is Incorporated Under the Laws of the State of Delaware.</w:t>
      </w:r>
    </w:p>
    <w:p>
      <w:pPr>
        <w:spacing w:after="0" w:line="173"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46"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43" w:lineRule="exact"/>
        <w:rPr>
          <w:sz w:val="20"/>
          <w:szCs w:val="20"/>
          <w:color w:val="auto"/>
        </w:rPr>
      </w:pPr>
    </w:p>
    <w:p>
      <w:pPr>
        <w:ind w:right="40" w:firstLine="299"/>
        <w:spacing w:after="0" w:line="246" w:lineRule="auto"/>
        <w:rPr>
          <w:sz w:val="20"/>
          <w:szCs w:val="20"/>
          <w:color w:val="auto"/>
        </w:rPr>
      </w:pPr>
      <w:r>
        <w:rPr>
          <w:rFonts w:ascii="Arial" w:cs="Arial" w:eastAsia="Arial" w:hAnsi="Arial"/>
          <w:sz w:val="17"/>
          <w:szCs w:val="17"/>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of the DGCL, or in defense of any claim, issue or matter therein, such person shall be indemnified against expenses (including attorneys’ fees) actually and reasonably incurred by such person in connection therewith.</w:t>
      </w:r>
    </w:p>
    <w:p>
      <w:pPr>
        <w:spacing w:after="0" w:line="144"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46" w:lineRule="exact"/>
        <w:rPr>
          <w:sz w:val="20"/>
          <w:szCs w:val="20"/>
          <w:color w:val="auto"/>
        </w:rPr>
      </w:pPr>
    </w:p>
    <w:p>
      <w:pPr>
        <w:ind w:right="40" w:firstLine="299"/>
        <w:spacing w:after="0" w:line="247" w:lineRule="auto"/>
        <w:rPr>
          <w:sz w:val="20"/>
          <w:szCs w:val="20"/>
          <w:color w:val="auto"/>
        </w:rPr>
      </w:pPr>
      <w:r>
        <w:rPr>
          <w:rFonts w:ascii="Arial" w:cs="Arial" w:eastAsia="Arial" w:hAnsi="Arial"/>
          <w:sz w:val="17"/>
          <w:szCs w:val="17"/>
          <w:color w:val="auto"/>
        </w:rPr>
        <w:t>Section 145(g) of the DGCL specifically allows a Delaware corporation to purchase liability insurance on behalf of its directors and officers and to insure against potential liability of such directors and officers regardless of whether the corporation would have the power to indemnify such directors and officers under Section 145 of the DGCL.</w:t>
      </w:r>
    </w:p>
    <w:p>
      <w:pPr>
        <w:spacing w:after="0" w:line="143" w:lineRule="exact"/>
        <w:rPr>
          <w:sz w:val="20"/>
          <w:szCs w:val="20"/>
          <w:color w:val="auto"/>
        </w:rPr>
      </w:pPr>
    </w:p>
    <w:p>
      <w:pPr>
        <w:ind w:right="200" w:firstLine="299"/>
        <w:spacing w:after="0" w:line="245" w:lineRule="auto"/>
        <w:rPr>
          <w:sz w:val="20"/>
          <w:szCs w:val="20"/>
          <w:color w:val="auto"/>
        </w:rPr>
      </w:pPr>
      <w:r>
        <w:rPr>
          <w:rFonts w:ascii="Arial" w:cs="Arial" w:eastAsia="Arial" w:hAnsi="Arial"/>
          <w:sz w:val="17"/>
          <w:szCs w:val="17"/>
          <w:color w:val="auto"/>
        </w:rPr>
        <w:t>Section 102(b)(7) of the DGCL permits a Delaware corporation to include a provision in its certificate of incorporation eliminating or limiting the personal liability of directors to the corporation or its stockholders for monetary damages for breach of fiduciary duty as a director. This provision, however, may not eliminate or limit a director’s liability (1) for breach of the director’s duty of loyalty to the corporation or its stockholders, (2) for acts or omissions not in good faith or involving intentional misconduct or a knowing violation of law, (3) under Section 174 of the DGCL, which provides for liability of directors for unlawful payments of dividends or unlawful stock purchases, redemptions or other distributions, or (4) for any transaction from which the director derived an improper personal benefit.</w:t>
      </w:r>
    </w:p>
    <w:p>
      <w:pPr>
        <w:spacing w:after="0" w:line="147"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Section 174 of the DGCL provides, among other things, that a director who willfully and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the action occurred or immediately after the absent director receives notice of the unlawful acts.</w:t>
      </w:r>
    </w:p>
    <w:p>
      <w:pPr>
        <w:spacing w:after="0" w:line="144" w:lineRule="exact"/>
        <w:rPr>
          <w:sz w:val="20"/>
          <w:szCs w:val="20"/>
          <w:color w:val="auto"/>
        </w:rPr>
      </w:pPr>
    </w:p>
    <w:p>
      <w:pPr>
        <w:ind w:right="180" w:firstLine="299"/>
        <w:spacing w:after="0" w:line="280" w:lineRule="auto"/>
        <w:rPr>
          <w:sz w:val="20"/>
          <w:szCs w:val="20"/>
          <w:color w:val="auto"/>
        </w:rPr>
      </w:pPr>
      <w:r>
        <w:rPr>
          <w:rFonts w:ascii="Arial" w:cs="Arial" w:eastAsia="Arial" w:hAnsi="Arial"/>
          <w:sz w:val="16"/>
          <w:szCs w:val="16"/>
          <w:color w:val="auto"/>
        </w:rPr>
        <w:t>Our amended and restated certificate of incorporation will contain provisions permitted under the DGCL relating to the liability of directors. These provisions will eliminate a director’s personal liability for monetary damages resulting from a breach of fiduciary duty, except in circumstances involving:</w:t>
      </w:r>
    </w:p>
    <w:p>
      <w:pPr>
        <w:spacing w:after="0" w:line="118" w:lineRule="exact"/>
        <w:rPr>
          <w:sz w:val="20"/>
          <w:szCs w:val="20"/>
          <w:color w:val="auto"/>
        </w:rPr>
      </w:pPr>
    </w:p>
    <w:p>
      <w:pPr>
        <w:ind w:left="600" w:hanging="302"/>
        <w:spacing w:after="0"/>
        <w:tabs>
          <w:tab w:leader="none" w:pos="6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any breach of the director’s duty of loyalty;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the law;</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unlawful payments of dividends or unlawful stock purchases, redemptions or other distributions; or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any transaction from which the director derives an improper personal benefit.</w:t>
      </w:r>
    </w:p>
    <w:p>
      <w:pPr>
        <w:spacing w:after="0" w:line="153" w:lineRule="exact"/>
        <w:rPr>
          <w:sz w:val="20"/>
          <w:szCs w:val="20"/>
          <w:color w:val="auto"/>
        </w:rPr>
      </w:pPr>
    </w:p>
    <w:p>
      <w:pPr>
        <w:jc w:val="both"/>
        <w:ind w:right="220" w:firstLine="299"/>
        <w:spacing w:after="0" w:line="247" w:lineRule="auto"/>
        <w:rPr>
          <w:sz w:val="20"/>
          <w:szCs w:val="20"/>
          <w:color w:val="auto"/>
        </w:rPr>
      </w:pPr>
      <w:r>
        <w:rPr>
          <w:rFonts w:ascii="Arial" w:cs="Arial" w:eastAsia="Arial" w:hAnsi="Arial"/>
          <w:sz w:val="17"/>
          <w:szCs w:val="17"/>
          <w:color w:val="auto"/>
        </w:rPr>
        <w:t>Our amended and restated certificate of incorporation and our amended and restated bylaws will require us to indemnify and advance expenses to our directors and officers to the fullest extent not prohibited by the DGCL and other applicable law, except in the case of a proceeding instituted by the director without the approval of our board. Our amended and restated certificate of incorporation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43"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amended and restated bylaws will provide that we are required to indemnify our directors and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73"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Prior to the completion of this offering, we will enter into indemnification agreements with our directors. The indemnification agreements will provide the directors with contractual rights to the indemnification and expense advancement rights provided under our amended and restated bylaws, as well as contractual rights to additional indemnification as provided in the indemnification agreements.</w:t>
      </w:r>
    </w:p>
    <w:p>
      <w:pPr>
        <w:spacing w:after="0" w:line="143" w:lineRule="exact"/>
        <w:rPr>
          <w:sz w:val="20"/>
          <w:szCs w:val="20"/>
          <w:color w:val="auto"/>
        </w:rPr>
      </w:pPr>
    </w:p>
    <w:p>
      <w:pPr>
        <w:jc w:val="both"/>
        <w:ind w:right="200" w:firstLine="299"/>
        <w:spacing w:after="0" w:line="247" w:lineRule="auto"/>
        <w:rPr>
          <w:sz w:val="20"/>
          <w:szCs w:val="20"/>
          <w:color w:val="auto"/>
        </w:rPr>
      </w:pPr>
      <w:r>
        <w:rPr>
          <w:rFonts w:ascii="Arial" w:cs="Arial" w:eastAsia="Arial" w:hAnsi="Arial"/>
          <w:sz w:val="17"/>
          <w:szCs w:val="17"/>
          <w:color w:val="auto"/>
        </w:rPr>
        <w:t>The indemnification agreements will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Directors’ and Officers’ Liability Insurance</w:t>
      </w:r>
    </w:p>
    <w:p>
      <w:pPr>
        <w:spacing w:after="0" w:line="173" w:lineRule="exact"/>
        <w:rPr>
          <w:sz w:val="20"/>
          <w:szCs w:val="20"/>
          <w:color w:val="auto"/>
        </w:rPr>
      </w:pPr>
    </w:p>
    <w:p>
      <w:pPr>
        <w:jc w:val="both"/>
        <w:ind w:right="200" w:firstLine="299"/>
        <w:spacing w:after="0" w:line="250" w:lineRule="auto"/>
        <w:rPr>
          <w:sz w:val="20"/>
          <w:szCs w:val="20"/>
          <w:color w:val="auto"/>
        </w:rPr>
      </w:pPr>
      <w:r>
        <w:rPr>
          <w:rFonts w:ascii="Arial" w:cs="Arial" w:eastAsia="Arial" w:hAnsi="Arial"/>
          <w:sz w:val="17"/>
          <w:szCs w:val="17"/>
          <w:color w:val="auto"/>
        </w:rPr>
        <w:t>Prior to the completion of this offering, we will have obtained directors’ and officers’ liability insurance that insures against certain liabilities that our directors and officers and the directors and officers of our subsidiaries may, in such capacities, incur.</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173" w:lineRule="exact"/>
        <w:rPr>
          <w:sz w:val="20"/>
          <w:szCs w:val="20"/>
          <w:color w:val="auto"/>
        </w:rPr>
      </w:pPr>
    </w:p>
    <w:p>
      <w:pPr>
        <w:ind w:right="40" w:firstLine="299"/>
        <w:spacing w:after="0" w:line="247" w:lineRule="auto"/>
        <w:rPr>
          <w:sz w:val="20"/>
          <w:szCs w:val="20"/>
          <w:color w:val="auto"/>
        </w:rPr>
      </w:pPr>
      <w:r>
        <w:rPr>
          <w:rFonts w:ascii="Arial" w:cs="Arial" w:eastAsia="Arial" w:hAnsi="Arial"/>
          <w:sz w:val="17"/>
          <w:szCs w:val="17"/>
          <w:color w:val="auto"/>
        </w:rPr>
        <w:t>In the underwriting agreement we entered into in connection with the sale of the common stock being registered hereby, the underwriters have agreed to indemnify, under certain conditions, us, our directors, our officers and persons who control us within the meaning of the Securities Act, against certain liabilities, or to contribute to payments such parties may be required to make in respect of these liabilities.</w:t>
      </w:r>
    </w:p>
    <w:p>
      <w:pPr>
        <w:spacing w:after="0" w:line="12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Recent Sales of Unregistered Securities.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180"/>
          </w:cols>
          <w:pgMar w:left="320" w:top="1440" w:right="399" w:bottom="1440" w:gutter="0" w:footer="0" w:header="0"/>
        </w:sectPr>
      </w:pPr>
    </w:p>
    <w:bookmarkStart w:id="246" w:name="page247"/>
    <w:bookmarkEnd w:id="24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Item 16.</w:t>
            </w:r>
          </w:p>
        </w:tc>
        <w:tc>
          <w:tcPr>
            <w:tcW w:w="20" w:type="dxa"/>
            <w:vAlign w:val="bottom"/>
          </w:tcPr>
          <w:p>
            <w:pPr>
              <w:spacing w:after="0"/>
              <w:rPr>
                <w:sz w:val="19"/>
                <w:szCs w:val="19"/>
                <w:color w:val="auto"/>
              </w:rPr>
            </w:pPr>
          </w:p>
        </w:tc>
        <w:tc>
          <w:tcPr>
            <w:tcW w:w="10080" w:type="dxa"/>
            <w:vAlign w:val="bottom"/>
            <w:gridSpan w:val="6"/>
          </w:tcPr>
          <w:p>
            <w:pPr>
              <w:ind w:left="20"/>
              <w:spacing w:after="0"/>
              <w:rPr>
                <w:sz w:val="20"/>
                <w:szCs w:val="20"/>
                <w:color w:val="auto"/>
              </w:rPr>
            </w:pPr>
            <w:r>
              <w:rPr>
                <w:rFonts w:ascii="Arial" w:cs="Arial" w:eastAsia="Arial" w:hAnsi="Arial"/>
                <w:sz w:val="17"/>
                <w:szCs w:val="17"/>
                <w:b w:val="1"/>
                <w:bCs w:val="1"/>
                <w:color w:val="auto"/>
              </w:rPr>
              <w:t>Exhibits and Financial Statement Schedules.</w:t>
            </w:r>
          </w:p>
        </w:tc>
        <w:tc>
          <w:tcPr>
            <w:tcW w:w="0" w:type="dxa"/>
            <w:vAlign w:val="bottom"/>
          </w:tcPr>
          <w:p>
            <w:pPr>
              <w:spacing w:after="0"/>
              <w:rPr>
                <w:sz w:val="1"/>
                <w:szCs w:val="1"/>
                <w:color w:val="auto"/>
              </w:rPr>
            </w:pPr>
          </w:p>
        </w:tc>
      </w:tr>
      <w:tr>
        <w:trPr>
          <w:trHeight w:val="348"/>
        </w:trPr>
        <w:tc>
          <w:tcPr>
            <w:tcW w:w="11240" w:type="dxa"/>
            <w:vAlign w:val="bottom"/>
            <w:gridSpan w:val="9"/>
          </w:tcPr>
          <w:p>
            <w:pPr>
              <w:ind w:left="300"/>
              <w:spacing w:after="0"/>
              <w:rPr>
                <w:sz w:val="20"/>
                <w:szCs w:val="20"/>
                <w:color w:val="auto"/>
              </w:rPr>
            </w:pPr>
            <w:r>
              <w:rPr>
                <w:rFonts w:ascii="Arial" w:cs="Arial" w:eastAsia="Arial" w:hAnsi="Arial"/>
                <w:sz w:val="17"/>
                <w:szCs w:val="17"/>
                <w:color w:val="auto"/>
              </w:rPr>
              <w:t>(a) Exhibits.</w:t>
            </w:r>
          </w:p>
        </w:tc>
        <w:tc>
          <w:tcPr>
            <w:tcW w:w="0" w:type="dxa"/>
            <w:vAlign w:val="bottom"/>
          </w:tcPr>
          <w:p>
            <w:pPr>
              <w:spacing w:after="0"/>
              <w:rPr>
                <w:sz w:val="1"/>
                <w:szCs w:val="1"/>
                <w:color w:val="auto"/>
              </w:rPr>
            </w:pPr>
          </w:p>
        </w:tc>
      </w:tr>
      <w:tr>
        <w:trPr>
          <w:trHeight w:val="337"/>
        </w:trPr>
        <w:tc>
          <w:tcPr>
            <w:tcW w:w="1140" w:type="dxa"/>
            <w:vAlign w:val="bottom"/>
            <w:gridSpan w:val="2"/>
          </w:tcPr>
          <w:p>
            <w:pPr>
              <w:ind w:left="300"/>
              <w:spacing w:after="0"/>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ind w:left="280"/>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60" w:type="dxa"/>
            <w:vAlign w:val="bottom"/>
            <w:gridSpan w:val="2"/>
          </w:tcPr>
          <w:p>
            <w:pPr>
              <w:ind w:left="102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222"/>
        </w:trPr>
        <w:tc>
          <w:tcPr>
            <w:tcW w:w="1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80" w:type="dxa"/>
            <w:vAlign w:val="bottom"/>
            <w:tcBorders>
              <w:top w:val="single" w:sz="8" w:color="auto"/>
            </w:tcBorders>
            <w:gridSpan w:val="6"/>
          </w:tcPr>
          <w:p>
            <w:pPr>
              <w:spacing w:after="0"/>
              <w:rPr>
                <w:sz w:val="20"/>
                <w:szCs w:val="20"/>
                <w:color w:val="auto"/>
              </w:rPr>
            </w:pPr>
            <w:r>
              <w:rPr>
                <w:rFonts w:ascii="Arial" w:cs="Arial" w:eastAsia="Arial" w:hAnsi="Arial"/>
                <w:sz w:val="17"/>
                <w:szCs w:val="17"/>
                <w:color w:val="auto"/>
              </w:rPr>
              <w:t>Form of Underwriting Agreement</w:t>
            </w:r>
          </w:p>
        </w:tc>
        <w:tc>
          <w:tcPr>
            <w:tcW w:w="0" w:type="dxa"/>
            <w:vAlign w:val="bottom"/>
          </w:tcPr>
          <w:p>
            <w:pPr>
              <w:spacing w:after="0"/>
              <w:rPr>
                <w:sz w:val="1"/>
                <w:szCs w:val="1"/>
                <w:color w:val="auto"/>
              </w:rPr>
            </w:pPr>
          </w:p>
        </w:tc>
      </w:tr>
      <w:tr>
        <w:trPr>
          <w:trHeight w:val="249"/>
        </w:trPr>
        <w:tc>
          <w:tcPr>
            <w:tcW w:w="1060" w:type="dxa"/>
            <w:vAlign w:val="bottom"/>
          </w:tcPr>
          <w:p>
            <w:pPr>
              <w:ind w:left="20"/>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251">
              <w:r>
                <w:rPr>
                  <w:rFonts w:ascii="Arial" w:cs="Arial" w:eastAsia="Arial" w:hAnsi="Arial"/>
                  <w:sz w:val="17"/>
                  <w:szCs w:val="17"/>
                  <w:u w:val="single" w:color="auto"/>
                  <w:color w:val="0000FF"/>
                </w:rPr>
                <w:t>Amended and Restated Certificate of Incorporation of Leonardo DRS, Inc. (f/k/a DRS Technologies, Inc.) (as amended)</w:t>
              </w:r>
            </w:hyperlink>
          </w:p>
        </w:tc>
        <w:tc>
          <w:tcPr>
            <w:tcW w:w="0" w:type="dxa"/>
            <w:vAlign w:val="bottom"/>
          </w:tcPr>
          <w:p>
            <w:pPr>
              <w:spacing w:after="0"/>
              <w:rPr>
                <w:sz w:val="1"/>
                <w:szCs w:val="1"/>
                <w:color w:val="auto"/>
              </w:rPr>
            </w:pPr>
          </w:p>
        </w:tc>
      </w:tr>
      <w:tr>
        <w:trPr>
          <w:trHeight w:val="249"/>
        </w:trPr>
        <w:tc>
          <w:tcPr>
            <w:tcW w:w="1060" w:type="dxa"/>
            <w:vAlign w:val="bottom"/>
          </w:tcPr>
          <w:p>
            <w:pPr>
              <w:ind w:left="20"/>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6"/>
          </w:tcPr>
          <w:p>
            <w:pPr>
              <w:spacing w:after="0"/>
              <w:rPr>
                <w:rFonts w:ascii="Arial" w:cs="Arial" w:eastAsia="Arial" w:hAnsi="Arial"/>
                <w:sz w:val="17"/>
                <w:szCs w:val="17"/>
                <w:u w:val="single" w:color="auto"/>
                <w:color w:val="0000FF"/>
                <w:w w:val="97"/>
              </w:rPr>
            </w:pPr>
            <w:hyperlink w:anchor="page255">
              <w:r>
                <w:rPr>
                  <w:rFonts w:ascii="Arial" w:cs="Arial" w:eastAsia="Arial" w:hAnsi="Arial"/>
                  <w:sz w:val="17"/>
                  <w:szCs w:val="17"/>
                  <w:u w:val="single" w:color="auto"/>
                  <w:color w:val="0000FF"/>
                  <w:w w:val="97"/>
                </w:rPr>
                <w:t>Certificate of Amendment to the Amended and Restated Certificate of Incorporation of Leonardo DRS, Inc. (f/k/a DRS Technologies, Inc.)</w:t>
              </w:r>
            </w:hyperlink>
          </w:p>
        </w:tc>
        <w:tc>
          <w:tcPr>
            <w:tcW w:w="0" w:type="dxa"/>
            <w:vAlign w:val="bottom"/>
          </w:tcPr>
          <w:p>
            <w:pPr>
              <w:spacing w:after="0"/>
              <w:rPr>
                <w:sz w:val="1"/>
                <w:szCs w:val="1"/>
                <w:color w:val="auto"/>
              </w:rPr>
            </w:pPr>
          </w:p>
        </w:tc>
      </w:tr>
      <w:tr>
        <w:trPr>
          <w:trHeight w:val="249"/>
        </w:trPr>
        <w:tc>
          <w:tcPr>
            <w:tcW w:w="1060" w:type="dxa"/>
            <w:vAlign w:val="bottom"/>
          </w:tcPr>
          <w:p>
            <w:pPr>
              <w:ind w:left="2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Amended and Restated Certificate of Incorporation of Leonardo DRS, Inc., to become effective in connection with this offering</w:t>
            </w:r>
          </w:p>
        </w:tc>
        <w:tc>
          <w:tcPr>
            <w:tcW w:w="0" w:type="dxa"/>
            <w:vAlign w:val="bottom"/>
          </w:tcPr>
          <w:p>
            <w:pPr>
              <w:spacing w:after="0"/>
              <w:rPr>
                <w:sz w:val="1"/>
                <w:szCs w:val="1"/>
                <w:color w:val="auto"/>
              </w:rPr>
            </w:pPr>
          </w:p>
        </w:tc>
      </w:tr>
      <w:tr>
        <w:trPr>
          <w:trHeight w:val="249"/>
        </w:trPr>
        <w:tc>
          <w:tcPr>
            <w:tcW w:w="1060" w:type="dxa"/>
            <w:vAlign w:val="bottom"/>
          </w:tcPr>
          <w:p>
            <w:pPr>
              <w:ind w:left="20"/>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Amended and Restated Bylaws of Leonardo DRS, Inc., to become effective in connection with this offering</w:t>
            </w:r>
          </w:p>
        </w:tc>
        <w:tc>
          <w:tcPr>
            <w:tcW w:w="0" w:type="dxa"/>
            <w:vAlign w:val="bottom"/>
          </w:tcPr>
          <w:p>
            <w:pPr>
              <w:spacing w:after="0"/>
              <w:rPr>
                <w:sz w:val="1"/>
                <w:szCs w:val="1"/>
                <w:color w:val="auto"/>
              </w:rPr>
            </w:pPr>
          </w:p>
        </w:tc>
      </w:tr>
      <w:tr>
        <w:trPr>
          <w:trHeight w:val="249"/>
        </w:trPr>
        <w:tc>
          <w:tcPr>
            <w:tcW w:w="1060" w:type="dxa"/>
            <w:vAlign w:val="bottom"/>
          </w:tcPr>
          <w:p>
            <w:pPr>
              <w:ind w:left="2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257">
              <w:r>
                <w:rPr>
                  <w:rFonts w:ascii="Arial" w:cs="Arial" w:eastAsia="Arial" w:hAnsi="Arial"/>
                  <w:sz w:val="17"/>
                  <w:szCs w:val="17"/>
                  <w:u w:val="single" w:color="auto"/>
                  <w:color w:val="0000FF"/>
                </w:rPr>
                <w:t>Form of Common Stock Certificate</w:t>
              </w:r>
            </w:hyperlink>
          </w:p>
        </w:tc>
        <w:tc>
          <w:tcPr>
            <w:tcW w:w="0" w:type="dxa"/>
            <w:vAlign w:val="bottom"/>
          </w:tcPr>
          <w:p>
            <w:pPr>
              <w:spacing w:after="0"/>
              <w:rPr>
                <w:sz w:val="1"/>
                <w:szCs w:val="1"/>
                <w:color w:val="auto"/>
              </w:rPr>
            </w:pPr>
          </w:p>
        </w:tc>
      </w:tr>
      <w:tr>
        <w:trPr>
          <w:trHeight w:val="249"/>
        </w:trPr>
        <w:tc>
          <w:tcPr>
            <w:tcW w:w="1060" w:type="dxa"/>
            <w:vAlign w:val="bottom"/>
          </w:tcPr>
          <w:p>
            <w:pPr>
              <w:ind w:left="20"/>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Opinion of Sullivan &amp; Cromwell LLP</w:t>
            </w:r>
          </w:p>
        </w:tc>
        <w:tc>
          <w:tcPr>
            <w:tcW w:w="0" w:type="dxa"/>
            <w:vAlign w:val="bottom"/>
          </w:tcPr>
          <w:p>
            <w:pPr>
              <w:spacing w:after="0"/>
              <w:rPr>
                <w:sz w:val="1"/>
                <w:szCs w:val="1"/>
                <w:color w:val="auto"/>
              </w:rPr>
            </w:pPr>
          </w:p>
        </w:tc>
      </w:tr>
      <w:tr>
        <w:trPr>
          <w:trHeight w:val="249"/>
        </w:trPr>
        <w:tc>
          <w:tcPr>
            <w:tcW w:w="1060" w:type="dxa"/>
            <w:vAlign w:val="bottom"/>
          </w:tcPr>
          <w:p>
            <w:pPr>
              <w:ind w:left="2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Form of Cooperation Agreement between Leonardo DRS, Inc., Leonardo US Holding, Inc. and Leonardo – Società per azioni</w:t>
            </w:r>
          </w:p>
        </w:tc>
        <w:tc>
          <w:tcPr>
            <w:tcW w:w="0" w:type="dxa"/>
            <w:vAlign w:val="bottom"/>
          </w:tcPr>
          <w:p>
            <w:pPr>
              <w:spacing w:after="0"/>
              <w:rPr>
                <w:sz w:val="1"/>
                <w:szCs w:val="1"/>
                <w:color w:val="auto"/>
              </w:rPr>
            </w:pPr>
          </w:p>
        </w:tc>
      </w:tr>
      <w:tr>
        <w:trPr>
          <w:trHeight w:val="235"/>
        </w:trPr>
        <w:tc>
          <w:tcPr>
            <w:tcW w:w="1060" w:type="dxa"/>
            <w:vAlign w:val="bottom"/>
          </w:tcPr>
          <w:p>
            <w:pPr>
              <w:ind w:left="20"/>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w w:val="99"/>
              </w:rPr>
              <w:t>Form of Amended and Restated Proxy Agreement by and among Leonardo DRS, Inc., the individual Proxy Holders signatories thereto,</w:t>
            </w: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Leonardo US Holding, Inc., Leonardo – Società per azioni and the U.S. Department of Defense</w:t>
            </w: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w w:val="99"/>
              </w:rPr>
              <w:t>Commitment Letter re Leonardo DRS, Inc. Commitment to Mitigate Foreign Ownership, Control or Influence, dated as of , 2020, by and</w:t>
            </w: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among Leonardo DRS, Inc., Leonardo US Holding, Inc., Leonardo – Societá per azioni and the U.S. Department of Defense</w:t>
            </w:r>
          </w:p>
        </w:tc>
        <w:tc>
          <w:tcPr>
            <w:tcW w:w="0" w:type="dxa"/>
            <w:vAlign w:val="bottom"/>
          </w:tcPr>
          <w:p>
            <w:pPr>
              <w:spacing w:after="0"/>
              <w:rPr>
                <w:sz w:val="1"/>
                <w:szCs w:val="1"/>
                <w:color w:val="auto"/>
              </w:rPr>
            </w:pPr>
          </w:p>
        </w:tc>
      </w:tr>
      <w:tr>
        <w:trPr>
          <w:trHeight w:val="236"/>
        </w:trPr>
        <w:tc>
          <w:tcPr>
            <w:tcW w:w="1060" w:type="dxa"/>
            <w:vAlign w:val="bottom"/>
          </w:tcPr>
          <w:p>
            <w:pPr>
              <w:ind w:left="2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259">
              <w:r>
                <w:rPr>
                  <w:rFonts w:ascii="Arial" w:cs="Arial" w:eastAsia="Arial" w:hAnsi="Arial"/>
                  <w:sz w:val="17"/>
                  <w:szCs w:val="17"/>
                  <w:u w:val="single" w:color="auto"/>
                  <w:color w:val="0000FF"/>
                </w:rPr>
                <w:t>Form of Registration Rights Agreement</w:t>
              </w:r>
            </w:hyperlink>
          </w:p>
        </w:tc>
        <w:tc>
          <w:tcPr>
            <w:tcW w:w="0" w:type="dxa"/>
            <w:vAlign w:val="bottom"/>
          </w:tcPr>
          <w:p>
            <w:pPr>
              <w:spacing w:after="0"/>
              <w:rPr>
                <w:sz w:val="1"/>
                <w:szCs w:val="1"/>
                <w:color w:val="auto"/>
              </w:rPr>
            </w:pPr>
          </w:p>
        </w:tc>
      </w:tr>
      <w:tr>
        <w:trPr>
          <w:trHeight w:val="211"/>
        </w:trPr>
        <w:tc>
          <w:tcPr>
            <w:tcW w:w="1060" w:type="dxa"/>
            <w:vAlign w:val="bottom"/>
          </w:tcPr>
          <w:p>
            <w:pPr>
              <w:ind w:left="20"/>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6"/>
          </w:tcPr>
          <w:p>
            <w:pPr>
              <w:spacing w:after="0"/>
              <w:rPr>
                <w:rFonts w:ascii="Arial" w:cs="Arial" w:eastAsia="Arial" w:hAnsi="Arial"/>
                <w:sz w:val="17"/>
                <w:szCs w:val="17"/>
                <w:color w:val="0000FF"/>
                <w:w w:val="97"/>
              </w:rPr>
            </w:pPr>
            <w:hyperlink w:anchor="page290">
              <w:r>
                <w:rPr>
                  <w:rFonts w:ascii="Arial" w:cs="Arial" w:eastAsia="Arial" w:hAnsi="Arial"/>
                  <w:sz w:val="17"/>
                  <w:szCs w:val="17"/>
                  <w:color w:val="0000FF"/>
                  <w:w w:val="97"/>
                </w:rPr>
                <w:t>Tax Allocation Agreement, dated as of November 16, 2020, by and among Leonardo US Holding, Inc., Leonardo DRS, Inc. and the other</w:t>
              </w:r>
            </w:hyperlink>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5"/>
          </w:tcPr>
          <w:p>
            <w:pPr>
              <w:spacing w:after="0" w:line="179" w:lineRule="exact"/>
              <w:rPr>
                <w:rFonts w:ascii="Arial" w:cs="Arial" w:eastAsia="Arial" w:hAnsi="Arial"/>
                <w:sz w:val="17"/>
                <w:szCs w:val="17"/>
                <w:color w:val="0000FF"/>
              </w:rPr>
            </w:pPr>
            <w:hyperlink w:anchor="page290">
              <w:r>
                <w:rPr>
                  <w:rFonts w:ascii="Arial" w:cs="Arial" w:eastAsia="Arial" w:hAnsi="Arial"/>
                  <w:sz w:val="17"/>
                  <w:szCs w:val="17"/>
                  <w:color w:val="0000FF"/>
                </w:rPr>
                <w:t>signatories thereto</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Form of Trademark License Agreement</w:t>
            </w:r>
          </w:p>
        </w:tc>
        <w:tc>
          <w:tcPr>
            <w:tcW w:w="0" w:type="dxa"/>
            <w:vAlign w:val="bottom"/>
          </w:tcPr>
          <w:p>
            <w:pPr>
              <w:spacing w:after="0"/>
              <w:rPr>
                <w:sz w:val="1"/>
                <w:szCs w:val="1"/>
                <w:color w:val="auto"/>
              </w:rPr>
            </w:pPr>
          </w:p>
        </w:tc>
      </w:tr>
      <w:tr>
        <w:trPr>
          <w:trHeight w:val="249"/>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21"/>
                <w:szCs w:val="21"/>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Employment Agreement, dated May 3, 2017, between DRS Technologies, Inc. and William J. Lynn III</w:t>
            </w:r>
          </w:p>
        </w:tc>
        <w:tc>
          <w:tcPr>
            <w:tcW w:w="0" w:type="dxa"/>
            <w:vAlign w:val="bottom"/>
          </w:tcPr>
          <w:p>
            <w:pPr>
              <w:spacing w:after="0"/>
              <w:rPr>
                <w:sz w:val="1"/>
                <w:szCs w:val="1"/>
                <w:color w:val="auto"/>
              </w:rPr>
            </w:pPr>
          </w:p>
        </w:tc>
      </w:tr>
      <w:tr>
        <w:trPr>
          <w:trHeight w:val="249"/>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21"/>
                <w:szCs w:val="21"/>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303">
              <w:r>
                <w:rPr>
                  <w:rFonts w:ascii="Arial" w:cs="Arial" w:eastAsia="Arial" w:hAnsi="Arial"/>
                  <w:sz w:val="17"/>
                  <w:szCs w:val="17"/>
                  <w:u w:val="single" w:color="auto"/>
                  <w:color w:val="0000FF"/>
                </w:rPr>
                <w:t>Leonardo DRS Incentive Compensation Plan</w:t>
              </w:r>
            </w:hyperlink>
          </w:p>
        </w:tc>
        <w:tc>
          <w:tcPr>
            <w:tcW w:w="0" w:type="dxa"/>
            <w:vAlign w:val="bottom"/>
          </w:tcPr>
          <w:p>
            <w:pPr>
              <w:spacing w:after="0"/>
              <w:rPr>
                <w:sz w:val="1"/>
                <w:szCs w:val="1"/>
                <w:color w:val="auto"/>
              </w:rPr>
            </w:pPr>
          </w:p>
        </w:tc>
      </w:tr>
      <w:tr>
        <w:trPr>
          <w:trHeight w:val="249"/>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21"/>
                <w:szCs w:val="21"/>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318">
              <w:r>
                <w:rPr>
                  <w:rFonts w:ascii="Arial" w:cs="Arial" w:eastAsia="Arial" w:hAnsi="Arial"/>
                  <w:sz w:val="17"/>
                  <w:szCs w:val="17"/>
                  <w:u w:val="single" w:color="auto"/>
                  <w:color w:val="0000FF"/>
                </w:rPr>
                <w:t>Leonardo DRS Long-Term Incentive Plan</w:t>
              </w:r>
            </w:hyperlink>
          </w:p>
        </w:tc>
        <w:tc>
          <w:tcPr>
            <w:tcW w:w="0" w:type="dxa"/>
            <w:vAlign w:val="bottom"/>
          </w:tcPr>
          <w:p>
            <w:pPr>
              <w:spacing w:after="0"/>
              <w:rPr>
                <w:sz w:val="1"/>
                <w:szCs w:val="1"/>
                <w:color w:val="auto"/>
              </w:rPr>
            </w:pPr>
          </w:p>
        </w:tc>
      </w:tr>
      <w:tr>
        <w:trPr>
          <w:trHeight w:val="211"/>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10.10†*</w:t>
            </w:r>
          </w:p>
        </w:tc>
        <w:tc>
          <w:tcPr>
            <w:tcW w:w="20" w:type="dxa"/>
            <w:vAlign w:val="bottom"/>
          </w:tcPr>
          <w:p>
            <w:pPr>
              <w:spacing w:after="0"/>
              <w:rPr>
                <w:sz w:val="18"/>
                <w:szCs w:val="18"/>
                <w:color w:val="auto"/>
              </w:rPr>
            </w:pPr>
          </w:p>
        </w:tc>
        <w:tc>
          <w:tcPr>
            <w:tcW w:w="10080" w:type="dxa"/>
            <w:vAlign w:val="bottom"/>
            <w:gridSpan w:val="6"/>
          </w:tcPr>
          <w:p>
            <w:pPr>
              <w:spacing w:after="0"/>
              <w:rPr>
                <w:rFonts w:ascii="Arial" w:cs="Arial" w:eastAsia="Arial" w:hAnsi="Arial"/>
                <w:sz w:val="17"/>
                <w:szCs w:val="17"/>
                <w:color w:val="0000FF"/>
              </w:rPr>
            </w:pPr>
            <w:hyperlink w:anchor="page330">
              <w:r>
                <w:rPr>
                  <w:rFonts w:ascii="Arial" w:cs="Arial" w:eastAsia="Arial" w:hAnsi="Arial"/>
                  <w:sz w:val="17"/>
                  <w:szCs w:val="17"/>
                  <w:u w:val="single" w:color="auto"/>
                  <w:color w:val="0000FF"/>
                </w:rPr>
                <w:t>Leonardo DRS, Inc.</w:t>
              </w:r>
              <w:r>
                <w:rPr>
                  <w:rFonts w:ascii="Arial" w:cs="Arial" w:eastAsia="Arial" w:hAnsi="Arial"/>
                  <w:sz w:val="17"/>
                  <w:szCs w:val="17"/>
                  <w:color w:val="0000FF"/>
                </w:rPr>
                <w:t xml:space="preserve"> Executive Severance </w:t>
              </w:r>
              <w:r>
                <w:rPr>
                  <w:rFonts w:ascii="Arial" w:cs="Arial" w:eastAsia="Arial" w:hAnsi="Arial"/>
                  <w:sz w:val="17"/>
                  <w:szCs w:val="17"/>
                  <w:u w:val="single" w:color="auto"/>
                  <w:color w:val="0000FF"/>
                </w:rPr>
                <w:t>Plan</w:t>
              </w:r>
            </w:hyperlink>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ind w:left="20"/>
              <w:spacing w:after="0"/>
              <w:rPr>
                <w:sz w:val="20"/>
                <w:szCs w:val="20"/>
                <w:color w:val="auto"/>
              </w:rPr>
            </w:pPr>
            <w:r>
              <w:rPr>
                <w:rFonts w:ascii="Arial" w:cs="Arial" w:eastAsia="Arial" w:hAnsi="Arial"/>
                <w:sz w:val="17"/>
                <w:szCs w:val="17"/>
                <w:color w:val="auto"/>
              </w:rPr>
              <w:t>10.11†*</w:t>
            </w: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14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345">
              <w:r>
                <w:rPr>
                  <w:rFonts w:ascii="Arial" w:cs="Arial" w:eastAsia="Arial" w:hAnsi="Arial"/>
                  <w:sz w:val="17"/>
                  <w:szCs w:val="17"/>
                  <w:u w:val="single" w:color="auto"/>
                  <w:color w:val="0000FF"/>
                </w:rPr>
                <w:t>Leonardo DRS, Inc. Omnibus Equity Compensation Plan</w:t>
              </w:r>
            </w:hyperlink>
          </w:p>
        </w:tc>
        <w:tc>
          <w:tcPr>
            <w:tcW w:w="0" w:type="dxa"/>
            <w:vAlign w:val="bottom"/>
          </w:tcPr>
          <w:p>
            <w:pPr>
              <w:spacing w:after="0"/>
              <w:rPr>
                <w:sz w:val="1"/>
                <w:szCs w:val="1"/>
                <w:color w:val="auto"/>
              </w:rPr>
            </w:pPr>
          </w:p>
        </w:tc>
      </w:tr>
      <w:tr>
        <w:trPr>
          <w:trHeight w:val="211"/>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10.12†*</w:t>
            </w:r>
          </w:p>
        </w:tc>
        <w:tc>
          <w:tcPr>
            <w:tcW w:w="20" w:type="dxa"/>
            <w:vAlign w:val="bottom"/>
          </w:tcPr>
          <w:p>
            <w:pPr>
              <w:spacing w:after="0"/>
              <w:rPr>
                <w:sz w:val="18"/>
                <w:szCs w:val="18"/>
                <w:color w:val="auto"/>
              </w:rPr>
            </w:pPr>
          </w:p>
        </w:tc>
        <w:tc>
          <w:tcPr>
            <w:tcW w:w="10080" w:type="dxa"/>
            <w:vAlign w:val="bottom"/>
            <w:gridSpan w:val="6"/>
          </w:tcPr>
          <w:p>
            <w:pPr>
              <w:spacing w:after="0"/>
              <w:rPr>
                <w:rFonts w:ascii="Arial" w:cs="Arial" w:eastAsia="Arial" w:hAnsi="Arial"/>
                <w:sz w:val="17"/>
                <w:szCs w:val="17"/>
                <w:color w:val="0000FF"/>
              </w:rPr>
            </w:pPr>
            <w:hyperlink w:anchor="page371">
              <w:r>
                <w:rPr>
                  <w:rFonts w:ascii="Arial" w:cs="Arial" w:eastAsia="Arial" w:hAnsi="Arial"/>
                  <w:sz w:val="17"/>
                  <w:szCs w:val="17"/>
                  <w:color w:val="0000FF"/>
                </w:rPr>
                <w:t xml:space="preserve">Form of Founders Restricted Stock Unit Award </w:t>
              </w:r>
              <w:r>
                <w:rPr>
                  <w:rFonts w:ascii="Arial" w:cs="Arial" w:eastAsia="Arial" w:hAnsi="Arial"/>
                  <w:sz w:val="17"/>
                  <w:szCs w:val="17"/>
                  <w:u w:val="single" w:color="auto"/>
                  <w:color w:val="0000FF"/>
                </w:rPr>
                <w:t>Agreement</w:t>
              </w:r>
            </w:hyperlink>
          </w:p>
        </w:tc>
        <w:tc>
          <w:tcPr>
            <w:tcW w:w="0" w:type="dxa"/>
            <w:vAlign w:val="bottom"/>
          </w:tcPr>
          <w:p>
            <w:pPr>
              <w:spacing w:after="0"/>
              <w:rPr>
                <w:sz w:val="1"/>
                <w:szCs w:val="1"/>
                <w:color w:val="auto"/>
              </w:rPr>
            </w:pPr>
          </w:p>
        </w:tc>
      </w:tr>
      <w:tr>
        <w:trPr>
          <w:trHeight w:val="254"/>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10.13†*</w:t>
            </w:r>
          </w:p>
        </w:tc>
        <w:tc>
          <w:tcPr>
            <w:tcW w:w="20" w:type="dxa"/>
            <w:vAlign w:val="bottom"/>
          </w:tcPr>
          <w:p>
            <w:pPr>
              <w:spacing w:after="0"/>
              <w:rPr>
                <w:sz w:val="22"/>
                <w:szCs w:val="22"/>
                <w:color w:val="auto"/>
              </w:rPr>
            </w:pPr>
          </w:p>
        </w:tc>
        <w:tc>
          <w:tcPr>
            <w:tcW w:w="3420" w:type="dxa"/>
            <w:vAlign w:val="bottom"/>
            <w:tcBorders>
              <w:top w:val="single" w:sz="8" w:color="0000FF"/>
            </w:tcBorders>
            <w:gridSpan w:val="4"/>
          </w:tcPr>
          <w:p>
            <w:pPr>
              <w:spacing w:after="0"/>
              <w:rPr>
                <w:rFonts w:ascii="Arial" w:cs="Arial" w:eastAsia="Arial" w:hAnsi="Arial"/>
                <w:sz w:val="17"/>
                <w:szCs w:val="17"/>
                <w:u w:val="single" w:color="auto"/>
                <w:color w:val="0000FF"/>
              </w:rPr>
            </w:pPr>
            <w:hyperlink w:anchor="page382">
              <w:r>
                <w:rPr>
                  <w:rFonts w:ascii="Arial" w:cs="Arial" w:eastAsia="Arial" w:hAnsi="Arial"/>
                  <w:sz w:val="17"/>
                  <w:szCs w:val="17"/>
                  <w:u w:val="single" w:color="auto"/>
                  <w:color w:val="0000FF"/>
                </w:rPr>
                <w:t>Form of Director Indemnification Agreement</w:t>
              </w:r>
            </w:hyperlink>
          </w:p>
        </w:tc>
        <w:tc>
          <w:tcPr>
            <w:tcW w:w="66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10.14†*</w:t>
            </w:r>
          </w:p>
        </w:tc>
        <w:tc>
          <w:tcPr>
            <w:tcW w:w="20" w:type="dxa"/>
            <w:vAlign w:val="bottom"/>
          </w:tcPr>
          <w:p>
            <w:pPr>
              <w:spacing w:after="0"/>
              <w:rPr>
                <w:sz w:val="18"/>
                <w:szCs w:val="18"/>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388">
              <w:r>
                <w:rPr>
                  <w:rFonts w:ascii="Arial" w:cs="Arial" w:eastAsia="Arial" w:hAnsi="Arial"/>
                  <w:sz w:val="17"/>
                  <w:szCs w:val="17"/>
                  <w:u w:val="single" w:color="auto"/>
                  <w:color w:val="0000FF"/>
                </w:rPr>
                <w:t>Form of Restricted Stock Unit Agreement</w:t>
              </w:r>
            </w:hyperlink>
          </w:p>
        </w:tc>
        <w:tc>
          <w:tcPr>
            <w:tcW w:w="0" w:type="dxa"/>
            <w:vAlign w:val="bottom"/>
          </w:tcPr>
          <w:p>
            <w:pPr>
              <w:spacing w:after="0"/>
              <w:rPr>
                <w:sz w:val="1"/>
                <w:szCs w:val="1"/>
                <w:color w:val="auto"/>
              </w:rPr>
            </w:pPr>
          </w:p>
        </w:tc>
      </w:tr>
      <w:tr>
        <w:trPr>
          <w:trHeight w:val="212"/>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10.15†*</w:t>
            </w:r>
          </w:p>
        </w:tc>
        <w:tc>
          <w:tcPr>
            <w:tcW w:w="20" w:type="dxa"/>
            <w:vAlign w:val="bottom"/>
          </w:tcPr>
          <w:p>
            <w:pPr>
              <w:spacing w:after="0"/>
              <w:rPr>
                <w:sz w:val="18"/>
                <w:szCs w:val="18"/>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400">
              <w:r>
                <w:rPr>
                  <w:rFonts w:ascii="Arial" w:cs="Arial" w:eastAsia="Arial" w:hAnsi="Arial"/>
                  <w:sz w:val="17"/>
                  <w:szCs w:val="17"/>
                  <w:u w:val="single" w:color="auto"/>
                  <w:color w:val="0000FF"/>
                </w:rPr>
                <w:t>Form of Performance Restricted Stock Unit Agreement</w:t>
              </w:r>
            </w:hyperlink>
          </w:p>
        </w:tc>
        <w:tc>
          <w:tcPr>
            <w:tcW w:w="0" w:type="dxa"/>
            <w:vAlign w:val="bottom"/>
          </w:tcPr>
          <w:p>
            <w:pPr>
              <w:spacing w:after="0"/>
              <w:rPr>
                <w:sz w:val="1"/>
                <w:szCs w:val="1"/>
                <w:color w:val="auto"/>
              </w:rPr>
            </w:pPr>
          </w:p>
        </w:tc>
      </w:tr>
      <w:tr>
        <w:trPr>
          <w:trHeight w:val="212"/>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10.16†**</w:t>
            </w:r>
          </w:p>
        </w:tc>
        <w:tc>
          <w:tcPr>
            <w:tcW w:w="20" w:type="dxa"/>
            <w:vAlign w:val="bottom"/>
          </w:tcPr>
          <w:p>
            <w:pPr>
              <w:spacing w:after="0"/>
              <w:rPr>
                <w:sz w:val="18"/>
                <w:szCs w:val="18"/>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Form of Credit Agreement by and among Leonardo DRS, Inc., the subsidiary guarantors named therein, and the lenders party thereto</w:t>
            </w:r>
          </w:p>
        </w:tc>
        <w:tc>
          <w:tcPr>
            <w:tcW w:w="0" w:type="dxa"/>
            <w:vAlign w:val="bottom"/>
          </w:tcPr>
          <w:p>
            <w:pPr>
              <w:spacing w:after="0"/>
              <w:rPr>
                <w:sz w:val="1"/>
                <w:szCs w:val="1"/>
                <w:color w:val="auto"/>
              </w:rPr>
            </w:pPr>
          </w:p>
        </w:tc>
      </w:tr>
      <w:tr>
        <w:trPr>
          <w:trHeight w:val="173"/>
        </w:trPr>
        <w:tc>
          <w:tcPr>
            <w:tcW w:w="1140" w:type="dxa"/>
            <w:vAlign w:val="bottom"/>
            <w:gridSpan w:val="2"/>
          </w:tcPr>
          <w:p>
            <w:pPr>
              <w:ind w:left="20"/>
              <w:spacing w:after="0" w:line="173" w:lineRule="exact"/>
              <w:rPr>
                <w:sz w:val="20"/>
                <w:szCs w:val="20"/>
                <w:color w:val="auto"/>
              </w:rPr>
            </w:pPr>
            <w:r>
              <w:rPr>
                <w:rFonts w:ascii="Arial" w:cs="Arial" w:eastAsia="Arial" w:hAnsi="Arial"/>
                <w:sz w:val="17"/>
                <w:szCs w:val="17"/>
                <w:color w:val="auto"/>
              </w:rPr>
              <w:t>10.17†**</w:t>
            </w:r>
          </w:p>
        </w:tc>
        <w:tc>
          <w:tcPr>
            <w:tcW w:w="20" w:type="dxa"/>
            <w:vAlign w:val="bottom"/>
          </w:tcPr>
          <w:p>
            <w:pPr>
              <w:spacing w:after="0"/>
              <w:rPr>
                <w:sz w:val="15"/>
                <w:szCs w:val="15"/>
                <w:color w:val="auto"/>
              </w:rPr>
            </w:pPr>
          </w:p>
        </w:tc>
        <w:tc>
          <w:tcPr>
            <w:tcW w:w="10080" w:type="dxa"/>
            <w:vAlign w:val="bottom"/>
            <w:gridSpan w:val="6"/>
          </w:tcPr>
          <w:p>
            <w:pPr>
              <w:spacing w:after="0" w:line="173" w:lineRule="exact"/>
              <w:rPr>
                <w:sz w:val="20"/>
                <w:szCs w:val="20"/>
                <w:color w:val="auto"/>
              </w:rPr>
            </w:pPr>
            <w:r>
              <w:rPr>
                <w:rFonts w:ascii="Arial" w:cs="Arial" w:eastAsia="Arial" w:hAnsi="Arial"/>
                <w:sz w:val="17"/>
                <w:szCs w:val="17"/>
                <w:color w:val="auto"/>
              </w:rPr>
              <w:t>Form of Bridge Loan Credit Agreement by and among Leonardo DRS, Inc., the subsidiary guarantors named therein, and the lenders</w:t>
            </w: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party thereto</w:t>
            </w:r>
          </w:p>
        </w:tc>
        <w:tc>
          <w:tcPr>
            <w:tcW w:w="0" w:type="dxa"/>
            <w:vAlign w:val="bottom"/>
          </w:tcPr>
          <w:p>
            <w:pPr>
              <w:spacing w:after="0"/>
              <w:rPr>
                <w:sz w:val="1"/>
                <w:szCs w:val="1"/>
                <w:color w:val="auto"/>
              </w:rPr>
            </w:pPr>
          </w:p>
        </w:tc>
      </w:tr>
      <w:tr>
        <w:trPr>
          <w:trHeight w:val="212"/>
        </w:trPr>
        <w:tc>
          <w:tcPr>
            <w:tcW w:w="1060" w:type="dxa"/>
            <w:vAlign w:val="bottom"/>
          </w:tcPr>
          <w:p>
            <w:pPr>
              <w:ind w:left="20"/>
              <w:spacing w:after="0"/>
              <w:rPr>
                <w:sz w:val="20"/>
                <w:szCs w:val="20"/>
                <w:color w:val="auto"/>
              </w:rPr>
            </w:pPr>
            <w:r>
              <w:rPr>
                <w:rFonts w:ascii="Arial" w:cs="Arial" w:eastAsia="Arial" w:hAnsi="Arial"/>
                <w:sz w:val="17"/>
                <w:szCs w:val="17"/>
                <w:color w:val="auto"/>
              </w:rPr>
              <w:t>21.1*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412">
              <w:r>
                <w:rPr>
                  <w:rFonts w:ascii="Arial" w:cs="Arial" w:eastAsia="Arial" w:hAnsi="Arial"/>
                  <w:sz w:val="17"/>
                  <w:szCs w:val="17"/>
                  <w:u w:val="single" w:color="auto"/>
                  <w:color w:val="0000FF"/>
                </w:rPr>
                <w:t>Subsidiaries</w:t>
              </w:r>
            </w:hyperlink>
          </w:p>
        </w:tc>
        <w:tc>
          <w:tcPr>
            <w:tcW w:w="0" w:type="dxa"/>
            <w:vAlign w:val="bottom"/>
          </w:tcPr>
          <w:p>
            <w:pPr>
              <w:spacing w:after="0"/>
              <w:rPr>
                <w:sz w:val="1"/>
                <w:szCs w:val="1"/>
                <w:color w:val="auto"/>
              </w:rPr>
            </w:pPr>
          </w:p>
        </w:tc>
      </w:tr>
      <w:tr>
        <w:trPr>
          <w:trHeight w:val="212"/>
        </w:trPr>
        <w:tc>
          <w:tcPr>
            <w:tcW w:w="1060" w:type="dxa"/>
            <w:vAlign w:val="bottom"/>
          </w:tcPr>
          <w:p>
            <w:pPr>
              <w:ind w:left="20"/>
              <w:spacing w:after="0"/>
              <w:rPr>
                <w:sz w:val="20"/>
                <w:szCs w:val="20"/>
                <w:color w:val="auto"/>
              </w:rPr>
            </w:pPr>
            <w:r>
              <w:rPr>
                <w:rFonts w:ascii="Arial" w:cs="Arial" w:eastAsia="Arial" w:hAnsi="Arial"/>
                <w:sz w:val="17"/>
                <w:szCs w:val="17"/>
                <w:color w:val="auto"/>
              </w:rPr>
              <w:t>23.1*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413">
              <w:r>
                <w:rPr>
                  <w:rFonts w:ascii="Arial" w:cs="Arial" w:eastAsia="Arial" w:hAnsi="Arial"/>
                  <w:sz w:val="17"/>
                  <w:szCs w:val="17"/>
                  <w:u w:val="single" w:color="auto"/>
                  <w:color w:val="0000FF"/>
                </w:rPr>
                <w:t>Consent of KPMG LLP</w:t>
              </w:r>
            </w:hyperlink>
          </w:p>
        </w:tc>
        <w:tc>
          <w:tcPr>
            <w:tcW w:w="0" w:type="dxa"/>
            <w:vAlign w:val="bottom"/>
          </w:tcPr>
          <w:p>
            <w:pPr>
              <w:spacing w:after="0"/>
              <w:rPr>
                <w:sz w:val="1"/>
                <w:szCs w:val="1"/>
                <w:color w:val="auto"/>
              </w:rPr>
            </w:pPr>
          </w:p>
        </w:tc>
      </w:tr>
      <w:tr>
        <w:trPr>
          <w:trHeight w:val="212"/>
        </w:trPr>
        <w:tc>
          <w:tcPr>
            <w:tcW w:w="1060" w:type="dxa"/>
            <w:vAlign w:val="bottom"/>
          </w:tcPr>
          <w:p>
            <w:pPr>
              <w:ind w:left="20"/>
              <w:spacing w:after="0"/>
              <w:rPr>
                <w:sz w:val="20"/>
                <w:szCs w:val="20"/>
                <w:color w:val="auto"/>
              </w:rPr>
            </w:pPr>
            <w:r>
              <w:rPr>
                <w:rFonts w:ascii="Arial" w:cs="Arial" w:eastAsia="Arial" w:hAnsi="Arial"/>
                <w:sz w:val="17"/>
                <w:szCs w:val="17"/>
                <w:color w:val="auto"/>
              </w:rPr>
              <w:t>23.2**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Consent of Sullivan &amp; Cromwell LLP (included in Exhibit 5.1 hereto)</w:t>
            </w:r>
          </w:p>
        </w:tc>
        <w:tc>
          <w:tcPr>
            <w:tcW w:w="0" w:type="dxa"/>
            <w:vAlign w:val="bottom"/>
          </w:tcPr>
          <w:p>
            <w:pPr>
              <w:spacing w:after="0"/>
              <w:rPr>
                <w:sz w:val="1"/>
                <w:szCs w:val="1"/>
                <w:color w:val="auto"/>
              </w:rPr>
            </w:pPr>
          </w:p>
        </w:tc>
      </w:tr>
      <w:tr>
        <w:trPr>
          <w:trHeight w:val="212"/>
        </w:trPr>
        <w:tc>
          <w:tcPr>
            <w:tcW w:w="1060" w:type="dxa"/>
            <w:vAlign w:val="bottom"/>
          </w:tcPr>
          <w:p>
            <w:pPr>
              <w:ind w:left="20"/>
              <w:spacing w:after="0"/>
              <w:rPr>
                <w:sz w:val="20"/>
                <w:szCs w:val="20"/>
                <w:color w:val="auto"/>
              </w:rPr>
            </w:pPr>
            <w:r>
              <w:rPr>
                <w:rFonts w:ascii="Arial" w:cs="Arial" w:eastAsia="Arial" w:hAnsi="Arial"/>
                <w:sz w:val="17"/>
                <w:szCs w:val="17"/>
                <w:color w:val="auto"/>
              </w:rPr>
              <w:t>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6"/>
          </w:tcPr>
          <w:p>
            <w:pPr>
              <w:spacing w:after="0"/>
              <w:rPr>
                <w:rFonts w:ascii="Arial" w:cs="Arial" w:eastAsia="Arial" w:hAnsi="Arial"/>
                <w:sz w:val="17"/>
                <w:szCs w:val="17"/>
                <w:u w:val="single" w:color="auto"/>
                <w:color w:val="0000FF"/>
              </w:rPr>
            </w:pPr>
            <w:hyperlink w:anchor="page248">
              <w:r>
                <w:rPr>
                  <w:rFonts w:ascii="Arial" w:cs="Arial" w:eastAsia="Arial" w:hAnsi="Arial"/>
                  <w:sz w:val="17"/>
                  <w:szCs w:val="17"/>
                  <w:u w:val="single" w:color="auto"/>
                  <w:color w:val="0000FF"/>
                </w:rPr>
                <w:t>Powers of Attorney (contained on signature pages to the Registration Statement on Form S-1)</w:t>
              </w:r>
            </w:hyperlink>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2" w:lineRule="exact"/>
        <w:rPr>
          <w:sz w:val="20"/>
          <w:szCs w:val="20"/>
          <w:color w:val="auto"/>
        </w:rPr>
      </w:pPr>
    </w:p>
    <w:p>
      <w:pPr>
        <w:ind w:left="300" w:hanging="300"/>
        <w:spacing w:after="0"/>
        <w:tabs>
          <w:tab w:leader="none" w:pos="3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Filed herewith.</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45" w:lineRule="exact"/>
        <w:rPr>
          <w:sz w:val="20"/>
          <w:szCs w:val="20"/>
          <w:color w:val="auto"/>
        </w:rPr>
      </w:pPr>
    </w:p>
    <w:p>
      <w:pPr>
        <w:ind w:right="5860"/>
        <w:spacing w:after="0" w:line="251" w:lineRule="auto"/>
        <w:tabs>
          <w:tab w:leader="none" w:pos="295" w:val="left"/>
        </w:tabs>
        <w:numPr>
          <w:ilvl w:val="0"/>
          <w:numId w:val="146"/>
        </w:numPr>
        <w:rPr>
          <w:rFonts w:ascii="Arial" w:cs="Arial" w:eastAsia="Arial" w:hAnsi="Arial"/>
          <w:sz w:val="15"/>
          <w:szCs w:val="15"/>
          <w:color w:val="auto"/>
        </w:rPr>
      </w:pPr>
      <w:r>
        <w:rPr>
          <w:rFonts w:ascii="Arial" w:cs="Arial" w:eastAsia="Arial" w:hAnsi="Arial"/>
          <w:sz w:val="15"/>
          <w:szCs w:val="15"/>
          <w:color w:val="auto"/>
        </w:rPr>
        <w:t>Identifies each management contract or compensatory plan or arrangement. ** To be filed by amendment.</w:t>
      </w:r>
    </w:p>
    <w:p>
      <w:pPr>
        <w:spacing w:after="0" w:line="134" w:lineRule="exact"/>
        <w:rPr>
          <w:rFonts w:ascii="Arial" w:cs="Arial" w:eastAsia="Arial" w:hAnsi="Arial"/>
          <w:sz w:val="15"/>
          <w:szCs w:val="15"/>
          <w:color w:val="auto"/>
        </w:rPr>
      </w:pPr>
    </w:p>
    <w:p>
      <w:pPr>
        <w:ind w:left="580" w:hanging="282"/>
        <w:spacing w:after="0"/>
        <w:tabs>
          <w:tab w:leader="none" w:pos="58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Financial Statement Schedules: Not applicable.</w:t>
      </w:r>
    </w:p>
    <w:p>
      <w:pPr>
        <w:spacing w:after="0" w:line="13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73"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undersigned registrant hereby undertakes that:</w:t>
      </w:r>
    </w:p>
    <w:p>
      <w:pPr>
        <w:spacing w:after="0" w:line="153" w:lineRule="exact"/>
        <w:rPr>
          <w:sz w:val="20"/>
          <w:szCs w:val="20"/>
          <w:color w:val="auto"/>
        </w:rPr>
      </w:pPr>
    </w:p>
    <w:p>
      <w:pPr>
        <w:ind w:left="600" w:hanging="302"/>
        <w:spacing w:after="0" w:line="270" w:lineRule="auto"/>
        <w:tabs>
          <w:tab w:leader="none" w:pos="59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5" w:lineRule="exact"/>
        <w:rPr>
          <w:rFonts w:ascii="Arial" w:cs="Arial" w:eastAsia="Arial" w:hAnsi="Arial"/>
          <w:sz w:val="16"/>
          <w:szCs w:val="16"/>
          <w:color w:val="auto"/>
        </w:rPr>
      </w:pPr>
    </w:p>
    <w:p>
      <w:pPr>
        <w:jc w:val="both"/>
        <w:ind w:left="600" w:right="80" w:hanging="302"/>
        <w:spacing w:after="0" w:line="247" w:lineRule="auto"/>
        <w:tabs>
          <w:tab w:leader="none" w:pos="59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180"/>
          </w:cols>
          <w:pgMar w:left="320" w:top="1440" w:right="399" w:bottom="1440" w:gutter="0" w:footer="0" w:header="0"/>
        </w:sectPr>
      </w:pPr>
    </w:p>
    <w:bookmarkStart w:id="248" w:name="page249"/>
    <w:bookmarkEnd w:id="248"/>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SIGNATURES</w:t>
      </w:r>
    </w:p>
    <w:p>
      <w:pPr>
        <w:spacing w:after="0" w:line="173" w:lineRule="exact"/>
        <w:rPr>
          <w:sz w:val="20"/>
          <w:szCs w:val="20"/>
          <w:color w:val="auto"/>
        </w:rPr>
      </w:pPr>
    </w:p>
    <w:p>
      <w:pPr>
        <w:ind w:firstLine="299"/>
        <w:spacing w:after="0" w:line="280" w:lineRule="auto"/>
        <w:rPr>
          <w:sz w:val="20"/>
          <w:szCs w:val="20"/>
          <w:color w:val="auto"/>
        </w:rPr>
      </w:pPr>
      <w:r>
        <w:rPr>
          <w:rFonts w:ascii="Arial" w:cs="Arial" w:eastAsia="Arial" w:hAnsi="Arial"/>
          <w:sz w:val="16"/>
          <w:szCs w:val="16"/>
          <w:color w:val="auto"/>
        </w:rPr>
        <w:t>Pursuant to the requirements of the Securities Act of 1933, as amended, Leonardo DRS, Inc. has duly caused this registration statement to be signed on its behalf by the undersigned, thereunto duly authorized, in the City of Arlington, State of Virginia on the 26th day of February, 2021.</w:t>
      </w:r>
    </w:p>
    <w:p>
      <w:pPr>
        <w:spacing w:after="0" w:line="148"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LEONARDO DRS, INC.</w:t>
      </w:r>
    </w:p>
    <w:p>
      <w:pPr>
        <w:spacing w:after="0" w:line="200" w:lineRule="exact"/>
        <w:rPr>
          <w:sz w:val="20"/>
          <w:szCs w:val="20"/>
          <w:color w:val="auto"/>
        </w:rPr>
      </w:pPr>
    </w:p>
    <w:p>
      <w:pPr>
        <w:spacing w:after="0" w:line="371" w:lineRule="exact"/>
        <w:rPr>
          <w:sz w:val="20"/>
          <w:szCs w:val="20"/>
          <w:color w:val="auto"/>
        </w:rPr>
      </w:pPr>
    </w:p>
    <w:p>
      <w:pPr>
        <w:ind w:left="5140"/>
        <w:spacing w:after="0"/>
        <w:tabs>
          <w:tab w:leader="none" w:pos="5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18415</wp:posOffset>
            </wp:positionV>
            <wp:extent cx="350837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Name: William J. Lynn III</w:t>
      </w:r>
    </w:p>
    <w:p>
      <w:pPr>
        <w:spacing w:after="0" w:line="5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0720"/>
          </w:cols>
          <w:pgMar w:left="320" w:top="1440" w:right="859" w:bottom="1440" w:gutter="0" w:footer="0" w:header="0"/>
        </w:sectPr>
      </w:pPr>
    </w:p>
    <w:bookmarkStart w:id="249" w:name="page250"/>
    <w:bookmarkEnd w:id="249"/>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173"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Michael D. Dippold and Mark A. Dorfman, and each of them, his or her true and lawful attorney-in-fact and agent, acting alone, with full power of substitution and resubstitution, for him or her and in his or her name, place and stead, in any and all capacities, to sign any or all amendments to this Registration Statement, including post-effective amendments and registration statements filed pursuant to Rule 462(b) and otherwise, and to file the same, with all exhibits thereto, and other documents in connection therewith, with the U.S. Securities and Exchange Commission, granting unto said attorney-in-fact full power and authority to do and perform each and every act and thing requisite or necessary to be done in and about the premises, as such person, hereby ratifying and confirming all that said attorney-in-fact and agent, or his or her substitute or substitutes, may lawfully do or cause to be done by virtue hereof.</w:t>
      </w:r>
    </w:p>
    <w:p>
      <w:pPr>
        <w:spacing w:after="0" w:line="132" w:lineRule="exact"/>
        <w:rPr>
          <w:sz w:val="20"/>
          <w:szCs w:val="20"/>
          <w:color w:val="auto"/>
        </w:rPr>
      </w:pPr>
    </w:p>
    <w:p>
      <w:pPr>
        <w:ind w:right="560" w:firstLine="299"/>
        <w:spacing w:after="0" w:line="250"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on February 26, 2021 by the following persons in the capacities indicated.</w:t>
      </w:r>
    </w:p>
    <w:p>
      <w:pPr>
        <w:sectPr>
          <w:pgSz w:w="11900" w:h="16838" w:orient="portrait"/>
          <w:cols w:equalWidth="0" w:num="1">
            <w:col w:w="11200"/>
          </w:cols>
          <w:pgMar w:left="320" w:top="1440" w:right="379" w:bottom="1440" w:gutter="0" w:footer="0" w:header="0"/>
        </w:sectPr>
      </w:pPr>
    </w:p>
    <w:p>
      <w:pPr>
        <w:spacing w:after="0" w:line="179"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327914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7914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4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William J. Lynn III</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7914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4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Michael D. Dippold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/s/ Pamela J.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7914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46"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Pamela J. Morrow</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 David W.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7914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46"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David W. Carey</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General George W. Casey, Jr.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27914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General George W. Casey, Jr. (Ret.)</w:t>
      </w:r>
    </w:p>
    <w:p>
      <w:pPr>
        <w:spacing w:after="0" w:line="10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 Kenneth J. Krieg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791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Kenneth J. Krieg</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 Peter A.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7914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46"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Peter A. Marino</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 Philip A. Odeen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7914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46"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Philip A. Odeen</w:t>
      </w:r>
    </w:p>
    <w:p>
      <w:pPr>
        <w:spacing w:after="0" w:line="103"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/s/ Frances F.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7914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79140" cy="7620"/>
                    </a:xfrm>
                    <a:prstGeom prst="rect">
                      <a:avLst/>
                    </a:prstGeom>
                    <a:noFill/>
                  </pic:spPr>
                </pic:pic>
              </a:graphicData>
            </a:graphic>
          </wp:anchor>
        </w:drawing>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Frances F. Townsend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1040"/>
        <w:spacing w:after="0"/>
        <w:rPr>
          <w:sz w:val="20"/>
          <w:szCs w:val="20"/>
          <w:color w:val="auto"/>
        </w:rPr>
      </w:pP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22860</wp:posOffset>
            </wp:positionV>
            <wp:extent cx="380873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08730" cy="7620"/>
                    </a:xfrm>
                    <a:prstGeom prst="rect">
                      <a:avLst/>
                    </a:prstGeom>
                    <a:noFill/>
                  </pic:spPr>
                </pic:pic>
              </a:graphicData>
            </a:graphic>
          </wp:anchor>
        </w:drawing>
      </w:r>
    </w:p>
    <w:p>
      <w:pPr>
        <w:spacing w:after="0" w:line="128"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Director, Chief Executive Officer</w:t>
      </w:r>
    </w:p>
    <w:p>
      <w:pPr>
        <w:spacing w:after="0" w:line="4"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(Principal Executive Officer)</w:t>
      </w:r>
    </w:p>
    <w:p>
      <w:pPr>
        <w:spacing w:after="0" w:line="165"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Executive Vice President and Chief Financial Officer</w:t>
      </w:r>
    </w:p>
    <w:p>
      <w:pPr>
        <w:spacing w:after="0" w:line="15"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(Principal Financial Officer)</w:t>
      </w:r>
    </w:p>
    <w:p>
      <w:pPr>
        <w:spacing w:after="0" w:line="153"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Senior Vice President and Controller</w:t>
      </w:r>
    </w:p>
    <w:p>
      <w:pPr>
        <w:spacing w:after="0" w:line="4"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(Principal Accounting Officer)</w:t>
      </w:r>
    </w:p>
    <w:p>
      <w:pPr>
        <w:spacing w:after="0" w:line="26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Director</w:t>
      </w:r>
    </w:p>
    <w:p>
      <w:pPr>
        <w:spacing w:after="0" w:line="36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Director</w:t>
      </w:r>
    </w:p>
    <w:p>
      <w:pPr>
        <w:spacing w:after="0" w:line="36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Director</w:t>
      </w:r>
    </w:p>
    <w:p>
      <w:pPr>
        <w:spacing w:after="0" w:line="36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Director</w:t>
      </w:r>
    </w:p>
    <w:p>
      <w:pPr>
        <w:spacing w:after="0" w:line="36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Director</w:t>
      </w:r>
    </w:p>
    <w:p>
      <w:pPr>
        <w:spacing w:after="0" w:line="36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Director</w:t>
      </w:r>
    </w:p>
    <w:p>
      <w:pPr>
        <w:sectPr>
          <w:pgSz w:w="11900" w:h="16838" w:orient="portrait"/>
          <w:cols w:equalWidth="0" w:num="2">
            <w:col w:w="5620" w:space="720"/>
            <w:col w:w="4860"/>
          </w:cols>
          <w:pgMar w:left="320" w:top="1440" w:right="379" w:bottom="1440" w:gutter="0" w:footer="0" w:header="0"/>
          <w:type w:val="continuous"/>
        </w:sectPr>
      </w:pPr>
    </w:p>
    <w:bookmarkStart w:id="250" w:name="page251"/>
    <w:bookmarkEnd w:id="250"/>
    <w:p>
      <w:pPr>
        <w:jc w:val="right"/>
        <w:spacing w:after="0"/>
        <w:rPr>
          <w:sz w:val="20"/>
          <w:szCs w:val="20"/>
          <w:color w:val="auto"/>
        </w:rPr>
      </w:pPr>
      <w:r>
        <w:rPr>
          <w:rFonts w:ascii="Arial" w:cs="Arial" w:eastAsia="Arial" w:hAnsi="Arial"/>
          <w:sz w:val="17"/>
          <w:szCs w:val="17"/>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INCORPORATION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DRS TECHNOLOGIES, INC.</w:t>
      </w:r>
    </w:p>
    <w:p>
      <w:pPr>
        <w:spacing w:after="0" w:line="190" w:lineRule="exact"/>
        <w:rPr>
          <w:sz w:val="20"/>
          <w:szCs w:val="20"/>
          <w:color w:val="auto"/>
        </w:rPr>
      </w:pPr>
    </w:p>
    <w:p>
      <w:pPr>
        <w:ind w:right="140" w:firstLine="597"/>
        <w:spacing w:after="0" w:line="271" w:lineRule="auto"/>
        <w:rPr>
          <w:sz w:val="20"/>
          <w:szCs w:val="20"/>
          <w:color w:val="auto"/>
        </w:rPr>
      </w:pPr>
      <w:r>
        <w:rPr>
          <w:rFonts w:ascii="Arial" w:cs="Arial" w:eastAsia="Arial" w:hAnsi="Arial"/>
          <w:sz w:val="20"/>
          <w:szCs w:val="20"/>
          <w:color w:val="auto"/>
        </w:rPr>
        <w:t>The undersigned, being the Chairman and Chief Executive Officer of DRS Technologies, Inc., a corporation existing under the laws of the State of Delaware, hereby certifies as follows:</w:t>
      </w:r>
    </w:p>
    <w:p>
      <w:pPr>
        <w:spacing w:after="0" w:line="153" w:lineRule="exact"/>
        <w:rPr>
          <w:sz w:val="20"/>
          <w:szCs w:val="20"/>
          <w:color w:val="auto"/>
        </w:rPr>
      </w:pPr>
    </w:p>
    <w:p>
      <w:pPr>
        <w:ind w:right="200" w:firstLine="597"/>
        <w:spacing w:after="0" w:line="301" w:lineRule="auto"/>
        <w:rPr>
          <w:sz w:val="20"/>
          <w:szCs w:val="20"/>
          <w:color w:val="auto"/>
        </w:rPr>
      </w:pPr>
      <w:r>
        <w:rPr>
          <w:rFonts w:ascii="Arial" w:cs="Arial" w:eastAsia="Arial" w:hAnsi="Arial"/>
          <w:sz w:val="18"/>
          <w:szCs w:val="18"/>
          <w:color w:val="auto"/>
        </w:rPr>
        <w:t>The original Certificate of Incorporation of DRS Technologies, Inc. (the “Corporation”) was filed with the Secretary of State of the State of Delaware on November 8, 1968 under the name Diagnostic/Retrieval Systems, Inc. This Amended and Restated Certificate of Incorporation restates, integrates and further amends the provisions of the Restated Certificate of Incorporation of the Corporation.</w:t>
      </w:r>
    </w:p>
    <w:p>
      <w:pPr>
        <w:spacing w:after="0" w:line="130" w:lineRule="exact"/>
        <w:rPr>
          <w:sz w:val="20"/>
          <w:szCs w:val="20"/>
          <w:color w:val="auto"/>
        </w:rPr>
      </w:pPr>
    </w:p>
    <w:p>
      <w:pPr>
        <w:jc w:val="both"/>
        <w:ind w:right="20" w:firstLine="597"/>
        <w:spacing w:after="0" w:line="271" w:lineRule="auto"/>
        <w:rPr>
          <w:sz w:val="20"/>
          <w:szCs w:val="20"/>
          <w:color w:val="auto"/>
        </w:rPr>
      </w:pPr>
      <w:r>
        <w:rPr>
          <w:rFonts w:ascii="Arial" w:cs="Arial" w:eastAsia="Arial" w:hAnsi="Arial"/>
          <w:sz w:val="20"/>
          <w:szCs w:val="20"/>
          <w:color w:val="auto"/>
        </w:rPr>
        <w:t>This Amended and Restated Certificate of Incorporation has been duly adopted, all in accordance with the provisions of Sections 242 and 245 of the Delaware General Corporation Law.</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text of the Certificate of Incorporation of the Corporation is hereby amended and restated in its entirety to read as follows:</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FIRST: The name of this corporation is DRS Technologies, Inc.</w:t>
      </w:r>
    </w:p>
    <w:p>
      <w:pPr>
        <w:spacing w:after="0" w:line="206" w:lineRule="exact"/>
        <w:rPr>
          <w:sz w:val="20"/>
          <w:szCs w:val="20"/>
          <w:color w:val="auto"/>
        </w:rPr>
      </w:pPr>
    </w:p>
    <w:p>
      <w:pPr>
        <w:jc w:val="both"/>
        <w:ind w:right="20" w:firstLine="597"/>
        <w:spacing w:after="0" w:line="258" w:lineRule="auto"/>
        <w:rPr>
          <w:sz w:val="20"/>
          <w:szCs w:val="20"/>
          <w:color w:val="auto"/>
        </w:rPr>
      </w:pPr>
      <w:r>
        <w:rPr>
          <w:rFonts w:ascii="Arial" w:cs="Arial" w:eastAsia="Arial" w:hAnsi="Arial"/>
          <w:sz w:val="20"/>
          <w:szCs w:val="20"/>
          <w:color w:val="auto"/>
        </w:rPr>
        <w:t>SECOND: The address, including street, number, city and county of the registered office of the Corporation in the State of Delaware is 2711 Centerville Road, Suite 400, Wilmington, County of New Castle; and the name of the registered agent of the Corporation in the State of Delaware at such address is Corporation Service Company.</w:t>
      </w:r>
    </w:p>
    <w:p>
      <w:pPr>
        <w:spacing w:after="0" w:line="167" w:lineRule="exact"/>
        <w:rPr>
          <w:sz w:val="20"/>
          <w:szCs w:val="20"/>
          <w:color w:val="auto"/>
        </w:rPr>
      </w:pPr>
    </w:p>
    <w:p>
      <w:pPr>
        <w:ind w:right="240" w:firstLine="597"/>
        <w:spacing w:after="0" w:line="271" w:lineRule="auto"/>
        <w:rPr>
          <w:sz w:val="20"/>
          <w:szCs w:val="20"/>
          <w:color w:val="auto"/>
        </w:rPr>
      </w:pPr>
      <w:r>
        <w:rPr>
          <w:rFonts w:ascii="Arial" w:cs="Arial" w:eastAsia="Arial" w:hAnsi="Arial"/>
          <w:sz w:val="20"/>
          <w:szCs w:val="20"/>
          <w:color w:val="auto"/>
        </w:rPr>
        <w:t>THIRD: The purpose of the Corporation is to engage in any lawful act or activity for which a Corporation may be organized under the Delaware General Corporation Law.</w:t>
      </w:r>
    </w:p>
    <w:p>
      <w:pPr>
        <w:spacing w:after="0" w:line="153" w:lineRule="exact"/>
        <w:rPr>
          <w:sz w:val="20"/>
          <w:szCs w:val="20"/>
          <w:color w:val="auto"/>
        </w:rPr>
      </w:pPr>
    </w:p>
    <w:p>
      <w:pPr>
        <w:ind w:right="200" w:firstLine="597"/>
        <w:spacing w:after="0" w:line="271" w:lineRule="auto"/>
        <w:rPr>
          <w:sz w:val="20"/>
          <w:szCs w:val="20"/>
          <w:color w:val="auto"/>
        </w:rPr>
      </w:pPr>
      <w:r>
        <w:rPr>
          <w:rFonts w:ascii="Arial" w:cs="Arial" w:eastAsia="Arial" w:hAnsi="Arial"/>
          <w:sz w:val="20"/>
          <w:szCs w:val="20"/>
          <w:color w:val="auto"/>
        </w:rPr>
        <w:t>FOURTH: The Corporation shall be authorized to issue l 00 shares of capital stock, consisting of I00 shares of Common Stock, par value $0.0I per share (the “Common Stock”).</w:t>
      </w:r>
    </w:p>
    <w:p>
      <w:pPr>
        <w:spacing w:after="0" w:line="153" w:lineRule="exact"/>
        <w:rPr>
          <w:sz w:val="20"/>
          <w:szCs w:val="20"/>
          <w:color w:val="auto"/>
        </w:rPr>
      </w:pPr>
    </w:p>
    <w:p>
      <w:pPr>
        <w:ind w:firstLine="597"/>
        <w:spacing w:after="0" w:line="283" w:lineRule="auto"/>
        <w:rPr>
          <w:sz w:val="20"/>
          <w:szCs w:val="20"/>
          <w:color w:val="auto"/>
        </w:rPr>
      </w:pPr>
      <w:r>
        <w:rPr>
          <w:rFonts w:ascii="Arial" w:cs="Arial" w:eastAsia="Arial" w:hAnsi="Arial"/>
          <w:sz w:val="18"/>
          <w:szCs w:val="18"/>
          <w:color w:val="auto"/>
        </w:rPr>
        <w:t>FIFTH: No director shall be personally liable to the Corporation or its stockholders for monetary damages for any breach of fiduciary duty by such director as a director. Notwithstanding the foregoing sentence, a director shall be liable to the extent provided by applicable law</w:t>
      </w:r>
    </w:p>
    <w:p>
      <w:pPr>
        <w:spacing w:after="0" w:line="1" w:lineRule="exact"/>
        <w:rPr>
          <w:sz w:val="20"/>
          <w:szCs w:val="20"/>
          <w:color w:val="auto"/>
        </w:rPr>
      </w:pPr>
    </w:p>
    <w:p>
      <w:pPr>
        <w:ind w:right="40"/>
        <w:spacing w:after="0" w:line="248" w:lineRule="auto"/>
        <w:tabs>
          <w:tab w:leader="none" w:pos="23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for breach of the director’s duty of loyalty to the Corporation or its stockholders, (ii) for acts or omissions not in good faith or which involve intentional misconduct or a knowing violation of law, (iii) pursuant to Section 174 of the Delaware General Corporation Law, or (iv) for any transaction from which the director derived an improper personal benefit. No amendment to or repeal of this Article shall apply to or have any effect on the liability or alleged liability of any director of the Corporation for or with respect to any acts or omissions of such director occurring prior to such amendment.</w:t>
      </w:r>
    </w:p>
    <w:p>
      <w:pPr>
        <w:sectPr>
          <w:pgSz w:w="11900" w:h="16838" w:orient="portrait"/>
          <w:cols w:equalWidth="0" w:num="1">
            <w:col w:w="11240"/>
          </w:cols>
          <w:pgMar w:left="320" w:top="123" w:right="339" w:bottom="1440" w:gutter="0" w:footer="0" w:header="0"/>
        </w:sectPr>
      </w:pPr>
    </w:p>
    <w:bookmarkStart w:id="251" w:name="page252"/>
    <w:bookmarkEnd w:id="251"/>
    <w:p>
      <w:pPr>
        <w:ind w:right="40" w:firstLine="597"/>
        <w:spacing w:after="0" w:line="279" w:lineRule="auto"/>
        <w:rPr>
          <w:sz w:val="20"/>
          <w:szCs w:val="20"/>
          <w:color w:val="auto"/>
        </w:rPr>
      </w:pPr>
      <w:r>
        <w:rPr>
          <w:rFonts w:ascii="Arial" w:cs="Arial" w:eastAsia="Arial" w:hAnsi="Arial"/>
          <w:sz w:val="18"/>
          <w:szCs w:val="18"/>
          <w:color w:val="auto"/>
        </w:rPr>
        <w:t>SIXTH: (a) The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an assumption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53" w:lineRule="exact"/>
        <w:rPr>
          <w:sz w:val="20"/>
          <w:szCs w:val="20"/>
          <w:color w:val="auto"/>
        </w:rPr>
      </w:pPr>
    </w:p>
    <w:p>
      <w:pPr>
        <w:ind w:firstLine="597"/>
        <w:spacing w:after="0" w:line="263" w:lineRule="auto"/>
        <w:tabs>
          <w:tab w:leader="none" w:pos="1025"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The Corporation shall have power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for negligence or misconduct in the performance of his duty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6" w:lineRule="exact"/>
        <w:rPr>
          <w:rFonts w:ascii="Arial" w:cs="Arial" w:eastAsia="Arial" w:hAnsi="Arial"/>
          <w:sz w:val="19"/>
          <w:szCs w:val="19"/>
          <w:color w:val="auto"/>
        </w:rPr>
      </w:pPr>
    </w:p>
    <w:p>
      <w:pPr>
        <w:ind w:right="100" w:firstLine="597"/>
        <w:spacing w:after="0" w:line="301" w:lineRule="auto"/>
        <w:tabs>
          <w:tab w:leader="none" w:pos="101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To the extent that a director, officer, employee or agent of the Corporation has been successful on the merits or otherwise in defense of any action, suit or proceeding referred to in paragraphs (a) and (b), or in defense of any claim, issue or matter therein, he shall be indemnified against expenses (including attorneys’ fees) actually and reasonably incurred by him in connection therewith.</w:t>
      </w:r>
    </w:p>
    <w:p>
      <w:pPr>
        <w:spacing w:after="0" w:line="129" w:lineRule="exact"/>
        <w:rPr>
          <w:rFonts w:ascii="Arial" w:cs="Arial" w:eastAsia="Arial" w:hAnsi="Arial"/>
          <w:sz w:val="18"/>
          <w:szCs w:val="18"/>
          <w:color w:val="auto"/>
        </w:rPr>
      </w:pPr>
    </w:p>
    <w:p>
      <w:pPr>
        <w:ind w:firstLine="597"/>
        <w:spacing w:after="0" w:line="278" w:lineRule="auto"/>
        <w:tabs>
          <w:tab w:leader="none" w:pos="101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indemnification under paragraphs (a) and (b)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paragraphs{a) and (b). Such determination shall be made (I) by the Board of Directors by a majority vote of a quorum consisting of directors who were not parties to such action, suit or proceeding, or</w:t>
      </w:r>
    </w:p>
    <w:p>
      <w:pPr>
        <w:spacing w:after="0" w:line="2" w:lineRule="exact"/>
        <w:rPr>
          <w:rFonts w:ascii="Arial" w:cs="Arial" w:eastAsia="Arial" w:hAnsi="Arial"/>
          <w:sz w:val="18"/>
          <w:szCs w:val="18"/>
          <w:color w:val="auto"/>
        </w:rPr>
      </w:pPr>
    </w:p>
    <w:p>
      <w:pPr>
        <w:ind w:left="280" w:hanging="280"/>
        <w:spacing w:after="0"/>
        <w:tabs>
          <w:tab w:leader="none" w:pos="28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if such a</w:t>
      </w:r>
    </w:p>
    <w:p>
      <w:pPr>
        <w:sectPr>
          <w:pgSz w:w="11900" w:h="16838" w:orient="portrait"/>
          <w:cols w:equalWidth="0" w:num="1">
            <w:col w:w="11240"/>
          </w:cols>
          <w:pgMar w:left="320" w:top="1328" w:right="339" w:bottom="1440" w:gutter="0" w:footer="0" w:header="0"/>
        </w:sectPr>
      </w:pPr>
    </w:p>
    <w:bookmarkStart w:id="252" w:name="page253"/>
    <w:bookmarkEnd w:id="252"/>
    <w:p>
      <w:pPr>
        <w:ind w:right="440"/>
        <w:spacing w:after="0" w:line="271" w:lineRule="auto"/>
        <w:rPr>
          <w:sz w:val="20"/>
          <w:szCs w:val="20"/>
          <w:color w:val="auto"/>
        </w:rPr>
      </w:pPr>
      <w:r>
        <w:rPr>
          <w:rFonts w:ascii="Arial" w:cs="Arial" w:eastAsia="Arial" w:hAnsi="Arial"/>
          <w:sz w:val="20"/>
          <w:szCs w:val="20"/>
          <w:color w:val="auto"/>
        </w:rPr>
        <w:t>quorum is not obtainable, or, even if obtainable a quorum of disinterested directors so directs, by independent legal counsel in a written opinion, or (3) by the stockholders.</w:t>
      </w:r>
    </w:p>
    <w:p>
      <w:pPr>
        <w:spacing w:after="0" w:line="153" w:lineRule="exact"/>
        <w:rPr>
          <w:sz w:val="20"/>
          <w:szCs w:val="20"/>
          <w:color w:val="auto"/>
        </w:rPr>
      </w:pPr>
    </w:p>
    <w:p>
      <w:pPr>
        <w:ind w:right="140" w:firstLine="597"/>
        <w:spacing w:after="0" w:line="254" w:lineRule="auto"/>
        <w:tabs>
          <w:tab w:leader="none" w:pos="1017" w:val="left"/>
        </w:tabs>
        <w:numPr>
          <w:ilvl w:val="0"/>
          <w:numId w:val="151"/>
        </w:numPr>
        <w:rPr>
          <w:rFonts w:ascii="Arial" w:cs="Arial" w:eastAsia="Arial" w:hAnsi="Arial"/>
          <w:sz w:val="20"/>
          <w:szCs w:val="20"/>
          <w:color w:val="auto"/>
        </w:rPr>
      </w:pPr>
      <w:r>
        <w:rPr>
          <w:rFonts w:ascii="Arial" w:cs="Arial" w:eastAsia="Arial" w:hAnsi="Arial"/>
          <w:sz w:val="20"/>
          <w:szCs w:val="20"/>
          <w:color w:val="auto"/>
        </w:rPr>
        <w:t>Expenses incurred in defending a civil or criminal action, suit or proceeding may be paid by the Corporation in advance of the final disposition of such action, suit or proceeding as authorized by the Board of Directors in the specific case upon receipt of any undertaking by or on behalf of the director, officer, employee or agent to repay such amount unless it shall ultimately be determined that he is entitled to be indemnified by the Corporation as authorized in this Article.</w:t>
      </w:r>
    </w:p>
    <w:p>
      <w:pPr>
        <w:spacing w:after="0" w:line="171" w:lineRule="exact"/>
        <w:rPr>
          <w:rFonts w:ascii="Arial" w:cs="Arial" w:eastAsia="Arial" w:hAnsi="Arial"/>
          <w:sz w:val="20"/>
          <w:szCs w:val="20"/>
          <w:color w:val="auto"/>
        </w:rPr>
      </w:pPr>
    </w:p>
    <w:p>
      <w:pPr>
        <w:ind w:right="40" w:firstLine="597"/>
        <w:spacing w:after="0" w:line="292" w:lineRule="auto"/>
        <w:tabs>
          <w:tab w:leader="none" w:pos="99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indemnification provided by this Article shall not be deemed exclusive of any other rights to which those seeking indemnification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37" w:lineRule="exact"/>
        <w:rPr>
          <w:rFonts w:ascii="Arial" w:cs="Arial" w:eastAsia="Arial" w:hAnsi="Arial"/>
          <w:sz w:val="18"/>
          <w:szCs w:val="18"/>
          <w:color w:val="auto"/>
        </w:rPr>
      </w:pPr>
    </w:p>
    <w:p>
      <w:pPr>
        <w:ind w:right="80" w:firstLine="597"/>
        <w:spacing w:after="0" w:line="252" w:lineRule="auto"/>
        <w:tabs>
          <w:tab w:leader="none" w:pos="1025"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SEVENTH: The Corporation shall have perpetual existence.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undersigned has duly executed this certificate on behalf of the Corporation this 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July, 2009.</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 Mark S.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24130</wp:posOffset>
            </wp:positionV>
            <wp:extent cx="287591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75915" cy="7620"/>
                    </a:xfrm>
                    <a:prstGeom prst="rect">
                      <a:avLst/>
                    </a:prstGeom>
                    <a:noFill/>
                  </pic:spPr>
                </pic:pic>
              </a:graphicData>
            </a:graphic>
          </wp:anchor>
        </w:drawing>
      </w:r>
    </w:p>
    <w:p>
      <w:pPr>
        <w:spacing w:after="0" w:line="4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Mark S. Newman</w:t>
      </w:r>
    </w:p>
    <w:p>
      <w:pPr>
        <w:spacing w:after="0" w:line="5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Chairman and Chief</w:t>
      </w:r>
    </w:p>
    <w:p>
      <w:pPr>
        <w:spacing w:after="0" w:line="5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Executive Officer</w:t>
      </w:r>
    </w:p>
    <w:p>
      <w:pPr>
        <w:sectPr>
          <w:pgSz w:w="11900" w:h="16838" w:orient="portrait"/>
          <w:cols w:equalWidth="0" w:num="1">
            <w:col w:w="11220"/>
          </w:cols>
          <w:pgMar w:left="320" w:top="1328" w:right="359" w:bottom="1440" w:gutter="0" w:footer="0" w:header="0"/>
        </w:sectPr>
      </w:pPr>
    </w:p>
    <w:bookmarkStart w:id="253" w:name="page254"/>
    <w:bookmarkEnd w:id="253"/>
    <w:p>
      <w:pPr>
        <w:jc w:val="center"/>
        <w:ind w:right="-239"/>
        <w:spacing w:after="0"/>
        <w:rPr>
          <w:sz w:val="20"/>
          <w:szCs w:val="20"/>
          <w:color w:val="auto"/>
        </w:rPr>
      </w:pPr>
      <w:r>
        <w:rPr>
          <w:rFonts w:ascii="Arial" w:cs="Arial" w:eastAsia="Arial" w:hAnsi="Arial"/>
          <w:sz w:val="20"/>
          <w:szCs w:val="20"/>
          <w:b w:val="1"/>
          <w:bCs w:val="1"/>
          <w:color w:val="auto"/>
        </w:rPr>
        <w:t>CERTIFICATE OF AMENDMENT TO THE</w:t>
      </w:r>
    </w:p>
    <w:p>
      <w:pPr>
        <w:spacing w:after="0" w:line="28"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AMENDED AND RESTATED CERTIFICATE OF INCORPORATION</w:t>
      </w:r>
    </w:p>
    <w:p>
      <w:pPr>
        <w:spacing w:after="0" w:line="6"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OF</w:t>
      </w:r>
    </w:p>
    <w:p>
      <w:pPr>
        <w:spacing w:after="0" w:line="6"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DRS TECHNOLOGIES, INC.</w:t>
      </w: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(Pursuant to Section 242 of the General Corporation Law of the State of Delaware)</w:t>
      </w:r>
    </w:p>
    <w:p>
      <w:pPr>
        <w:spacing w:after="0" w:line="200" w:lineRule="exact"/>
        <w:rPr>
          <w:sz w:val="20"/>
          <w:szCs w:val="20"/>
          <w:color w:val="auto"/>
        </w:rPr>
      </w:pPr>
    </w:p>
    <w:p>
      <w:pPr>
        <w:spacing w:after="0" w:line="34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DRS Technologies, Inc., a corporation organized under the General Corporation Law of the State of Delaware (the “Corporation”), hereby certifies as follows:</w:t>
      </w:r>
    </w:p>
    <w:p>
      <w:pPr>
        <w:spacing w:after="0" w:line="153" w:lineRule="exact"/>
        <w:rPr>
          <w:sz w:val="20"/>
          <w:szCs w:val="20"/>
          <w:color w:val="auto"/>
        </w:rPr>
      </w:pPr>
    </w:p>
    <w:p>
      <w:pPr>
        <w:ind w:left="1200" w:right="20" w:hanging="603"/>
        <w:spacing w:after="0" w:line="271" w:lineRule="auto"/>
        <w:tabs>
          <w:tab w:leader="none" w:pos="94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Article FIRST of the Amended and Restated Certificate of Incorporation of the Corporation is hereby amended by striking out Article FIRST and inserting in lieu thereof the following:</w:t>
      </w:r>
    </w:p>
    <w:p>
      <w:pPr>
        <w:spacing w:after="0" w:line="153" w:lineRule="exact"/>
        <w:rPr>
          <w:sz w:val="20"/>
          <w:szCs w:val="20"/>
          <w:color w:val="auto"/>
        </w:rPr>
      </w:pPr>
    </w:p>
    <w:p>
      <w:pPr>
        <w:ind w:left="1200"/>
        <w:spacing w:after="0"/>
        <w:tabs>
          <w:tab w:leader="none" w:pos="2040" w:val="left"/>
        </w:tabs>
        <w:rPr>
          <w:sz w:val="20"/>
          <w:szCs w:val="20"/>
          <w:color w:val="auto"/>
        </w:rPr>
      </w:pPr>
      <w:r>
        <w:rPr>
          <w:rFonts w:ascii="Arial" w:cs="Arial" w:eastAsia="Arial" w:hAnsi="Arial"/>
          <w:sz w:val="20"/>
          <w:szCs w:val="20"/>
          <w:color w:val="auto"/>
        </w:rPr>
        <w:t>“FIRST:</w:t>
      </w:r>
      <w:r>
        <w:rPr>
          <w:sz w:val="20"/>
          <w:szCs w:val="20"/>
          <w:color w:val="auto"/>
        </w:rPr>
        <w:tab/>
      </w:r>
      <w:r>
        <w:rPr>
          <w:rFonts w:ascii="Arial" w:cs="Arial" w:eastAsia="Arial" w:hAnsi="Arial"/>
          <w:sz w:val="18"/>
          <w:szCs w:val="18"/>
          <w:color w:val="auto"/>
        </w:rPr>
        <w:t>The name of this corporation is Leonardo DRS, Inc.”</w:t>
      </w:r>
    </w:p>
    <w:p>
      <w:pPr>
        <w:spacing w:after="0" w:line="206" w:lineRule="exact"/>
        <w:rPr>
          <w:sz w:val="20"/>
          <w:szCs w:val="20"/>
          <w:color w:val="auto"/>
        </w:rPr>
      </w:pPr>
    </w:p>
    <w:p>
      <w:pPr>
        <w:ind w:left="1200" w:right="600" w:hanging="603"/>
        <w:spacing w:after="0" w:line="271" w:lineRule="auto"/>
        <w:tabs>
          <w:tab w:leader="none" w:pos="947"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foregoing amendment has been adopted in accordance with the provisions of Section 242 of the Delaware General Corporation Law and the Corporation’s governance documents.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this Certificate of Amendment has been duly executed this 18th day of July.</w:t>
      </w:r>
    </w:p>
    <w:p>
      <w:pPr>
        <w:spacing w:after="0" w:line="36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24130</wp:posOffset>
            </wp:positionV>
            <wp:extent cx="287591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75915" cy="7620"/>
                    </a:xfrm>
                    <a:prstGeom prst="rect">
                      <a:avLst/>
                    </a:prstGeom>
                    <a:noFill/>
                  </pic:spPr>
                </pic:pic>
              </a:graphicData>
            </a:graphic>
          </wp:anchor>
        </w:drawing>
      </w:r>
    </w:p>
    <w:p>
      <w:pPr>
        <w:spacing w:after="0" w:line="4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 William J. Lynn III</w:t>
      </w:r>
    </w:p>
    <w:p>
      <w:pPr>
        <w:spacing w:after="0" w:line="5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 President and Chief Executive</w:t>
      </w:r>
    </w:p>
    <w:p>
      <w:pPr>
        <w:spacing w:after="0" w:line="5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11020"/>
          </w:cols>
          <w:pgMar w:left="320" w:top="1321" w:right="559" w:bottom="1440" w:gutter="0" w:footer="0" w:header="0"/>
        </w:sectPr>
      </w:pPr>
    </w:p>
    <w:bookmarkStart w:id="254" w:name="page255"/>
    <w:bookmarkEnd w:id="254"/>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LEONARDO DRS,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25, 2021</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Leonardo DRS, Inc., a corporation organized and existing under and by virtue of the General Corporation Law of the State of</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Delaware (the “DGCL”), hereby certifies as follows:</w:t>
      </w:r>
    </w:p>
    <w:p>
      <w:pPr>
        <w:spacing w:after="0" w:line="190"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20"/>
          <w:szCs w:val="20"/>
          <w:color w:val="auto"/>
        </w:rPr>
        <w:t>FIRST: The name of the Corporation is Leonardo DRS, Inc. (the “Corporation”). The original certificate of incorporation of the Corporation was filed with the Secretary of State of the State of Delaware on November 8, 1968 under the name Diagnostic/Retrieval Systems, Inc. The Amended and Restated Certificate of Incorporation of the Corporation (the “Certificate”) was filed with the Secretary of State of the State of Delaware on July 17, 2009.</w:t>
      </w:r>
    </w:p>
    <w:p>
      <w:pPr>
        <w:spacing w:after="0" w:line="171" w:lineRule="exact"/>
        <w:rPr>
          <w:sz w:val="20"/>
          <w:szCs w:val="20"/>
          <w:color w:val="auto"/>
        </w:rPr>
      </w:pPr>
    </w:p>
    <w:p>
      <w:pPr>
        <w:jc w:val="both"/>
        <w:ind w:firstLine="597"/>
        <w:spacing w:after="0" w:line="327" w:lineRule="auto"/>
        <w:rPr>
          <w:sz w:val="20"/>
          <w:szCs w:val="20"/>
          <w:color w:val="auto"/>
        </w:rPr>
      </w:pPr>
      <w:r>
        <w:rPr>
          <w:rFonts w:ascii="Arial" w:cs="Arial" w:eastAsia="Arial" w:hAnsi="Arial"/>
          <w:sz w:val="18"/>
          <w:szCs w:val="18"/>
          <w:color w:val="auto"/>
        </w:rPr>
        <w:t>SECOND: This Amendment (the “Amendment”) to the Certificate was duly adopted in accordance with Section 228 and Section 242 of the DGCL by the holders of a majority of the issued and outstanding shares of stock of the Corporation entitled to vote thereon.</w:t>
      </w:r>
    </w:p>
    <w:p>
      <w:pPr>
        <w:spacing w:after="0" w:line="108"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20"/>
          <w:szCs w:val="20"/>
          <w:color w:val="auto"/>
        </w:rPr>
        <w:t>THIRD: Article FOURTH of the Certificate is hereby amended by deleting Article FOURTH in its entirety and inserting in its place a new Article FOURTH to read as follows:</w:t>
      </w:r>
    </w:p>
    <w:p>
      <w:pPr>
        <w:spacing w:after="0" w:line="153"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auto"/>
        </w:rPr>
        <w:t>“FOURTH: The Corporation shall be authorized to issue 310,000,000 shares of capital stock, consisting of 300,000,000 shares of common stock, par value $0.01 per share (the “Common Stock”) and 10,000,000 shares of preferred stock, par value $0.01 per share (the “Preferred Stock”).</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Immediately upon the filing of the Amendment with the Secretary of State of the State of Delaware (the “Effective Time”), each one</w:t>
      </w:r>
    </w:p>
    <w:p>
      <w:pPr>
        <w:spacing w:after="0" w:line="45" w:lineRule="exact"/>
        <w:rPr>
          <w:sz w:val="20"/>
          <w:szCs w:val="20"/>
          <w:color w:val="auto"/>
        </w:rPr>
      </w:pPr>
    </w:p>
    <w:p>
      <w:pPr>
        <w:jc w:val="both"/>
        <w:ind w:left="80" w:hanging="6"/>
        <w:spacing w:after="0" w:line="250" w:lineRule="auto"/>
        <w:tabs>
          <w:tab w:leader="none" w:pos="37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share of the Common Stock, par value $0.01 per share, issued and outstanding at the Effective Time shall automatically be changed, reclassified and converted into 1,450,000 validly issued, fully paid and non-assessable shares of Common Stock, without any further action by the holder thereof.”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240"/>
          </w:cols>
          <w:pgMar w:left="320" w:top="123" w:right="339" w:bottom="1440" w:gutter="0" w:footer="0" w:header="0"/>
        </w:sectPr>
      </w:pPr>
    </w:p>
    <w:bookmarkStart w:id="255" w:name="page256"/>
    <w:bookmarkEnd w:id="255"/>
    <w:p>
      <w:pPr>
        <w:ind w:firstLine="597"/>
        <w:spacing w:after="0" w:line="230" w:lineRule="auto"/>
        <w:rPr>
          <w:sz w:val="20"/>
          <w:szCs w:val="20"/>
          <w:color w:val="auto"/>
        </w:rPr>
      </w:pPr>
      <w:r>
        <w:rPr>
          <w:rFonts w:ascii="Arial" w:cs="Arial" w:eastAsia="Arial" w:hAnsi="Arial"/>
          <w:sz w:val="20"/>
          <w:szCs w:val="20"/>
          <w:color w:val="auto"/>
        </w:rPr>
        <w:t>IN WITNESS WHEREOF, the undersigned has duly executed this certificate of amendment on behalf of the Corporation this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2021.</w:t>
      </w: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24130</wp:posOffset>
            </wp:positionV>
            <wp:extent cx="251269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12695" cy="7620"/>
                    </a:xfrm>
                    <a:prstGeom prst="rect">
                      <a:avLst/>
                    </a:prstGeom>
                    <a:noFill/>
                  </pic:spPr>
                </pic:pic>
              </a:graphicData>
            </a:graphic>
          </wp:anchor>
        </w:drawing>
      </w:r>
    </w:p>
    <w:p>
      <w:pPr>
        <w:spacing w:after="0" w:line="4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William J. Lynn III</w:t>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Certificate of Amendment</w:t>
      </w:r>
      <w:r>
        <w:rPr>
          <w:rFonts w:ascii="Arial" w:cs="Arial" w:eastAsia="Arial" w:hAnsi="Arial"/>
          <w:sz w:val="17"/>
          <w:szCs w:val="17"/>
          <w:color w:val="auto"/>
        </w:rPr>
        <w:t>]</w:t>
      </w:r>
    </w:p>
    <w:p>
      <w:pPr>
        <w:sectPr>
          <w:pgSz w:w="11900" w:h="16838" w:orient="portrait"/>
          <w:cols w:equalWidth="0" w:num="1">
            <w:col w:w="11240"/>
          </w:cols>
          <w:pgMar w:left="320" w:top="1321" w:right="339" w:bottom="1440" w:gutter="0" w:footer="0" w:header="0"/>
        </w:sectPr>
      </w:pPr>
    </w:p>
    <w:bookmarkStart w:id="256" w:name="page257"/>
    <w:bookmarkEnd w:id="256"/>
    <w:p>
      <w:pPr>
        <w:ind w:left="936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469900</wp:posOffset>
            </wp:positionV>
            <wp:extent cx="7200900" cy="43853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0" cy="43853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1704340</wp:posOffset>
            </wp:positionH>
            <wp:positionV relativeFrom="page">
              <wp:posOffset>657860</wp:posOffset>
            </wp:positionV>
            <wp:extent cx="4148455" cy="68503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4148455" cy="685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right"/>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REGISTRATION RIGHTS AGREEMENT</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AMONG</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LEONARDO DRS, INC.,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LEONARDO S.P.A.</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LEONARDO US HOLDING, INC.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DATED AS OF MARCH [•], 2021</w:t>
      </w:r>
    </w:p>
    <w:p>
      <w:pPr>
        <w:sectPr>
          <w:pgSz w:w="11900" w:h="16838" w:orient="portrait"/>
          <w:cols w:equalWidth="0" w:num="1">
            <w:col w:w="10120"/>
          </w:cols>
          <w:pgMar w:left="1440" w:top="123" w:right="3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400" w:type="dxa"/>
            <w:vAlign w:val="bottom"/>
            <w:gridSpan w:val="2"/>
          </w:tcPr>
          <w:p>
            <w:pPr>
              <w:jc w:val="center"/>
              <w:ind w:right="4280"/>
              <w:spacing w:after="0"/>
              <w:rPr>
                <w:sz w:val="20"/>
                <w:szCs w:val="20"/>
                <w:color w:val="auto"/>
              </w:rPr>
            </w:pPr>
            <w:r>
              <w:rPr>
                <w:rFonts w:ascii="Arial" w:cs="Arial" w:eastAsia="Arial" w:hAnsi="Arial"/>
                <w:sz w:val="20"/>
                <w:szCs w:val="20"/>
                <w:b w:val="1"/>
                <w:bCs w:val="1"/>
                <w:color w:val="auto"/>
                <w:w w:val="98"/>
              </w:rPr>
              <w:t>TABLE OF CONTENTS</w:t>
            </w:r>
          </w:p>
        </w:tc>
        <w:tc>
          <w:tcPr>
            <w:tcW w:w="280" w:type="dxa"/>
            <w:vAlign w:val="bottom"/>
          </w:tcPr>
          <w:p>
            <w:pPr>
              <w:spacing w:after="0"/>
              <w:rPr>
                <w:sz w:val="19"/>
                <w:szCs w:val="19"/>
                <w:color w:val="auto"/>
              </w:rPr>
            </w:pPr>
          </w:p>
        </w:tc>
      </w:tr>
      <w:tr>
        <w:trPr>
          <w:trHeight w:val="457"/>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Article I</w:t>
            </w: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7"/>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40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DEFINITIONS</w:t>
            </w:r>
          </w:p>
        </w:tc>
        <w:tc>
          <w:tcPr>
            <w:tcW w:w="280" w:type="dxa"/>
            <w:vAlign w:val="bottom"/>
          </w:tcPr>
          <w:p>
            <w:pPr>
              <w:spacing w:after="0"/>
              <w:rPr>
                <w:sz w:val="20"/>
                <w:szCs w:val="20"/>
                <w:color w:val="auto"/>
              </w:rPr>
            </w:pP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1.02</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6"/>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40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Article II</w:t>
            </w:r>
          </w:p>
        </w:tc>
        <w:tc>
          <w:tcPr>
            <w:tcW w:w="28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106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REGISTRATION RIGHTS</w:t>
            </w:r>
          </w:p>
        </w:tc>
        <w:tc>
          <w:tcPr>
            <w:tcW w:w="280" w:type="dxa"/>
            <w:vAlign w:val="bottom"/>
          </w:tcPr>
          <w:p>
            <w:pPr>
              <w:spacing w:after="0"/>
              <w:rPr>
                <w:sz w:val="20"/>
                <w:szCs w:val="20"/>
                <w:color w:val="auto"/>
              </w:rPr>
            </w:pP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2.01</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Shelf Registration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2.02</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Demand Registrations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2.03</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Priority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2.04</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Piggyback Registrations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2.05</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Lock-up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2.06</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Registration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2.07</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Registration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2.08</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Underwritten Offering</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2.09</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Suspension of Registration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2.10</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1"/>
        </w:trPr>
        <w:tc>
          <w:tcPr>
            <w:tcW w:w="10940" w:type="dxa"/>
            <w:vAlign w:val="bottom"/>
            <w:gridSpan w:val="4"/>
          </w:tcPr>
          <w:p>
            <w:pPr>
              <w:spacing w:after="0"/>
              <w:rPr>
                <w:sz w:val="20"/>
                <w:szCs w:val="20"/>
                <w:color w:val="auto"/>
              </w:rPr>
            </w:pPr>
            <w:r>
              <w:rPr>
                <w:rFonts w:ascii="Arial" w:cs="Arial" w:eastAsia="Arial" w:hAnsi="Arial"/>
                <w:sz w:val="18"/>
                <w:szCs w:val="18"/>
                <w:color w:val="auto"/>
              </w:rPr>
              <w:t>2.11  Conversion of Other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2.12</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Rule 144; Rule 144A</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2.13</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Transfer of Registration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6"/>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40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Article III</w:t>
            </w:r>
          </w:p>
        </w:tc>
        <w:tc>
          <w:tcPr>
            <w:tcW w:w="280" w:type="dxa"/>
            <w:vAlign w:val="bottom"/>
          </w:tcPr>
          <w:p>
            <w:pPr>
              <w:spacing w:after="0"/>
              <w:rPr>
                <w:sz w:val="20"/>
                <w:szCs w:val="20"/>
                <w:color w:val="auto"/>
              </w:rPr>
            </w:pPr>
          </w:p>
        </w:tc>
      </w:tr>
      <w:tr>
        <w:trPr>
          <w:trHeight w:val="212"/>
        </w:trPr>
        <w:tc>
          <w:tcPr>
            <w:tcW w:w="340" w:type="dxa"/>
            <w:vAlign w:val="bottom"/>
          </w:tcPr>
          <w:p>
            <w:pPr>
              <w:spacing w:after="0"/>
              <w:rPr>
                <w:sz w:val="18"/>
                <w:szCs w:val="18"/>
                <w:color w:val="auto"/>
              </w:rPr>
            </w:pPr>
          </w:p>
        </w:tc>
        <w:tc>
          <w:tcPr>
            <w:tcW w:w="106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PROVISIONS APPLICABLE TO ALL DISPOSITIONS OF REGISTRABLE SECURITIES BY LEONARDO AFFILIATED GROUP</w:t>
            </w:r>
          </w:p>
        </w:tc>
        <w:tc>
          <w:tcPr>
            <w:tcW w:w="28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40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rPr>
              <w:t>MEMBERS</w:t>
            </w:r>
          </w:p>
        </w:tc>
        <w:tc>
          <w:tcPr>
            <w:tcW w:w="280" w:type="dxa"/>
            <w:vAlign w:val="bottom"/>
          </w:tcPr>
          <w:p>
            <w:pPr>
              <w:spacing w:after="0"/>
              <w:rPr>
                <w:sz w:val="20"/>
                <w:szCs w:val="20"/>
                <w:color w:val="auto"/>
              </w:rPr>
            </w:pP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3.01</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Underwriter Selection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3.02</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Cooperation with Sales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3.03</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Further Assurances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6"/>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40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w w:val="99"/>
              </w:rPr>
              <w:t>Article IV</w:t>
            </w:r>
          </w:p>
        </w:tc>
        <w:tc>
          <w:tcPr>
            <w:tcW w:w="28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40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MISCELLANEOUS</w:t>
            </w:r>
          </w:p>
        </w:tc>
        <w:tc>
          <w:tcPr>
            <w:tcW w:w="280" w:type="dxa"/>
            <w:vAlign w:val="bottom"/>
          </w:tcPr>
          <w:p>
            <w:pPr>
              <w:spacing w:after="0"/>
              <w:rPr>
                <w:sz w:val="20"/>
                <w:szCs w:val="20"/>
                <w:color w:val="auto"/>
              </w:rPr>
            </w:pP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4.01</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Term</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4.02</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Other Holder Activities.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4.04</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No Inconsistent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4.05</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Amendment, Modification and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4.06</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No Third-Party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4.07</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Entire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4.08</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4.09</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4.10</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Specific Performance;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4.11</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4.12</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4.13</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Jurisdiction; Venue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1"/>
        </w:trPr>
        <w:tc>
          <w:tcPr>
            <w:tcW w:w="340" w:type="dxa"/>
            <w:vAlign w:val="bottom"/>
          </w:tcPr>
          <w:p>
            <w:pPr>
              <w:spacing w:after="0"/>
              <w:rPr>
                <w:sz w:val="20"/>
                <w:szCs w:val="20"/>
                <w:color w:val="auto"/>
              </w:rPr>
            </w:pPr>
            <w:r>
              <w:rPr>
                <w:rFonts w:ascii="Arial" w:cs="Arial" w:eastAsia="Arial" w:hAnsi="Arial"/>
                <w:sz w:val="18"/>
                <w:szCs w:val="18"/>
                <w:color w:val="auto"/>
                <w:w w:val="91"/>
              </w:rPr>
              <w:t>4.14</w:t>
            </w:r>
          </w:p>
        </w:tc>
        <w:tc>
          <w:tcPr>
            <w:tcW w:w="10600" w:type="dxa"/>
            <w:vAlign w:val="bottom"/>
            <w:gridSpan w:val="3"/>
          </w:tcPr>
          <w:p>
            <w:pPr>
              <w:ind w:left="180"/>
              <w:spacing w:after="0"/>
              <w:rPr>
                <w:sz w:val="20"/>
                <w:szCs w:val="20"/>
                <w:color w:val="auto"/>
              </w:rPr>
            </w:pPr>
            <w:r>
              <w:rPr>
                <w:rFonts w:ascii="Arial" w:cs="Arial" w:eastAsia="Arial" w:hAnsi="Arial"/>
                <w:sz w:val="18"/>
                <w:szCs w:val="18"/>
                <w:color w:val="auto"/>
              </w:rPr>
              <w:t>Notice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20"/>
          </w:cols>
          <w:pgMar w:left="340" w:top="1303" w:right="339" w:bottom="1440" w:gutter="0" w:footer="0" w:header="0"/>
        </w:sectPr>
      </w:pPr>
    </w:p>
    <w:bookmarkStart w:id="260" w:name="page261"/>
    <w:bookmarkEnd w:id="260"/>
    <w:p>
      <w:pPr>
        <w:jc w:val="center"/>
        <w:ind w:right="-79"/>
        <w:spacing w:after="0"/>
        <w:rPr>
          <w:sz w:val="20"/>
          <w:szCs w:val="20"/>
          <w:color w:val="auto"/>
        </w:rPr>
      </w:pPr>
      <w:r>
        <w:rPr>
          <w:rFonts w:ascii="Arial" w:cs="Arial" w:eastAsia="Arial" w:hAnsi="Arial"/>
          <w:sz w:val="20"/>
          <w:szCs w:val="20"/>
          <w:b w:val="1"/>
          <w:bCs w:val="1"/>
          <w:color w:val="auto"/>
        </w:rPr>
        <w:t>REGISTRATION RIGHTS AGREEMENT</w:t>
      </w:r>
    </w:p>
    <w:p>
      <w:pPr>
        <w:spacing w:after="0" w:line="212" w:lineRule="exact"/>
        <w:rPr>
          <w:sz w:val="20"/>
          <w:szCs w:val="20"/>
          <w:color w:val="auto"/>
        </w:rPr>
      </w:pPr>
    </w:p>
    <w:p>
      <w:pPr>
        <w:ind w:right="120" w:firstLine="597"/>
        <w:spacing w:after="0" w:line="258" w:lineRule="auto"/>
        <w:rPr>
          <w:sz w:val="20"/>
          <w:szCs w:val="20"/>
          <w:color w:val="auto"/>
        </w:rPr>
      </w:pPr>
      <w:r>
        <w:rPr>
          <w:rFonts w:ascii="Arial" w:cs="Arial" w:eastAsia="Arial" w:hAnsi="Arial"/>
          <w:sz w:val="20"/>
          <w:szCs w:val="20"/>
          <w:color w:val="auto"/>
        </w:rPr>
        <w:t>This Registration Rights Agreement, dated as of March [•], 2021 (this “</w:t>
      </w:r>
      <w:r>
        <w:rPr>
          <w:rFonts w:ascii="Arial" w:cs="Arial" w:eastAsia="Arial" w:hAnsi="Arial"/>
          <w:sz w:val="20"/>
          <w:szCs w:val="20"/>
          <w:u w:val="single" w:color="auto"/>
          <w:color w:val="auto"/>
        </w:rPr>
        <w:t>Agreement</w:t>
      </w:r>
      <w:r>
        <w:rPr>
          <w:rFonts w:ascii="Arial" w:cs="Arial" w:eastAsia="Arial" w:hAnsi="Arial"/>
          <w:sz w:val="20"/>
          <w:szCs w:val="20"/>
          <w:color w:val="auto"/>
        </w:rPr>
        <w:t>”), is between Leonardo DRS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Leonardo S.p.A., a societá per azioni formed under the laws of Italy (“</w:t>
      </w:r>
      <w:r>
        <w:rPr>
          <w:rFonts w:ascii="Arial" w:cs="Arial" w:eastAsia="Arial" w:hAnsi="Arial"/>
          <w:sz w:val="20"/>
          <w:szCs w:val="20"/>
          <w:u w:val="single" w:color="auto"/>
          <w:color w:val="auto"/>
        </w:rPr>
        <w:t>Leonardo S.p.A.</w:t>
      </w:r>
      <w:r>
        <w:rPr>
          <w:rFonts w:ascii="Arial" w:cs="Arial" w:eastAsia="Arial" w:hAnsi="Arial"/>
          <w:sz w:val="20"/>
          <w:szCs w:val="20"/>
          <w:color w:val="auto"/>
        </w:rPr>
        <w:t>”), and Leonardo US Holding, Inc., a Delaware corporation (“</w:t>
      </w:r>
      <w:r>
        <w:rPr>
          <w:rFonts w:ascii="Arial" w:cs="Arial" w:eastAsia="Arial" w:hAnsi="Arial"/>
          <w:sz w:val="20"/>
          <w:szCs w:val="20"/>
          <w:u w:val="single" w:color="auto"/>
          <w:color w:val="auto"/>
        </w:rPr>
        <w:t>US Holding</w:t>
      </w:r>
      <w:r>
        <w:rPr>
          <w:rFonts w:ascii="Arial" w:cs="Arial" w:eastAsia="Arial" w:hAnsi="Arial"/>
          <w:sz w:val="20"/>
          <w:szCs w:val="20"/>
          <w:color w:val="auto"/>
        </w:rPr>
        <w: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RECITALS:</w:t>
      </w:r>
    </w:p>
    <w:p>
      <w:pPr>
        <w:spacing w:after="0" w:line="206" w:lineRule="exact"/>
        <w:rPr>
          <w:sz w:val="20"/>
          <w:szCs w:val="20"/>
          <w:color w:val="auto"/>
        </w:rPr>
      </w:pPr>
    </w:p>
    <w:p>
      <w:pPr>
        <w:ind w:right="60" w:firstLine="597"/>
        <w:spacing w:after="0" w:line="27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US Holding is the direct owner of all of the issued and outstanding shares of the Company’s common stock, par value</w:t>
      </w:r>
      <w:r>
        <w:rPr>
          <w:rFonts w:ascii="Arial" w:cs="Arial" w:eastAsia="Arial" w:hAnsi="Arial"/>
          <w:sz w:val="20"/>
          <w:szCs w:val="20"/>
          <w:b w:val="1"/>
          <w:bCs w:val="1"/>
          <w:color w:val="auto"/>
        </w:rPr>
        <w:t xml:space="preserve"> </w:t>
      </w:r>
      <w:r>
        <w:rPr>
          <w:rFonts w:ascii="Arial" w:cs="Arial" w:eastAsia="Arial" w:hAnsi="Arial"/>
          <w:sz w:val="20"/>
          <w:szCs w:val="20"/>
          <w:color w:val="auto"/>
        </w:rPr>
        <w:t>$0.01 (the “</w:t>
      </w:r>
      <w:r>
        <w:rPr>
          <w:rFonts w:ascii="Arial" w:cs="Arial" w:eastAsia="Arial" w:hAnsi="Arial"/>
          <w:sz w:val="20"/>
          <w:szCs w:val="20"/>
          <w:u w:val="single" w:color="auto"/>
          <w:color w:val="auto"/>
        </w:rPr>
        <w:t>Common Stock</w:t>
      </w:r>
      <w:r>
        <w:rPr>
          <w:rFonts w:ascii="Arial" w:cs="Arial" w:eastAsia="Arial" w:hAnsi="Arial"/>
          <w:sz w:val="20"/>
          <w:szCs w:val="20"/>
          <w:color w:val="auto"/>
        </w:rPr>
        <w:t>”); and</w:t>
      </w:r>
    </w:p>
    <w:p>
      <w:pPr>
        <w:spacing w:after="0" w:line="141" w:lineRule="exact"/>
        <w:rPr>
          <w:sz w:val="20"/>
          <w:szCs w:val="20"/>
          <w:color w:val="auto"/>
        </w:rPr>
      </w:pPr>
    </w:p>
    <w:p>
      <w:pPr>
        <w:ind w:firstLine="597"/>
        <w:spacing w:after="0" w:line="27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Leonardo S.p.A. is the direct owner of the entire share capital of US Holding and the beneficial owner of all the issued</w:t>
      </w:r>
      <w:r>
        <w:rPr>
          <w:rFonts w:ascii="Arial" w:cs="Arial" w:eastAsia="Arial" w:hAnsi="Arial"/>
          <w:sz w:val="20"/>
          <w:szCs w:val="20"/>
          <w:b w:val="1"/>
          <w:bCs w:val="1"/>
          <w:color w:val="auto"/>
        </w:rPr>
        <w:t xml:space="preserve"> </w:t>
      </w:r>
      <w:r>
        <w:rPr>
          <w:rFonts w:ascii="Arial" w:cs="Arial" w:eastAsia="Arial" w:hAnsi="Arial"/>
          <w:sz w:val="20"/>
          <w:szCs w:val="20"/>
          <w:color w:val="auto"/>
        </w:rPr>
        <w:t>and outstanding Common Stock of the Company immediately prior to the date hereof; and</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US Holding intends to sell Common Stock of the Company in the IPO (as defined below); and</w:t>
      </w:r>
    </w:p>
    <w:p>
      <w:pPr>
        <w:spacing w:after="0" w:line="206" w:lineRule="exact"/>
        <w:rPr>
          <w:sz w:val="20"/>
          <w:szCs w:val="20"/>
          <w:color w:val="auto"/>
        </w:rPr>
      </w:pPr>
    </w:p>
    <w:p>
      <w:pPr>
        <w:ind w:right="180" w:firstLine="597"/>
        <w:spacing w:after="0" w:line="27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following the completion of the IPO, US Holding directly and Leonardo S.p.A., indirectly through US Holding, will</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 to beneficially own a majority of the outstanding shares of Common Stock; and</w:t>
      </w:r>
    </w:p>
    <w:p>
      <w:pPr>
        <w:spacing w:after="0" w:line="141" w:lineRule="exact"/>
        <w:rPr>
          <w:sz w:val="20"/>
          <w:szCs w:val="20"/>
          <w:color w:val="auto"/>
        </w:rPr>
      </w:pPr>
    </w:p>
    <w:p>
      <w:pPr>
        <w:ind w:right="760" w:firstLine="597"/>
        <w:spacing w:after="0" w:line="27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connection with the IPO, the Company has agreed to provide US Holding certain rights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registration and sale of the Common Stock as set forth herein;</w:t>
      </w:r>
    </w:p>
    <w:p>
      <w:pPr>
        <w:spacing w:after="0" w:line="141" w:lineRule="exact"/>
        <w:rPr>
          <w:sz w:val="20"/>
          <w:szCs w:val="20"/>
          <w:color w:val="auto"/>
        </w:rPr>
      </w:pPr>
    </w:p>
    <w:p>
      <w:pPr>
        <w:ind w:right="900" w:firstLine="597"/>
        <w:spacing w:after="0" w:line="30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and covenants set forth herein and for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the receipt and adequacy of which are hereby acknowledged, the parties agree as follows: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ARTICLE I</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DEFINITIONS</w:t>
      </w:r>
    </w:p>
    <w:p>
      <w:pPr>
        <w:spacing w:after="0" w:line="6"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In this Agreement, the following terms shall have the following meanings:</w:t>
      </w:r>
    </w:p>
    <w:p>
      <w:pPr>
        <w:spacing w:after="0" w:line="206" w:lineRule="exact"/>
        <w:rPr>
          <w:sz w:val="20"/>
          <w:szCs w:val="20"/>
          <w:color w:val="auto"/>
        </w:rPr>
      </w:pPr>
    </w:p>
    <w:p>
      <w:pPr>
        <w:ind w:firstLine="597"/>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any other Person directly or indirectly controlling, controlled by or under common control with, such other Person. For purposes of this definition, “control” (including, with correlative meanings, the terms “controlling”, “controlled by” and “under common control with”) when used with respect to any Person, means the possession directly or indirectly, of the power to cause the direction of the management or policies of such Person, whether through the ownership of voting securities, as trustee or executor, by contract or otherwise.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60"/>
          </w:cols>
          <w:pgMar w:left="320" w:top="1321" w:right="419" w:bottom="1440" w:gutter="0" w:footer="0" w:header="0"/>
        </w:sectPr>
      </w:pPr>
    </w:p>
    <w:bookmarkStart w:id="261" w:name="page262"/>
    <w:bookmarkEnd w:id="261"/>
    <w:p>
      <w:pPr>
        <w:ind w:right="200" w:firstLine="5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except a (i) Saturday, (ii) Sunday, and (iii) any other day on which commercial banks in New York, Virginia or in Italy are authorized or obligated by law or executive order to close.</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Outside Counsel</w:t>
      </w:r>
      <w:r>
        <w:rPr>
          <w:rFonts w:ascii="Arial" w:cs="Arial" w:eastAsia="Arial" w:hAnsi="Arial"/>
          <w:sz w:val="20"/>
          <w:szCs w:val="20"/>
          <w:color w:val="auto"/>
        </w:rPr>
        <w:t>” means one counsel selected by the Company to act on its behalf.</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Person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2.10(a)</w:t>
      </w:r>
      <w:r>
        <w:rPr>
          <w:rFonts w:ascii="Arial" w:cs="Arial" w:eastAsia="Arial" w:hAnsi="Arial"/>
          <w:sz w:val="20"/>
          <w:szCs w:val="20"/>
          <w:color w:val="auto"/>
        </w:rPr>
        <w:t>.</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Demand Registration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2.02(a)</w:t>
      </w:r>
      <w:r>
        <w:rPr>
          <w:rFonts w:ascii="Arial" w:cs="Arial" w:eastAsia="Arial" w:hAnsi="Arial"/>
          <w:sz w:val="20"/>
          <w:szCs w:val="20"/>
          <w:color w:val="auto"/>
        </w:rPr>
        <w:t>.</w:t>
      </w:r>
    </w:p>
    <w:p>
      <w:pPr>
        <w:spacing w:after="0" w:line="206" w:lineRule="exact"/>
        <w:rPr>
          <w:sz w:val="20"/>
          <w:szCs w:val="20"/>
          <w:color w:val="auto"/>
        </w:rPr>
      </w:pPr>
    </w:p>
    <w:p>
      <w:pPr>
        <w:ind w:right="420" w:firstLine="5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and the rules and regulations of the SEC promulgated thereunder.</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FINRA</w:t>
      </w:r>
      <w:r>
        <w:rPr>
          <w:rFonts w:ascii="Arial" w:cs="Arial" w:eastAsia="Arial" w:hAnsi="Arial"/>
          <w:sz w:val="20"/>
          <w:szCs w:val="20"/>
          <w:color w:val="auto"/>
        </w:rPr>
        <w:t>” means the Financial Industry Regulatory Authority.</w:t>
      </w:r>
    </w:p>
    <w:p>
      <w:pPr>
        <w:spacing w:after="0" w:line="206" w:lineRule="exact"/>
        <w:rPr>
          <w:sz w:val="20"/>
          <w:szCs w:val="20"/>
          <w:color w:val="auto"/>
        </w:rPr>
      </w:pPr>
    </w:p>
    <w:p>
      <w:pPr>
        <w:ind w:right="80" w:firstLine="597"/>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means any of (i) Leonardo S.p.A., (ii) US Holding, (iii) any other member of the Leonardo Affiliated Group that is a direct or indirect owner of Registrable Securities and that has entered into a Joinder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w:t>
      </w:r>
    </w:p>
    <w:p>
      <w:pPr>
        <w:spacing w:after="0" w:line="1" w:lineRule="exact"/>
        <w:rPr>
          <w:sz w:val="20"/>
          <w:szCs w:val="20"/>
          <w:color w:val="auto"/>
        </w:rPr>
      </w:pPr>
    </w:p>
    <w:p>
      <w:pPr>
        <w:ind w:right="80"/>
        <w:spacing w:after="0" w:line="280" w:lineRule="auto"/>
        <w:tabs>
          <w:tab w:leader="none" w:pos="33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any other transferee of Registrable Securities constituting not less than 5% of the outstanding shares of Common Stock of the Company and that has entered into a Joinder Agreement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at the time of the transfer.</w:t>
      </w:r>
    </w:p>
    <w:p>
      <w:pPr>
        <w:spacing w:after="0" w:line="146" w:lineRule="exact"/>
        <w:rPr>
          <w:sz w:val="20"/>
          <w:szCs w:val="20"/>
          <w:color w:val="auto"/>
        </w:rPr>
      </w:pPr>
    </w:p>
    <w:p>
      <w:pPr>
        <w:ind w:right="120" w:firstLine="597"/>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Holders’ Counsel</w:t>
      </w:r>
      <w:r>
        <w:rPr>
          <w:rFonts w:ascii="Arial" w:cs="Arial" w:eastAsia="Arial" w:hAnsi="Arial"/>
          <w:sz w:val="20"/>
          <w:szCs w:val="20"/>
          <w:color w:val="auto"/>
        </w:rPr>
        <w:t>” means, if any member of the Leonardo Affiliated Group is participating in an offering of Registrable Securities, one counsel selected by the Leonardo Affiliated Group members participating in the offering, or otherwise, one counsel selected by the Holders selling a majority of the Registrable Securities included in such offering.</w:t>
      </w:r>
    </w:p>
    <w:p>
      <w:pPr>
        <w:spacing w:after="0" w:line="167" w:lineRule="exact"/>
        <w:rPr>
          <w:sz w:val="20"/>
          <w:szCs w:val="20"/>
          <w:color w:val="auto"/>
        </w:rPr>
      </w:pPr>
    </w:p>
    <w:p>
      <w:pPr>
        <w:ind w:right="380" w:firstLine="5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IPO</w:t>
      </w:r>
      <w:r>
        <w:rPr>
          <w:rFonts w:ascii="Arial" w:cs="Arial" w:eastAsia="Arial" w:hAnsi="Arial"/>
          <w:sz w:val="20"/>
          <w:szCs w:val="20"/>
          <w:color w:val="auto"/>
        </w:rPr>
        <w:t>” means the initial underwritten public offering of Common Stock pursuant to an effective Registration Statement under the Securities Act.</w:t>
      </w:r>
    </w:p>
    <w:p>
      <w:pPr>
        <w:spacing w:after="0" w:line="153" w:lineRule="exact"/>
        <w:rPr>
          <w:sz w:val="20"/>
          <w:szCs w:val="20"/>
          <w:color w:val="auto"/>
        </w:rPr>
      </w:pPr>
    </w:p>
    <w:p>
      <w:pPr>
        <w:ind w:right="540" w:firstLine="5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Leonardo Affiliated Group</w:t>
      </w:r>
      <w:r>
        <w:rPr>
          <w:rFonts w:ascii="Arial" w:cs="Arial" w:eastAsia="Arial" w:hAnsi="Arial"/>
          <w:sz w:val="20"/>
          <w:szCs w:val="20"/>
          <w:color w:val="auto"/>
        </w:rPr>
        <w:t>” means Leonardo S.p.A. and its Affiliates (including, for the avoidance of doubt, US Holding, but excluding the Company and its subsidiaries).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w:t>
      </w:r>
      <w:r>
        <w:rPr>
          <w:rFonts w:ascii="Arial" w:cs="Arial" w:eastAsia="Arial" w:hAnsi="Arial"/>
          <w:sz w:val="20"/>
          <w:szCs w:val="20"/>
          <w:color w:val="auto"/>
        </w:rPr>
        <w:t>” or “</w:t>
      </w:r>
      <w:r>
        <w:rPr>
          <w:rFonts w:ascii="Arial" w:cs="Arial" w:eastAsia="Arial" w:hAnsi="Arial"/>
          <w:sz w:val="20"/>
          <w:szCs w:val="20"/>
          <w:u w:val="single" w:color="auto"/>
          <w:color w:val="auto"/>
        </w:rPr>
        <w:t>Losses</w:t>
      </w:r>
      <w:r>
        <w:rPr>
          <w:rFonts w:ascii="Arial" w:cs="Arial" w:eastAsia="Arial" w:hAnsi="Arial"/>
          <w:sz w:val="20"/>
          <w:szCs w:val="20"/>
          <w:color w:val="auto"/>
        </w:rPr>
        <w:t xml:space="preserve">” each has the meaning set forth in </w:t>
      </w:r>
      <w:r>
        <w:rPr>
          <w:rFonts w:ascii="Arial" w:cs="Arial" w:eastAsia="Arial" w:hAnsi="Arial"/>
          <w:sz w:val="20"/>
          <w:szCs w:val="20"/>
          <w:u w:val="single" w:color="auto"/>
          <w:color w:val="auto"/>
        </w:rPr>
        <w:t>Section 2.10(a)</w:t>
      </w:r>
      <w:r>
        <w:rPr>
          <w:rFonts w:ascii="Arial" w:cs="Arial" w:eastAsia="Arial" w:hAnsi="Arial"/>
          <w:sz w:val="20"/>
          <w:szCs w:val="20"/>
          <w:color w:val="auto"/>
        </w:rPr>
        <w:t>.</w:t>
      </w:r>
    </w:p>
    <w:p>
      <w:pPr>
        <w:spacing w:after="0" w:line="206" w:lineRule="exact"/>
        <w:rPr>
          <w:sz w:val="20"/>
          <w:szCs w:val="20"/>
          <w:color w:val="auto"/>
        </w:rPr>
      </w:pPr>
    </w:p>
    <w:p>
      <w:pPr>
        <w:ind w:right="120" w:firstLine="597"/>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Disclosure Event</w:t>
      </w:r>
      <w:r>
        <w:rPr>
          <w:rFonts w:ascii="Arial" w:cs="Arial" w:eastAsia="Arial" w:hAnsi="Arial"/>
          <w:sz w:val="18"/>
          <w:szCs w:val="18"/>
          <w:color w:val="auto"/>
        </w:rPr>
        <w:t>” means, as of any date of determination, any pending or imminent event relating to the Company or any of its subsidiaries that the Board of Directors reasonably determines in good faith, after consultation with Company Outside Counsel,</w:t>
      </w:r>
    </w:p>
    <w:p>
      <w:pPr>
        <w:spacing w:after="0" w:line="1" w:lineRule="exact"/>
        <w:rPr>
          <w:sz w:val="20"/>
          <w:szCs w:val="20"/>
          <w:color w:val="auto"/>
        </w:rPr>
      </w:pPr>
    </w:p>
    <w:p>
      <w:pPr>
        <w:spacing w:after="0" w:line="250" w:lineRule="auto"/>
        <w:tabs>
          <w:tab w:leader="none" w:pos="238" w:val="left"/>
        </w:tabs>
        <w:numPr>
          <w:ilvl w:val="0"/>
          <w:numId w:val="156"/>
        </w:numPr>
        <w:rPr>
          <w:rFonts w:ascii="Arial" w:cs="Arial" w:eastAsia="Arial" w:hAnsi="Arial"/>
          <w:sz w:val="20"/>
          <w:szCs w:val="20"/>
          <w:color w:val="auto"/>
        </w:rPr>
      </w:pPr>
      <w:r>
        <w:rPr>
          <w:rFonts w:ascii="Arial" w:cs="Arial" w:eastAsia="Arial" w:hAnsi="Arial"/>
          <w:sz w:val="20"/>
          <w:szCs w:val="20"/>
          <w:color w:val="auto"/>
        </w:rPr>
        <w:t>would require disclosure of material, non-public information relating to such event in any Registration Statement under which Registrable Securities may be offered and sold (including documents incorporated by reference therein) in order that such Registration Statement would not be materially misleading and (ii) would not otherwise be required to be publicly disclosed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27" w:right="339" w:bottom="1440" w:gutter="0" w:footer="0" w:header="0"/>
        </w:sectPr>
      </w:pPr>
    </w:p>
    <w:bookmarkStart w:id="262" w:name="page263"/>
    <w:bookmarkEnd w:id="262"/>
    <w:p>
      <w:pPr>
        <w:ind w:right="480"/>
        <w:spacing w:after="0" w:line="271" w:lineRule="auto"/>
        <w:rPr>
          <w:sz w:val="20"/>
          <w:szCs w:val="20"/>
          <w:color w:val="auto"/>
        </w:rPr>
      </w:pPr>
      <w:r>
        <w:rPr>
          <w:rFonts w:ascii="Arial" w:cs="Arial" w:eastAsia="Arial" w:hAnsi="Arial"/>
          <w:sz w:val="20"/>
          <w:szCs w:val="20"/>
          <w:color w:val="auto"/>
        </w:rPr>
        <w:t>the Company at that time in a periodic report to be filed with or furnished to the SEC under the Exchange Act but for the filing of such Registration Statement.</w:t>
      </w:r>
    </w:p>
    <w:p>
      <w:pPr>
        <w:spacing w:after="0" w:line="153" w:lineRule="exact"/>
        <w:rPr>
          <w:sz w:val="20"/>
          <w:szCs w:val="20"/>
          <w:color w:val="auto"/>
        </w:rPr>
      </w:pPr>
    </w:p>
    <w:p>
      <w:pPr>
        <w:ind w:right="380" w:firstLine="597"/>
        <w:spacing w:after="0" w:line="30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Amount</w:t>
      </w:r>
      <w:r>
        <w:rPr>
          <w:rFonts w:ascii="Arial" w:cs="Arial" w:eastAsia="Arial" w:hAnsi="Arial"/>
          <w:sz w:val="18"/>
          <w:szCs w:val="18"/>
          <w:color w:val="auto"/>
        </w:rPr>
        <w:t>” means at least $75,000,000 unless, at any time, the total number of all remaining shares of Registrable Securities would, if fully sold, yield, to a Holder exercising rights hereunder, gross proceeds of less than such amount, in which case the “Minimum Amount” shall mean the gross proceeds to be realized upon the sale of all such remaining Registrable Securities.</w:t>
      </w:r>
    </w:p>
    <w:p>
      <w:pPr>
        <w:spacing w:after="0" w:line="130" w:lineRule="exact"/>
        <w:rPr>
          <w:sz w:val="20"/>
          <w:szCs w:val="20"/>
          <w:color w:val="auto"/>
        </w:rPr>
      </w:pPr>
    </w:p>
    <w:p>
      <w:pPr>
        <w:ind w:right="40" w:firstLine="597"/>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partnership, joint venture, limited liability company, association or other business entity and any trust, unincorporated organization or government or any department, agency or political subdivision thereof.</w:t>
      </w:r>
    </w:p>
    <w:p>
      <w:pPr>
        <w:spacing w:after="0" w:line="129" w:lineRule="exact"/>
        <w:rPr>
          <w:sz w:val="20"/>
          <w:szCs w:val="20"/>
          <w:color w:val="auto"/>
        </w:rPr>
      </w:pPr>
    </w:p>
    <w:p>
      <w:pPr>
        <w:ind w:right="740" w:firstLine="5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Piggyback Registration</w:t>
      </w:r>
      <w:r>
        <w:rPr>
          <w:rFonts w:ascii="Arial" w:cs="Arial" w:eastAsia="Arial" w:hAnsi="Arial"/>
          <w:sz w:val="20"/>
          <w:szCs w:val="20"/>
          <w:color w:val="auto"/>
        </w:rPr>
        <w:t xml:space="preserve">” means any registration of Registrable Securities under the Securities Act requested by a Holder in accordance with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53" w:lineRule="exact"/>
        <w:rPr>
          <w:sz w:val="20"/>
          <w:szCs w:val="20"/>
          <w:color w:val="auto"/>
        </w:rPr>
      </w:pPr>
    </w:p>
    <w:p>
      <w:pPr>
        <w:ind w:right="20" w:firstLine="59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Proxy Agreement</w:t>
      </w:r>
      <w:r>
        <w:rPr>
          <w:rFonts w:ascii="Arial" w:cs="Arial" w:eastAsia="Arial" w:hAnsi="Arial"/>
          <w:sz w:val="17"/>
          <w:szCs w:val="17"/>
          <w:color w:val="auto"/>
        </w:rPr>
        <w:t>” means the Proxy Agreement, dated as of October 26, 2017, by and among the Company, David W. Carey, Peter A. Marino, Kenneth J. Krieg, Philip A. Odeen, Frances F. Townsend, and their successors appointed as provided therein, US Holding, Leonardo S.p.A. and the U.S. Department of Defense, as amended, restated, modified or supplemented from time to time in accordance with</w:t>
      </w:r>
    </w:p>
    <w:p>
      <w:pPr>
        <w:spacing w:after="0" w:line="2" w:lineRule="exact"/>
        <w:rPr>
          <w:sz w:val="20"/>
          <w:szCs w:val="20"/>
          <w:color w:val="auto"/>
        </w:rPr>
      </w:pPr>
    </w:p>
    <w:p>
      <w:pPr>
        <w:ind w:right="580"/>
        <w:spacing w:after="0" w:line="254" w:lineRule="auto"/>
        <w:rPr>
          <w:sz w:val="20"/>
          <w:szCs w:val="20"/>
          <w:color w:val="auto"/>
        </w:rPr>
      </w:pPr>
      <w:r>
        <w:rPr>
          <w:rFonts w:ascii="Arial" w:cs="Arial" w:eastAsia="Arial" w:hAnsi="Arial"/>
          <w:sz w:val="20"/>
          <w:szCs w:val="20"/>
          <w:color w:val="auto"/>
        </w:rPr>
        <w:t>the terms thereof including pursuant to the Commitment Letter, dated as of , 2021 by and among the Company, US Holding, Leonardo S.p.A. and the U.S. Department of Defense.</w:t>
      </w:r>
    </w:p>
    <w:p>
      <w:pPr>
        <w:spacing w:after="0" w:line="169" w:lineRule="exact"/>
        <w:rPr>
          <w:sz w:val="20"/>
          <w:szCs w:val="20"/>
          <w:color w:val="auto"/>
        </w:rPr>
      </w:pPr>
    </w:p>
    <w:p>
      <w:pPr>
        <w:ind w:firstLine="597"/>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w:t>
      </w:r>
      <w:r>
        <w:rPr>
          <w:rFonts w:ascii="Arial" w:cs="Arial" w:eastAsia="Arial" w:hAnsi="Arial"/>
          <w:sz w:val="20"/>
          <w:szCs w:val="20"/>
          <w:u w:val="single" w:color="auto"/>
          <w:color w:val="auto"/>
        </w:rPr>
        <w:t>registered</w:t>
      </w:r>
      <w:r>
        <w:rPr>
          <w:rFonts w:ascii="Arial" w:cs="Arial" w:eastAsia="Arial" w:hAnsi="Arial"/>
          <w:sz w:val="20"/>
          <w:szCs w:val="20"/>
          <w:color w:val="auto"/>
        </w:rPr>
        <w:t>” and “</w:t>
      </w:r>
      <w:r>
        <w:rPr>
          <w:rFonts w:ascii="Arial" w:cs="Arial" w:eastAsia="Arial" w:hAnsi="Arial"/>
          <w:sz w:val="20"/>
          <w:szCs w:val="20"/>
          <w:u w:val="single" w:color="auto"/>
          <w:color w:val="auto"/>
        </w:rPr>
        <w:t>registration</w:t>
      </w:r>
      <w:r>
        <w:rPr>
          <w:rFonts w:ascii="Arial" w:cs="Arial" w:eastAsia="Arial" w:hAnsi="Arial"/>
          <w:sz w:val="20"/>
          <w:szCs w:val="20"/>
          <w:color w:val="auto"/>
        </w:rPr>
        <w:t>” refers to a registration made effective by preparing and filing a Registration Statement with the SEC in compliance with the Securities Act, and the declaration or ordering of the effectiveness of such Registration Statement, and compliance with applicable state securities laws of such states in which Holders notify the Company of their intention to offer Registrable Securities.</w:t>
      </w:r>
    </w:p>
    <w:p>
      <w:pPr>
        <w:spacing w:after="0" w:line="171" w:lineRule="exact"/>
        <w:rPr>
          <w:sz w:val="20"/>
          <w:szCs w:val="20"/>
          <w:color w:val="auto"/>
        </w:rPr>
      </w:pPr>
    </w:p>
    <w:p>
      <w:pPr>
        <w:ind w:right="80" w:firstLine="597"/>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xml:space="preserve">” means (i) all shares of Common Stock held by a Holder and (ii) any equity securities issued or issuable, directly or indirectly, with respect to any such securities referred to in (i) above by way of conversion or exchange thereof or stock dividend or stock split or in connection with a combination of shares, recapitalization, reclassification, merger, amalgamation, arrangement, consolidation or other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securities constituting Registrable Securities will cease to be Registrable Securities when (a) such securities are sold in a private transaction in which the transferor’s rights under this Agreement are not assigned to the transferee of the securities, (b) such securities are sold pursuant to an effective Registration Statement, (c) such securities are sold pursuant to Rule 144 or (d) such securities shall have ceased to be outstanding.</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Registration Expenses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2.07</w:t>
      </w:r>
      <w:r>
        <w:rPr>
          <w:rFonts w:ascii="Arial" w:cs="Arial" w:eastAsia="Arial" w:hAnsi="Arial"/>
          <w:sz w:val="20"/>
          <w:szCs w:val="20"/>
          <w:color w:val="auto"/>
        </w:rPr>
        <w:t>.</w:t>
      </w:r>
    </w:p>
    <w:p>
      <w:pPr>
        <w:spacing w:after="0" w:line="206" w:lineRule="exact"/>
        <w:rPr>
          <w:sz w:val="20"/>
          <w:szCs w:val="20"/>
          <w:color w:val="auto"/>
        </w:rPr>
      </w:pPr>
    </w:p>
    <w:p>
      <w:pPr>
        <w:ind w:right="180" w:firstLine="597"/>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means any registration statement of the Company under the Securities Act which covers or is proposed to cover the public offering of any of the Registrable Securities (whether alone or together with other securities that are not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327" w:right="359" w:bottom="1440" w:gutter="0" w:footer="0" w:header="0"/>
        </w:sectPr>
      </w:pPr>
    </w:p>
    <w:bookmarkStart w:id="263" w:name="page264"/>
    <w:bookmarkEnd w:id="263"/>
    <w:p>
      <w:pPr>
        <w:ind w:right="100"/>
        <w:spacing w:after="0" w:line="301" w:lineRule="auto"/>
        <w:rPr>
          <w:sz w:val="20"/>
          <w:szCs w:val="20"/>
          <w:color w:val="auto"/>
        </w:rPr>
      </w:pPr>
      <w:r>
        <w:rPr>
          <w:rFonts w:ascii="Arial" w:cs="Arial" w:eastAsia="Arial" w:hAnsi="Arial"/>
          <w:sz w:val="18"/>
          <w:szCs w:val="18"/>
          <w:color w:val="auto"/>
        </w:rPr>
        <w:t>pursuant to the provisions of this Agreement, including the prospectus, amendments and supplements to such registration statement, including post-effective amendments, all exhibits, all material incorporated by reference or deemed to be incorporated by reference in such registration statements and all other documents filed with the SEC to effect a registration under the Securities Act.</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 144</w:t>
      </w:r>
      <w:r>
        <w:rPr>
          <w:rFonts w:ascii="Arial" w:cs="Arial" w:eastAsia="Arial" w:hAnsi="Arial"/>
          <w:sz w:val="20"/>
          <w:szCs w:val="20"/>
          <w:color w:val="auto"/>
        </w:rPr>
        <w:t>” means Rule 144 promulgated by the SEC under the Securities Act.</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 144A</w:t>
      </w:r>
      <w:r>
        <w:rPr>
          <w:rFonts w:ascii="Arial" w:cs="Arial" w:eastAsia="Arial" w:hAnsi="Arial"/>
          <w:sz w:val="20"/>
          <w:szCs w:val="20"/>
          <w:color w:val="auto"/>
        </w:rPr>
        <w:t>” means Rule 144A promulgated by the SEC under the Securities Act.</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 405</w:t>
      </w:r>
      <w:r>
        <w:rPr>
          <w:rFonts w:ascii="Arial" w:cs="Arial" w:eastAsia="Arial" w:hAnsi="Arial"/>
          <w:sz w:val="20"/>
          <w:szCs w:val="20"/>
          <w:color w:val="auto"/>
        </w:rPr>
        <w:t>” means Rule 405 promulgated by the SEC under the Securities Act.</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 415</w:t>
      </w:r>
      <w:r>
        <w:rPr>
          <w:rFonts w:ascii="Arial" w:cs="Arial" w:eastAsia="Arial" w:hAnsi="Arial"/>
          <w:sz w:val="20"/>
          <w:szCs w:val="20"/>
          <w:color w:val="auto"/>
        </w:rPr>
        <w:t>” means Rule 415 promulgated by the SEC under the Securities Act.</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9" w:lineRule="exact"/>
        <w:rPr>
          <w:sz w:val="20"/>
          <w:szCs w:val="20"/>
          <w:color w:val="auto"/>
        </w:rPr>
      </w:pPr>
    </w:p>
    <w:p>
      <w:pPr>
        <w:ind w:right="260" w:firstLine="5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Selling Expenses</w:t>
      </w:r>
      <w:r>
        <w:rPr>
          <w:rFonts w:ascii="Arial" w:cs="Arial" w:eastAsia="Arial" w:hAnsi="Arial"/>
          <w:sz w:val="20"/>
          <w:szCs w:val="20"/>
          <w:color w:val="auto"/>
        </w:rPr>
        <w:t>” means all underwriting discounts, selling commissions and transfer taxes applicable to the sale of Registrable Securities hereunder.</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Selling Holder</w:t>
      </w:r>
      <w:r>
        <w:rPr>
          <w:rFonts w:ascii="Arial" w:cs="Arial" w:eastAsia="Arial" w:hAnsi="Arial"/>
          <w:sz w:val="19"/>
          <w:szCs w:val="19"/>
          <w:color w:val="auto"/>
        </w:rPr>
        <w:t>” means a Holder that holds Registrable Securities registered (or to be registered) on a Registration Statement.</w:t>
      </w:r>
    </w:p>
    <w:p>
      <w:pPr>
        <w:spacing w:after="0" w:line="217" w:lineRule="exact"/>
        <w:rPr>
          <w:sz w:val="20"/>
          <w:szCs w:val="20"/>
          <w:color w:val="auto"/>
        </w:rPr>
      </w:pPr>
    </w:p>
    <w:p>
      <w:pPr>
        <w:ind w:firstLine="597"/>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Selling Holder Information</w:t>
      </w:r>
      <w:r>
        <w:rPr>
          <w:rFonts w:ascii="Arial" w:cs="Arial" w:eastAsia="Arial" w:hAnsi="Arial"/>
          <w:sz w:val="20"/>
          <w:szCs w:val="20"/>
          <w:color w:val="auto"/>
        </w:rPr>
        <w:t>” means information furnished to the Company in writing by a Selling Holder expressly for use in any Registration Statement, which information is limited to the name of such Selling Holder, the number of offered shares of common stock and the address and other information with respect to such Selling Holder included in the “Principal and Selling Stockholders” (or similarly titled) section of the Registration Statement.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means a Registration Statement that contemplates offers and sales of securities pursuant to Rule 415.</w:t>
      </w:r>
    </w:p>
    <w:p>
      <w:pPr>
        <w:spacing w:after="0" w:line="240" w:lineRule="exact"/>
        <w:rPr>
          <w:sz w:val="20"/>
          <w:szCs w:val="20"/>
          <w:color w:val="auto"/>
        </w:rPr>
      </w:pPr>
    </w:p>
    <w:p>
      <w:pPr>
        <w:ind w:right="40" w:firstLine="597"/>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Short-Form Registration Statement</w:t>
      </w:r>
      <w:r>
        <w:rPr>
          <w:rFonts w:ascii="Arial" w:cs="Arial" w:eastAsia="Arial" w:hAnsi="Arial"/>
          <w:sz w:val="20"/>
          <w:szCs w:val="20"/>
          <w:color w:val="auto"/>
        </w:rPr>
        <w:t>” means Form S-3 or any successor or similar form of Registration Statement pursuant to which the Company may incorporate by reference its filings under the Exchange Act made after the date of effectiveness of such Registration Statement.</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Suspension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2.09</w:t>
      </w:r>
      <w:r>
        <w:rPr>
          <w:rFonts w:ascii="Arial" w:cs="Arial" w:eastAsia="Arial" w:hAnsi="Arial"/>
          <w:sz w:val="20"/>
          <w:szCs w:val="20"/>
          <w:color w:val="auto"/>
        </w:rPr>
        <w:t>.</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Take-Down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2.01(e)</w:t>
      </w:r>
      <w:r>
        <w:rPr>
          <w:rFonts w:ascii="Arial" w:cs="Arial" w:eastAsia="Arial" w:hAnsi="Arial"/>
          <w:sz w:val="20"/>
          <w:szCs w:val="20"/>
          <w:color w:val="auto"/>
        </w:rPr>
        <w:t>.</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Market</w:t>
      </w:r>
      <w:r>
        <w:rPr>
          <w:rFonts w:ascii="Arial" w:cs="Arial" w:eastAsia="Arial" w:hAnsi="Arial"/>
          <w:sz w:val="20"/>
          <w:szCs w:val="20"/>
          <w:color w:val="auto"/>
        </w:rPr>
        <w:t>” means the principal national securities exchange on which Registrable Securities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60"/>
          </w:cols>
          <w:pgMar w:left="320" w:top="1327" w:right="419" w:bottom="1440" w:gutter="0" w:footer="0" w:header="0"/>
        </w:sectPr>
      </w:pPr>
    </w:p>
    <w:bookmarkStart w:id="264" w:name="page265"/>
    <w:bookmarkEnd w:id="264"/>
    <w:p>
      <w:pPr>
        <w:ind w:right="720" w:firstLine="5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Underwritten Offering</w:t>
      </w:r>
      <w:r>
        <w:rPr>
          <w:rFonts w:ascii="Arial" w:cs="Arial" w:eastAsia="Arial" w:hAnsi="Arial"/>
          <w:sz w:val="20"/>
          <w:szCs w:val="20"/>
          <w:color w:val="auto"/>
        </w:rPr>
        <w:t>” means a discrete registered offering of securities under the Securities Act in which securities of the Company are sold by one or more underwriters pursuant to the terms of an underwriting agreement.</w:t>
      </w:r>
    </w:p>
    <w:p>
      <w:pPr>
        <w:spacing w:after="0" w:line="153" w:lineRule="exact"/>
        <w:rPr>
          <w:sz w:val="20"/>
          <w:szCs w:val="20"/>
          <w:color w:val="auto"/>
        </w:rPr>
      </w:pPr>
    </w:p>
    <w:p>
      <w:pPr>
        <w:ind w:right="120" w:firstLine="5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VWAP</w:t>
      </w:r>
      <w:r>
        <w:rPr>
          <w:rFonts w:ascii="Arial" w:cs="Arial" w:eastAsia="Arial" w:hAnsi="Arial"/>
          <w:sz w:val="20"/>
          <w:szCs w:val="20"/>
          <w:color w:val="auto"/>
        </w:rPr>
        <w:t>” means, as of a specified date and in respect of Registrable Securities, the volume weighted average price for such security on the Trading Market for the five trading days immediately preceding, but excluding, such date.</w:t>
      </w:r>
    </w:p>
    <w:p>
      <w:pPr>
        <w:spacing w:after="0" w:line="153"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06" w:lineRule="exact"/>
        <w:rPr>
          <w:sz w:val="20"/>
          <w:szCs w:val="20"/>
          <w:color w:val="auto"/>
        </w:rPr>
      </w:pPr>
    </w:p>
    <w:p>
      <w:pPr>
        <w:ind w:right="40" w:firstLine="1194"/>
        <w:spacing w:after="0" w:line="298" w:lineRule="auto"/>
        <w:tabs>
          <w:tab w:leader="none" w:pos="1611"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words “hereto,” “hereunder,” “herein,” “hereof” and words of similar import, when used in this Agreement, refer to this Agreement as a whole and not to any particular provision of this Agreement, unless expressly stated otherwise herein.</w:t>
      </w:r>
    </w:p>
    <w:p>
      <w:pPr>
        <w:spacing w:after="0" w:line="129" w:lineRule="exact"/>
        <w:rPr>
          <w:rFonts w:ascii="Arial" w:cs="Arial" w:eastAsia="Arial" w:hAnsi="Arial"/>
          <w:sz w:val="19"/>
          <w:szCs w:val="19"/>
          <w:color w:val="auto"/>
        </w:rPr>
      </w:pPr>
    </w:p>
    <w:p>
      <w:pPr>
        <w:ind w:right="40" w:firstLine="1194"/>
        <w:spacing w:after="0" w:line="271" w:lineRule="auto"/>
        <w:tabs>
          <w:tab w:leader="none" w:pos="162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Whenever the words “include,” “includes” or “including” are used in this Agreement, they shall be deemed followed by the words “without limitation.”</w:t>
      </w:r>
    </w:p>
    <w:p>
      <w:pPr>
        <w:spacing w:after="0" w:line="152" w:lineRule="exact"/>
        <w:rPr>
          <w:rFonts w:ascii="Arial" w:cs="Arial" w:eastAsia="Arial" w:hAnsi="Arial"/>
          <w:sz w:val="20"/>
          <w:szCs w:val="20"/>
          <w:color w:val="auto"/>
        </w:rPr>
      </w:pPr>
    </w:p>
    <w:p>
      <w:pPr>
        <w:ind w:left="1620" w:hanging="426"/>
        <w:spacing w:after="0"/>
        <w:tabs>
          <w:tab w:leader="none" w:pos="1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definitions contained in this Agreement are applicable to the singular as well as the plural forms of such terms.</w:t>
      </w:r>
    </w:p>
    <w:p>
      <w:pPr>
        <w:spacing w:after="0" w:line="228" w:lineRule="exact"/>
        <w:rPr>
          <w:rFonts w:ascii="Arial" w:cs="Arial" w:eastAsia="Arial" w:hAnsi="Arial"/>
          <w:sz w:val="18"/>
          <w:szCs w:val="18"/>
          <w:color w:val="auto"/>
        </w:rPr>
      </w:pPr>
    </w:p>
    <w:p>
      <w:pPr>
        <w:ind w:right="200" w:firstLine="1194"/>
        <w:spacing w:after="0" w:line="271" w:lineRule="auto"/>
        <w:tabs>
          <w:tab w:leader="none" w:pos="162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“Writing,” “written” and comparable terms refer to printing, typing, and other means of reproducing words (including electronic media) in a visible form.</w:t>
      </w:r>
    </w:p>
    <w:p>
      <w:pPr>
        <w:spacing w:after="0" w:line="152" w:lineRule="exact"/>
        <w:rPr>
          <w:rFonts w:ascii="Arial" w:cs="Arial" w:eastAsia="Arial" w:hAnsi="Arial"/>
          <w:sz w:val="20"/>
          <w:szCs w:val="20"/>
          <w:color w:val="auto"/>
        </w:rPr>
      </w:pPr>
    </w:p>
    <w:p>
      <w:pPr>
        <w:ind w:left="1600" w:hanging="406"/>
        <w:spacing w:after="0"/>
        <w:tabs>
          <w:tab w:leader="none" w:pos="16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All references to “$” or “dollars” mean the lawful currency of the United States of America.</w:t>
      </w:r>
    </w:p>
    <w:p>
      <w:pPr>
        <w:spacing w:after="0" w:line="205" w:lineRule="exact"/>
        <w:rPr>
          <w:rFonts w:ascii="Arial" w:cs="Arial" w:eastAsia="Arial" w:hAnsi="Arial"/>
          <w:sz w:val="20"/>
          <w:szCs w:val="20"/>
          <w:color w:val="auto"/>
        </w:rPr>
      </w:pPr>
    </w:p>
    <w:p>
      <w:pPr>
        <w:ind w:right="260" w:firstLine="1194"/>
        <w:spacing w:after="0" w:line="271" w:lineRule="auto"/>
        <w:tabs>
          <w:tab w:leader="none" w:pos="158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table of contents and headings contained in this Agreement are for reference purposes only and shall not affect in any way the meaning or interpretation of this Agreement.</w:t>
      </w:r>
    </w:p>
    <w:p>
      <w:pPr>
        <w:spacing w:after="0" w:line="152" w:lineRule="exact"/>
        <w:rPr>
          <w:rFonts w:ascii="Arial" w:cs="Arial" w:eastAsia="Arial" w:hAnsi="Arial"/>
          <w:sz w:val="20"/>
          <w:szCs w:val="20"/>
          <w:color w:val="auto"/>
        </w:rPr>
      </w:pPr>
    </w:p>
    <w:p>
      <w:pPr>
        <w:ind w:right="120" w:firstLine="1194"/>
        <w:spacing w:after="0" w:line="258" w:lineRule="auto"/>
        <w:tabs>
          <w:tab w:leader="none" w:pos="162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successor to such statute, rule or regulation.</w:t>
      </w:r>
    </w:p>
    <w:p>
      <w:pPr>
        <w:spacing w:after="0" w:line="166" w:lineRule="exact"/>
        <w:rPr>
          <w:rFonts w:ascii="Arial" w:cs="Arial" w:eastAsia="Arial" w:hAnsi="Arial"/>
          <w:sz w:val="20"/>
          <w:szCs w:val="20"/>
          <w:color w:val="auto"/>
        </w:rPr>
      </w:pPr>
    </w:p>
    <w:p>
      <w:pPr>
        <w:ind w:right="180" w:firstLine="1194"/>
        <w:spacing w:after="0" w:line="271" w:lineRule="auto"/>
        <w:tabs>
          <w:tab w:leader="none" w:pos="162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Except as expressly stated in this Agreement, all references to agencies, self-regulatory organizations or governmental entities in this Agreement shall be deemed to be references to the comparable successor thereto.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REGISTRATION RIGHTS</w:t>
      </w:r>
    </w:p>
    <w:p>
      <w:pPr>
        <w:spacing w:after="0" w:line="6"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90" w:lineRule="exact"/>
        <w:rPr>
          <w:sz w:val="20"/>
          <w:szCs w:val="20"/>
          <w:color w:val="auto"/>
        </w:rPr>
      </w:pPr>
    </w:p>
    <w:p>
      <w:pPr>
        <w:jc w:val="both"/>
        <w:ind w:firstLine="1194"/>
        <w:spacing w:after="0" w:line="258" w:lineRule="auto"/>
        <w:tabs>
          <w:tab w:leader="none" w:pos="1614"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Filing</w:t>
      </w:r>
      <w:r>
        <w:rPr>
          <w:rFonts w:ascii="Arial" w:cs="Arial" w:eastAsia="Arial" w:hAnsi="Arial"/>
          <w:sz w:val="20"/>
          <w:szCs w:val="20"/>
          <w:color w:val="auto"/>
        </w:rPr>
        <w:t>. At any time after the date that is one year following the date hereof (or, if sooner, the date on which the Company first becomes eligible to use a Short-Form Registration Statement), upon the written request of any Holder, the Company shall promptly (but no later than 45 days after the receipt of such request) file with the SEC a Shelf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20" w:top="1327" w:right="359" w:bottom="1440" w:gutter="0" w:footer="0" w:header="0"/>
        </w:sectPr>
      </w:pPr>
    </w:p>
    <w:bookmarkStart w:id="265" w:name="page266"/>
    <w:bookmarkEnd w:id="265"/>
    <w:p>
      <w:pPr>
        <w:ind w:right="100"/>
        <w:spacing w:after="0" w:line="251" w:lineRule="auto"/>
        <w:rPr>
          <w:sz w:val="20"/>
          <w:szCs w:val="20"/>
          <w:color w:val="auto"/>
        </w:rPr>
      </w:pPr>
      <w:r>
        <w:rPr>
          <w:rFonts w:ascii="Arial" w:cs="Arial" w:eastAsia="Arial" w:hAnsi="Arial"/>
          <w:sz w:val="20"/>
          <w:szCs w:val="20"/>
          <w:color w:val="auto"/>
        </w:rPr>
        <w:t>Statement (which, if permitted, shall be an “automatic shelf registration statement” as defined in Rule 405) relating to the offer and sale by such Holder of all or part of the Registrable Securities. If at any time while Registrable Securities are outstanding, the Company files any Shelf Registration Statement for its own benefit or for the benefit of holders of any of its securities other than the Holders, the Company shall include in such Shelf Registration Statement such disclosures as may be required under the Securities Act to ensure that the Holders may sell their Registrable Securities pursuant to such Shelf Registration Statement through the filing of a prospectus supplement rather than a post-effective amendment.</w:t>
      </w:r>
    </w:p>
    <w:p>
      <w:pPr>
        <w:spacing w:after="0" w:line="175" w:lineRule="exact"/>
        <w:rPr>
          <w:sz w:val="20"/>
          <w:szCs w:val="20"/>
          <w:color w:val="auto"/>
        </w:rPr>
      </w:pPr>
    </w:p>
    <w:p>
      <w:pPr>
        <w:ind w:right="20" w:firstLine="1194"/>
        <w:spacing w:after="0" w:line="272" w:lineRule="auto"/>
        <w:tabs>
          <w:tab w:leader="none" w:pos="1626"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The Company shall use its reasonable best efforts to (i) cause such Shelf Registration Statement to be declared effective under the Securities Act as promptly as practicable after such Shelf Registration Statement is filed and (ii) keep such Shelf Registration Statement (or a replacement Shelf Registration Statement) continuously effective and in compliance with the Securities Act and usable for the resale of Registrable Securities, until such time as there are no Registrable Securities remaining.</w:t>
      </w:r>
    </w:p>
    <w:p>
      <w:pPr>
        <w:spacing w:after="0" w:line="154" w:lineRule="exact"/>
        <w:rPr>
          <w:rFonts w:ascii="Arial" w:cs="Arial" w:eastAsia="Arial" w:hAnsi="Arial"/>
          <w:sz w:val="19"/>
          <w:szCs w:val="19"/>
          <w:color w:val="auto"/>
        </w:rPr>
      </w:pPr>
    </w:p>
    <w:p>
      <w:pPr>
        <w:ind w:right="120" w:firstLine="1194"/>
        <w:spacing w:after="0" w:line="267" w:lineRule="auto"/>
        <w:tabs>
          <w:tab w:leader="none" w:pos="1614"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Sales by Holders</w:t>
      </w:r>
      <w:r>
        <w:rPr>
          <w:rFonts w:ascii="Arial" w:cs="Arial" w:eastAsia="Arial" w:hAnsi="Arial"/>
          <w:sz w:val="19"/>
          <w:szCs w:val="19"/>
          <w:color w:val="auto"/>
        </w:rPr>
        <w:t xml:space="preserve">. The plan of distribution contained in any Shelf Registration Statement referred to in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(or any related prospectus supplement) shall be determined by the Leonardo Affiliated Group members that have has requested to have Registrable Securities sold pursuant to such Shelf Registration Statement, if any, or otherwise by the other requesting Holder or Holders. Each Holder shall be entitled to sell Registrable Securities pursuant to the Shelf Registration Statement referred to in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from time to time and at such times as such Holder shall determine. Such Holder shall promptly advise the Company of its intention so to sell Registrable Securities pursuant to the Shelf Registration Statement.</w:t>
      </w:r>
    </w:p>
    <w:p>
      <w:pPr>
        <w:spacing w:after="0" w:line="159" w:lineRule="exact"/>
        <w:rPr>
          <w:rFonts w:ascii="Arial" w:cs="Arial" w:eastAsia="Arial" w:hAnsi="Arial"/>
          <w:sz w:val="19"/>
          <w:szCs w:val="19"/>
          <w:color w:val="auto"/>
        </w:rPr>
      </w:pPr>
    </w:p>
    <w:p>
      <w:pPr>
        <w:ind w:firstLine="1194"/>
        <w:spacing w:after="0" w:line="251" w:lineRule="auto"/>
        <w:tabs>
          <w:tab w:leader="none" w:pos="1626"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Underwritten Offering</w:t>
      </w:r>
      <w:r>
        <w:rPr>
          <w:rFonts w:ascii="Arial" w:cs="Arial" w:eastAsia="Arial" w:hAnsi="Arial"/>
          <w:sz w:val="20"/>
          <w:szCs w:val="20"/>
          <w:color w:val="auto"/>
        </w:rPr>
        <w:t xml:space="preserve">. If any Holder intends to sell Registrable Securities pursuant to any Shelf Registration Statement referred to in this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through an Underwritten Offering, the Company shall take all steps to facilitate such an offering, including the actions required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as appropriate. Any Holder shall be entitled to request an unlimited number of Underwritten Offerings under this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Holder shall not be entitled to request any Underwritten Offering within 60 days after the pricing date of any other Underwritten Offering, or when the Company is diligently pursuing an Underwritten Offering pursuant to (or treated as being pursuant to) a Piggyback Registration.</w:t>
      </w:r>
    </w:p>
    <w:p>
      <w:pPr>
        <w:spacing w:after="0" w:line="174" w:lineRule="exact"/>
        <w:rPr>
          <w:rFonts w:ascii="Arial" w:cs="Arial" w:eastAsia="Arial" w:hAnsi="Arial"/>
          <w:sz w:val="20"/>
          <w:szCs w:val="20"/>
          <w:color w:val="auto"/>
        </w:rPr>
      </w:pPr>
    </w:p>
    <w:p>
      <w:pPr>
        <w:ind w:right="60" w:firstLine="1194"/>
        <w:spacing w:after="0" w:line="304" w:lineRule="auto"/>
        <w:tabs>
          <w:tab w:leader="none" w:pos="1614"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Shelf Take-Downs</w:t>
      </w:r>
      <w:r>
        <w:rPr>
          <w:rFonts w:ascii="Arial" w:cs="Arial" w:eastAsia="Arial" w:hAnsi="Arial"/>
          <w:sz w:val="17"/>
          <w:szCs w:val="17"/>
          <w:color w:val="auto"/>
        </w:rPr>
        <w:t>. At any time that a Shelf Registration Statement covering Registrable Securities is effective, if any Holder delivers a notice to the Company (a “</w:t>
      </w:r>
      <w:r>
        <w:rPr>
          <w:rFonts w:ascii="Arial" w:cs="Arial" w:eastAsia="Arial" w:hAnsi="Arial"/>
          <w:sz w:val="17"/>
          <w:szCs w:val="17"/>
          <w:u w:val="single" w:color="auto"/>
          <w:color w:val="auto"/>
        </w:rPr>
        <w:t>Take-Down Notice</w:t>
      </w:r>
      <w:r>
        <w:rPr>
          <w:rFonts w:ascii="Arial" w:cs="Arial" w:eastAsia="Arial" w:hAnsi="Arial"/>
          <w:sz w:val="17"/>
          <w:szCs w:val="17"/>
          <w:color w:val="auto"/>
        </w:rPr>
        <w:t xml:space="preserve">”) stating that it intends to effect an Underwritten Offering pursuant to </w:t>
      </w:r>
      <w:r>
        <w:rPr>
          <w:rFonts w:ascii="Arial" w:cs="Arial" w:eastAsia="Arial" w:hAnsi="Arial"/>
          <w:sz w:val="17"/>
          <w:szCs w:val="17"/>
          <w:u w:val="single" w:color="auto"/>
          <w:color w:val="auto"/>
        </w:rPr>
        <w:t>Section 2.01(d)</w:t>
      </w:r>
      <w:r>
        <w:rPr>
          <w:rFonts w:ascii="Arial" w:cs="Arial" w:eastAsia="Arial" w:hAnsi="Arial"/>
          <w:sz w:val="17"/>
          <w:szCs w:val="17"/>
          <w:color w:val="auto"/>
        </w:rPr>
        <w:t xml:space="preserve"> of all or part of its Registrable Securities included by it on such Shelf Registration Statement, the Company shall amend or supplement such Shelf Registration Statement as may be necessary in order to enable such Registrable Securities to be distributed pursuant to the Underwritten Offering. In connection with any Underwritten Offering pursuant to this </w:t>
      </w:r>
      <w:r>
        <w:rPr>
          <w:rFonts w:ascii="Arial" w:cs="Arial" w:eastAsia="Arial" w:hAnsi="Arial"/>
          <w:sz w:val="17"/>
          <w:szCs w:val="17"/>
          <w:u w:val="single" w:color="auto"/>
          <w:color w:val="auto"/>
        </w:rPr>
        <w:t>Section 2.01</w:t>
      </w:r>
      <w:r>
        <w:rPr>
          <w:rFonts w:ascii="Arial" w:cs="Arial" w:eastAsia="Arial" w:hAnsi="Arial"/>
          <w:sz w:val="17"/>
          <w:szCs w:val="17"/>
          <w:color w:val="auto"/>
        </w:rPr>
        <w:t>, the Company shall deliver the Take-Down Notice to any other Holder with Registrable Securities included on such Shelf Registration Statement and permit such Holder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27" w:right="339" w:bottom="1440" w:gutter="0" w:footer="0" w:header="0"/>
        </w:sectPr>
      </w:pPr>
    </w:p>
    <w:bookmarkStart w:id="266" w:name="page267"/>
    <w:bookmarkEnd w:id="266"/>
    <w:p>
      <w:pPr>
        <w:ind w:right="440"/>
        <w:spacing w:after="0" w:line="271" w:lineRule="auto"/>
        <w:rPr>
          <w:sz w:val="20"/>
          <w:szCs w:val="20"/>
          <w:color w:val="auto"/>
        </w:rPr>
      </w:pPr>
      <w:r>
        <w:rPr>
          <w:rFonts w:ascii="Arial" w:cs="Arial" w:eastAsia="Arial" w:hAnsi="Arial"/>
          <w:sz w:val="20"/>
          <w:szCs w:val="20"/>
          <w:color w:val="auto"/>
        </w:rPr>
        <w:t xml:space="preserve">include such Registrable Securities in such Underwritten Offering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Holder notifies the Company within two Business Days after the Company has given Holders notice of the Take-Down Notice.</w:t>
      </w:r>
    </w:p>
    <w:p>
      <w:pPr>
        <w:spacing w:after="0" w:line="153"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Demand Registrations</w:t>
      </w:r>
      <w:r>
        <w:rPr>
          <w:rFonts w:ascii="Arial" w:cs="Arial" w:eastAsia="Arial" w:hAnsi="Arial"/>
          <w:sz w:val="18"/>
          <w:szCs w:val="18"/>
          <w:color w:val="auto"/>
        </w:rPr>
        <w:t>.</w:t>
      </w:r>
    </w:p>
    <w:p>
      <w:pPr>
        <w:spacing w:after="0" w:line="206" w:lineRule="exact"/>
        <w:rPr>
          <w:sz w:val="20"/>
          <w:szCs w:val="20"/>
          <w:color w:val="auto"/>
        </w:rPr>
      </w:pPr>
    </w:p>
    <w:p>
      <w:pPr>
        <w:ind w:firstLine="1194"/>
        <w:spacing w:after="0" w:line="280" w:lineRule="auto"/>
        <w:tabs>
          <w:tab w:leader="none" w:pos="1614"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Right to Request Demand Registrations</w:t>
      </w:r>
      <w:r>
        <w:rPr>
          <w:rFonts w:ascii="Arial" w:cs="Arial" w:eastAsia="Arial" w:hAnsi="Arial"/>
          <w:sz w:val="18"/>
          <w:szCs w:val="18"/>
          <w:color w:val="auto"/>
        </w:rPr>
        <w:t>. At any time after the IPO, any Holder may, by providing a written request to the Company (a “</w:t>
      </w:r>
      <w:r>
        <w:rPr>
          <w:rFonts w:ascii="Arial" w:cs="Arial" w:eastAsia="Arial" w:hAnsi="Arial"/>
          <w:sz w:val="18"/>
          <w:szCs w:val="18"/>
          <w:u w:val="single" w:color="auto"/>
          <w:color w:val="auto"/>
        </w:rPr>
        <w:t>Demand Notice</w:t>
      </w:r>
      <w:r>
        <w:rPr>
          <w:rFonts w:ascii="Arial" w:cs="Arial" w:eastAsia="Arial" w:hAnsi="Arial"/>
          <w:sz w:val="18"/>
          <w:szCs w:val="18"/>
          <w:color w:val="auto"/>
        </w:rPr>
        <w:t>”), request to sell all or part of the Registrable Securities pursuant to a Registration Statement separate from a Shelf Registration Statement (a “</w:t>
      </w:r>
      <w:r>
        <w:rPr>
          <w:rFonts w:ascii="Arial" w:cs="Arial" w:eastAsia="Arial" w:hAnsi="Arial"/>
          <w:sz w:val="18"/>
          <w:szCs w:val="18"/>
          <w:u w:val="single" w:color="auto"/>
          <w:color w:val="auto"/>
        </w:rPr>
        <w:t>Demand Registration</w:t>
      </w:r>
      <w:r>
        <w:rPr>
          <w:rFonts w:ascii="Arial" w:cs="Arial" w:eastAsia="Arial" w:hAnsi="Arial"/>
          <w:sz w:val="18"/>
          <w:szCs w:val="18"/>
          <w:color w:val="auto"/>
        </w:rPr>
        <w:t>”). Each Demand Notice shall specify the kind and aggregate amount of Registrable Securities to be registered and the intended methods of disposition thereof (which, if not specified, shall be by way of an Underwritten Offering). Promptly after its receipt of a Demand Notice (but in any event within 10 days thereof), the Company shall give written notice of the request for registration made in the Demand Notice to all other Holders. Within 30 days after the date the Company has given the Holders notice of the Demand Notice, the Company shall file a Registration Statement, in accordance with this Agreement, with respect to all Registrable Securities that have been requested to be registered in the Demand Notice and that have been requested by any other Holders by written notice to the Company within five days after the Company has given the Holders notice of the Demand Notice.</w:t>
      </w:r>
    </w:p>
    <w:p>
      <w:pPr>
        <w:spacing w:after="0" w:line="153" w:lineRule="exact"/>
        <w:rPr>
          <w:rFonts w:ascii="Arial" w:cs="Arial" w:eastAsia="Arial" w:hAnsi="Arial"/>
          <w:sz w:val="18"/>
          <w:szCs w:val="18"/>
          <w:color w:val="auto"/>
        </w:rPr>
      </w:pPr>
    </w:p>
    <w:p>
      <w:pPr>
        <w:ind w:right="40" w:firstLine="1194"/>
        <w:spacing w:after="0" w:line="250" w:lineRule="auto"/>
        <w:tabs>
          <w:tab w:leader="none" w:pos="162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Limitations on Demand Registrations. Subject to Section 2.01(a) and this Section 2.02(b), any Holder will be entitled to request an unlimited number of Demand Registrations; provided that the number of shares of Registrable Securities included in the Demand Registration would, if fully sold, yield gross proceeds to the Holder (based on the VWAP as of the date of the Demand Notice) of at least the Minimum Amount. Any Holder shall be entitled to participate in a Demand Registration initiated by any other Holder. The Company shall not be obligated to effect more than one Demand Registration in any given 3-month period,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any Demand Registration for which no Registration Statement was declared effective, whether by virtue of the withdrawal of Registrable Securities by one or more Holders or for any other reason, shall not count against such limit. Any Demand Registration shall be in addition to any registration on a Shelf Registration Statement.</w:t>
      </w:r>
    </w:p>
    <w:p>
      <w:pPr>
        <w:spacing w:after="0" w:line="174" w:lineRule="exact"/>
        <w:rPr>
          <w:rFonts w:ascii="Arial" w:cs="Arial" w:eastAsia="Arial" w:hAnsi="Arial"/>
          <w:sz w:val="20"/>
          <w:szCs w:val="20"/>
          <w:color w:val="auto"/>
        </w:rPr>
      </w:pPr>
    </w:p>
    <w:p>
      <w:pPr>
        <w:ind w:right="340" w:firstLine="1194"/>
        <w:spacing w:after="0" w:line="301" w:lineRule="auto"/>
        <w:tabs>
          <w:tab w:leader="none" w:pos="1614"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Any Holder may, by written notice to the Company, withdraw its Registrable Securities from a Demand Registration at any time prior to the effectiveness of the applicable Registration Statement. Upon receipt of notices from all applicable Holders to such effect, the Company shall cease all efforts to seek effectiveness of the applicable Registration Statement.</w:t>
      </w:r>
    </w:p>
    <w:p>
      <w:pPr>
        <w:spacing w:after="0" w:line="130"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9"/>
          <w:szCs w:val="19"/>
          <w:u w:val="single" w:color="auto"/>
          <w:color w:val="auto"/>
        </w:rPr>
        <w:t>Priority</w:t>
      </w:r>
      <w:r>
        <w:rPr>
          <w:rFonts w:ascii="Arial" w:cs="Arial" w:eastAsia="Arial" w:hAnsi="Arial"/>
          <w:sz w:val="19"/>
          <w:szCs w:val="19"/>
          <w:color w:val="auto"/>
        </w:rPr>
        <w:t>.</w:t>
      </w:r>
    </w:p>
    <w:p>
      <w:pPr>
        <w:spacing w:after="0" w:line="206" w:lineRule="exact"/>
        <w:rPr>
          <w:sz w:val="20"/>
          <w:szCs w:val="20"/>
          <w:color w:val="auto"/>
        </w:rPr>
      </w:pPr>
    </w:p>
    <w:p>
      <w:pPr>
        <w:ind w:right="80" w:firstLine="597"/>
        <w:spacing w:after="0" w:line="254" w:lineRule="auto"/>
        <w:rPr>
          <w:sz w:val="20"/>
          <w:szCs w:val="20"/>
          <w:color w:val="auto"/>
        </w:rPr>
      </w:pPr>
      <w:r>
        <w:rPr>
          <w:rFonts w:ascii="Arial" w:cs="Arial" w:eastAsia="Arial" w:hAnsi="Arial"/>
          <w:sz w:val="20"/>
          <w:szCs w:val="20"/>
          <w:color w:val="auto"/>
        </w:rPr>
        <w:t xml:space="preserve">If a registration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2.02</w:t>
      </w:r>
      <w:r>
        <w:rPr>
          <w:rFonts w:ascii="Arial" w:cs="Arial" w:eastAsia="Arial" w:hAnsi="Arial"/>
          <w:sz w:val="20"/>
          <w:szCs w:val="20"/>
          <w:color w:val="auto"/>
        </w:rPr>
        <w:t xml:space="preserve"> above is an Underwritten Offering and the managing underwriters of such proposed Underwritten Offering advise the Holders in writing that, in their good faith opinion, the number of securities requested to be included in such Underwritten Offering exceeds the number which can be sold in such offering without being likely to have a material adverse effect on the price, timing or distribution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27" w:right="339" w:bottom="1440" w:gutter="0" w:footer="0" w:header="0"/>
        </w:sectPr>
      </w:pPr>
    </w:p>
    <w:bookmarkStart w:id="267" w:name="page268"/>
    <w:bookmarkEnd w:id="267"/>
    <w:p>
      <w:pPr>
        <w:ind w:right="100"/>
        <w:spacing w:after="0" w:line="266" w:lineRule="auto"/>
        <w:rPr>
          <w:sz w:val="20"/>
          <w:szCs w:val="20"/>
          <w:color w:val="auto"/>
        </w:rPr>
      </w:pPr>
      <w:r>
        <w:rPr>
          <w:rFonts w:ascii="Arial" w:cs="Arial" w:eastAsia="Arial" w:hAnsi="Arial"/>
          <w:sz w:val="19"/>
          <w:szCs w:val="19"/>
          <w:color w:val="auto"/>
        </w:rPr>
        <w:t xml:space="preserve">offered or the market for the securities offered, then the number of securities to be included in such Underwritten Offering shall be reduced in the following order of priority, to the extent necessary to reduce the total number of securities to be included in such offering to the number recommended by the managing underwriters: first, there shall be excluded from the Underwritten Offering any securities to be sold for the account of any selling securityholder other than the Selling Holders; second, there shall be excluded from the Underwritten Offering any securities to be sold for the account of the Company; and finally, the number of Registrable Securities of any Selling Holders that have been requested to be included therein shall be reduced, (i)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the number of Registrable Securities owned by each such Selling Holder or (ii) in such other manner as such Selling Holders may agree.</w:t>
      </w:r>
    </w:p>
    <w:p>
      <w:pPr>
        <w:spacing w:after="0" w:line="15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u w:val="single" w:color="auto"/>
          <w:color w:val="auto"/>
        </w:rPr>
        <w:t>Piggyback Registrations</w:t>
      </w:r>
      <w:r>
        <w:rPr>
          <w:rFonts w:ascii="Arial" w:cs="Arial" w:eastAsia="Arial" w:hAnsi="Arial"/>
          <w:sz w:val="18"/>
          <w:szCs w:val="18"/>
          <w:color w:val="auto"/>
        </w:rPr>
        <w:t>.</w:t>
      </w:r>
    </w:p>
    <w:p>
      <w:pPr>
        <w:spacing w:after="0" w:line="206" w:lineRule="exact"/>
        <w:rPr>
          <w:sz w:val="20"/>
          <w:szCs w:val="20"/>
          <w:color w:val="auto"/>
        </w:rPr>
      </w:pPr>
    </w:p>
    <w:p>
      <w:pPr>
        <w:ind w:right="120" w:firstLine="1194"/>
        <w:spacing w:after="0" w:line="263" w:lineRule="auto"/>
        <w:tabs>
          <w:tab w:leader="none" w:pos="1614"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Piggyback Request</w:t>
      </w:r>
      <w:r>
        <w:rPr>
          <w:rFonts w:ascii="Arial" w:cs="Arial" w:eastAsia="Arial" w:hAnsi="Arial"/>
          <w:sz w:val="19"/>
          <w:szCs w:val="19"/>
          <w:color w:val="auto"/>
        </w:rPr>
        <w:t xml:space="preserve">. Whenever the Company proposes to register any of its securities under the Securities Act or equivalent non-U.S. securities laws (other than (i) in the IPO, (ii) pursuant to a Demand Registration, (iii) pursuant to a registration statement on Form S4 or any similar or successor form or (iv) pursuant to a registration solely relating to an offering and sale to employees or directors of the Company pursuant to any employee stock plan or other employee benefit plan arrangement), and the registration form to be filed may be used for the registration or qualification for distribution of Registrable Securities, the Company will give prompt written notice to all Holders of its intention to effect such a registration (but in no event less than 20 days prior to the proposed date of filing of the applicable Registration Statement) and, subject to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will include in such registration all Registrable Securities with respect to which the Company has received written requests for inclusion therein within 15 days after the date the Company’s notice is given to such Holders (a “Piggyback Registration”). There shall be no limitation on the number of Piggyback Registrations that the Company shall be required to effect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firstLine="1194"/>
        <w:spacing w:after="0" w:line="280" w:lineRule="auto"/>
        <w:tabs>
          <w:tab w:leader="none" w:pos="162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Withdrawal and Termination</w:t>
      </w:r>
      <w:r>
        <w:rPr>
          <w:rFonts w:ascii="Arial" w:cs="Arial" w:eastAsia="Arial" w:hAnsi="Arial"/>
          <w:sz w:val="18"/>
          <w:szCs w:val="18"/>
          <w:color w:val="auto"/>
        </w:rPr>
        <w:t xml:space="preserve">. Any Holder that has made a written request for inclusion in a Piggyback Registration may withdraw its Registrable Securities from such Piggyback Registration by giving written notice to the Company on or before the fifth day prior to the planned effective date of such Piggyback Registration. The Company may, without prejudice to the rights of Holders to request a registration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2.02</w:t>
      </w:r>
      <w:r>
        <w:rPr>
          <w:rFonts w:ascii="Arial" w:cs="Arial" w:eastAsia="Arial" w:hAnsi="Arial"/>
          <w:sz w:val="18"/>
          <w:szCs w:val="18"/>
          <w:color w:val="auto"/>
        </w:rPr>
        <w:t xml:space="preserve"> hereof, at its election, determine not to proceed with the proposed registration of its securities under the Securities Act or equivalent non-U.S. securities laws, in which case it shall give written notice of such determination to each Holder of Registrable Securities and terminate or withdraw any registration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prior to the effectiveness of such registration, whether or not any Holder has elected to include Registrable Securities in such registration, and, except for the obligation to pay or reimburse Registration Expenses, the Company shall be relieved of its obligation to register any Registrable Securities in connection with such registration and will have no liability to any Holder in connection with such termination or withdrawal.</w:t>
      </w:r>
    </w:p>
    <w:p>
      <w:pPr>
        <w:spacing w:after="0" w:line="153" w:lineRule="exact"/>
        <w:rPr>
          <w:rFonts w:ascii="Arial" w:cs="Arial" w:eastAsia="Arial" w:hAnsi="Arial"/>
          <w:sz w:val="18"/>
          <w:szCs w:val="18"/>
          <w:color w:val="auto"/>
        </w:rPr>
      </w:pPr>
    </w:p>
    <w:p>
      <w:pPr>
        <w:ind w:right="180" w:firstLine="1194"/>
        <w:spacing w:after="0" w:line="258" w:lineRule="auto"/>
        <w:tabs>
          <w:tab w:leader="none" w:pos="1614"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Priority of Piggyback Registrations</w:t>
      </w:r>
      <w:r>
        <w:rPr>
          <w:rFonts w:ascii="Arial" w:cs="Arial" w:eastAsia="Arial" w:hAnsi="Arial"/>
          <w:sz w:val="20"/>
          <w:szCs w:val="20"/>
          <w:color w:val="auto"/>
        </w:rPr>
        <w:t>. If the managing underwriters advise the Company and any Holders of Registrable Securities participating in a Piggyback Registration in writing that, in their good faith opinion, the number of securities requested to be included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327" w:right="359" w:bottom="1440" w:gutter="0" w:footer="0" w:header="0"/>
        </w:sectPr>
      </w:pPr>
    </w:p>
    <w:bookmarkStart w:id="268" w:name="page269"/>
    <w:bookmarkEnd w:id="268"/>
    <w:p>
      <w:pPr>
        <w:ind w:right="100"/>
        <w:spacing w:after="0" w:line="250" w:lineRule="auto"/>
        <w:rPr>
          <w:sz w:val="20"/>
          <w:szCs w:val="20"/>
          <w:color w:val="auto"/>
        </w:rPr>
      </w:pPr>
      <w:r>
        <w:rPr>
          <w:rFonts w:ascii="Arial" w:cs="Arial" w:eastAsia="Arial" w:hAnsi="Arial"/>
          <w:sz w:val="20"/>
          <w:szCs w:val="20"/>
          <w:color w:val="auto"/>
        </w:rPr>
        <w:t xml:space="preserve">Underwritten Offering to be effected pursuant to a Piggyback Registration exceeds the number which can be sold in such offering without being likely to have a material adverse effect on the price, timing or distribution of the securities offered or the market for the securities offered, then the securities to be included in such Underwritten Offering shall be reduced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based, in the case of the Holders, on the number of Registrable Securities owned by each Holder, and in the case of the Company, the number of securities to be sold for the account of the Company, to the extent necessary to reduce the total number of Registrable Securities to be included in such offering to the number recommended by the managing underwriters. No registration of Registrable Securities effected pursuant to a request under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shall be deemed to have been effected pursuant to </w:t>
      </w:r>
      <w:r>
        <w:rPr>
          <w:rFonts w:ascii="Arial" w:cs="Arial" w:eastAsia="Arial" w:hAnsi="Arial"/>
          <w:sz w:val="20"/>
          <w:szCs w:val="20"/>
          <w:u w:val="single" w:color="auto"/>
          <w:color w:val="auto"/>
        </w:rPr>
        <w:t>Sections 2.01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2.02</w:t>
      </w:r>
      <w:r>
        <w:rPr>
          <w:rFonts w:ascii="Arial" w:cs="Arial" w:eastAsia="Arial" w:hAnsi="Arial"/>
          <w:sz w:val="20"/>
          <w:szCs w:val="20"/>
          <w:color w:val="auto"/>
        </w:rPr>
        <w:t xml:space="preserve"> or shall relieve the Company of its obligations under </w:t>
      </w:r>
      <w:r>
        <w:rPr>
          <w:rFonts w:ascii="Arial" w:cs="Arial" w:eastAsia="Arial" w:hAnsi="Arial"/>
          <w:sz w:val="20"/>
          <w:szCs w:val="20"/>
          <w:u w:val="single" w:color="auto"/>
          <w:color w:val="auto"/>
        </w:rPr>
        <w:t>Sections 2.01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2.02</w:t>
      </w:r>
      <w:r>
        <w:rPr>
          <w:rFonts w:ascii="Arial" w:cs="Arial" w:eastAsia="Arial" w:hAnsi="Arial"/>
          <w:sz w:val="20"/>
          <w:szCs w:val="20"/>
          <w:color w:val="auto"/>
        </w:rPr>
        <w:t>.</w:t>
      </w:r>
    </w:p>
    <w:p>
      <w:pPr>
        <w:spacing w:after="0" w:line="174"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206" w:lineRule="exact"/>
        <w:rPr>
          <w:sz w:val="20"/>
          <w:szCs w:val="20"/>
          <w:color w:val="auto"/>
        </w:rPr>
      </w:pPr>
    </w:p>
    <w:p>
      <w:pPr>
        <w:ind w:firstLine="597"/>
        <w:spacing w:after="0" w:line="263" w:lineRule="auto"/>
        <w:rPr>
          <w:sz w:val="20"/>
          <w:szCs w:val="20"/>
          <w:color w:val="auto"/>
        </w:rPr>
      </w:pPr>
      <w:r>
        <w:rPr>
          <w:rFonts w:ascii="Arial" w:cs="Arial" w:eastAsia="Arial" w:hAnsi="Arial"/>
          <w:sz w:val="19"/>
          <w:szCs w:val="19"/>
          <w:color w:val="auto"/>
        </w:rPr>
        <w:t xml:space="preserve">Each of the Company and the Holders agree, in connection with any registration for an Underwritten Offering of the Company’s securities, to enter into such reasonable and customary lock-up agreement as may be requested by the underwriters in such Underwritten Offering, for a period not to exceed 90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obligation shall not apply in any circumstance to (i) securities acquired by a Holder in the public market subsequent to the IPO, (ii) distributions-in-kind to a Holder’s limited or other partners, members, shareholders or other equity holders or (iii) transfers by a member of the Leonardo Affiliated Group to another member of the Leonardo Affiliated Group. Notwithstanding the foregoing, no holdback agreements of the type contemplated by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shall be required of Holders (A) unless each of the Company’s directors and executive officers agrees to be bound by a substantially identical holdback agreement for at least the same period of time; or (B) that restricts the offering or sale of Registrable Securities pursuant to a Demand Registration. Notwithstanding anything contained in this Section 2.05 to the contrary, from and after the two-year anniversary of the IPO, no Holder shall be obligated to comply with this Section 2.05 unless such Holder is selling Registrable Securities in the applicable Underwritten Offering.</w:t>
      </w:r>
    </w:p>
    <w:p>
      <w:pPr>
        <w:spacing w:after="0" w:line="166"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7"/>
          <w:szCs w:val="17"/>
          <w:u w:val="single" w:color="auto"/>
          <w:color w:val="auto"/>
        </w:rPr>
        <w:t>Registration Procedures</w:t>
      </w:r>
      <w:r>
        <w:rPr>
          <w:rFonts w:ascii="Arial" w:cs="Arial" w:eastAsia="Arial" w:hAnsi="Arial"/>
          <w:sz w:val="17"/>
          <w:szCs w:val="17"/>
          <w:color w:val="auto"/>
        </w:rPr>
        <w:t>.</w:t>
      </w:r>
    </w:p>
    <w:p>
      <w:pPr>
        <w:spacing w:after="0" w:line="206" w:lineRule="exact"/>
        <w:rPr>
          <w:sz w:val="20"/>
          <w:szCs w:val="20"/>
          <w:color w:val="auto"/>
        </w:rPr>
      </w:pPr>
    </w:p>
    <w:p>
      <w:pPr>
        <w:ind w:right="140" w:firstLine="597"/>
        <w:spacing w:after="0" w:line="254" w:lineRule="auto"/>
        <w:rPr>
          <w:sz w:val="20"/>
          <w:szCs w:val="20"/>
          <w:color w:val="auto"/>
        </w:rPr>
      </w:pPr>
      <w:r>
        <w:rPr>
          <w:rFonts w:ascii="Arial" w:cs="Arial" w:eastAsia="Arial" w:hAnsi="Arial"/>
          <w:sz w:val="20"/>
          <w:szCs w:val="20"/>
          <w:color w:val="auto"/>
        </w:rPr>
        <w:t xml:space="preserve">Subject to the proviso of </w:t>
      </w:r>
      <w:r>
        <w:rPr>
          <w:rFonts w:ascii="Arial" w:cs="Arial" w:eastAsia="Arial" w:hAnsi="Arial"/>
          <w:sz w:val="20"/>
          <w:szCs w:val="20"/>
          <w:u w:val="single" w:color="auto"/>
          <w:color w:val="auto"/>
        </w:rPr>
        <w:t>Section 2.01(d)</w:t>
      </w:r>
      <w:r>
        <w:rPr>
          <w:rFonts w:ascii="Arial" w:cs="Arial" w:eastAsia="Arial" w:hAnsi="Arial"/>
          <w:sz w:val="20"/>
          <w:szCs w:val="20"/>
          <w:color w:val="auto"/>
        </w:rPr>
        <w:t>, if and whenever the Company is required to effect the registration of any Registrable Securities pursuant to this Agreement, the Company shall use its reasonable best efforts to effect and facilitate the registration, offering and sale of such Registrable Securities in accordance with the intended method of disposition thereof as promptly as is practicable, and the Company shall as expeditiously as possible:</w:t>
      </w:r>
    </w:p>
    <w:p>
      <w:pPr>
        <w:spacing w:after="0" w:line="171" w:lineRule="exact"/>
        <w:rPr>
          <w:sz w:val="20"/>
          <w:szCs w:val="20"/>
          <w:color w:val="auto"/>
        </w:rPr>
      </w:pPr>
    </w:p>
    <w:p>
      <w:pPr>
        <w:ind w:right="340" w:firstLine="1194"/>
        <w:spacing w:after="0" w:line="267" w:lineRule="auto"/>
        <w:tabs>
          <w:tab w:leader="none" w:pos="1615"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prepare and file with the SEC (within 30 days after the date on which the Company has given Holders notice of any request for Demand Registration) a Registration Statement with respect to such Registrable Securities, make all required filings required (including FINRA filings) in connection therewith and thereafter and (if the Registration Statement is not automatically effective upon filing) use its reasonable best efforts to cause such Registration Statement to become effective;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before filing a Registration Statement or any amendments or supplements thereto (including free writing prospectuses under Rule 433), the Company will furnish to Holders’ Counsel for such registration copies of all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327" w:right="339" w:bottom="1440" w:gutter="0" w:footer="0" w:header="0"/>
        </w:sectPr>
      </w:pPr>
    </w:p>
    <w:bookmarkStart w:id="269" w:name="page270"/>
    <w:bookmarkEnd w:id="269"/>
    <w:p>
      <w:pPr>
        <w:ind w:right="20"/>
        <w:spacing w:after="0" w:line="250" w:lineRule="auto"/>
        <w:rPr>
          <w:sz w:val="20"/>
          <w:szCs w:val="20"/>
          <w:color w:val="auto"/>
        </w:rPr>
      </w:pPr>
      <w:r>
        <w:rPr>
          <w:rFonts w:ascii="Arial" w:cs="Arial" w:eastAsia="Arial" w:hAnsi="Arial"/>
          <w:sz w:val="20"/>
          <w:szCs w:val="20"/>
          <w:color w:val="auto"/>
        </w:rPr>
        <w:t xml:space="preserve">proposed to be filed (including exhibits thereto), which documents will be subject to review of such counsel, and such other documents reasonably requested by such counsel, including any comment letter from the SEC, and give the Holders participating in such registration an opportunity to comment on such documents and keep such Holders reasonably informed as to the registration process;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if the Board of Directors determines in its good faith judgment that registration at the time would require the inclusion of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financial or other information, which requirement the Company is reasonably unable to comply with, then the Company may defer the filing (but not the preparation) of the Registration Statement which is required to effect the applicable registration for a reasonable period of time (but not in excess of 45 days).</w:t>
      </w:r>
    </w:p>
    <w:p>
      <w:pPr>
        <w:spacing w:after="0" w:line="177" w:lineRule="exact"/>
        <w:rPr>
          <w:sz w:val="20"/>
          <w:szCs w:val="20"/>
          <w:color w:val="auto"/>
        </w:rPr>
      </w:pPr>
    </w:p>
    <w:p>
      <w:pPr>
        <w:ind w:right="20" w:firstLine="1194"/>
        <w:spacing w:after="0" w:line="265" w:lineRule="auto"/>
        <w:tabs>
          <w:tab w:leader="none" w:pos="162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 prepare and file with the SEC such amendments and supplements to any Registration Statement as may be necessary to keep such Registration Statement effective for a period of either (A) not less than 90 days or, if such Registration Statement relates to an Underwritten Offering in the case of a Demand Registration, such longer period as in the opinion of counsel for the managing underwriters a prospectus is required by law to be delivered in connection with sales of Registrable Securities by an underwriter or dealer or the maximum period of time permitted by the Securities Act in the case of a Shelf Registration Statement, or (B) such shorter period ending when all of the Registrable Securities covered by such Registration Statement have been disposed of (but in any event not before the expiration of any longer period required under the Securities Act) and (ii) to comply with the provisions of the Securities Act with respect to the disposition of all Registrable Securities covered by such Registration Statement;</w:t>
      </w:r>
    </w:p>
    <w:p>
      <w:pPr>
        <w:spacing w:after="0" w:line="160" w:lineRule="exact"/>
        <w:rPr>
          <w:rFonts w:ascii="Arial" w:cs="Arial" w:eastAsia="Arial" w:hAnsi="Arial"/>
          <w:sz w:val="19"/>
          <w:szCs w:val="19"/>
          <w:color w:val="auto"/>
        </w:rPr>
      </w:pPr>
    </w:p>
    <w:p>
      <w:pPr>
        <w:ind w:right="100" w:firstLine="1194"/>
        <w:spacing w:after="0" w:line="264" w:lineRule="auto"/>
        <w:tabs>
          <w:tab w:leader="none" w:pos="161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furnish to each Selling Holder, Holders’ Counsel and the underwriters such number of copies, without charge, of any Registration Statement, each amendment and supplement thereto, including each preliminary prospectus, final prospectus, all exhibits and other documents filed therewith and such other documents as such Persons may reasonably request from time to time in order to facilitate the disposition of the Registrable Securities owned by such Selling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before amending or supplementing any Registration Statement, the Company shall furnish to the Holders a copy of each such proposed amendment or supplement and not file any such proposed amendment or supplement to which any Selling Holder reasonably objects. The Company hereby consents to the use of such prospectus and each amendment or supplement thereto by each of the Selling Holders of Registrable Securities and the underwriters, if any, in connection with the offering and sale of the Registrable Securities covered by such prospectus and any such amendment or supplement thereto;</w:t>
      </w:r>
    </w:p>
    <w:p>
      <w:pPr>
        <w:spacing w:after="0" w:line="163" w:lineRule="exact"/>
        <w:rPr>
          <w:rFonts w:ascii="Arial" w:cs="Arial" w:eastAsia="Arial" w:hAnsi="Arial"/>
          <w:sz w:val="19"/>
          <w:szCs w:val="19"/>
          <w:color w:val="auto"/>
        </w:rPr>
      </w:pPr>
    </w:p>
    <w:p>
      <w:pPr>
        <w:ind w:firstLine="1194"/>
        <w:spacing w:after="0" w:line="251" w:lineRule="auto"/>
        <w:tabs>
          <w:tab w:leader="none" w:pos="162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use its reasonable best efforts to register or qualify any Registrable Securities under such other securities or blue sky laws of such jurisdictions as any Selling Holder, and the managing underwriters, if any reasonably request, and use its reasonable best efforts to keep each such registration or qualification (or exemption therefrom) effective during the period such Registration Statement is required to be kept effective and do any and all other acts and things that may be necessary or reasonably advisable to enable such Selling Holder and each underwriter, if any, to consummate the disposition of the seller’s Registrable Securities in such jurisdictions;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will not be required to (i) qualify generally to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327" w:right="339" w:bottom="1440" w:gutter="0" w:footer="0" w:header="0"/>
        </w:sectPr>
      </w:pPr>
    </w:p>
    <w:bookmarkStart w:id="270" w:name="page271"/>
    <w:bookmarkEnd w:id="270"/>
    <w:p>
      <w:pPr>
        <w:ind w:right="60"/>
        <w:spacing w:after="0" w:line="254" w:lineRule="auto"/>
        <w:rPr>
          <w:sz w:val="20"/>
          <w:szCs w:val="20"/>
          <w:color w:val="auto"/>
        </w:rPr>
      </w:pPr>
      <w:r>
        <w:rPr>
          <w:rFonts w:ascii="Arial" w:cs="Arial" w:eastAsia="Arial" w:hAnsi="Arial"/>
          <w:sz w:val="20"/>
          <w:szCs w:val="20"/>
          <w:color w:val="auto"/>
        </w:rPr>
        <w:t>business in any such jurisdiction where it would not otherwise be required to qualify but for this subsection, (ii) subject itself to taxation in any jurisdiction where it is not then so subject or (iii) consent to general service of process in any such jurisdiction where it is not then so subject (other than service of process in connection with such registration or qualification or any sale of Registrable Securities in connection therewith);</w:t>
      </w:r>
    </w:p>
    <w:p>
      <w:pPr>
        <w:spacing w:after="0" w:line="171" w:lineRule="exact"/>
        <w:rPr>
          <w:sz w:val="20"/>
          <w:szCs w:val="20"/>
          <w:color w:val="auto"/>
        </w:rPr>
      </w:pPr>
    </w:p>
    <w:p>
      <w:pPr>
        <w:jc w:val="both"/>
        <w:ind w:right="120" w:firstLine="1194"/>
        <w:spacing w:after="0" w:line="272" w:lineRule="auto"/>
        <w:tabs>
          <w:tab w:leader="none" w:pos="161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use its reasonable best efforts to cause all Registrable Securities covered by any Registration Statement to be registered with or approved by such other governmental agencies, authorities or self-regulatory bodies as may be necessary or reasonably advisable in light of the business and operations of the Company to enable the Selling Holders to consummate the disposition of such Registrable Securities in accordance with the intended method or methods of disposition thereof;</w:t>
      </w:r>
    </w:p>
    <w:p>
      <w:pPr>
        <w:spacing w:after="0" w:line="154" w:lineRule="exact"/>
        <w:rPr>
          <w:rFonts w:ascii="Arial" w:cs="Arial" w:eastAsia="Arial" w:hAnsi="Arial"/>
          <w:sz w:val="19"/>
          <w:szCs w:val="19"/>
          <w:color w:val="auto"/>
        </w:rPr>
      </w:pPr>
    </w:p>
    <w:p>
      <w:pPr>
        <w:ind w:right="40" w:firstLine="1194"/>
        <w:spacing w:after="0" w:line="283" w:lineRule="auto"/>
        <w:tabs>
          <w:tab w:leader="none" w:pos="159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during any time when a prospectus is required to be delivered under the Securities Act, promptly notify each Selling Holder and Holders’ Counsel upon discovery that, or upon the discovery of the happening of any event as a result of which, the prospectus contains an untrue statement of a material fact or omits any fact necessary to make the statements therein not misleading in light of the circumstances under which they were made and, as promptly as practicable, prepare and furnish to such Selling Holders a reasonable number of copies of a supplement or amendment to such prospectus so that, as thereafter delivered to the purchasers of such Registrable Securities, such prospectus will not contain any untrue statement of a material fact or omit to state any fact necessary to make the statements therein not misleading in the light of the circumstances under which they were made;</w:t>
      </w:r>
    </w:p>
    <w:p>
      <w:pPr>
        <w:spacing w:after="0" w:line="145" w:lineRule="exact"/>
        <w:rPr>
          <w:rFonts w:ascii="Arial" w:cs="Arial" w:eastAsia="Arial" w:hAnsi="Arial"/>
          <w:sz w:val="18"/>
          <w:szCs w:val="18"/>
          <w:color w:val="auto"/>
        </w:rPr>
      </w:pPr>
    </w:p>
    <w:p>
      <w:pPr>
        <w:ind w:firstLine="1194"/>
        <w:spacing w:after="0" w:line="263" w:lineRule="auto"/>
        <w:tabs>
          <w:tab w:leader="none" w:pos="162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promptly notify each Selling Holder and Holders’ Counsel (i) when the Registration Statement, any prospectus supplement or any post-effective amendment to the Registration Statement has been filed and, with respect to such Registration Statement or any post-effective amendment, when the same has become effective, (ii) of any written comments by the SEC or any request by the SEC for amendments or supplements to such Registration Statement or to amend or to supplement any prospectus contained therein or for additional information, (iii) of the issuance by the SEC of any stop order suspending the effectiveness of such Registration Statement or the initiation or threatening of any proceedings for any of such purposes, (iv) if at the time the Company has reason to believe that the representations and warranties of the Company contained in any agreement (including any underwriting agreement) contemplated by </w:t>
      </w:r>
      <w:r>
        <w:rPr>
          <w:rFonts w:ascii="Arial" w:cs="Arial" w:eastAsia="Arial" w:hAnsi="Arial"/>
          <w:sz w:val="19"/>
          <w:szCs w:val="19"/>
          <w:u w:val="single" w:color="auto"/>
          <w:color w:val="auto"/>
        </w:rPr>
        <w:t>Section 2.06(j)</w:t>
      </w:r>
      <w:r>
        <w:rPr>
          <w:rFonts w:ascii="Arial" w:cs="Arial" w:eastAsia="Arial" w:hAnsi="Arial"/>
          <w:sz w:val="19"/>
          <w:szCs w:val="19"/>
          <w:color w:val="auto"/>
        </w:rPr>
        <w:t xml:space="preserve"> below cease to be true and correct and (v) of the receipt by the Company of any notification with respect to the suspension of the qualification or exemption from qualification of such Registrable Securities for sale in any jurisdiction, or the initiation or threatening of any proceeding for such purpose;</w:t>
      </w:r>
    </w:p>
    <w:p>
      <w:pPr>
        <w:spacing w:after="0" w:line="169" w:lineRule="exact"/>
        <w:rPr>
          <w:rFonts w:ascii="Arial" w:cs="Arial" w:eastAsia="Arial" w:hAnsi="Arial"/>
          <w:sz w:val="19"/>
          <w:szCs w:val="19"/>
          <w:color w:val="auto"/>
        </w:rPr>
      </w:pPr>
    </w:p>
    <w:p>
      <w:pPr>
        <w:ind w:right="80" w:firstLine="1194"/>
        <w:spacing w:after="0" w:line="278" w:lineRule="auto"/>
        <w:tabs>
          <w:tab w:leader="none" w:pos="162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cause all such Registrable Securities to be listed on each securities exchange on which similar securities issued by the Company are then listed or, if no similar securities issued by the Company are then listed on any securities exchange, use its reasonable best efforts to cause all such Registrable Securities to be listed on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327" w:right="339" w:bottom="1440" w:gutter="0" w:footer="0" w:header="0"/>
        </w:sectPr>
      </w:pPr>
    </w:p>
    <w:bookmarkStart w:id="271" w:name="page272"/>
    <w:bookmarkEnd w:id="271"/>
    <w:p>
      <w:pPr>
        <w:ind w:left="-20" w:right="820" w:firstLine="1194"/>
        <w:spacing w:after="0" w:line="361" w:lineRule="auto"/>
        <w:tabs>
          <w:tab w:leader="none" w:pos="156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provide a transfer agent and registrar for all such Registrable Securities not later than the effective date of such Registration Statement, and, if required, obtain a CUSIP number for such Registrable Securities not later than such effective date;</w:t>
      </w:r>
    </w:p>
    <w:p>
      <w:pPr>
        <w:spacing w:after="0" w:line="83" w:lineRule="exact"/>
        <w:rPr>
          <w:rFonts w:ascii="Arial" w:cs="Arial" w:eastAsia="Arial" w:hAnsi="Arial"/>
          <w:sz w:val="17"/>
          <w:szCs w:val="17"/>
          <w:color w:val="auto"/>
        </w:rPr>
      </w:pPr>
    </w:p>
    <w:p>
      <w:pPr>
        <w:ind w:left="-20" w:firstLine="1194"/>
        <w:spacing w:after="0" w:line="254" w:lineRule="auto"/>
        <w:tabs>
          <w:tab w:leader="none" w:pos="1562"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enter into such customary agreements (including underwriting agreements with customary provisions in such forms as may be requested by the managing underwriters) and take all such other actions as the Selling Holders or the underwriters, if any, reasonably request in order to expedite or facilitate the disposition of such Registrable Securities (including, without limitation, effecting a share split or a combination of shares);</w:t>
      </w:r>
    </w:p>
    <w:p>
      <w:pPr>
        <w:spacing w:after="0" w:line="171" w:lineRule="exact"/>
        <w:rPr>
          <w:rFonts w:ascii="Arial" w:cs="Arial" w:eastAsia="Arial" w:hAnsi="Arial"/>
          <w:sz w:val="20"/>
          <w:szCs w:val="20"/>
          <w:color w:val="auto"/>
        </w:rPr>
      </w:pPr>
    </w:p>
    <w:p>
      <w:pPr>
        <w:ind w:left="-20" w:firstLine="1194"/>
        <w:spacing w:after="0" w:line="277" w:lineRule="auto"/>
        <w:tabs>
          <w:tab w:leader="none" w:pos="160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make available for inspection by any Selling Holder, Holders’ Counsel, any underwriter participating in any disposition pursuant to the applicable Registration Statement and any attorney, accountant or other agent retained by any such Selling Holder or underwriter all financial and other records, pertinent corporate documents and documents relating to the business of the Company reasonably requested by such Selling Holder, cause the Company’s officers, directors, employees and independent accountants to supply all information reasonably requested by any such Selling Holder, Holders’ Counsel, underwriter, attorney, accountant or agent in connection with such Registration Statement and make senior management of the Company available for customary due diligence and drafting activity;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Person gaining access to information or personnel pursuant to this </w:t>
      </w:r>
      <w:r>
        <w:rPr>
          <w:rFonts w:ascii="Arial" w:cs="Arial" w:eastAsia="Arial" w:hAnsi="Arial"/>
          <w:sz w:val="18"/>
          <w:szCs w:val="18"/>
          <w:u w:val="single" w:color="auto"/>
          <w:color w:val="auto"/>
        </w:rPr>
        <w:t>Section 2.06(k)</w:t>
      </w:r>
      <w:r>
        <w:rPr>
          <w:rFonts w:ascii="Arial" w:cs="Arial" w:eastAsia="Arial" w:hAnsi="Arial"/>
          <w:sz w:val="18"/>
          <w:szCs w:val="18"/>
          <w:color w:val="auto"/>
        </w:rPr>
        <w:t xml:space="preserve"> shall (i) reasonably cooperate with the Company to limit any resulting disruption to the Company’s business and (ii) agree to use reasonable efforts to protect the confidentiality of any information regarding the Company which the Company determines in good faith to be confidential, and of which determination such Person is notified, unless (A) the release of such information is requested or required by deposition, interrogatory, requests for information or documents by a governmental entity, subpoena or similar process, (B) the release of such information, in the opinion of such Person, is required to be released by law or applicable legal process, (C) such information is or becomes publicly known without a breach of this Agreement, (D) such information is or becomes available to such Person on a non-confidential basis from a source other than the Company or (E) such information is independently developed by such Person. In the case of a proposed disclosure pursuant to (A) or (B) above, such Person shall be required to give the Company written notice of the proposed disclosure prior to such disclosure and, if requested by the Company, assist the Company in seeking to prevent or limit the proposed disclosure;</w:t>
      </w:r>
    </w:p>
    <w:p>
      <w:pPr>
        <w:spacing w:after="0" w:line="159" w:lineRule="exact"/>
        <w:rPr>
          <w:rFonts w:ascii="Arial" w:cs="Arial" w:eastAsia="Arial" w:hAnsi="Arial"/>
          <w:sz w:val="18"/>
          <w:szCs w:val="18"/>
          <w:color w:val="auto"/>
        </w:rPr>
      </w:pPr>
    </w:p>
    <w:p>
      <w:pPr>
        <w:ind w:left="-20" w:right="400" w:firstLine="1194"/>
        <w:spacing w:after="0" w:line="252" w:lineRule="auto"/>
        <w:tabs>
          <w:tab w:leader="none" w:pos="1562" w:val="left"/>
        </w:tabs>
        <w:numPr>
          <w:ilvl w:val="0"/>
          <w:numId w:val="165"/>
        </w:numPr>
        <w:rPr>
          <w:rFonts w:ascii="Arial" w:cs="Arial" w:eastAsia="Arial" w:hAnsi="Arial"/>
          <w:sz w:val="20"/>
          <w:szCs w:val="20"/>
          <w:color w:val="auto"/>
        </w:rPr>
      </w:pPr>
      <w:r>
        <w:rPr>
          <w:rFonts w:ascii="Arial" w:cs="Arial" w:eastAsia="Arial" w:hAnsi="Arial"/>
          <w:sz w:val="20"/>
          <w:szCs w:val="20"/>
          <w:color w:val="auto"/>
        </w:rPr>
        <w:t>otherwise use its reasonable best efforts to comply with all applicable rules and regulations of the SEC, and make available to its security holders, as soon as reasonably practicable, an earnings statement covering the period of at least twelve months beginning with the first day of the Company’s first full calendar quarter after the effective date of the applicable Registration Statement, which earnings statement will satisfy the provisions of Section 11(a) of the U.S. Securities Act (including, at the Company’s option, Rule 158 thereunder);</w:t>
      </w:r>
    </w:p>
    <w:p>
      <w:pPr>
        <w:spacing w:after="0" w:line="173" w:lineRule="exact"/>
        <w:rPr>
          <w:rFonts w:ascii="Arial" w:cs="Arial" w:eastAsia="Arial" w:hAnsi="Arial"/>
          <w:sz w:val="20"/>
          <w:szCs w:val="20"/>
          <w:color w:val="auto"/>
        </w:rPr>
      </w:pPr>
    </w:p>
    <w:p>
      <w:pPr>
        <w:ind w:left="-20" w:right="20" w:firstLine="1194"/>
        <w:spacing w:after="0" w:line="327" w:lineRule="auto"/>
        <w:tabs>
          <w:tab w:leader="none" w:pos="170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case of an Underwritten Offering, promptly incorporate in a prospectus supplement or post-effective amendment such information as the managing underwriters or any Selling Holder reasonably requests to be included therein,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00"/>
          </w:cols>
          <w:pgMar w:left="340" w:top="1327" w:right="359" w:bottom="1440" w:gutter="0" w:footer="0" w:header="0"/>
        </w:sectPr>
      </w:pPr>
    </w:p>
    <w:bookmarkStart w:id="272" w:name="page273"/>
    <w:bookmarkEnd w:id="272"/>
    <w:p>
      <w:pPr>
        <w:ind w:right="400"/>
        <w:spacing w:after="0" w:line="271" w:lineRule="auto"/>
        <w:rPr>
          <w:sz w:val="20"/>
          <w:szCs w:val="20"/>
          <w:color w:val="auto"/>
        </w:rPr>
      </w:pPr>
      <w:r>
        <w:rPr>
          <w:rFonts w:ascii="Arial" w:cs="Arial" w:eastAsia="Arial" w:hAnsi="Arial"/>
          <w:sz w:val="20"/>
          <w:szCs w:val="20"/>
          <w:color w:val="auto"/>
        </w:rPr>
        <w:t>being paid therefor by the underwriters and any other terms of the Underwritten Offering of the Registrable Securities to be sold in such offering, and promptly make all required filings of such prospectus supplement or post-effective amendment;</w:t>
      </w:r>
    </w:p>
    <w:p>
      <w:pPr>
        <w:spacing w:after="0" w:line="153" w:lineRule="exact"/>
        <w:rPr>
          <w:sz w:val="20"/>
          <w:szCs w:val="20"/>
          <w:color w:val="auto"/>
        </w:rPr>
      </w:pPr>
    </w:p>
    <w:p>
      <w:pPr>
        <w:jc w:val="both"/>
        <w:ind w:right="220" w:firstLine="1194"/>
        <w:spacing w:after="0" w:line="278" w:lineRule="auto"/>
        <w:tabs>
          <w:tab w:leader="none" w:pos="162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in the event of the issuance of any stop order suspending the effectiveness of a Registration Statement, or of any order suspending or preventing the use of any related prospectus or ceasing trading of any securities included in such Registration Statement for sale in any jurisdiction, use every reasonable effort to promptly obtain the withdrawal of such order;</w:t>
      </w:r>
    </w:p>
    <w:p>
      <w:pPr>
        <w:spacing w:after="0" w:line="149" w:lineRule="exact"/>
        <w:rPr>
          <w:rFonts w:ascii="Arial" w:cs="Arial" w:eastAsia="Arial" w:hAnsi="Arial"/>
          <w:sz w:val="19"/>
          <w:szCs w:val="19"/>
          <w:color w:val="auto"/>
        </w:rPr>
      </w:pPr>
    </w:p>
    <w:p>
      <w:pPr>
        <w:ind w:right="120" w:firstLine="1194"/>
        <w:spacing w:after="0" w:line="250" w:lineRule="auto"/>
        <w:tabs>
          <w:tab w:leader="none" w:pos="162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make senior management of the Company available to assist to the extent reasonably requested by the managing underwriters of any Underwritten Offering to be made pursuant to such registration in the marketing of the Registrable Securities to be sold in the Underwritten Offering, including the participation of such members of the Company’s senior management in “road show” presentations and other customary marketing activities, including “one-on-one” meetings with prospective purchasers of the Registrable Securities to be sold in the Underwritten Offering, and otherwise to facilitate, cooperate with, and participate in each proposed offering contemplated herein and customary selling efforts related thereto, in each case to the same extent as if the Company were engaged in a primary registered offering of its Common Stock;</w:t>
      </w:r>
    </w:p>
    <w:p>
      <w:pPr>
        <w:spacing w:after="0" w:line="177" w:lineRule="exact"/>
        <w:rPr>
          <w:rFonts w:ascii="Arial" w:cs="Arial" w:eastAsia="Arial" w:hAnsi="Arial"/>
          <w:sz w:val="20"/>
          <w:szCs w:val="20"/>
          <w:color w:val="auto"/>
        </w:rPr>
      </w:pPr>
    </w:p>
    <w:p>
      <w:pPr>
        <w:ind w:firstLine="1194"/>
        <w:spacing w:after="0" w:line="266" w:lineRule="auto"/>
        <w:tabs>
          <w:tab w:leader="none" w:pos="162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use reasonable best efforts to: (i) obtain all consents of independent public accountants required to be included in the Registration Statement and (ii) in connection with each offering and sale of Registrable Securities, obtain one or more comfort letters, addressed to the underwriters and to the Selling Holders, dated the date of the underwriting agreement for such offering and the date of each closing under the underwriting agreement for such offering, signed by the Company’s independent public accountants in customary form and covering such matters of the type customarily covered by comfort letters as the underwriters or the members of the Leonardo Affiliated Group that are Selling Holders in such offering, if any, or otherwise by the Holders of a majority of the Registrable Securities being sold in such offering, as applicable, reasonably request;</w:t>
      </w:r>
    </w:p>
    <w:p>
      <w:pPr>
        <w:spacing w:after="0" w:line="158" w:lineRule="exact"/>
        <w:rPr>
          <w:rFonts w:ascii="Arial" w:cs="Arial" w:eastAsia="Arial" w:hAnsi="Arial"/>
          <w:sz w:val="19"/>
          <w:szCs w:val="19"/>
          <w:color w:val="auto"/>
        </w:rPr>
      </w:pPr>
    </w:p>
    <w:p>
      <w:pPr>
        <w:ind w:right="140" w:firstLine="1194"/>
        <w:spacing w:after="0" w:line="284" w:lineRule="auto"/>
        <w:tabs>
          <w:tab w:leader="none" w:pos="162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use reasonable best efforts to obtain: (i) all legal opinions from Company Outside Counsel (or internal counsel if acceptable to the managing underwriters) required to be included in the Registration Statement and (ii) in connection with each closing of a sale of Registrable Securities, legal opinions from Company Outside Counsel (or internal counsel if acceptable to the managing underwriters), addressed to the underwriters and the Selling Holders, dated as of the date of such closing, with respect to the Registration Statement, each amendment and supplement thereto (including the preliminary prospectus) and such other documents relating thereto in customary form and covering such matters of the type customarily covered by legal opinions of such nature;</w:t>
      </w:r>
    </w:p>
    <w:p>
      <w:pPr>
        <w:spacing w:after="0" w:line="148" w:lineRule="exact"/>
        <w:rPr>
          <w:rFonts w:ascii="Arial" w:cs="Arial" w:eastAsia="Arial" w:hAnsi="Arial"/>
          <w:sz w:val="18"/>
          <w:szCs w:val="18"/>
          <w:color w:val="auto"/>
        </w:rPr>
      </w:pPr>
    </w:p>
    <w:p>
      <w:pPr>
        <w:ind w:right="120" w:firstLine="1194"/>
        <w:spacing w:after="0" w:line="254" w:lineRule="auto"/>
        <w:tabs>
          <w:tab w:leader="none" w:pos="159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upon the occurrence of any event contemplated by </w:t>
      </w:r>
      <w:r>
        <w:rPr>
          <w:rFonts w:ascii="Arial" w:cs="Arial" w:eastAsia="Arial" w:hAnsi="Arial"/>
          <w:sz w:val="20"/>
          <w:szCs w:val="20"/>
          <w:u w:val="single" w:color="auto"/>
          <w:color w:val="auto"/>
        </w:rPr>
        <w:t>Section 2.06(f)</w:t>
      </w:r>
      <w:r>
        <w:rPr>
          <w:rFonts w:ascii="Arial" w:cs="Arial" w:eastAsia="Arial" w:hAnsi="Arial"/>
          <w:sz w:val="20"/>
          <w:szCs w:val="20"/>
          <w:color w:val="auto"/>
        </w:rPr>
        <w:t xml:space="preserve">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327" w:right="339" w:bottom="1440" w:gutter="0" w:footer="0" w:header="0"/>
        </w:sectPr>
      </w:pPr>
    </w:p>
    <w:bookmarkStart w:id="273" w:name="page274"/>
    <w:bookmarkEnd w:id="273"/>
    <w:p>
      <w:pPr>
        <w:spacing w:after="0" w:line="271" w:lineRule="auto"/>
        <w:rPr>
          <w:sz w:val="20"/>
          <w:szCs w:val="20"/>
          <w:color w:val="auto"/>
        </w:rPr>
      </w:pPr>
      <w:r>
        <w:rPr>
          <w:rFonts w:ascii="Arial" w:cs="Arial" w:eastAsia="Arial" w:hAnsi="Arial"/>
          <w:sz w:val="20"/>
          <w:szCs w:val="20"/>
          <w:color w:val="auto"/>
        </w:rPr>
        <w:t>an untrue statement of a material fact or omit to state a material fact required to be stated therein or necessary to make the statements therein, in the light of the circumstances under which they were made, not misleading;</w:t>
      </w:r>
    </w:p>
    <w:p>
      <w:pPr>
        <w:spacing w:after="0" w:line="153" w:lineRule="exact"/>
        <w:rPr>
          <w:sz w:val="20"/>
          <w:szCs w:val="20"/>
          <w:color w:val="auto"/>
        </w:rPr>
      </w:pPr>
    </w:p>
    <w:p>
      <w:pPr>
        <w:ind w:right="220" w:firstLine="1194"/>
        <w:spacing w:after="0" w:line="327" w:lineRule="auto"/>
        <w:tabs>
          <w:tab w:leader="none" w:pos="160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reasonably cooperate with each seller of Registrable Securities and each underwriter or agent participating in the disposition of such Registrable Securities and their respective counsel in connection with any filings required to be made with the FINRA;</w:t>
      </w:r>
    </w:p>
    <w:p>
      <w:pPr>
        <w:spacing w:after="0" w:line="107" w:lineRule="exact"/>
        <w:rPr>
          <w:rFonts w:ascii="Arial" w:cs="Arial" w:eastAsia="Arial" w:hAnsi="Arial"/>
          <w:sz w:val="18"/>
          <w:szCs w:val="18"/>
          <w:color w:val="auto"/>
        </w:rPr>
      </w:pPr>
    </w:p>
    <w:p>
      <w:pPr>
        <w:ind w:firstLine="1194"/>
        <w:spacing w:after="0" w:line="327" w:lineRule="auto"/>
        <w:tabs>
          <w:tab w:leader="none" w:pos="158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take no direct or indirect action prohibited by Regulation M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prohibition is applicable to the Company, the Company will take all reasonable action to make such prohibition inapplicable; and</w:t>
      </w:r>
    </w:p>
    <w:p>
      <w:pPr>
        <w:spacing w:after="0" w:line="107" w:lineRule="exact"/>
        <w:rPr>
          <w:rFonts w:ascii="Arial" w:cs="Arial" w:eastAsia="Arial" w:hAnsi="Arial"/>
          <w:sz w:val="18"/>
          <w:szCs w:val="18"/>
          <w:color w:val="auto"/>
        </w:rPr>
      </w:pPr>
    </w:p>
    <w:p>
      <w:pPr>
        <w:ind w:right="140" w:firstLine="1194"/>
        <w:spacing w:after="0" w:line="258" w:lineRule="auto"/>
        <w:tabs>
          <w:tab w:leader="none" w:pos="162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use its reasonable best efforts to take or cause to be taken all other actions, and do and cause to be done all other things necessary or reasonably advisable in the opinion of Holders’ Counsel to effect the registration, marketing and sale of such Registrable Securities.</w:t>
      </w:r>
    </w:p>
    <w:p>
      <w:pPr>
        <w:spacing w:after="0" w:line="167" w:lineRule="exact"/>
        <w:rPr>
          <w:sz w:val="20"/>
          <w:szCs w:val="20"/>
          <w:color w:val="auto"/>
        </w:rPr>
      </w:pPr>
    </w:p>
    <w:p>
      <w:pPr>
        <w:ind w:right="60" w:firstLine="597"/>
        <w:spacing w:after="0" w:line="267" w:lineRule="auto"/>
        <w:rPr>
          <w:sz w:val="20"/>
          <w:szCs w:val="20"/>
          <w:color w:val="auto"/>
        </w:rPr>
      </w:pPr>
      <w:r>
        <w:rPr>
          <w:rFonts w:ascii="Arial" w:cs="Arial" w:eastAsia="Arial" w:hAnsi="Arial"/>
          <w:sz w:val="19"/>
          <w:szCs w:val="19"/>
          <w:color w:val="auto"/>
        </w:rPr>
        <w:t>The Company agrees not to file or make any amendment to any Registration Statement with respect to any Registrable Securities, or any amendment of or supplement to the prospectus used in connection therewith, that refers to any Holder covered thereby by name, or otherwise identifies such Holder as the holder of any securities of the Company, without the consent of such Holder, such consent not to be unreasonably withheld or delayed, unless and to the extent such disclosure is required by law, rule or regulation, in which case the Company shall provide prompt written notice to such Holders prior to the filing of such amendment to any Registration Statement or amendment of or supplement to such prospectus or any free writing prospectus.</w:t>
      </w:r>
    </w:p>
    <w:p>
      <w:pPr>
        <w:spacing w:after="0" w:line="159" w:lineRule="exact"/>
        <w:rPr>
          <w:sz w:val="20"/>
          <w:szCs w:val="20"/>
          <w:color w:val="auto"/>
        </w:rPr>
      </w:pPr>
    </w:p>
    <w:p>
      <w:pPr>
        <w:ind w:right="60" w:firstLine="597"/>
        <w:spacing w:after="0" w:line="258" w:lineRule="auto"/>
        <w:rPr>
          <w:sz w:val="20"/>
          <w:szCs w:val="20"/>
          <w:color w:val="auto"/>
        </w:rPr>
      </w:pPr>
      <w:r>
        <w:rPr>
          <w:rFonts w:ascii="Arial" w:cs="Arial" w:eastAsia="Arial" w:hAnsi="Arial"/>
          <w:sz w:val="20"/>
          <w:szCs w:val="20"/>
          <w:color w:val="auto"/>
        </w:rPr>
        <w:t>Each Holder of Registrable Securities as to which any registration is being effected shall furnish the Company with such information regarding such Holder and pertinent to the disclosure requirements relating to the registration and the distribution of such securities as the Company may from time to time reasonably request in writing.</w:t>
      </w:r>
    </w:p>
    <w:p>
      <w:pPr>
        <w:spacing w:after="0" w:line="167" w:lineRule="exact"/>
        <w:rPr>
          <w:sz w:val="20"/>
          <w:szCs w:val="20"/>
          <w:color w:val="auto"/>
        </w:rPr>
      </w:pPr>
    </w:p>
    <w:p>
      <w:pPr>
        <w:ind w:right="20" w:firstLine="597"/>
        <w:spacing w:after="0" w:line="269" w:lineRule="auto"/>
        <w:rPr>
          <w:sz w:val="20"/>
          <w:szCs w:val="20"/>
          <w:color w:val="auto"/>
        </w:rPr>
      </w:pPr>
      <w:r>
        <w:rPr>
          <w:rFonts w:ascii="Arial" w:cs="Arial" w:eastAsia="Arial" w:hAnsi="Arial"/>
          <w:sz w:val="19"/>
          <w:szCs w:val="19"/>
          <w:color w:val="auto"/>
        </w:rPr>
        <w:t>If the Company files any Shelf Registration Statement for the benefit of the holders of any of its securities other than the Holders, the Company agrees that it shall use its reasonable best efforts to include in such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15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7"/>
          <w:szCs w:val="17"/>
          <w:u w:val="single" w:color="auto"/>
          <w:color w:val="auto"/>
        </w:rPr>
        <w:t>Registration Expenses</w:t>
      </w:r>
      <w:r>
        <w:rPr>
          <w:rFonts w:ascii="Arial" w:cs="Arial" w:eastAsia="Arial" w:hAnsi="Arial"/>
          <w:sz w:val="17"/>
          <w:szCs w:val="17"/>
          <w:color w:val="auto"/>
        </w:rPr>
        <w:t>.</w:t>
      </w:r>
    </w:p>
    <w:p>
      <w:pPr>
        <w:spacing w:after="0" w:line="206" w:lineRule="exact"/>
        <w:rPr>
          <w:sz w:val="20"/>
          <w:szCs w:val="20"/>
          <w:color w:val="auto"/>
        </w:rPr>
      </w:pPr>
    </w:p>
    <w:p>
      <w:pPr>
        <w:ind w:firstLine="597"/>
        <w:spacing w:after="0" w:line="252" w:lineRule="auto"/>
        <w:rPr>
          <w:sz w:val="20"/>
          <w:szCs w:val="20"/>
          <w:color w:val="auto"/>
        </w:rPr>
      </w:pPr>
      <w:r>
        <w:rPr>
          <w:rFonts w:ascii="Arial" w:cs="Arial" w:eastAsia="Arial" w:hAnsi="Arial"/>
          <w:sz w:val="20"/>
          <w:szCs w:val="20"/>
          <w:color w:val="auto"/>
        </w:rPr>
        <w:t>Whether or not any Registration Statement is filed or becomes effective, all costs, fees and expenses incident to the Company’s performance of or compliance with this Agreement in connection with the preparation of such Registration Statement and the transactions contemplated thereby, including (i) all registration and filing fees, (ii) all fees and expenses associated with filings to be made with any securities exchange or with any other governmental or quasi-governmental authority; (iii) all fees and expenses of compliance with securities or blue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327" w:right="339" w:bottom="1440" w:gutter="0" w:footer="0" w:header="0"/>
        </w:sectPr>
      </w:pPr>
    </w:p>
    <w:bookmarkStart w:id="274" w:name="page275"/>
    <w:bookmarkEnd w:id="274"/>
    <w:p>
      <w:pPr>
        <w:jc w:val="both"/>
        <w:ind w:right="120"/>
        <w:spacing w:after="0" w:line="278" w:lineRule="auto"/>
        <w:rPr>
          <w:sz w:val="20"/>
          <w:szCs w:val="20"/>
          <w:color w:val="auto"/>
        </w:rPr>
      </w:pPr>
      <w:r>
        <w:rPr>
          <w:rFonts w:ascii="Arial" w:cs="Arial" w:eastAsia="Arial" w:hAnsi="Arial"/>
          <w:sz w:val="18"/>
          <w:szCs w:val="18"/>
          <w:color w:val="auto"/>
        </w:rPr>
        <w:t>sky laws, including reasonable fees and disbursements of counsel in connection therewith, (iv) all printing expenses (including expenses of printing certificates for Registrable Securities and of printing prospectuses if the printing of prospectuses is requested by the Holders or the managing underwriters, if any), (v) all “road show” expenses incurred in respect of any Underwritten Offering, including all costs of travel, lodging and meals, (vi) all messenger, telephone and delivery expenses, (vii) all fees and disbursements of Company Outside Counsel,</w:t>
      </w:r>
    </w:p>
    <w:p>
      <w:pPr>
        <w:spacing w:after="0" w:line="3" w:lineRule="exact"/>
        <w:rPr>
          <w:sz w:val="20"/>
          <w:szCs w:val="20"/>
          <w:color w:val="auto"/>
        </w:rPr>
      </w:pPr>
    </w:p>
    <w:p>
      <w:pPr>
        <w:spacing w:after="0" w:line="276" w:lineRule="auto"/>
        <w:tabs>
          <w:tab w:leader="none" w:pos="4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fees and disbursements of all independent certified public accountants of the Company (including expenses of any “cold comfort” letters required in connection with this Agreement) and all other persons, including special experts, retained by the Company in connection with such Registration Statement, (ix) all reasonable fees and disbursements of underwriters (other than Selling Expenses) customarily paid by the issuers or sellers of securities and, (x) all other costs, fees and expenses incident to the Company’s performance or compliance with this Agreement (all such costs, fees and expenses,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shall be borne by the Selling Holders whose Registrable Securities are registered thereby, in proportion to the number of Registrable Securities to be sold by them pursuant to such Registration Statement. Notwithstanding the foregoing, (x) all expenses incident to any Piggyback Registration, including the Registration Expenses (but not including any underwriting discounts or commissions attributable to the sale of Registrable Securities or fees and expenses of counsel representing any underwriters or other distributors), shall be borne by the Company and the Selling Holders whose Registrable Securities are included in such Piggyback Registration in proportion to the number of Shares to be sold by the Company and Registrable Securities to be sold by the Selling Holders, and (y) all Registration Expenses incident to the first Registration Statement filed during any one-year period shall be borne by the Company. Each of the Company and the Selling Holders will, in any event, pay their respective internal expenses (including, without limitation, all salaries and expenses of its officers and employees performing legal or accounting duties), the expenses of any annual audit or quarterly review and the expenses of any liability insurance.</w:t>
      </w:r>
    </w:p>
    <w:p>
      <w:pPr>
        <w:spacing w:after="0" w:line="16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9"/>
          <w:szCs w:val="19"/>
          <w:u w:val="single" w:color="auto"/>
          <w:color w:val="auto"/>
        </w:rPr>
        <w:t>Underwritten Offering</w:t>
      </w:r>
      <w:r>
        <w:rPr>
          <w:rFonts w:ascii="Arial" w:cs="Arial" w:eastAsia="Arial" w:hAnsi="Arial"/>
          <w:sz w:val="19"/>
          <w:szCs w:val="19"/>
          <w:color w:val="auto"/>
        </w:rPr>
        <w:t>.</w:t>
      </w:r>
    </w:p>
    <w:p>
      <w:pPr>
        <w:spacing w:after="0" w:line="206" w:lineRule="exact"/>
        <w:rPr>
          <w:sz w:val="20"/>
          <w:szCs w:val="20"/>
          <w:color w:val="auto"/>
        </w:rPr>
      </w:pPr>
    </w:p>
    <w:p>
      <w:pPr>
        <w:ind w:right="20" w:firstLine="1194"/>
        <w:spacing w:after="0" w:line="263" w:lineRule="auto"/>
        <w:tabs>
          <w:tab w:leader="none" w:pos="161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No Holder may participate in any registration hereunder that is an Underwritten Offering unless such Holder (i) agrees to sell its Registrable Securities on the basis provided in any underwriting arrangements approved by the Persons entitled hereunder to approve such arrangements (including, without limitation, pursuant to the terms of any over-allotment or “green shoe” option requested by the managing underwriters;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Holder will be required to sell more than the number of Registrable Securities that such Holder has requested the Company to include in any registration), (ii) completes and executes all questionnaires, powers of attorney, indemnities, underwriting agreements and other documents reasonably required under the terms of such underwriting arrangements, and (iii) cooperates with the Company’s reasonable requests in connection with such registration or qualification (it being understood that the Company’s failure to perform its obligations hereunder, which failure is caused by such Holder’s failure to cooperate, will not constitute a breach by the Company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Holder shall be required to make any representations or warranties in connection with any such registration other than representations and warranties as to (A) such Holder’s ownership of Registrable Securities to be transferred free and clear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20"/>
          </w:cols>
          <w:pgMar w:left="320" w:top="1327" w:right="359" w:bottom="1440" w:gutter="0" w:footer="0" w:header="0"/>
        </w:sectPr>
      </w:pPr>
    </w:p>
    <w:bookmarkStart w:id="275" w:name="page276"/>
    <w:bookmarkEnd w:id="275"/>
    <w:p>
      <w:pPr>
        <w:ind w:right="20"/>
        <w:spacing w:after="0" w:line="251" w:lineRule="auto"/>
        <w:rPr>
          <w:sz w:val="20"/>
          <w:szCs w:val="20"/>
          <w:color w:val="auto"/>
        </w:rPr>
      </w:pPr>
      <w:r>
        <w:rPr>
          <w:rFonts w:ascii="Arial" w:cs="Arial" w:eastAsia="Arial" w:hAnsi="Arial"/>
          <w:sz w:val="20"/>
          <w:szCs w:val="20"/>
          <w:color w:val="auto"/>
        </w:rPr>
        <w:t xml:space="preserve">liens, claims, and encumbrances created by such Holder and (B) such Holder’s power and authority to effect such transfer;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any obligation of such Holder to indemnify any Person pursuant to any underwriting agreement shall be several, not joint and several, and such liability shall be limited to the net proceeds received by such Holder, as applicable, from the sale of Registrable Securities pursuant to such registration (which proceeds shall include the amount of cash or the fair market value of any assets in exchange for the sale or exchange of such Registrable Securities or that are the subject of a distribution), and the relative liability of each such Holder shall be in proportion to such net proceeds.</w:t>
      </w:r>
    </w:p>
    <w:p>
      <w:pPr>
        <w:spacing w:after="0" w:line="175"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7"/>
          <w:szCs w:val="17"/>
          <w:u w:val="single" w:color="auto"/>
          <w:color w:val="auto"/>
        </w:rPr>
        <w:t>Suspension of Registration</w:t>
      </w:r>
      <w:r>
        <w:rPr>
          <w:rFonts w:ascii="Arial" w:cs="Arial" w:eastAsia="Arial" w:hAnsi="Arial"/>
          <w:sz w:val="17"/>
          <w:szCs w:val="17"/>
          <w:color w:val="auto"/>
        </w:rPr>
        <w:t>.</w:t>
      </w:r>
    </w:p>
    <w:p>
      <w:pPr>
        <w:spacing w:after="0" w:line="206" w:lineRule="exact"/>
        <w:rPr>
          <w:sz w:val="20"/>
          <w:szCs w:val="20"/>
          <w:color w:val="auto"/>
        </w:rPr>
      </w:pPr>
    </w:p>
    <w:p>
      <w:pPr>
        <w:ind w:right="20" w:firstLine="597"/>
        <w:spacing w:after="0" w:line="278" w:lineRule="auto"/>
        <w:rPr>
          <w:sz w:val="20"/>
          <w:szCs w:val="20"/>
          <w:color w:val="auto"/>
        </w:rPr>
      </w:pPr>
      <w:r>
        <w:rPr>
          <w:rFonts w:ascii="Arial" w:cs="Arial" w:eastAsia="Arial" w:hAnsi="Arial"/>
          <w:sz w:val="18"/>
          <w:szCs w:val="18"/>
          <w:color w:val="auto"/>
        </w:rPr>
        <w:t>In the event of a Material Disclosure Event at the time of the filing, initial effectiveness or continued use of a Registration Statement, including a Shelf Registration Statement, the Company may, upon giving at least 10 days’ prior written notice of such action to the Holders delay the filing or initial effectiveness of, or suspend use of, such Registration Statement (a “</w:t>
      </w:r>
      <w:r>
        <w:rPr>
          <w:rFonts w:ascii="Arial" w:cs="Arial" w:eastAsia="Arial" w:hAnsi="Arial"/>
          <w:sz w:val="18"/>
          <w:szCs w:val="18"/>
          <w:u w:val="single" w:color="auto"/>
          <w:color w:val="auto"/>
        </w:rPr>
        <w:t>Suspension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permitted to exercise a Suspension (i) more than twice during any 12-month period, (ii) for a period exceeding 60 days on any one occasion, (iii) unless for the full period of the Suspension, the Company does not offer or sell securities for its own account, does not permit registered sales by any holder of its securities and prohibits offers and sales by its directors and officers, or (iv) at any time within seven days prior to the anticipated pricing of an Underwritten Offering pursuant to a Demand Registration or within 35 days after the pricing of such an Underwritten Offering. In the case of a Suspension, the Holders will suspend use of the applicable prospectus in connection with any sale or purchase of, or offer to sell or purchase, Registrable Securities, upon receipt of the notice referred to above. In connection with a Demand Registration, prior to the termination of any Suspension, the Holder that made the request for Demand Registration will be entitled to withdraw its Demand Notice. Upon receipt of notices from all Holders of Registrable Securities included in such Registration Statement to such effect, the Company shall cease all efforts to secure effectiveness of the applicable Registration Statement. The Company shall immediately notify the Holders upon the termination of any Suspension.</w:t>
      </w:r>
    </w:p>
    <w:p>
      <w:pPr>
        <w:spacing w:after="0" w:line="156"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06" w:lineRule="exact"/>
        <w:rPr>
          <w:sz w:val="20"/>
          <w:szCs w:val="20"/>
          <w:color w:val="auto"/>
        </w:rPr>
      </w:pPr>
    </w:p>
    <w:p>
      <w:pPr>
        <w:ind w:firstLine="1194"/>
        <w:spacing w:after="0" w:line="264" w:lineRule="auto"/>
        <w:tabs>
          <w:tab w:leader="none" w:pos="161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Company agrees to indemnify and hold harmless to the fullest extent permitted by law, each Holder, any Person who is or might be deemed to be a controlling person of the Company or any of its subsidiaries within the meaning of Section 15 of the Securities Act or Section 20 of the Exchange Act their respective direct and indirect general and limited partners, advisory board members, directors, officers, trustees, managers, members, agents, Affiliates and shareholders, and each other Person, if any, who controls any such Holder or controlling person within the meaning of Section 15 of the Securities Act or Section 20 of the Exchange Act (each such person being referred to herein as a “</w:t>
      </w:r>
      <w:r>
        <w:rPr>
          <w:rFonts w:ascii="Arial" w:cs="Arial" w:eastAsia="Arial" w:hAnsi="Arial"/>
          <w:sz w:val="19"/>
          <w:szCs w:val="19"/>
          <w:u w:val="single" w:color="auto"/>
          <w:color w:val="auto"/>
        </w:rPr>
        <w:t>Covered Person</w:t>
      </w:r>
      <w:r>
        <w:rPr>
          <w:rFonts w:ascii="Arial" w:cs="Arial" w:eastAsia="Arial" w:hAnsi="Arial"/>
          <w:sz w:val="19"/>
          <w:szCs w:val="19"/>
          <w:color w:val="auto"/>
        </w:rPr>
        <w:t>”) against, and pay and reimburse such Covered Persons for any losses, claims, damages, liabilities, joint or several, costs (including, without limitation, costs of preparation and reasonable attorneys’ fees and any legal or other fees or expenses incurred by such Covered Person in connections with any investigation or proceeding), expenses, judgments, fines, penalties, charges and amounts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20" w:top="1327" w:right="359" w:bottom="1440" w:gutter="0" w:footer="0" w:header="0"/>
        </w:sectPr>
      </w:pPr>
    </w:p>
    <w:bookmarkStart w:id="276" w:name="page277"/>
    <w:bookmarkEnd w:id="276"/>
    <w:p>
      <w:pPr>
        <w:spacing w:after="0" w:line="276" w:lineRule="auto"/>
        <w:rPr>
          <w:sz w:val="20"/>
          <w:szCs w:val="20"/>
          <w:color w:val="auto"/>
        </w:rPr>
      </w:pPr>
      <w:r>
        <w:rPr>
          <w:rFonts w:ascii="Arial" w:cs="Arial" w:eastAsia="Arial" w:hAnsi="Arial"/>
          <w:sz w:val="18"/>
          <w:szCs w:val="18"/>
          <w:color w:val="auto"/>
        </w:rPr>
        <w:t>settlement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and, individually, each a “</w:t>
      </w:r>
      <w:r>
        <w:rPr>
          <w:rFonts w:ascii="Arial" w:cs="Arial" w:eastAsia="Arial" w:hAnsi="Arial"/>
          <w:sz w:val="18"/>
          <w:szCs w:val="18"/>
          <w:u w:val="single" w:color="auto"/>
          <w:color w:val="auto"/>
        </w:rPr>
        <w:t>Loss</w:t>
      </w:r>
      <w:r>
        <w:rPr>
          <w:rFonts w:ascii="Arial" w:cs="Arial" w:eastAsia="Arial" w:hAnsi="Arial"/>
          <w:sz w:val="18"/>
          <w:szCs w:val="18"/>
          <w:color w:val="auto"/>
        </w:rPr>
        <w:t xml:space="preserve">”) to which such Covered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or incorporated by reference in any Registration Statement, prospectus, preliminary prospectus or free writing prospectus, or any amendment thereof or supplement thereto, or any document incorporated by reference therein, or any other such disclosure document (including reports and other documents filed under the Exchange Act and any document incorporated by reference therein) or other document or report, (ii) any omission or alleged omission of a material fact required to be stated therein or necessary to make the statements therein not misleading, or (iii) any violation by the Company of any rule or regulation promulgated under the Securities Act or any state securities laws applicable to the Company and relating to action or inaction required of the Company in connection with any such registration, and the Company will pay and reimburse such Covered Persons for any legal or any other expenses actually and reasonably incurred by them in connection with investigating, defending or settling any such loss, claim, liability, action or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liable in any such case to the extent that any such Loss (or action or proceeding in respect thereof) arises out of or is based upon an untrue statement or alleged untrue statement, or omission or alleged omission, made or incorporated by reference in such Registration Statement, any such prospectus, preliminary prospectus or free writing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 in any application in reliance upon, and in conformity with, the Selling Holder Information. In connection with an Underwritten Offering, the Company, if requested, will indemnify the underwriters, their officers and directors and each Person who controls such underwriters (within the meaning of the Securities Act) to the same extent as provided above with respect to the indemnification of the Covered Persons and in such other manner as the underwriters may request in accordance with their standard practice.</w:t>
      </w:r>
    </w:p>
    <w:p>
      <w:pPr>
        <w:spacing w:after="0" w:line="167" w:lineRule="exact"/>
        <w:rPr>
          <w:sz w:val="20"/>
          <w:szCs w:val="20"/>
          <w:color w:val="auto"/>
        </w:rPr>
      </w:pPr>
    </w:p>
    <w:p>
      <w:pPr>
        <w:ind w:firstLine="1194"/>
        <w:spacing w:after="0" w:line="263" w:lineRule="auto"/>
        <w:tabs>
          <w:tab w:leader="none" w:pos="162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In connection with any Registration Statement in which a Holder is participating, each such Holder will indemnify and hold harmless the Company, its directors and officers, employees, agents and any Person who is or might be deemed to be a controlling person of the Company or any of its subsidiaries within the meaning of Section 15 of the Securities Act or Section 20 of the Exchange Act against any Losses to which such Holder or any such director or officer, any such underwriter or controlling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in the Registration Statement, prospectus, preliminary prospectus or free writing prospectus, or any amendment thereof or supplement thereto, or in any application or (ii) any omission or alleged omission of a material fact required to be stated therein or necessary to make the statements therein not misleading, but only to the extent that such untrue statement or omission is made in such Registration Statement, any such prospectus, preliminary prospectus or free writing prospectus, or any amendment or supplement thereto,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20"/>
          </w:cols>
          <w:pgMar w:left="320" w:top="1327" w:right="359" w:bottom="1440" w:gutter="0" w:footer="0" w:header="0"/>
        </w:sectPr>
      </w:pPr>
    </w:p>
    <w:bookmarkStart w:id="277" w:name="page278"/>
    <w:bookmarkEnd w:id="277"/>
    <w:p>
      <w:pPr>
        <w:spacing w:after="0" w:line="263" w:lineRule="auto"/>
        <w:rPr>
          <w:sz w:val="20"/>
          <w:szCs w:val="20"/>
          <w:color w:val="auto"/>
        </w:rPr>
      </w:pPr>
      <w:r>
        <w:rPr>
          <w:rFonts w:ascii="Arial" w:cs="Arial" w:eastAsia="Arial" w:hAnsi="Arial"/>
          <w:sz w:val="19"/>
          <w:szCs w:val="19"/>
          <w:color w:val="auto"/>
        </w:rPr>
        <w:t xml:space="preserve">any application, in reliance upon and in conformity with the Selling Holder Information (and except insofar as such Losses arise out of or are based upon any such untrue statement or omission or alleged untrue statement or omission based upon information relating to any underwriter furnished to the Company in writing by such underwriter expressly for use in such Registration Statement), and such Holder will reimburse the Company and each such director, officer, underwriter and controlling Person for any legal or any other expenses actually and reasonably incurred by them in connection with investigating, defending or settling any such loss, claim, liability, action or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obligations of such Holder hereunder shall not apply to amounts paid in settlement of any such Losses (or actions in respect thereof) if such settlement is effected without the consent of such Holder (which consent shall not be unreasonably withheld);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obligation to indemnify and hold harmless shall be individual and several to each Holder and shall be limited to the amount of net proceeds received by such Holder from the sale of Registrable Securities covered by such Registration Statement.</w:t>
      </w:r>
    </w:p>
    <w:p>
      <w:pPr>
        <w:spacing w:after="0" w:line="169" w:lineRule="exact"/>
        <w:rPr>
          <w:sz w:val="20"/>
          <w:szCs w:val="20"/>
          <w:color w:val="auto"/>
        </w:rPr>
      </w:pPr>
    </w:p>
    <w:p>
      <w:pPr>
        <w:ind w:firstLine="1194"/>
        <w:spacing w:after="0" w:line="276" w:lineRule="auto"/>
        <w:tabs>
          <w:tab w:leader="none" w:pos="160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Any Person entitled to indemnification hereunder shall give prompt written notice to the indemnifying party of any claim or the commencement of any proceeding with respect to which it seeks indemnification pursuant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delay or failure to so notify the indemnifying party shall relieve the indemnifying party of its obligations hereunder only to the extent, if at all, that it is actually and materially prejudiced by reason of such delay or failure. The indemnifying party shall have the right, exercisable by giving written notice to an indemnified party promptly after the receipt of written notice from such indemnified party of such claim or proceeding, to assume, at the indemnifying party’s expense, the defense of any such claim or proceeding, with counsel reasonably acceptable to such indemnified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indemnified party shall have the right to select and employ separate counsel and to participate in the defense of any such claim or proceeding, but the fees and expenses of such counsel shall be at the expense of such indemnified party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(A) the indemnifying party has agreed in writing to pay such fees or expenses or (B) the indemnifying party shall have failed to assume, or in the event of a conflict of interest cannot assume, the defense of such claim or proceeding within a reasonable time after receipt of notice of such claim or proceeding or fails to employ counsel reasonably satisfactory to such indemnified party or to pursue the defense of such claim in a reasonably vigorous manner or (C) the named parties to any proceeding (including impleaded parties) include both such indemnified and the indemnifying party, and such indemnified party has reasonably concluded (based upon advice of its counsel) that there may be legal defenses available to it that are inconsistent with those available to the indemnifying party or that a conflict of interest is likely to exist among such indemnified party and any other indemnified parties (in which case the indemnifying party shall not have the right to assume the defense of such action on behalf of such indemnified party); and (ii) subject to clause (i)(C) above,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the indemnifying party assumes the defense, the indemnifying party shall not have the right to settle such action without the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328" w:right="339" w:bottom="1440" w:gutter="0" w:footer="0" w:header="0"/>
        </w:sectPr>
      </w:pPr>
    </w:p>
    <w:bookmarkStart w:id="278" w:name="page279"/>
    <w:bookmarkEnd w:id="278"/>
    <w:p>
      <w:pPr>
        <w:spacing w:after="0" w:line="251" w:lineRule="auto"/>
        <w:rPr>
          <w:sz w:val="20"/>
          <w:szCs w:val="20"/>
          <w:color w:val="auto"/>
        </w:rPr>
      </w:pPr>
      <w:r>
        <w:rPr>
          <w:rFonts w:ascii="Arial" w:cs="Arial" w:eastAsia="Arial" w:hAnsi="Arial"/>
          <w:sz w:val="20"/>
          <w:szCs w:val="20"/>
          <w:color w:val="auto"/>
        </w:rPr>
        <w:t>indemnified party. No indemnifying party shall consent to entry of any judgment or enter into any settlement which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 (y) 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spacing w:after="0" w:line="175" w:lineRule="exact"/>
        <w:rPr>
          <w:sz w:val="20"/>
          <w:szCs w:val="20"/>
          <w:color w:val="auto"/>
        </w:rPr>
      </w:pPr>
    </w:p>
    <w:p>
      <w:pPr>
        <w:ind w:right="40" w:firstLine="1194"/>
        <w:spacing w:after="0" w:line="278" w:lineRule="auto"/>
        <w:tabs>
          <w:tab w:leader="none" w:pos="162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If the indemnification provided for in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is held by a court of competent jurisdiction to be unavailable to an indemnified party with respect to any Losses (other than in accordance with its terms), then the indemnifying party, in lieu of indemnifying such indemnified party thereunder, will contribute to the amount paid or payable by such indemnified party as a result of such Losses, in such proportion as is appropriate to reflect the relative fault of the indemnifying party on the one hand and of the indemnified party on the other hand in connection with the statements or omissions which resulted in such Losses as well as any other relevant equitable considerations. The relevant fault of the indemnifying party and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Notwithstanding the foregoing, the amount any Holder will be obligated to contribute pursuant to this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will be limited to an amount equal to the net proceeds to such Holder from the Registrable Securities sold pursuant to the Registration Statement which gives rise to such obligation to contribute (less the aggregate amount of any damages which the Holder has otherwise been required to pay in respect of such Loss or any substantially similar Loss arising from the sale of such Registrable Securities). No person guilty of fraudulent misrepresentation (within the meaning of Section 11(f) of the Securities Act) shall be entitled to contribution from any person who was not guilty of such fraudulent misrepresentation.</w:t>
      </w:r>
    </w:p>
    <w:p>
      <w:pPr>
        <w:spacing w:after="0" w:line="152" w:lineRule="exact"/>
        <w:rPr>
          <w:rFonts w:ascii="Arial" w:cs="Arial" w:eastAsia="Arial" w:hAnsi="Arial"/>
          <w:sz w:val="18"/>
          <w:szCs w:val="18"/>
          <w:color w:val="auto"/>
        </w:rPr>
      </w:pPr>
    </w:p>
    <w:p>
      <w:pPr>
        <w:ind w:firstLine="1194"/>
        <w:spacing w:after="0" w:line="283" w:lineRule="auto"/>
        <w:tabs>
          <w:tab w:leader="none" w:pos="161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To the extent that any of the Holders is, or would be expected to be, deemed to be an underwriter of Registrable Securities pursuant to any SEC comments or policies or any court of law or otherwise, the Company agrees that (i) the indemnification and contribution provisions contained in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applicable to the benefit of such Holder in its role as deemed underwriter in addition to its capacity as a Holder (so long as the amount for which any other Holder is or becomes responsible does not exceed the amount for which such Holder would be responsible if the Holder were not deemed to be an underwriter of Registrable Securities) and (ii) such Holder and its representatives shall be entitled to conduct the due diligence which would normally be conducted in connection with an offering of securities registered under the Securities Act, including receipt of customary opinions and comfort letters.</w:t>
      </w:r>
    </w:p>
    <w:p>
      <w:pPr>
        <w:spacing w:after="0" w:line="145" w:lineRule="exact"/>
        <w:rPr>
          <w:rFonts w:ascii="Arial" w:cs="Arial" w:eastAsia="Arial" w:hAnsi="Arial"/>
          <w:sz w:val="18"/>
          <w:szCs w:val="18"/>
          <w:color w:val="auto"/>
        </w:rPr>
      </w:pPr>
    </w:p>
    <w:p>
      <w:pPr>
        <w:ind w:right="80" w:firstLine="1194"/>
        <w:spacing w:after="0" w:line="258" w:lineRule="auto"/>
        <w:tabs>
          <w:tab w:leader="none" w:pos="158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00"/>
          </w:cols>
          <w:pgMar w:left="320" w:top="1327" w:right="379" w:bottom="1440" w:gutter="0" w:footer="0" w:header="0"/>
        </w:sectPr>
      </w:pPr>
    </w:p>
    <w:bookmarkStart w:id="279" w:name="page280"/>
    <w:bookmarkEnd w:id="279"/>
    <w:p>
      <w:pPr>
        <w:ind w:right="520"/>
        <w:spacing w:after="0" w:line="271" w:lineRule="auto"/>
        <w:rPr>
          <w:sz w:val="20"/>
          <w:szCs w:val="20"/>
          <w:color w:val="auto"/>
        </w:rPr>
      </w:pPr>
      <w:r>
        <w:rPr>
          <w:rFonts w:ascii="Arial" w:cs="Arial" w:eastAsia="Arial" w:hAnsi="Arial"/>
          <w:sz w:val="20"/>
          <w:szCs w:val="20"/>
          <w:color w:val="auto"/>
        </w:rPr>
        <w:t>registration and sale of any securities by any Person entitled to any indemnification hereunder and the expiration or termination of this Agreement.</w:t>
      </w:r>
    </w:p>
    <w:p>
      <w:pPr>
        <w:spacing w:after="0" w:line="153"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Conversion of Other Securities</w:t>
      </w:r>
      <w:r>
        <w:rPr>
          <w:rFonts w:ascii="Arial" w:cs="Arial" w:eastAsia="Arial" w:hAnsi="Arial"/>
          <w:sz w:val="18"/>
          <w:szCs w:val="18"/>
          <w:color w:val="auto"/>
        </w:rPr>
        <w:t>.</w:t>
      </w:r>
    </w:p>
    <w:p>
      <w:pPr>
        <w:spacing w:after="0" w:line="206" w:lineRule="exact"/>
        <w:rPr>
          <w:sz w:val="20"/>
          <w:szCs w:val="20"/>
          <w:color w:val="auto"/>
        </w:rPr>
      </w:pPr>
    </w:p>
    <w:p>
      <w:pPr>
        <w:jc w:val="both"/>
        <w:ind w:right="120" w:firstLine="597"/>
        <w:spacing w:after="0" w:line="258" w:lineRule="auto"/>
        <w:rPr>
          <w:sz w:val="20"/>
          <w:szCs w:val="20"/>
          <w:color w:val="auto"/>
        </w:rPr>
      </w:pPr>
      <w:r>
        <w:rPr>
          <w:rFonts w:ascii="Arial" w:cs="Arial" w:eastAsia="Arial" w:hAnsi="Arial"/>
          <w:sz w:val="20"/>
          <w:szCs w:val="20"/>
          <w:color w:val="auto"/>
        </w:rPr>
        <w:t xml:space="preserve">If any Holder offers any options, rights, warrants or other securities issued by it that are offered with, convertible into or exercisable or exchangeable for any Registrable Securities, the Registrable Securities underlying such options, rights, warrants or other securities shall be eligible for registration pursuant to </w:t>
      </w:r>
      <w:r>
        <w:rPr>
          <w:rFonts w:ascii="Arial" w:cs="Arial" w:eastAsia="Arial" w:hAnsi="Arial"/>
          <w:sz w:val="20"/>
          <w:szCs w:val="20"/>
          <w:u w:val="single" w:color="auto"/>
          <w:color w:val="auto"/>
        </w:rPr>
        <w:t>Sections 2.01</w:t>
      </w:r>
      <w:r>
        <w:rPr>
          <w:rFonts w:ascii="Arial" w:cs="Arial" w:eastAsia="Arial" w:hAnsi="Arial"/>
          <w:sz w:val="20"/>
          <w:szCs w:val="20"/>
          <w:color w:val="auto"/>
        </w:rPr>
        <w:t xml:space="preserve">, </w:t>
      </w:r>
      <w:r>
        <w:rPr>
          <w:rFonts w:ascii="Arial" w:cs="Arial" w:eastAsia="Arial" w:hAnsi="Arial"/>
          <w:sz w:val="20"/>
          <w:szCs w:val="20"/>
          <w:u w:val="single" w:color="auto"/>
          <w:color w:val="auto"/>
        </w:rPr>
        <w:t>2.02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2.04</w:t>
      </w:r>
      <w:r>
        <w:rPr>
          <w:rFonts w:ascii="Arial" w:cs="Arial" w:eastAsia="Arial" w:hAnsi="Arial"/>
          <w:sz w:val="20"/>
          <w:szCs w:val="20"/>
          <w:color w:val="auto"/>
        </w:rPr>
        <w:t xml:space="preserve"> hereof.</w:t>
      </w:r>
    </w:p>
    <w:p>
      <w:pPr>
        <w:spacing w:after="0" w:line="16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Rule 144; Rule 144A</w:t>
      </w:r>
      <w:r>
        <w:rPr>
          <w:rFonts w:ascii="Arial" w:cs="Arial" w:eastAsia="Arial" w:hAnsi="Arial"/>
          <w:sz w:val="18"/>
          <w:szCs w:val="18"/>
          <w:color w:val="auto"/>
        </w:rPr>
        <w:t>.</w:t>
      </w:r>
    </w:p>
    <w:p>
      <w:pPr>
        <w:spacing w:after="0" w:line="206" w:lineRule="exact"/>
        <w:rPr>
          <w:sz w:val="20"/>
          <w:szCs w:val="20"/>
          <w:color w:val="auto"/>
        </w:rPr>
      </w:pPr>
    </w:p>
    <w:p>
      <w:pPr>
        <w:ind w:right="60" w:firstLine="597"/>
        <w:spacing w:after="0" w:line="254" w:lineRule="auto"/>
        <w:rPr>
          <w:sz w:val="20"/>
          <w:szCs w:val="20"/>
          <w:color w:val="auto"/>
        </w:rPr>
      </w:pPr>
      <w:r>
        <w:rPr>
          <w:rFonts w:ascii="Arial" w:cs="Arial" w:eastAsia="Arial" w:hAnsi="Arial"/>
          <w:sz w:val="20"/>
          <w:szCs w:val="20"/>
          <w:color w:val="auto"/>
        </w:rPr>
        <w:t>The Company shall use its reasonable best efforts to file in a timely fashion all reports and other documents required to be filed by it under the Securities Act and the Exchange Act and shall take such further action as the Holders may reasonably request, all to the extent required by the SEC as a condition to the availability of Rule 144. Rule 144A or any similar rule or regulation hereafter adopted by the SEC under the Securities Act.</w:t>
      </w:r>
    </w:p>
    <w:p>
      <w:pPr>
        <w:spacing w:after="0" w:line="17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8"/>
          <w:szCs w:val="18"/>
          <w:u w:val="single" w:color="auto"/>
          <w:color w:val="auto"/>
        </w:rPr>
        <w:t>Transfer of Registration Rights</w:t>
      </w:r>
      <w:r>
        <w:rPr>
          <w:rFonts w:ascii="Arial" w:cs="Arial" w:eastAsia="Arial" w:hAnsi="Arial"/>
          <w:sz w:val="18"/>
          <w:szCs w:val="18"/>
          <w:color w:val="auto"/>
        </w:rPr>
        <w:t>.</w:t>
      </w:r>
    </w:p>
    <w:p>
      <w:pPr>
        <w:spacing w:after="0" w:line="206" w:lineRule="exact"/>
        <w:rPr>
          <w:sz w:val="20"/>
          <w:szCs w:val="20"/>
          <w:color w:val="auto"/>
        </w:rPr>
      </w:pPr>
    </w:p>
    <w:p>
      <w:pPr>
        <w:ind w:right="20" w:firstLine="1194"/>
        <w:spacing w:after="0" w:line="284" w:lineRule="auto"/>
        <w:tabs>
          <w:tab w:leader="none" w:pos="160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Any Holder may transfer all or any portion of its rights under this Agreement upon the transfer of Registrable Securities to any member of the Leonardo Affiliated Group or upon transfer of Registrable Securities constituting not less than 5% of the outstanding shares of Common Stock of the Company to any transferee not a member of the Leonardo Affiliated Group. Any such transfer shall be effective upon receipt by the Company of written notice from the transferor stating the name and address of the transferee and identifying the amount of Registrable Securities with respect to which rights under this Agreement are being transferred. Any such transferee shall enter into a Joinder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at the time of the transfer.</w:t>
      </w:r>
    </w:p>
    <w:p>
      <w:pPr>
        <w:spacing w:after="0" w:line="148" w:lineRule="exact"/>
        <w:rPr>
          <w:rFonts w:ascii="Arial" w:cs="Arial" w:eastAsia="Arial" w:hAnsi="Arial"/>
          <w:sz w:val="18"/>
          <w:szCs w:val="18"/>
          <w:color w:val="auto"/>
        </w:rPr>
      </w:pPr>
    </w:p>
    <w:p>
      <w:pPr>
        <w:ind w:firstLine="1194"/>
        <w:spacing w:after="0" w:line="249" w:lineRule="auto"/>
        <w:tabs>
          <w:tab w:leader="none" w:pos="162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Registrable Securities are restricted securities under the Securities Act and may not be offered or sold except pursuant to an effective registration statement or an available exemption from registration under the Securities Act. Accordingly, the Holders shall not, directly or through others, offer or sell any shares of Registrable Securities except pursuant to a Registration Statement as contemplated herein or pursuant to Rule 144 or another exemption from registration under the Securities Act, if available. Prior to any transfer of Registrable Securities other than pursuant to an effective registration statement, the Holders shall notify the Company of such transfer and the Company may require the Holders to provide, prior to such transfer, such evidence that the transfer will comply with the Securities Act (including written representations or an opinion of counsel) as the Company may reasonably request. The Company may impose stop-transfer instructions with respect to any shares of Registrable Securities that are to be transferred in contravention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20" w:top="1327" w:right="359" w:bottom="1440" w:gutter="0" w:footer="0" w:header="0"/>
        </w:sectPr>
      </w:pPr>
    </w:p>
    <w:bookmarkStart w:id="280" w:name="page281"/>
    <w:bookmarkEnd w:id="280"/>
    <w:p>
      <w:pPr>
        <w:jc w:val="center"/>
        <w:spacing w:after="0"/>
        <w:rPr>
          <w:sz w:val="20"/>
          <w:szCs w:val="20"/>
          <w:color w:val="auto"/>
        </w:rPr>
      </w:pPr>
      <w:r>
        <w:rPr>
          <w:rFonts w:ascii="Arial" w:cs="Arial" w:eastAsia="Arial" w:hAnsi="Arial"/>
          <w:sz w:val="20"/>
          <w:szCs w:val="20"/>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PROVISIONS APPLICABLE TO ALL DISPOSITIONS OF REGISTRABLE SECURITIES BY LEONARDO AFFILIATED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GROUP MEMBERS</w:t>
      </w:r>
    </w:p>
    <w:p>
      <w:pPr>
        <w:spacing w:after="0" w:line="190"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8"/>
          <w:szCs w:val="18"/>
          <w:u w:val="single" w:color="auto"/>
          <w:color w:val="auto"/>
        </w:rPr>
        <w:t>Underwriter Selection</w:t>
      </w:r>
      <w:r>
        <w:rPr>
          <w:rFonts w:ascii="Arial" w:cs="Arial" w:eastAsia="Arial" w:hAnsi="Arial"/>
          <w:sz w:val="18"/>
          <w:szCs w:val="18"/>
          <w:color w:val="auto"/>
        </w:rPr>
        <w:t>.</w:t>
      </w:r>
    </w:p>
    <w:p>
      <w:pPr>
        <w:spacing w:after="0" w:line="206" w:lineRule="exact"/>
        <w:rPr>
          <w:sz w:val="20"/>
          <w:szCs w:val="20"/>
          <w:color w:val="auto"/>
        </w:rPr>
      </w:pPr>
    </w:p>
    <w:p>
      <w:pPr>
        <w:ind w:firstLine="597"/>
        <w:spacing w:after="0" w:line="301" w:lineRule="auto"/>
        <w:rPr>
          <w:sz w:val="20"/>
          <w:szCs w:val="20"/>
          <w:color w:val="auto"/>
        </w:rPr>
      </w:pPr>
      <w:r>
        <w:rPr>
          <w:rFonts w:ascii="Arial" w:cs="Arial" w:eastAsia="Arial" w:hAnsi="Arial"/>
          <w:sz w:val="18"/>
          <w:szCs w:val="18"/>
          <w:color w:val="auto"/>
        </w:rPr>
        <w:t>In any offering of Registrable Securities in which a member of the Leonardo Affiliated Group is a Selling Holder, other than pursuant to a Piggyback Registration, the members of the Leonardo Affiliated Group participating in such offering shall have the sole right to select the managing underwriters to arrange such Underwritten Offering, which shall be investment banking institutions of international standing.</w:t>
      </w:r>
    </w:p>
    <w:p>
      <w:pPr>
        <w:spacing w:after="0" w:line="130"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8"/>
          <w:szCs w:val="18"/>
          <w:u w:val="single" w:color="auto"/>
          <w:color w:val="auto"/>
        </w:rPr>
        <w:t>Cooperation with Sales</w:t>
      </w:r>
      <w:r>
        <w:rPr>
          <w:rFonts w:ascii="Arial" w:cs="Arial" w:eastAsia="Arial" w:hAnsi="Arial"/>
          <w:sz w:val="18"/>
          <w:szCs w:val="18"/>
          <w:color w:val="auto"/>
        </w:rPr>
        <w:t>.</w:t>
      </w:r>
    </w:p>
    <w:p>
      <w:pPr>
        <w:spacing w:after="0" w:line="206" w:lineRule="exact"/>
        <w:rPr>
          <w:sz w:val="20"/>
          <w:szCs w:val="20"/>
          <w:color w:val="auto"/>
        </w:rPr>
      </w:pPr>
    </w:p>
    <w:p>
      <w:pPr>
        <w:ind w:right="540" w:firstLine="597"/>
        <w:spacing w:after="0" w:line="258" w:lineRule="auto"/>
        <w:rPr>
          <w:sz w:val="20"/>
          <w:szCs w:val="20"/>
          <w:color w:val="auto"/>
        </w:rPr>
      </w:pPr>
      <w:r>
        <w:rPr>
          <w:rFonts w:ascii="Arial" w:cs="Arial" w:eastAsia="Arial" w:hAnsi="Arial"/>
          <w:sz w:val="20"/>
          <w:szCs w:val="20"/>
          <w:color w:val="auto"/>
        </w:rPr>
        <w:t xml:space="preserve">In addition to the provisions of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hereof, applicable to sales of Registrable Securities pursuant to a registration, in connection with any sale or disposition of Registrable Securities by any member of the Leonardo Affiliated Group, the Company shall provide full cooperation, including:</w:t>
      </w:r>
    </w:p>
    <w:p>
      <w:pPr>
        <w:spacing w:after="0" w:line="167" w:lineRule="exact"/>
        <w:rPr>
          <w:sz w:val="20"/>
          <w:szCs w:val="20"/>
          <w:color w:val="auto"/>
        </w:rPr>
      </w:pPr>
    </w:p>
    <w:p>
      <w:pPr>
        <w:ind w:right="80" w:firstLine="1194"/>
        <w:spacing w:after="0" w:line="258" w:lineRule="auto"/>
        <w:tabs>
          <w:tab w:leader="none" w:pos="1615" w:val="left"/>
        </w:tabs>
        <w:numPr>
          <w:ilvl w:val="0"/>
          <w:numId w:val="175"/>
        </w:numPr>
        <w:rPr>
          <w:rFonts w:ascii="Arial" w:cs="Arial" w:eastAsia="Arial" w:hAnsi="Arial"/>
          <w:sz w:val="20"/>
          <w:szCs w:val="20"/>
          <w:color w:val="auto"/>
        </w:rPr>
      </w:pPr>
      <w:r>
        <w:rPr>
          <w:rFonts w:ascii="Arial" w:cs="Arial" w:eastAsia="Arial" w:hAnsi="Arial"/>
          <w:sz w:val="20"/>
          <w:szCs w:val="20"/>
          <w:color w:val="auto"/>
        </w:rPr>
        <w:t>providing access to employees, management and company records to any purchaser or potential purchaser, and to any underwriters, initial purchasers, brokers, dealers or agents involved in any sale or disposition, subject to entry into customary confidentiality arrangements;</w:t>
      </w:r>
    </w:p>
    <w:p>
      <w:pPr>
        <w:spacing w:after="0" w:line="166" w:lineRule="exact"/>
        <w:rPr>
          <w:rFonts w:ascii="Arial" w:cs="Arial" w:eastAsia="Arial" w:hAnsi="Arial"/>
          <w:sz w:val="20"/>
          <w:szCs w:val="20"/>
          <w:color w:val="auto"/>
        </w:rPr>
      </w:pPr>
    </w:p>
    <w:p>
      <w:pPr>
        <w:ind w:left="1620" w:hanging="426"/>
        <w:spacing w:after="0"/>
        <w:tabs>
          <w:tab w:leader="none" w:pos="16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participation in road shows, investor and analyst meetings, conference calls and similar activities;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using reasonable best efforts to obtain customary auditor comfort letters and legal opinions;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entering into customary underwriting and other agreements;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using reasonable best efforts to obtain any regulatory approval or relief necessary for any proposed sale or disposition;</w:t>
      </w:r>
    </w:p>
    <w:p>
      <w:pPr>
        <w:spacing w:after="0" w:line="4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89" w:lineRule="exact"/>
        <w:rPr>
          <w:rFonts w:ascii="Arial" w:cs="Arial" w:eastAsia="Arial" w:hAnsi="Arial"/>
          <w:sz w:val="18"/>
          <w:szCs w:val="18"/>
          <w:color w:val="auto"/>
        </w:rPr>
      </w:pPr>
    </w:p>
    <w:p>
      <w:pPr>
        <w:ind w:right="500" w:firstLine="1194"/>
        <w:spacing w:after="0" w:line="271" w:lineRule="auto"/>
        <w:tabs>
          <w:tab w:leader="none" w:pos="159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filing of registration statements with the SEC or with other authorities or making other regulatory or similar filings necessary or advisable in order to facilitate any sale or disposition.</w:t>
      </w:r>
    </w:p>
    <w:p>
      <w:pPr>
        <w:spacing w:after="0" w:line="153"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7"/>
          <w:szCs w:val="17"/>
          <w:u w:val="single" w:color="auto"/>
          <w:color w:val="auto"/>
        </w:rPr>
        <w:t>Further Assurances</w:t>
      </w:r>
      <w:r>
        <w:rPr>
          <w:rFonts w:ascii="Arial" w:cs="Arial" w:eastAsia="Arial" w:hAnsi="Arial"/>
          <w:sz w:val="17"/>
          <w:szCs w:val="17"/>
          <w:color w:val="auto"/>
        </w:rPr>
        <w:t>.</w:t>
      </w:r>
    </w:p>
    <w:p>
      <w:pPr>
        <w:spacing w:after="0" w:line="206" w:lineRule="exact"/>
        <w:rPr>
          <w:sz w:val="20"/>
          <w:szCs w:val="20"/>
          <w:color w:val="auto"/>
        </w:rPr>
      </w:pPr>
    </w:p>
    <w:p>
      <w:pPr>
        <w:ind w:right="420" w:firstLine="597"/>
        <w:spacing w:after="0" w:line="271" w:lineRule="auto"/>
        <w:rPr>
          <w:sz w:val="20"/>
          <w:szCs w:val="20"/>
          <w:color w:val="auto"/>
        </w:rPr>
      </w:pPr>
      <w:r>
        <w:rPr>
          <w:rFonts w:ascii="Arial" w:cs="Arial" w:eastAsia="Arial" w:hAnsi="Arial"/>
          <w:sz w:val="20"/>
          <w:szCs w:val="20"/>
          <w:color w:val="auto"/>
        </w:rPr>
        <w:t>The Company shall use its reasonable best efforts to cooperate with and facilitate, and shall not interfere with, the disposition by members of the Leonardo Affiliated Group of their holdings of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321"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20"/>
          <w:szCs w:val="20"/>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0"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06" w:lineRule="exact"/>
        <w:rPr>
          <w:sz w:val="20"/>
          <w:szCs w:val="20"/>
          <w:color w:val="auto"/>
        </w:rPr>
      </w:pPr>
    </w:p>
    <w:p>
      <w:pPr>
        <w:ind w:right="740" w:firstLine="597"/>
        <w:spacing w:after="0" w:line="271" w:lineRule="auto"/>
        <w:rPr>
          <w:sz w:val="20"/>
          <w:szCs w:val="20"/>
          <w:color w:val="auto"/>
        </w:rPr>
      </w:pPr>
      <w:r>
        <w:rPr>
          <w:rFonts w:ascii="Arial" w:cs="Arial" w:eastAsia="Arial" w:hAnsi="Arial"/>
          <w:sz w:val="20"/>
          <w:szCs w:val="20"/>
          <w:color w:val="auto"/>
        </w:rPr>
        <w:t xml:space="preserve">This Agreement shall terminate upon such time as no Registrable Securities remain outstanding, except for the provisions of </w:t>
      </w:r>
      <w:r>
        <w:rPr>
          <w:rFonts w:ascii="Arial" w:cs="Arial" w:eastAsia="Arial" w:hAnsi="Arial"/>
          <w:sz w:val="20"/>
          <w:szCs w:val="20"/>
          <w:u w:val="single" w:color="auto"/>
          <w:color w:val="auto"/>
        </w:rPr>
        <w:t>Sections 2.07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and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which shall survive such termination.</w:t>
      </w:r>
    </w:p>
    <w:p>
      <w:pPr>
        <w:spacing w:after="0" w:line="153"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u w:val="single" w:color="auto"/>
          <w:color w:val="auto"/>
        </w:rPr>
        <w:t>Other Holder Activities.</w:t>
      </w:r>
    </w:p>
    <w:p>
      <w:pPr>
        <w:spacing w:after="0" w:line="206" w:lineRule="exact"/>
        <w:rPr>
          <w:sz w:val="20"/>
          <w:szCs w:val="20"/>
          <w:color w:val="auto"/>
        </w:rPr>
      </w:pPr>
    </w:p>
    <w:p>
      <w:pPr>
        <w:jc w:val="both"/>
        <w:ind w:right="200" w:firstLine="597"/>
        <w:spacing w:after="0" w:line="278" w:lineRule="auto"/>
        <w:rPr>
          <w:sz w:val="20"/>
          <w:szCs w:val="20"/>
          <w:color w:val="auto"/>
        </w:rPr>
      </w:pPr>
      <w:r>
        <w:rPr>
          <w:rFonts w:ascii="Arial" w:cs="Arial" w:eastAsia="Arial" w:hAnsi="Arial"/>
          <w:sz w:val="19"/>
          <w:szCs w:val="19"/>
          <w:color w:val="auto"/>
        </w:rPr>
        <w:t>Notwithstanding anything in this Agreement, none of the provisions of this Agreement shall in any way limit a Holder or any of its Affiliates from engaging in any brokerage, investment advisory, financial advisory, financing, asset management, trading, market making, arbitrage, investment activity and other similar activities conducted in the ordinary course of their business.</w:t>
      </w:r>
    </w:p>
    <w:p>
      <w:pPr>
        <w:spacing w:after="0" w:line="14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4.04</w:t>
      </w:r>
      <w:r>
        <w:rPr>
          <w:sz w:val="20"/>
          <w:szCs w:val="20"/>
          <w:color w:val="auto"/>
        </w:rPr>
        <w:tab/>
      </w: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w:t>
      </w:r>
    </w:p>
    <w:p>
      <w:pPr>
        <w:spacing w:after="0" w:line="206" w:lineRule="exact"/>
        <w:rPr>
          <w:sz w:val="20"/>
          <w:szCs w:val="20"/>
          <w:color w:val="auto"/>
        </w:rPr>
      </w:pPr>
    </w:p>
    <w:p>
      <w:pPr>
        <w:ind w:firstLine="1194"/>
        <w:spacing w:after="0" w:line="258" w:lineRule="auto"/>
        <w:tabs>
          <w:tab w:leader="none" w:pos="1611"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Company represents and warrants that it has not entered into and covenants and agrees that it will not enter into, any agreement with respect to its securities which is inconsistent with, more favorable than or violates the rights granted to the Holders of Registrable Securities in this Agreement.</w:t>
      </w:r>
    </w:p>
    <w:p>
      <w:pPr>
        <w:spacing w:after="0" w:line="166" w:lineRule="exact"/>
        <w:rPr>
          <w:rFonts w:ascii="Arial" w:cs="Arial" w:eastAsia="Arial" w:hAnsi="Arial"/>
          <w:sz w:val="20"/>
          <w:szCs w:val="20"/>
          <w:color w:val="auto"/>
        </w:rPr>
      </w:pPr>
    </w:p>
    <w:p>
      <w:pPr>
        <w:ind w:right="880" w:firstLine="1194"/>
        <w:spacing w:after="0" w:line="271" w:lineRule="auto"/>
        <w:tabs>
          <w:tab w:leader="none" w:pos="162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To the extent any portion of this Agreement conflicts, or is inconsistent, with the Proxy Agreement, the Proxy Agreement shall control.</w:t>
      </w:r>
    </w:p>
    <w:p>
      <w:pPr>
        <w:spacing w:after="0" w:line="153"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4.05</w:t>
      </w:r>
      <w:r>
        <w:rPr>
          <w:sz w:val="20"/>
          <w:szCs w:val="20"/>
          <w:color w:val="auto"/>
        </w:rPr>
        <w:tab/>
      </w:r>
      <w:r>
        <w:rPr>
          <w:rFonts w:ascii="Arial" w:cs="Arial" w:eastAsia="Arial" w:hAnsi="Arial"/>
          <w:sz w:val="18"/>
          <w:szCs w:val="18"/>
          <w:u w:val="single" w:color="auto"/>
          <w:color w:val="auto"/>
        </w:rPr>
        <w:t>Amendment, Modification and Waiver</w:t>
      </w:r>
      <w:r>
        <w:rPr>
          <w:rFonts w:ascii="Arial" w:cs="Arial" w:eastAsia="Arial" w:hAnsi="Arial"/>
          <w:sz w:val="18"/>
          <w:szCs w:val="18"/>
          <w:color w:val="auto"/>
        </w:rPr>
        <w:t>.</w:t>
      </w:r>
    </w:p>
    <w:p>
      <w:pPr>
        <w:spacing w:after="0" w:line="206" w:lineRule="exact"/>
        <w:rPr>
          <w:sz w:val="20"/>
          <w:szCs w:val="20"/>
          <w:color w:val="auto"/>
        </w:rPr>
      </w:pPr>
    </w:p>
    <w:p>
      <w:pPr>
        <w:ind w:firstLine="597"/>
        <w:spacing w:after="0" w:line="254" w:lineRule="auto"/>
        <w:rPr>
          <w:sz w:val="20"/>
          <w:szCs w:val="20"/>
          <w:color w:val="auto"/>
        </w:rPr>
      </w:pPr>
      <w:r>
        <w:rPr>
          <w:rFonts w:ascii="Arial" w:cs="Arial" w:eastAsia="Arial" w:hAnsi="Arial"/>
          <w:sz w:val="20"/>
          <w:szCs w:val="20"/>
          <w:color w:val="auto"/>
        </w:rPr>
        <w:t>This Agreement may be amended, modified or supplemented at any time by written agreement of the parties. Any failure of any party to comply with any term or provision of this Agreement may be waived by the other party, by an instrument in writing signed by such party, but such waiver or failure to insist upon strict compliance with such term or provision shall not operate as a waiver of, or estoppel with respect to, any subsequent or other failure to comply.</w:t>
      </w:r>
    </w:p>
    <w:p>
      <w:pPr>
        <w:spacing w:after="0" w:line="17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4.06</w:t>
      </w:r>
      <w:r>
        <w:rPr>
          <w:sz w:val="20"/>
          <w:szCs w:val="20"/>
          <w:color w:val="auto"/>
        </w:rPr>
        <w:tab/>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w:t>
      </w:r>
    </w:p>
    <w:p>
      <w:pPr>
        <w:spacing w:after="0" w:line="206" w:lineRule="exact"/>
        <w:rPr>
          <w:sz w:val="20"/>
          <w:szCs w:val="20"/>
          <w:color w:val="auto"/>
        </w:rPr>
      </w:pPr>
    </w:p>
    <w:p>
      <w:pPr>
        <w:ind w:right="80" w:firstLine="597"/>
        <w:spacing w:after="0" w:line="266" w:lineRule="auto"/>
        <w:rPr>
          <w:sz w:val="20"/>
          <w:szCs w:val="20"/>
          <w:color w:val="auto"/>
        </w:rPr>
      </w:pPr>
      <w:r>
        <w:rPr>
          <w:rFonts w:ascii="Arial" w:cs="Arial" w:eastAsia="Arial" w:hAnsi="Arial"/>
          <w:sz w:val="19"/>
          <w:szCs w:val="19"/>
          <w:color w:val="auto"/>
        </w:rPr>
        <w:t xml:space="preserve">Other than as set forth in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with respect to the indemnified parties and as expressly set forth elsewhere in this Agreement, nothing in this Agreement, express or implied, is intended to confer upon any person, other than the parties and their respective successors and permitted assigns, any rights or remedies under or by reason of this Agreement. Only the parties that are signatories to this Agreement and any Joinder Agreement substantially in the form of Exhibit A hereto (and their respective permitted successors and assigns) shall have any obligation or liability under, in connection with, arising out of, resulting from or in any way related to this Agreement or any other matter contemplated hereby, or the process leading up to the execution and delivery of this Agreement and the transactions contemplated hereby, subject to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322" w:right="339" w:bottom="1440" w:gutter="0" w:footer="0" w:header="0"/>
        </w:sectPr>
      </w:pPr>
    </w:p>
    <w:bookmarkStart w:id="282" w:name="page283"/>
    <w:bookmarkEnd w:id="282"/>
    <w:p>
      <w:pPr>
        <w:ind w:left="520"/>
        <w:spacing w:after="0"/>
        <w:tabs>
          <w:tab w:leader="none" w:pos="1040" w:val="left"/>
        </w:tabs>
        <w:rPr>
          <w:sz w:val="20"/>
          <w:szCs w:val="20"/>
          <w:color w:val="auto"/>
        </w:rPr>
      </w:pPr>
      <w:r>
        <w:rPr>
          <w:rFonts w:ascii="Arial" w:cs="Arial" w:eastAsia="Arial" w:hAnsi="Arial"/>
          <w:sz w:val="20"/>
          <w:szCs w:val="20"/>
          <w:color w:val="auto"/>
        </w:rPr>
        <w:t>4.07</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206" w:lineRule="exact"/>
        <w:rPr>
          <w:sz w:val="20"/>
          <w:szCs w:val="20"/>
          <w:color w:val="auto"/>
        </w:rPr>
      </w:pPr>
    </w:p>
    <w:p>
      <w:pPr>
        <w:ind w:firstLine="597"/>
        <w:spacing w:after="0" w:line="292"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and except as otherwise expressly provided herein, this Agreement constitutes the entire agreement among the parties with respect to the subject matter of this Agreement and supersedes all prior agreements and understandings, both written and oral, between or on behalf of Leonardo S.p.A. or its Affiliates, on the one hand, and the Company or its Affiliates (but not including any member of the Leonardo Affiliated Group), on the other hand, with respect to the subject matter of this Agreement.</w:t>
      </w:r>
    </w:p>
    <w:p>
      <w:pPr>
        <w:spacing w:after="0" w:line="13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4.08</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06" w:lineRule="exact"/>
        <w:rPr>
          <w:sz w:val="20"/>
          <w:szCs w:val="20"/>
          <w:color w:val="auto"/>
        </w:rPr>
      </w:pPr>
    </w:p>
    <w:p>
      <w:pPr>
        <w:jc w:val="both"/>
        <w:ind w:right="200" w:firstLine="597"/>
        <w:spacing w:after="0" w:line="258" w:lineRule="auto"/>
        <w:rPr>
          <w:sz w:val="20"/>
          <w:szCs w:val="20"/>
          <w:color w:val="auto"/>
        </w:rPr>
      </w:pPr>
      <w:r>
        <w:rPr>
          <w:rFonts w:ascii="Arial" w:cs="Arial" w:eastAsia="Arial" w:hAnsi="Arial"/>
          <w:sz w:val="20"/>
          <w:szCs w:val="20"/>
          <w:color w:val="auto"/>
        </w:rPr>
        <w:t>In the event that any provision of this Agreement is declared invalid, void or unenforceable, the remainder of this Agreement shall remain in full force and effect, and such invalid, void or unenforceable provision shall be interpreted in a manner that accomplishes, to the extent possible, the original purpose of such provision.</w:t>
      </w:r>
    </w:p>
    <w:p>
      <w:pPr>
        <w:spacing w:after="0" w:line="16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4.09</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w:t>
      </w:r>
    </w:p>
    <w:p>
      <w:pPr>
        <w:spacing w:after="0" w:line="206" w:lineRule="exact"/>
        <w:rPr>
          <w:sz w:val="20"/>
          <w:szCs w:val="20"/>
          <w:color w:val="auto"/>
        </w:rPr>
      </w:pPr>
    </w:p>
    <w:p>
      <w:pPr>
        <w:ind w:firstLine="597"/>
        <w:spacing w:after="0" w:line="252" w:lineRule="auto"/>
        <w:rPr>
          <w:sz w:val="20"/>
          <w:szCs w:val="20"/>
          <w:color w:val="auto"/>
        </w:rPr>
      </w:pPr>
      <w:r>
        <w:rPr>
          <w:rFonts w:ascii="Arial" w:cs="Arial" w:eastAsia="Arial" w:hAnsi="Arial"/>
          <w:sz w:val="20"/>
          <w:szCs w:val="20"/>
          <w:color w:val="auto"/>
        </w:rPr>
        <w:t>This Agreement may be executed in any number of counterparts, each of which shall be deemed an original and all of which together shall constitute one and the same instrument. The counterparts of this Agreement may be executed and delivered by facsimile or other electronic imaging means (including in pdf or tif format sent by electronic mail) by a party to the other party and the receiving party may rely on the receipt of such document so executed and delivered by facsimile or other electronic imaging means as if the original had been received.</w:t>
      </w:r>
    </w:p>
    <w:p>
      <w:pPr>
        <w:spacing w:after="0" w:line="174"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7"/>
          <w:szCs w:val="17"/>
          <w:u w:val="single" w:color="auto"/>
          <w:color w:val="auto"/>
        </w:rPr>
        <w:t>Specific Performance; Remedies</w:t>
      </w:r>
      <w:r>
        <w:rPr>
          <w:rFonts w:ascii="Arial" w:cs="Arial" w:eastAsia="Arial" w:hAnsi="Arial"/>
          <w:sz w:val="17"/>
          <w:szCs w:val="17"/>
          <w:color w:val="auto"/>
        </w:rPr>
        <w:t>.</w:t>
      </w:r>
    </w:p>
    <w:p>
      <w:pPr>
        <w:spacing w:after="0" w:line="206" w:lineRule="exact"/>
        <w:rPr>
          <w:sz w:val="20"/>
          <w:szCs w:val="20"/>
          <w:color w:val="auto"/>
        </w:rPr>
      </w:pPr>
    </w:p>
    <w:p>
      <w:pPr>
        <w:ind w:right="120" w:firstLine="597"/>
        <w:spacing w:after="0" w:line="304" w:lineRule="auto"/>
        <w:rPr>
          <w:sz w:val="20"/>
          <w:szCs w:val="20"/>
          <w:color w:val="auto"/>
        </w:rPr>
      </w:pPr>
      <w:r>
        <w:rPr>
          <w:rFonts w:ascii="Arial" w:cs="Arial" w:eastAsia="Arial" w:hAnsi="Arial"/>
          <w:sz w:val="17"/>
          <w:szCs w:val="17"/>
          <w:color w:val="auto"/>
        </w:rPr>
        <w:t>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hereby waived.</w:t>
      </w:r>
    </w:p>
    <w:p>
      <w:pPr>
        <w:spacing w:after="0" w:line="132"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w:t>
      </w:r>
    </w:p>
    <w:p>
      <w:pPr>
        <w:spacing w:after="0" w:line="206" w:lineRule="exact"/>
        <w:rPr>
          <w:sz w:val="20"/>
          <w:szCs w:val="20"/>
          <w:color w:val="auto"/>
        </w:rPr>
      </w:pPr>
    </w:p>
    <w:p>
      <w:pPr>
        <w:ind w:right="400" w:firstLine="597"/>
        <w:spacing w:after="0" w:line="254" w:lineRule="auto"/>
        <w:rPr>
          <w:sz w:val="20"/>
          <w:szCs w:val="20"/>
          <w:color w:val="auto"/>
        </w:rPr>
      </w:pPr>
      <w:r>
        <w:rPr>
          <w:rFonts w:ascii="Arial" w:cs="Arial" w:eastAsia="Arial" w:hAnsi="Arial"/>
          <w:sz w:val="20"/>
          <w:szCs w:val="20"/>
          <w:color w:val="auto"/>
        </w:rPr>
        <w:t>THIS AGREEMENT SHALL BE GOVERNED BY, AND INTERPRETED IN ACCORDANCE WITH, THE LAWS OF THE STATE OF NEW YORK APPLICABLE TO CONTRACTS MADE AND TO BE PERFORMED ENTIRELY WITHIN SUCH STATE, WITHOUT REGARD TO THE CONFLICTS OF LAW PRINCIPLES THEREOF TO THE EXTENT THAT SUCH PRINCIPLES WOULD APPLY THE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20"/>
          </w:cols>
          <w:pgMar w:left="320" w:top="1327" w:right="359" w:bottom="1440" w:gutter="0" w:footer="0" w:header="0"/>
        </w:sectPr>
      </w:pPr>
    </w:p>
    <w:bookmarkStart w:id="283" w:name="page284"/>
    <w:bookmarkEnd w:id="283"/>
    <w:p>
      <w:pPr>
        <w:ind w:left="520"/>
        <w:spacing w:after="0"/>
        <w:tabs>
          <w:tab w:leader="none" w:pos="104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9"/>
          <w:szCs w:val="19"/>
          <w:u w:val="single" w:color="auto"/>
          <w:color w:val="auto"/>
        </w:rPr>
        <w:t>WAIVER OF JURY TRIAL</w:t>
      </w:r>
      <w:r>
        <w:rPr>
          <w:rFonts w:ascii="Arial" w:cs="Arial" w:eastAsia="Arial" w:hAnsi="Arial"/>
          <w:sz w:val="19"/>
          <w:szCs w:val="19"/>
          <w:color w:val="auto"/>
        </w:rPr>
        <w:t>.</w:t>
      </w:r>
    </w:p>
    <w:p>
      <w:pPr>
        <w:spacing w:after="0" w:line="206" w:lineRule="exact"/>
        <w:rPr>
          <w:sz w:val="20"/>
          <w:szCs w:val="20"/>
          <w:color w:val="auto"/>
        </w:rPr>
      </w:pPr>
    </w:p>
    <w:p>
      <w:pPr>
        <w:ind w:right="120" w:firstLine="597"/>
        <w:spacing w:after="0" w:line="254" w:lineRule="auto"/>
        <w:rPr>
          <w:sz w:val="20"/>
          <w:szCs w:val="20"/>
          <w:color w:val="auto"/>
        </w:rPr>
      </w:pPr>
      <w:r>
        <w:rPr>
          <w:rFonts w:ascii="Arial" w:cs="Arial" w:eastAsia="Arial" w:hAnsi="Arial"/>
          <w:sz w:val="20"/>
          <w:szCs w:val="20"/>
          <w:color w:val="auto"/>
        </w:rPr>
        <w:t>EACH PARTY KNOWINGLY, VOLUNTARILY AND INTENTIONALLY WAIVES (TO THE EXTENT PERMITTED BY APPLICABLE LAW) ANY RIGHT IT MAY HAVE TO A TRIAL BY JURY OF ANY DISPUTE ARISING UNDER OR RELATING TO THIS AGREEMENT AND AGREES THAT ANY SUCH DISPUTE SHALL BE TRIED BEFORE A JUDGE SITTING WITHOUT A JURY.</w:t>
      </w:r>
    </w:p>
    <w:p>
      <w:pPr>
        <w:spacing w:after="0" w:line="17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8"/>
          <w:szCs w:val="18"/>
          <w:u w:val="single" w:color="auto"/>
          <w:color w:val="auto"/>
        </w:rPr>
        <w:t>Jurisdiction; Venue</w:t>
      </w:r>
      <w:r>
        <w:rPr>
          <w:rFonts w:ascii="Arial" w:cs="Arial" w:eastAsia="Arial" w:hAnsi="Arial"/>
          <w:sz w:val="18"/>
          <w:szCs w:val="18"/>
          <w:color w:val="auto"/>
        </w:rPr>
        <w:t>.</w:t>
      </w:r>
    </w:p>
    <w:p>
      <w:pPr>
        <w:spacing w:after="0" w:line="206" w:lineRule="exact"/>
        <w:rPr>
          <w:sz w:val="20"/>
          <w:szCs w:val="20"/>
          <w:color w:val="auto"/>
        </w:rPr>
      </w:pPr>
    </w:p>
    <w:p>
      <w:pPr>
        <w:ind w:firstLine="597"/>
        <w:spacing w:after="0" w:line="292" w:lineRule="auto"/>
        <w:rPr>
          <w:sz w:val="20"/>
          <w:szCs w:val="20"/>
          <w:color w:val="auto"/>
        </w:rPr>
      </w:pPr>
      <w:r>
        <w:rPr>
          <w:rFonts w:ascii="Arial" w:cs="Arial" w:eastAsia="Arial" w:hAnsi="Arial"/>
          <w:sz w:val="18"/>
          <w:szCs w:val="18"/>
          <w:color w:val="auto"/>
        </w:rPr>
        <w:t xml:space="preserve">Any suit, action or proceeding relating to this Agreement shall be brought exclusively in the United States District Court for the Southern District of New York or in the courts of the State of New York, in each case located in New York County, New York. The parties hereby consent to the exclusive jurisdiction of such courts for any such suit, action or proceeding, and irrevocably waive, to the fullest extent permitted by law, any objection to such courts that they may now or hereafter have based on improper venue or </w:t>
      </w:r>
      <w:r>
        <w:rPr>
          <w:rFonts w:ascii="Arial" w:cs="Arial" w:eastAsia="Arial" w:hAnsi="Arial"/>
          <w:sz w:val="18"/>
          <w:szCs w:val="18"/>
          <w:i w:val="1"/>
          <w:iCs w:val="1"/>
          <w:color w:val="auto"/>
        </w:rPr>
        <w:t>forum non conveniens</w:t>
      </w:r>
      <w:r>
        <w:rPr>
          <w:rFonts w:ascii="Arial" w:cs="Arial" w:eastAsia="Arial" w:hAnsi="Arial"/>
          <w:sz w:val="18"/>
          <w:szCs w:val="18"/>
          <w:color w:val="auto"/>
        </w:rPr>
        <w:t>.</w:t>
      </w:r>
    </w:p>
    <w:p>
      <w:pPr>
        <w:spacing w:after="0" w:line="13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19"/>
          <w:szCs w:val="19"/>
          <w:u w:val="single" w:color="auto"/>
          <w:color w:val="auto"/>
        </w:rPr>
        <w:t>Notice</w:t>
      </w:r>
      <w:r>
        <w:rPr>
          <w:rFonts w:ascii="Arial" w:cs="Arial" w:eastAsia="Arial" w:hAnsi="Arial"/>
          <w:sz w:val="19"/>
          <w:szCs w:val="19"/>
          <w:color w:val="auto"/>
        </w:rPr>
        <w:t>.</w:t>
      </w:r>
    </w:p>
    <w:p>
      <w:pPr>
        <w:spacing w:after="0" w:line="206" w:lineRule="exact"/>
        <w:rPr>
          <w:sz w:val="20"/>
          <w:szCs w:val="20"/>
          <w:color w:val="auto"/>
        </w:rPr>
      </w:pPr>
    </w:p>
    <w:p>
      <w:pPr>
        <w:ind w:right="120" w:firstLine="597"/>
        <w:spacing w:after="0" w:line="292" w:lineRule="auto"/>
        <w:rPr>
          <w:sz w:val="20"/>
          <w:szCs w:val="20"/>
          <w:color w:val="auto"/>
        </w:rPr>
      </w:pPr>
      <w:r>
        <w:rPr>
          <w:rFonts w:ascii="Arial" w:cs="Arial" w:eastAsia="Arial" w:hAnsi="Arial"/>
          <w:sz w:val="18"/>
          <w:szCs w:val="18"/>
          <w:color w:val="auto"/>
        </w:rPr>
        <w:t xml:space="preserve">Unless otherwise specified herein, all notices required or permitted to be given under this Agreement shall be in writing, shall refer specifically to this Agreement and shall be delivered personally or sent by a nationally recognized overnight courier service, and shall be deemed to be effective upon delivery. All such notices shall be addressed to the receiving Party at such Party’s address set forth below, or at such other address as the receiving Party may from time to time furnish by notice as set forth in this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If to the Company:</w:t>
      </w:r>
    </w:p>
    <w:p>
      <w:pPr>
        <w:spacing w:after="0" w:line="10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Leonardo DRS, Inc.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EVP, General Counsel &amp; Secretary</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2345 Crystal Drive, Suite 1000</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Arlington, VA 22202</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If to Leonardo S.p.A.:</w:t>
      </w:r>
    </w:p>
    <w:p>
      <w:pPr>
        <w:spacing w:after="0" w:line="10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Leonardo – Società per azioni</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Group General Counsel – EVP Legal, Corporate Affairs,</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Compliance &amp; Anticorruption</w:t>
      </w:r>
    </w:p>
    <w:p>
      <w:pPr>
        <w:spacing w:after="0" w:line="7"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Piazza Monte Grappa, 4</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00195 Roma</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Italy</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If to US Holding:</w:t>
      </w:r>
    </w:p>
    <w:p>
      <w:pPr>
        <w:spacing w:after="0" w:line="10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Leonardo US Holding, Inc.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1235 South Clark Street, Suite 700</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Arlington, VA 22002</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327" w:right="339" w:bottom="1440" w:gutter="0" w:footer="0" w:header="0"/>
        </w:sectPr>
      </w:pPr>
    </w:p>
    <w:bookmarkStart w:id="284" w:name="page285"/>
    <w:bookmarkEnd w:id="284"/>
    <w:p>
      <w:pPr>
        <w:ind w:firstLine="597"/>
        <w:spacing w:after="0" w:line="271" w:lineRule="auto"/>
        <w:rPr>
          <w:sz w:val="20"/>
          <w:szCs w:val="20"/>
          <w:color w:val="auto"/>
        </w:rPr>
      </w:pPr>
      <w:r>
        <w:rPr>
          <w:rFonts w:ascii="Arial" w:cs="Arial" w:eastAsia="Arial" w:hAnsi="Arial"/>
          <w:sz w:val="20"/>
          <w:szCs w:val="20"/>
          <w:color w:val="auto"/>
        </w:rPr>
        <w:t>In witness whereof, the parties have caused this Registration Rights Agreement to be executed and delivered as of the date first above written.</w:t>
      </w:r>
    </w:p>
    <w:p>
      <w:pPr>
        <w:spacing w:after="0" w:line="395" w:lineRule="exact"/>
        <w:rPr>
          <w:sz w:val="20"/>
          <w:szCs w:val="20"/>
          <w:color w:val="auto"/>
        </w:rPr>
      </w:pPr>
    </w:p>
    <w:p>
      <w:pPr>
        <w:ind w:left="5760"/>
        <w:spacing w:after="0"/>
        <w:rPr>
          <w:sz w:val="20"/>
          <w:szCs w:val="20"/>
          <w:color w:val="auto"/>
        </w:rPr>
      </w:pPr>
      <w:r>
        <w:rPr>
          <w:rFonts w:ascii="Arial" w:cs="Arial" w:eastAsia="Arial" w:hAnsi="Arial"/>
          <w:sz w:val="20"/>
          <w:szCs w:val="20"/>
          <w:b w:val="1"/>
          <w:bCs w:val="1"/>
          <w:color w:val="auto"/>
        </w:rPr>
        <w:t>LEONARDO DRS, INC.</w:t>
      </w:r>
    </w:p>
    <w:p>
      <w:pPr>
        <w:spacing w:after="0" w:line="311"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24130</wp:posOffset>
            </wp:positionV>
            <wp:extent cx="315277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52775" cy="7620"/>
                    </a:xfrm>
                    <a:prstGeom prst="rect">
                      <a:avLst/>
                    </a:prstGeom>
                    <a:noFill/>
                  </pic:spPr>
                </pic:pic>
              </a:graphicData>
            </a:graphic>
          </wp:anchor>
        </w:drawing>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w:t>
      </w:r>
    </w:p>
    <w:p>
      <w:pPr>
        <w:spacing w:after="0" w:line="5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Registration Rights Agreement</w:t>
      </w:r>
      <w:r>
        <w:rPr>
          <w:rFonts w:ascii="Arial" w:cs="Arial" w:eastAsia="Arial" w:hAnsi="Arial"/>
          <w:sz w:val="17"/>
          <w:szCs w:val="17"/>
          <w:color w:val="auto"/>
        </w:rPr>
        <w:t>]</w:t>
      </w:r>
    </w:p>
    <w:p>
      <w:pPr>
        <w:sectPr>
          <w:pgSz w:w="11900" w:h="16838" w:orient="portrait"/>
          <w:cols w:equalWidth="0" w:num="1">
            <w:col w:w="11240"/>
          </w:cols>
          <w:pgMar w:left="320" w:top="1327" w:right="339" w:bottom="1440" w:gutter="0" w:footer="0" w:header="0"/>
        </w:sectPr>
      </w:pPr>
    </w:p>
    <w:bookmarkStart w:id="285" w:name="page286"/>
    <w:bookmarkEnd w:id="285"/>
    <w:p>
      <w:pPr>
        <w:spacing w:after="0" w:line="330" w:lineRule="exact"/>
        <w:rPr>
          <w:sz w:val="20"/>
          <w:szCs w:val="20"/>
          <w:color w:val="auto"/>
        </w:rPr>
      </w:pPr>
    </w:p>
    <w:p>
      <w:pPr>
        <w:jc w:val="right"/>
        <w:ind w:right="919"/>
        <w:spacing w:after="0"/>
        <w:rPr>
          <w:sz w:val="20"/>
          <w:szCs w:val="20"/>
          <w:color w:val="auto"/>
        </w:rPr>
      </w:pPr>
      <w:r>
        <w:rPr>
          <w:rFonts w:ascii="Arial" w:cs="Arial" w:eastAsia="Arial" w:hAnsi="Arial"/>
          <w:sz w:val="20"/>
          <w:szCs w:val="20"/>
          <w:b w:val="1"/>
          <w:bCs w:val="1"/>
          <w:color w:val="auto"/>
        </w:rPr>
        <w:t>LEONARDO – SOCIETÀ PER AZIONI</w:t>
      </w:r>
    </w:p>
    <w:p>
      <w:pPr>
        <w:spacing w:after="0" w:line="311"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24130</wp:posOffset>
            </wp:positionV>
            <wp:extent cx="316039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60395" cy="7620"/>
                    </a:xfrm>
                    <a:prstGeom prst="rect">
                      <a:avLst/>
                    </a:prstGeom>
                    <a:noFill/>
                  </pic:spPr>
                </pic:pic>
              </a:graphicData>
            </a:graphic>
          </wp:anchor>
        </w:drawing>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Name:</w:t>
      </w:r>
    </w:p>
    <w:p>
      <w:pPr>
        <w:spacing w:after="0" w:line="5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Registration Rights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sectPr>
      </w:pPr>
    </w:p>
    <w:bookmarkStart w:id="286" w:name="page287"/>
    <w:bookmarkEnd w:id="286"/>
    <w:p>
      <w:pPr>
        <w:spacing w:after="0" w:line="330" w:lineRule="exact"/>
        <w:rPr>
          <w:sz w:val="20"/>
          <w:szCs w:val="20"/>
          <w:color w:val="auto"/>
        </w:rPr>
      </w:pPr>
    </w:p>
    <w:p>
      <w:pPr>
        <w:jc w:val="right"/>
        <w:ind w:right="1419"/>
        <w:spacing w:after="0"/>
        <w:rPr>
          <w:sz w:val="20"/>
          <w:szCs w:val="20"/>
          <w:color w:val="auto"/>
        </w:rPr>
      </w:pPr>
      <w:r>
        <w:rPr>
          <w:rFonts w:ascii="Arial" w:cs="Arial" w:eastAsia="Arial" w:hAnsi="Arial"/>
          <w:sz w:val="20"/>
          <w:szCs w:val="20"/>
          <w:b w:val="1"/>
          <w:bCs w:val="1"/>
          <w:color w:val="auto"/>
        </w:rPr>
        <w:t>LEONARDO US HOLDING, INC.</w:t>
      </w:r>
    </w:p>
    <w:p>
      <w:pPr>
        <w:spacing w:after="0" w:line="311"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24130</wp:posOffset>
            </wp:positionV>
            <wp:extent cx="316039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60395" cy="7620"/>
                    </a:xfrm>
                    <a:prstGeom prst="rect">
                      <a:avLst/>
                    </a:prstGeom>
                    <a:noFill/>
                  </pic:spPr>
                </pic:pic>
              </a:graphicData>
            </a:graphic>
          </wp:anchor>
        </w:drawing>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Name:</w:t>
      </w:r>
    </w:p>
    <w:p>
      <w:pPr>
        <w:spacing w:after="0" w:line="5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Registration Rights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sectPr>
      </w:pPr>
    </w:p>
    <w:bookmarkStart w:id="287" w:name="page288"/>
    <w:bookmarkEnd w:id="287"/>
    <w:p>
      <w:pPr>
        <w:ind w:left="104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JOINDER AGREEMENT</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Reference is made to the Registration Rights Agreement, dated as of March [•], 2021 (as amended from time to time, the</w:t>
      </w:r>
    </w:p>
    <w:p>
      <w:pPr>
        <w:spacing w:after="0" w:line="3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Registration Rights Agreement</w:t>
      </w:r>
      <w:r>
        <w:rPr>
          <w:rFonts w:ascii="Arial" w:cs="Arial" w:eastAsia="Arial" w:hAnsi="Arial"/>
          <w:sz w:val="20"/>
          <w:szCs w:val="20"/>
          <w:color w:val="auto"/>
        </w:rPr>
        <w:t>”), by and among Leonardo DRS, Inc., Leonardo società per azioni, Leonardo US Holding, Inc. and the other parties thereto, if any. The undersigned agrees, by execution hereof, to become a party to, and to be subject to the rights and obligations of a Holder under the Registration Rights Agreement.</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TRANSFEREE]</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24130</wp:posOffset>
            </wp:positionV>
            <wp:extent cx="316039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60395" cy="762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Title:</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Joinder Agreement</w:t>
      </w:r>
      <w:r>
        <w:rPr>
          <w:rFonts w:ascii="Arial" w:cs="Arial" w:eastAsia="Arial" w:hAnsi="Arial"/>
          <w:sz w:val="17"/>
          <w:szCs w:val="17"/>
          <w:color w:val="auto"/>
        </w:rPr>
        <w:t>]</w:t>
      </w:r>
    </w:p>
    <w:p>
      <w:pPr>
        <w:sectPr>
          <w:pgSz w:w="11900" w:h="16838" w:orient="portrait"/>
          <w:cols w:equalWidth="0" w:num="1">
            <w:col w:w="11240"/>
          </w:cols>
          <w:pgMar w:left="320" w:top="1321" w:right="339" w:bottom="1440" w:gutter="0" w:footer="0" w:header="0"/>
        </w:sectPr>
      </w:pPr>
    </w:p>
    <w:bookmarkStart w:id="288" w:name="page289"/>
    <w:bookmarkEnd w:id="288"/>
    <w:p>
      <w:pPr>
        <w:spacing w:after="0" w:line="336"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Acknowledged by:</w:t>
      </w:r>
    </w:p>
    <w:p>
      <w:pPr>
        <w:spacing w:after="0" w:line="243"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Leonardo DRS, INC.</w:t>
      </w:r>
    </w:p>
    <w:p>
      <w:pPr>
        <w:spacing w:after="0" w:line="305"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24130</wp:posOffset>
            </wp:positionV>
            <wp:extent cx="316039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60395" cy="7620"/>
                    </a:xfrm>
                    <a:prstGeom prst="rect">
                      <a:avLst/>
                    </a:prstGeom>
                    <a:noFill/>
                  </pic:spPr>
                </pic:pic>
              </a:graphicData>
            </a:graphic>
          </wp:anchor>
        </w:drawing>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Name:</w:t>
      </w:r>
    </w:p>
    <w:p>
      <w:pPr>
        <w:spacing w:after="0" w:line="5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Joinder Agreement</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7"/>
          <w:szCs w:val="17"/>
          <w:b w:val="1"/>
          <w:bCs w:val="1"/>
          <w:color w:val="auto"/>
        </w:rPr>
        <w:t>Exhibit 10.5</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CONFIDENTIAL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ALLOCATION AGREEMENT</w:t>
      </w:r>
    </w:p>
    <w:p>
      <w:pPr>
        <w:spacing w:after="0" w:line="212" w:lineRule="exact"/>
        <w:rPr>
          <w:sz w:val="20"/>
          <w:szCs w:val="20"/>
          <w:color w:val="auto"/>
        </w:rPr>
      </w:pPr>
    </w:p>
    <w:p>
      <w:pPr>
        <w:jc w:val="both"/>
        <w:ind w:firstLine="597"/>
        <w:spacing w:after="0" w:line="298" w:lineRule="auto"/>
        <w:rPr>
          <w:sz w:val="20"/>
          <w:szCs w:val="20"/>
          <w:color w:val="auto"/>
        </w:rPr>
      </w:pPr>
      <w:r>
        <w:rPr>
          <w:rFonts w:ascii="Arial" w:cs="Arial" w:eastAsia="Arial" w:hAnsi="Arial"/>
          <w:sz w:val="19"/>
          <w:szCs w:val="19"/>
          <w:color w:val="auto"/>
        </w:rPr>
        <w:t>Agreement dated as of November 16, 2020, and effective as of the first day of the consolidated return year beginning October 14, 2008, by and among Leonardo US Holding, Inc. (“</w:t>
      </w:r>
      <w:r>
        <w:rPr>
          <w:rFonts w:ascii="Arial" w:cs="Arial" w:eastAsia="Arial" w:hAnsi="Arial"/>
          <w:sz w:val="19"/>
          <w:szCs w:val="19"/>
          <w:b w:val="1"/>
          <w:bCs w:val="1"/>
          <w:u w:val="single" w:color="auto"/>
          <w:color w:val="auto"/>
        </w:rPr>
        <w:t>Parent</w:t>
      </w:r>
      <w:r>
        <w:rPr>
          <w:rFonts w:ascii="Arial" w:cs="Arial" w:eastAsia="Arial" w:hAnsi="Arial"/>
          <w:sz w:val="19"/>
          <w:szCs w:val="19"/>
          <w:color w:val="auto"/>
        </w:rPr>
        <w:t>”), Leonardo DRS, Inc. (“</w:t>
      </w:r>
      <w:r>
        <w:rPr>
          <w:rFonts w:ascii="Arial" w:cs="Arial" w:eastAsia="Arial" w:hAnsi="Arial"/>
          <w:sz w:val="19"/>
          <w:szCs w:val="19"/>
          <w:b w:val="1"/>
          <w:bCs w:val="1"/>
          <w:u w:val="single" w:color="auto"/>
          <w:color w:val="auto"/>
        </w:rPr>
        <w:t>DRS</w:t>
      </w:r>
      <w:r>
        <w:rPr>
          <w:rFonts w:ascii="Arial" w:cs="Arial" w:eastAsia="Arial" w:hAnsi="Arial"/>
          <w:sz w:val="19"/>
          <w:szCs w:val="19"/>
          <w:color w:val="auto"/>
        </w:rPr>
        <w:t>”) and each of the undersigned: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06"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20"/>
          <w:szCs w:val="20"/>
          <w:color w:val="auto"/>
        </w:rPr>
        <w:t>Whereas, the parties set forth on Schedule A hereto (the “</w:t>
      </w:r>
      <w:r>
        <w:rPr>
          <w:rFonts w:ascii="Arial" w:cs="Arial" w:eastAsia="Arial" w:hAnsi="Arial"/>
          <w:sz w:val="20"/>
          <w:szCs w:val="20"/>
          <w:b w:val="1"/>
          <w:bCs w:val="1"/>
          <w:u w:val="single" w:color="auto"/>
          <w:color w:val="auto"/>
        </w:rPr>
        <w:t>Members</w:t>
      </w:r>
      <w:r>
        <w:rPr>
          <w:rFonts w:ascii="Arial" w:cs="Arial" w:eastAsia="Arial" w:hAnsi="Arial"/>
          <w:sz w:val="20"/>
          <w:szCs w:val="20"/>
          <w:color w:val="auto"/>
        </w:rPr>
        <w:t>”) are part of an affiliated group (the “</w:t>
      </w:r>
      <w:r>
        <w:rPr>
          <w:rFonts w:ascii="Arial" w:cs="Arial" w:eastAsia="Arial" w:hAnsi="Arial"/>
          <w:sz w:val="20"/>
          <w:szCs w:val="20"/>
          <w:b w:val="1"/>
          <w:bCs w:val="1"/>
          <w:u w:val="single" w:color="auto"/>
          <w:color w:val="auto"/>
        </w:rPr>
        <w:t>Affiliated Group</w:t>
      </w:r>
      <w:r>
        <w:rPr>
          <w:rFonts w:ascii="Arial" w:cs="Arial" w:eastAsia="Arial" w:hAnsi="Arial"/>
          <w:sz w:val="20"/>
          <w:szCs w:val="20"/>
          <w:color w:val="auto"/>
        </w:rPr>
        <w:t>”) as defined by Section 1504(a) of the Internal Revenue Code of 1986, as amended (the “</w:t>
      </w: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and</w:t>
      </w:r>
    </w:p>
    <w:p>
      <w:pPr>
        <w:spacing w:after="0" w:line="147"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auto"/>
        </w:rPr>
        <w:t>Whereas, the Affiliated Group has, since October 22, 2008, filed a consolidated federal income tax return in accordance with Section 1501 of the Code (with Leonardo US Aircraft Inc. joining the consolidated return in March 2016) and is required to file consolidated income tax returns for years subsequent to such year of its first consolidated filing;</w:t>
      </w:r>
    </w:p>
    <w:p>
      <w:pPr>
        <w:spacing w:after="0" w:line="161"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20"/>
          <w:szCs w:val="20"/>
          <w:color w:val="auto"/>
        </w:rPr>
        <w:t>Whereas, the parties set forth on Schedule B hereto (the “</w:t>
      </w:r>
      <w:r>
        <w:rPr>
          <w:rFonts w:ascii="Arial" w:cs="Arial" w:eastAsia="Arial" w:hAnsi="Arial"/>
          <w:sz w:val="20"/>
          <w:szCs w:val="20"/>
          <w:b w:val="1"/>
          <w:bCs w:val="1"/>
          <w:color w:val="auto"/>
        </w:rPr>
        <w:t>State Members</w:t>
      </w:r>
      <w:r>
        <w:rPr>
          <w:rFonts w:ascii="Arial" w:cs="Arial" w:eastAsia="Arial" w:hAnsi="Arial"/>
          <w:sz w:val="20"/>
          <w:szCs w:val="20"/>
          <w:color w:val="auto"/>
        </w:rPr>
        <w:t>”) are members of one or more consolidated, combined, unitary or similar state tax groups;</w:t>
      </w:r>
    </w:p>
    <w:p>
      <w:pPr>
        <w:spacing w:after="0" w:line="141"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20"/>
          <w:szCs w:val="20"/>
          <w:color w:val="auto"/>
        </w:rPr>
        <w:t>Whereas, the Members, the State Members and the parties set forth on Schedule C hereto (together, the “</w:t>
      </w:r>
      <w:r>
        <w:rPr>
          <w:rFonts w:ascii="Arial" w:cs="Arial" w:eastAsia="Arial" w:hAnsi="Arial"/>
          <w:sz w:val="20"/>
          <w:szCs w:val="20"/>
          <w:b w:val="1"/>
          <w:bCs w:val="1"/>
          <w:color w:val="auto"/>
        </w:rPr>
        <w:t>Expanded Group</w:t>
      </w:r>
      <w:r>
        <w:rPr>
          <w:rFonts w:ascii="Arial" w:cs="Arial" w:eastAsia="Arial" w:hAnsi="Arial"/>
          <w:sz w:val="20"/>
          <w:szCs w:val="20"/>
          <w:color w:val="auto"/>
        </w:rPr>
        <w:t xml:space="preserve"> </w:t>
      </w:r>
      <w:r>
        <w:rPr>
          <w:rFonts w:ascii="Arial" w:cs="Arial" w:eastAsia="Arial" w:hAnsi="Arial"/>
          <w:sz w:val="20"/>
          <w:szCs w:val="20"/>
          <w:b w:val="1"/>
          <w:bCs w:val="1"/>
          <w:color w:val="auto"/>
        </w:rPr>
        <w:t>Members</w:t>
      </w:r>
      <w:r>
        <w:rPr>
          <w:rFonts w:ascii="Arial" w:cs="Arial" w:eastAsia="Arial" w:hAnsi="Arial"/>
          <w:sz w:val="20"/>
          <w:szCs w:val="20"/>
          <w:color w:val="auto"/>
        </w:rPr>
        <w:t>”) are part of an “expanded affiliated group” for certain tax purposes (the “</w:t>
      </w:r>
      <w:r>
        <w:rPr>
          <w:rFonts w:ascii="Arial" w:cs="Arial" w:eastAsia="Arial" w:hAnsi="Arial"/>
          <w:sz w:val="20"/>
          <w:szCs w:val="20"/>
          <w:b w:val="1"/>
          <w:bCs w:val="1"/>
          <w:color w:val="auto"/>
        </w:rPr>
        <w:t>Expanded Affiliated Group</w:t>
      </w:r>
      <w:r>
        <w:rPr>
          <w:rFonts w:ascii="Arial" w:cs="Arial" w:eastAsia="Arial" w:hAnsi="Arial"/>
          <w:sz w:val="20"/>
          <w:szCs w:val="20"/>
          <w:color w:val="auto"/>
        </w:rPr>
        <w:t>”);</w:t>
      </w:r>
    </w:p>
    <w:p>
      <w:pPr>
        <w:spacing w:after="0" w:line="147" w:lineRule="exact"/>
        <w:rPr>
          <w:sz w:val="20"/>
          <w:szCs w:val="20"/>
          <w:color w:val="auto"/>
        </w:rPr>
      </w:pPr>
    </w:p>
    <w:p>
      <w:pPr>
        <w:jc w:val="both"/>
        <w:ind w:firstLine="597"/>
        <w:spacing w:after="0" w:line="327" w:lineRule="auto"/>
        <w:rPr>
          <w:sz w:val="20"/>
          <w:szCs w:val="20"/>
          <w:color w:val="auto"/>
        </w:rPr>
      </w:pPr>
      <w:r>
        <w:rPr>
          <w:rFonts w:ascii="Arial" w:cs="Arial" w:eastAsia="Arial" w:hAnsi="Arial"/>
          <w:sz w:val="18"/>
          <w:szCs w:val="18"/>
          <w:color w:val="auto"/>
        </w:rPr>
        <w:t>Whereas, the Members and State Members have developed a practice of fairly allocating the tax liabilities and assets of the Affiliated Group and state tax groups and making payments among the Members and State Members in respect of such tax liabilities and assets; and</w:t>
      </w:r>
    </w:p>
    <w:p>
      <w:pPr>
        <w:spacing w:after="0" w:line="108" w:lineRule="exact"/>
        <w:rPr>
          <w:sz w:val="20"/>
          <w:szCs w:val="20"/>
          <w:color w:val="auto"/>
        </w:rPr>
      </w:pPr>
    </w:p>
    <w:p>
      <w:pPr>
        <w:jc w:val="both"/>
        <w:ind w:firstLine="597"/>
        <w:spacing w:after="0" w:line="267" w:lineRule="auto"/>
        <w:rPr>
          <w:sz w:val="20"/>
          <w:szCs w:val="20"/>
          <w:color w:val="auto"/>
        </w:rPr>
      </w:pPr>
      <w:r>
        <w:rPr>
          <w:rFonts w:ascii="Arial" w:cs="Arial" w:eastAsia="Arial" w:hAnsi="Arial"/>
          <w:sz w:val="19"/>
          <w:szCs w:val="19"/>
          <w:color w:val="auto"/>
        </w:rPr>
        <w:t>Whereas, it is the intent and desire of the Members and State Members to record in writing their method for allocating the consolidated tax liability (as determined under Section 1.1502-2 of the Treasury Regulations (the “</w:t>
      </w:r>
      <w:r>
        <w:rPr>
          <w:rFonts w:ascii="Arial" w:cs="Arial" w:eastAsia="Arial" w:hAnsi="Arial"/>
          <w:sz w:val="19"/>
          <w:szCs w:val="19"/>
          <w:b w:val="1"/>
          <w:bCs w:val="1"/>
          <w:u w:val="single" w:color="auto"/>
          <w:color w:val="auto"/>
        </w:rPr>
        <w:t>Regulations</w:t>
      </w:r>
      <w:r>
        <w:rPr>
          <w:rFonts w:ascii="Arial" w:cs="Arial" w:eastAsia="Arial" w:hAnsi="Arial"/>
          <w:sz w:val="19"/>
          <w:szCs w:val="19"/>
          <w:color w:val="auto"/>
        </w:rPr>
        <w:t>”) of the Affiliated Group among its Members (as required by Section 1552(a) of the Code) and for allocating any state group tax liabilities among the State Members; for reimbursing the Parent and / or DRS for payment of such tax liabilities; for compensating any Member for use of its “net operating loss” or “tax credits” in arriving at such tax liabilities; and to provide for the allocation and payment of any refund arising from a carryback of net operating losses or tax credits from subsequent taxable years; and</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9"/>
          <w:szCs w:val="19"/>
          <w:color w:val="auto"/>
        </w:rPr>
        <w:t>Now, therefore, in consideration of the mutual covenants and promises contained herein, the parties hereto agree as follows:</w:t>
      </w:r>
    </w:p>
    <w:p>
      <w:pPr>
        <w:spacing w:after="0" w:line="217" w:lineRule="exact"/>
        <w:rPr>
          <w:sz w:val="20"/>
          <w:szCs w:val="20"/>
          <w:color w:val="auto"/>
        </w:rPr>
      </w:pPr>
    </w:p>
    <w:p>
      <w:pPr>
        <w:ind w:firstLine="597"/>
        <w:spacing w:after="0" w:line="298" w:lineRule="auto"/>
        <w:tabs>
          <w:tab w:leader="none" w:pos="971" w:val="left"/>
        </w:tabs>
        <w:numPr>
          <w:ilvl w:val="0"/>
          <w:numId w:val="177"/>
        </w:numPr>
        <w:rPr>
          <w:rFonts w:ascii="Arial" w:cs="Arial" w:eastAsia="Arial" w:hAnsi="Arial"/>
          <w:sz w:val="19"/>
          <w:szCs w:val="19"/>
          <w:color w:val="010000"/>
        </w:rPr>
      </w:pPr>
      <w:r>
        <w:rPr>
          <w:rFonts w:ascii="Arial" w:cs="Arial" w:eastAsia="Arial" w:hAnsi="Arial"/>
          <w:sz w:val="19"/>
          <w:szCs w:val="19"/>
          <w:color w:val="auto"/>
        </w:rPr>
        <w:t>Parent has filed a U.S. consolidated federal income tax return for each taxable year since the taxable year that included October 22, 2008, and shall continue to file such return for the taxable year ending December 31, 2020, and for each subsequent</w:t>
      </w:r>
    </w:p>
    <w:p>
      <w:pPr>
        <w:sectPr>
          <w:pgSz w:w="11900" w:h="16838" w:orient="portrait"/>
          <w:cols w:equalWidth="0" w:num="1">
            <w:col w:w="11240"/>
          </w:cols>
          <w:pgMar w:left="320" w:top="123" w:right="339" w:bottom="1440" w:gutter="0" w:footer="0" w:header="0"/>
        </w:sectPr>
      </w:pPr>
    </w:p>
    <w:bookmarkStart w:id="290" w:name="page291"/>
    <w:bookmarkEnd w:id="290"/>
    <w:p>
      <w:pPr>
        <w:jc w:val="both"/>
        <w:spacing w:after="0" w:line="284" w:lineRule="auto"/>
        <w:rPr>
          <w:sz w:val="20"/>
          <w:szCs w:val="20"/>
          <w:color w:val="auto"/>
        </w:rPr>
      </w:pPr>
      <w:r>
        <w:rPr>
          <w:rFonts w:ascii="Arial" w:cs="Arial" w:eastAsia="Arial" w:hAnsi="Arial"/>
          <w:sz w:val="18"/>
          <w:szCs w:val="18"/>
          <w:color w:val="auto"/>
        </w:rPr>
        <w:t xml:space="preserve">taxable year in respect of which this Agreement is in effect and for which the Affiliated Group is required or permitted to file a consolidated federal income tax return. Parent and each Member shall execute and file such consents, elections, and other documents that may be required or appropriate for the proper filing of such returns. Computations of basis and earnings and profits in respect of each Member shall be determined as if this Agreement had been in effect since the Affiliated Group’s first taxable year, taking into account payments actually made between the Members (that would have been paid in accordance with </w:t>
      </w:r>
      <w:r>
        <w:rPr>
          <w:rFonts w:ascii="Arial" w:cs="Arial" w:eastAsia="Arial" w:hAnsi="Arial"/>
          <w:sz w:val="18"/>
          <w:szCs w:val="18"/>
          <w:u w:val="single" w:color="auto"/>
          <w:color w:val="auto"/>
        </w:rPr>
        <w:t>Paragraph 5.c</w:t>
      </w:r>
      <w:r>
        <w:rPr>
          <w:rFonts w:ascii="Arial" w:cs="Arial" w:eastAsia="Arial" w:hAnsi="Arial"/>
          <w:sz w:val="18"/>
          <w:szCs w:val="18"/>
          <w:color w:val="auto"/>
        </w:rPr>
        <w:t xml:space="preserve"> below or otherwise under this Agreement) and treating unpaid amounts as distributions and contributions in accordance with </w:t>
      </w:r>
      <w:r>
        <w:rPr>
          <w:rFonts w:ascii="Arial" w:cs="Arial" w:eastAsia="Arial" w:hAnsi="Arial"/>
          <w:sz w:val="18"/>
          <w:szCs w:val="18"/>
          <w:u w:val="single" w:color="auto"/>
          <w:color w:val="auto"/>
        </w:rPr>
        <w:t>Paragraph 4(b)</w:t>
      </w:r>
      <w:r>
        <w:rPr>
          <w:rFonts w:ascii="Arial" w:cs="Arial" w:eastAsia="Arial" w:hAnsi="Arial"/>
          <w:sz w:val="18"/>
          <w:szCs w:val="18"/>
          <w:color w:val="auto"/>
        </w:rPr>
        <w:t xml:space="preserve"> below.</w:t>
      </w:r>
    </w:p>
    <w:p>
      <w:pPr>
        <w:spacing w:after="0" w:line="148" w:lineRule="exact"/>
        <w:rPr>
          <w:sz w:val="20"/>
          <w:szCs w:val="20"/>
          <w:color w:val="auto"/>
        </w:rPr>
      </w:pPr>
    </w:p>
    <w:p>
      <w:pPr>
        <w:jc w:val="both"/>
        <w:ind w:firstLine="597"/>
        <w:spacing w:after="0" w:line="283" w:lineRule="auto"/>
        <w:tabs>
          <w:tab w:leader="none" w:pos="971" w:val="left"/>
        </w:tabs>
        <w:numPr>
          <w:ilvl w:val="1"/>
          <w:numId w:val="178"/>
        </w:numPr>
        <w:rPr>
          <w:rFonts w:ascii="Arial" w:cs="Arial" w:eastAsia="Arial" w:hAnsi="Arial"/>
          <w:sz w:val="18"/>
          <w:szCs w:val="18"/>
          <w:color w:val="010000"/>
        </w:rPr>
      </w:pPr>
      <w:r>
        <w:rPr>
          <w:rFonts w:ascii="Arial" w:cs="Arial" w:eastAsia="Arial" w:hAnsi="Arial"/>
          <w:sz w:val="18"/>
          <w:szCs w:val="18"/>
          <w:color w:val="auto"/>
        </w:rPr>
        <w:t>In view of the fact that the Affiliated Group has filed consolidated federal income tax returns in prior years, and further in view of the fact that no timely election was made in accordance with Section 1552(b) of the Code and Sections 1.1552-1(d) and 1.1502-33(d)(3)</w:t>
      </w:r>
    </w:p>
    <w:p>
      <w:pPr>
        <w:jc w:val="both"/>
        <w:spacing w:after="0" w:line="249" w:lineRule="auto"/>
        <w:tabs>
          <w:tab w:leader="none" w:pos="31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of the Regulations, the Affiliated Group acknowledges that: (a) the consolidated federal income tax liability of such Affiliated Group shall be apportioned among the Members in accordance with the method set forth in Section 1552(a)(1) of the Code and Sections 1.1552-1(a)(1) and 1.1552-1(b) of the Regulations and (b) none of the three methods of allocation under Section 1.1502-33(d)(2) of the Regulations will be currently available.</w:t>
      </w:r>
    </w:p>
    <w:p>
      <w:pPr>
        <w:spacing w:after="0" w:line="174" w:lineRule="exact"/>
        <w:rPr>
          <w:rFonts w:ascii="Arial" w:cs="Arial" w:eastAsia="Arial" w:hAnsi="Arial"/>
          <w:sz w:val="20"/>
          <w:szCs w:val="20"/>
          <w:color w:val="auto"/>
        </w:rPr>
      </w:pPr>
    </w:p>
    <w:p>
      <w:pPr>
        <w:jc w:val="both"/>
        <w:ind w:firstLine="597"/>
        <w:spacing w:after="0" w:line="258" w:lineRule="auto"/>
        <w:tabs>
          <w:tab w:leader="none" w:pos="1033" w:val="left"/>
        </w:tabs>
        <w:numPr>
          <w:ilvl w:val="1"/>
          <w:numId w:val="179"/>
        </w:numPr>
        <w:rPr>
          <w:rFonts w:ascii="Arial" w:cs="Arial" w:eastAsia="Arial" w:hAnsi="Arial"/>
          <w:sz w:val="20"/>
          <w:szCs w:val="20"/>
          <w:color w:val="010000"/>
        </w:rPr>
      </w:pPr>
      <w:r>
        <w:rPr>
          <w:rFonts w:ascii="Arial" w:cs="Arial" w:eastAsia="Arial" w:hAnsi="Arial"/>
          <w:sz w:val="20"/>
          <w:szCs w:val="20"/>
          <w:color w:val="auto"/>
        </w:rPr>
        <w:t>In order to compensate Members of the Affiliated Group for the use of net operating losses or tax credits in arriving at the consolidated federal income tax liability of the Affiliated Group, the Members of the Affiliated Group agree to determine and allocate the tax liability of the Affiliated Group among themselves in the following manner:</w:t>
      </w:r>
    </w:p>
    <w:p>
      <w:pPr>
        <w:spacing w:after="0" w:line="167" w:lineRule="exact"/>
        <w:rPr>
          <w:sz w:val="20"/>
          <w:szCs w:val="20"/>
          <w:color w:val="auto"/>
        </w:rPr>
      </w:pPr>
    </w:p>
    <w:p>
      <w:pPr>
        <w:jc w:val="both"/>
        <w:ind w:left="600"/>
        <w:spacing w:after="0" w:line="258" w:lineRule="auto"/>
        <w:rPr>
          <w:sz w:val="20"/>
          <w:szCs w:val="20"/>
          <w:color w:val="auto"/>
        </w:rPr>
      </w:pPr>
      <w:r>
        <w:rPr>
          <w:rFonts w:ascii="Arial" w:cs="Arial" w:eastAsia="Arial" w:hAnsi="Arial"/>
          <w:sz w:val="20"/>
          <w:szCs w:val="20"/>
          <w:color w:val="010000"/>
        </w:rPr>
        <w:t xml:space="preserve">Step 1. </w:t>
      </w:r>
      <w:r>
        <w:rPr>
          <w:rFonts w:ascii="Arial" w:cs="Arial" w:eastAsia="Arial" w:hAnsi="Arial"/>
          <w:sz w:val="20"/>
          <w:szCs w:val="20"/>
          <w:color w:val="000000"/>
        </w:rPr>
        <w:t>The consolidated federal income tax liability of the Affiliated Group, as determined under Section 1.1502-2 of the</w:t>
      </w:r>
      <w:r>
        <w:rPr>
          <w:rFonts w:ascii="Arial" w:cs="Arial" w:eastAsia="Arial" w:hAnsi="Arial"/>
          <w:sz w:val="20"/>
          <w:szCs w:val="20"/>
          <w:color w:val="010000"/>
        </w:rPr>
        <w:t xml:space="preserve"> </w:t>
      </w:r>
      <w:r>
        <w:rPr>
          <w:rFonts w:ascii="Arial" w:cs="Arial" w:eastAsia="Arial" w:hAnsi="Arial"/>
          <w:sz w:val="20"/>
          <w:szCs w:val="20"/>
          <w:color w:val="000000"/>
        </w:rPr>
        <w:t xml:space="preserve">Regulations shall be allocated to the Members in accordance with Section 1.1552-1(a)(1) of the Regulations (as provided in </w:t>
      </w:r>
      <w:r>
        <w:rPr>
          <w:rFonts w:ascii="Arial" w:cs="Arial" w:eastAsia="Arial" w:hAnsi="Arial"/>
          <w:sz w:val="20"/>
          <w:szCs w:val="20"/>
          <w:u w:val="single" w:color="auto"/>
          <w:color w:val="000000"/>
        </w:rPr>
        <w:t>Paragraph 2</w:t>
      </w:r>
      <w:r>
        <w:rPr>
          <w:rFonts w:ascii="Arial" w:cs="Arial" w:eastAsia="Arial" w:hAnsi="Arial"/>
          <w:sz w:val="20"/>
          <w:szCs w:val="20"/>
          <w:color w:val="000000"/>
        </w:rPr>
        <w:t xml:space="preserve"> of this Agreement);</w:t>
      </w:r>
    </w:p>
    <w:p>
      <w:pPr>
        <w:spacing w:after="0" w:line="167" w:lineRule="exact"/>
        <w:rPr>
          <w:sz w:val="20"/>
          <w:szCs w:val="20"/>
          <w:color w:val="auto"/>
        </w:rPr>
      </w:pPr>
    </w:p>
    <w:p>
      <w:pPr>
        <w:jc w:val="both"/>
        <w:ind w:left="600"/>
        <w:spacing w:after="0" w:line="287" w:lineRule="auto"/>
        <w:rPr>
          <w:sz w:val="20"/>
          <w:szCs w:val="20"/>
          <w:color w:val="auto"/>
        </w:rPr>
      </w:pPr>
      <w:r>
        <w:rPr>
          <w:rFonts w:ascii="Arial" w:cs="Arial" w:eastAsia="Arial" w:hAnsi="Arial"/>
          <w:sz w:val="18"/>
          <w:szCs w:val="18"/>
          <w:color w:val="010000"/>
        </w:rPr>
        <w:t xml:space="preserve">Step 2. </w:t>
      </w:r>
      <w:r>
        <w:rPr>
          <w:rFonts w:ascii="Arial" w:cs="Arial" w:eastAsia="Arial" w:hAnsi="Arial"/>
          <w:sz w:val="18"/>
          <w:szCs w:val="18"/>
          <w:color w:val="000000"/>
        </w:rPr>
        <w:t>An additional amount shall be allocated to each Member equal to 100 percent of the excess, if any, of (1) the “separate return</w:t>
      </w:r>
      <w:r>
        <w:rPr>
          <w:rFonts w:ascii="Arial" w:cs="Arial" w:eastAsia="Arial" w:hAnsi="Arial"/>
          <w:sz w:val="18"/>
          <w:szCs w:val="18"/>
          <w:color w:val="010000"/>
        </w:rPr>
        <w:t xml:space="preserve"> </w:t>
      </w:r>
      <w:r>
        <w:rPr>
          <w:rFonts w:ascii="Arial" w:cs="Arial" w:eastAsia="Arial" w:hAnsi="Arial"/>
          <w:sz w:val="18"/>
          <w:szCs w:val="18"/>
          <w:color w:val="000000"/>
        </w:rPr>
        <w:t xml:space="preserve">tax liability” of such Member for the taxable year over (2) the tax liability of such Member in accordance with </w:t>
      </w:r>
      <w:r>
        <w:rPr>
          <w:rFonts w:ascii="Arial" w:cs="Arial" w:eastAsia="Arial" w:hAnsi="Arial"/>
          <w:sz w:val="18"/>
          <w:szCs w:val="18"/>
          <w:u w:val="single" w:color="auto"/>
          <w:color w:val="000000"/>
        </w:rPr>
        <w:t>Step 1</w:t>
      </w:r>
      <w:r>
        <w:rPr>
          <w:rFonts w:ascii="Arial" w:cs="Arial" w:eastAsia="Arial" w:hAnsi="Arial"/>
          <w:sz w:val="18"/>
          <w:szCs w:val="18"/>
          <w:color w:val="000000"/>
        </w:rPr>
        <w:t xml:space="preserve"> of </w:t>
      </w:r>
      <w:r>
        <w:rPr>
          <w:rFonts w:ascii="Arial" w:cs="Arial" w:eastAsia="Arial" w:hAnsi="Arial"/>
          <w:sz w:val="18"/>
          <w:szCs w:val="18"/>
          <w:u w:val="single" w:color="auto"/>
          <w:color w:val="000000"/>
        </w:rPr>
        <w:t>Paragraph 3</w:t>
      </w:r>
      <w:r>
        <w:rPr>
          <w:rFonts w:ascii="Arial" w:cs="Arial" w:eastAsia="Arial" w:hAnsi="Arial"/>
          <w:sz w:val="18"/>
          <w:szCs w:val="18"/>
          <w:color w:val="000000"/>
        </w:rPr>
        <w:t xml:space="preserve"> of this Agreement. For purposes of the preceding sentence, the “separate return tax liability” of each Member for the taxable year shall be determined as if such Member were filing a separate tax return under the Code, and the term will not have the same meaning as set forth in Section 1.1502-12 of the Regulations. For purposes of determining the “separate return tax liability” of a Member:</w:t>
      </w:r>
    </w:p>
    <w:p>
      <w:pPr>
        <w:spacing w:after="0" w:line="144" w:lineRule="exact"/>
        <w:rPr>
          <w:sz w:val="20"/>
          <w:szCs w:val="20"/>
          <w:color w:val="auto"/>
        </w:rPr>
      </w:pPr>
    </w:p>
    <w:p>
      <w:pPr>
        <w:jc w:val="both"/>
        <w:ind w:left="1200"/>
        <w:spacing w:after="0" w:line="258"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Any dividends received by one Member from another Member will be assumed to qualify for the 100 percent dividends</w:t>
      </w:r>
      <w:r>
        <w:rPr>
          <w:rFonts w:ascii="Arial" w:cs="Arial" w:eastAsia="Arial" w:hAnsi="Arial"/>
          <w:sz w:val="20"/>
          <w:szCs w:val="20"/>
          <w:color w:val="010000"/>
        </w:rPr>
        <w:t xml:space="preserve"> </w:t>
      </w:r>
      <w:r>
        <w:rPr>
          <w:rFonts w:ascii="Arial" w:cs="Arial" w:eastAsia="Arial" w:hAnsi="Arial"/>
          <w:sz w:val="20"/>
          <w:szCs w:val="20"/>
          <w:color w:val="000000"/>
        </w:rPr>
        <w:t>received deduction of Section 243 of the Code, or shall be eliminated from such calculation in accordance with Section 1.1502-14(a)(1) of the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27" w:right="339" w:bottom="1440" w:gutter="0" w:footer="0" w:header="0"/>
        </w:sectPr>
      </w:pPr>
    </w:p>
    <w:bookmarkStart w:id="291" w:name="page292"/>
    <w:bookmarkEnd w:id="291"/>
    <w:p>
      <w:pPr>
        <w:jc w:val="both"/>
        <w:ind w:left="1200"/>
        <w:spacing w:after="0" w:line="271"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Gain or loss on intercompany transactions, whether deferred or not, shall be treated by each Member in the manner</w:t>
      </w:r>
      <w:r>
        <w:rPr>
          <w:rFonts w:ascii="Arial" w:cs="Arial" w:eastAsia="Arial" w:hAnsi="Arial"/>
          <w:sz w:val="20"/>
          <w:szCs w:val="20"/>
          <w:color w:val="010000"/>
        </w:rPr>
        <w:t xml:space="preserve"> </w:t>
      </w:r>
      <w:r>
        <w:rPr>
          <w:rFonts w:ascii="Arial" w:cs="Arial" w:eastAsia="Arial" w:hAnsi="Arial"/>
          <w:sz w:val="20"/>
          <w:szCs w:val="20"/>
          <w:color w:val="000000"/>
        </w:rPr>
        <w:t>required by Section 1.1502-13 of the Regulations.</w:t>
      </w:r>
    </w:p>
    <w:p>
      <w:pPr>
        <w:spacing w:after="0" w:line="153" w:lineRule="exact"/>
        <w:rPr>
          <w:sz w:val="20"/>
          <w:szCs w:val="20"/>
          <w:color w:val="auto"/>
        </w:rPr>
      </w:pPr>
    </w:p>
    <w:p>
      <w:pPr>
        <w:jc w:val="both"/>
        <w:ind w:left="1200"/>
        <w:spacing w:after="0" w:line="258"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Limitations on the calculation of a deduction or the utilization of tax credits or the calculation of a tax liability shall be</w:t>
      </w:r>
      <w:r>
        <w:rPr>
          <w:rFonts w:ascii="Arial" w:cs="Arial" w:eastAsia="Arial" w:hAnsi="Arial"/>
          <w:sz w:val="20"/>
          <w:szCs w:val="20"/>
          <w:color w:val="010000"/>
        </w:rPr>
        <w:t xml:space="preserve"> </w:t>
      </w:r>
      <w:r>
        <w:rPr>
          <w:rFonts w:ascii="Arial" w:cs="Arial" w:eastAsia="Arial" w:hAnsi="Arial"/>
          <w:sz w:val="20"/>
          <w:szCs w:val="20"/>
          <w:color w:val="000000"/>
        </w:rPr>
        <w:t>made on a consolidated basis. Accordingly, the limitations provided in Sections 38(c), 56(a), 170(b)(2), and 172(b)(2) of the Code and similar limitations shall be applied on a consolidated basis.</w:t>
      </w:r>
    </w:p>
    <w:p>
      <w:pPr>
        <w:spacing w:after="0" w:line="167" w:lineRule="exact"/>
        <w:rPr>
          <w:sz w:val="20"/>
          <w:szCs w:val="20"/>
          <w:color w:val="auto"/>
        </w:rPr>
      </w:pPr>
    </w:p>
    <w:p>
      <w:pPr>
        <w:jc w:val="both"/>
        <w:ind w:left="1200"/>
        <w:spacing w:after="0" w:line="271" w:lineRule="auto"/>
        <w:rPr>
          <w:sz w:val="20"/>
          <w:szCs w:val="20"/>
          <w:color w:val="auto"/>
        </w:rPr>
      </w:pPr>
      <w:r>
        <w:rPr>
          <w:rFonts w:ascii="Arial" w:cs="Arial" w:eastAsia="Arial" w:hAnsi="Arial"/>
          <w:sz w:val="20"/>
          <w:szCs w:val="20"/>
          <w:color w:val="auto"/>
        </w:rPr>
        <w:t>d. Elections as to tax credits and tax computations that may have been different from the consolidated treatment if separate returns were filed shall be made on an annual basis.</w:t>
      </w:r>
    </w:p>
    <w:p>
      <w:pPr>
        <w:spacing w:after="0" w:line="153" w:lineRule="exact"/>
        <w:rPr>
          <w:sz w:val="20"/>
          <w:szCs w:val="20"/>
          <w:color w:val="auto"/>
        </w:rPr>
      </w:pPr>
    </w:p>
    <w:p>
      <w:pPr>
        <w:jc w:val="both"/>
        <w:ind w:left="600"/>
        <w:spacing w:after="0" w:line="280" w:lineRule="auto"/>
        <w:rPr>
          <w:sz w:val="20"/>
          <w:szCs w:val="20"/>
          <w:color w:val="auto"/>
        </w:rPr>
      </w:pPr>
      <w:r>
        <w:rPr>
          <w:rFonts w:ascii="Arial" w:cs="Arial" w:eastAsia="Arial" w:hAnsi="Arial"/>
          <w:sz w:val="18"/>
          <w:szCs w:val="18"/>
          <w:color w:val="auto"/>
        </w:rPr>
        <w:t xml:space="preserve">Step 3. The total of any additional amounts allocated to Members pursuant to </w:t>
      </w:r>
      <w:r>
        <w:rPr>
          <w:rFonts w:ascii="Arial" w:cs="Arial" w:eastAsia="Arial" w:hAnsi="Arial"/>
          <w:sz w:val="18"/>
          <w:szCs w:val="18"/>
          <w:u w:val="single" w:color="auto"/>
          <w:color w:val="auto"/>
        </w:rPr>
        <w:t>Step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of this Agreement (including amounts allocated as a result of a carryback) shall be paid (as provided in </w:t>
      </w:r>
      <w:r>
        <w:rPr>
          <w:rFonts w:ascii="Arial" w:cs="Arial" w:eastAsia="Arial" w:hAnsi="Arial"/>
          <w:sz w:val="18"/>
          <w:szCs w:val="18"/>
          <w:u w:val="single" w:color="auto"/>
          <w:color w:val="auto"/>
        </w:rPr>
        <w:t>Paragraph 5.c</w:t>
      </w:r>
      <w:r>
        <w:rPr>
          <w:rFonts w:ascii="Arial" w:cs="Arial" w:eastAsia="Arial" w:hAnsi="Arial"/>
          <w:sz w:val="18"/>
          <w:szCs w:val="18"/>
          <w:color w:val="auto"/>
        </w:rPr>
        <w:t xml:space="preserve"> of this Agreement) by such Members to those other Members that had items of income, deductions, net operating losses, or tax credits to which such total is attributable pursuant to a consistent method that reasonably reflects such items of income, deductions, net operating losses, or tax credits (such consistency and reasonableness to be determined by the party charged with the administration of this Agreement in accordance with </w:t>
      </w:r>
      <w:r>
        <w:rPr>
          <w:rFonts w:ascii="Arial" w:cs="Arial" w:eastAsia="Arial" w:hAnsi="Arial"/>
          <w:sz w:val="18"/>
          <w:szCs w:val="18"/>
          <w:u w:val="single" w:color="auto"/>
          <w:color w:val="auto"/>
        </w:rPr>
        <w:t>Paragraph 5</w:t>
      </w:r>
      <w:r>
        <w:rPr>
          <w:rFonts w:ascii="Arial" w:cs="Arial" w:eastAsia="Arial" w:hAnsi="Arial"/>
          <w:sz w:val="18"/>
          <w:szCs w:val="18"/>
          <w:color w:val="auto"/>
        </w:rPr>
        <w:t xml:space="preserve"> of this Agreement). However, for this purpose, the amounts paid to Members will generally be deemed consistent and reasonable if paid on a basis equal to the amount of net operating losses utilized multiplied by the federal income tax rate in effect in the taxable year the losses were utilized and 100 percent of tax credits utilized (unless, due to special circumstances, this would be inequitable) and which is substantiated by specific records maintained by the group for such purposes.</w:t>
      </w:r>
    </w:p>
    <w:p>
      <w:pPr>
        <w:spacing w:after="0" w:line="154"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9"/>
          <w:szCs w:val="19"/>
          <w:color w:val="auto"/>
        </w:rPr>
        <w:t xml:space="preserve">Under the principles of Revenue Ruling 66-374, the net operating loss of a Member is the deduction that such Member would have had available if it actually filed a separate return for the year and thus would not include any portion of a Member’s net operating loss sustained in a prior or subsequent year that had been absorbed by the Affiliated Group or by the Member in computing actual liabilities for prior or subsequent years. Notwithstanding the preceding sentence, no benefit under </w:t>
      </w:r>
      <w:r>
        <w:rPr>
          <w:rFonts w:ascii="Arial" w:cs="Arial" w:eastAsia="Arial" w:hAnsi="Arial"/>
          <w:sz w:val="19"/>
          <w:szCs w:val="19"/>
          <w:u w:val="single" w:color="auto"/>
          <w:color w:val="auto"/>
        </w:rPr>
        <w:t>Step 3</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Paragraph 3</w:t>
      </w:r>
      <w:r>
        <w:rPr>
          <w:rFonts w:ascii="Arial" w:cs="Arial" w:eastAsia="Arial" w:hAnsi="Arial"/>
          <w:sz w:val="19"/>
          <w:szCs w:val="19"/>
          <w:color w:val="auto"/>
        </w:rPr>
        <w:t xml:space="preserve"> of this Agreement shall be granted a Member unless the net operating loss is availed of in reducing the consolidated federal income tax liability. The rules stated in the previous sentences regarding carryover net operating losses will also apply in the computation of other carryover items such as investment tax credits, foreign tax credits, and charitable contribution deductions.</w:t>
      </w:r>
    </w:p>
    <w:p>
      <w:pPr>
        <w:spacing w:after="0" w:line="159" w:lineRule="exact"/>
        <w:rPr>
          <w:sz w:val="20"/>
          <w:szCs w:val="20"/>
          <w:color w:val="auto"/>
        </w:rPr>
      </w:pPr>
    </w:p>
    <w:p>
      <w:pPr>
        <w:jc w:val="both"/>
        <w:ind w:firstLine="597"/>
        <w:spacing w:after="0" w:line="298" w:lineRule="auto"/>
        <w:rPr>
          <w:sz w:val="20"/>
          <w:szCs w:val="20"/>
          <w:color w:val="auto"/>
        </w:rPr>
      </w:pPr>
      <w:r>
        <w:rPr>
          <w:rFonts w:ascii="Arial" w:cs="Arial" w:eastAsia="Arial" w:hAnsi="Arial"/>
          <w:sz w:val="19"/>
          <w:szCs w:val="19"/>
          <w:color w:val="auto"/>
        </w:rPr>
        <w:t>In calculating any benefit from a carryback or carryover of net operating losses, adjustments shall be made to such prior or subsequent year’s separate return tax liability as required under Sections 172(b)(2) and 172(d) of the Code.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27" w:right="339" w:bottom="1440" w:gutter="0" w:footer="0" w:header="0"/>
        </w:sectPr>
      </w:pPr>
    </w:p>
    <w:bookmarkStart w:id="292" w:name="page293"/>
    <w:bookmarkEnd w:id="292"/>
    <w:p>
      <w:pPr>
        <w:spacing w:after="0"/>
        <w:rPr>
          <w:sz w:val="20"/>
          <w:szCs w:val="20"/>
          <w:color w:val="auto"/>
        </w:rPr>
      </w:pPr>
      <w:r>
        <w:rPr>
          <w:rFonts w:ascii="Arial" w:cs="Arial" w:eastAsia="Arial" w:hAnsi="Arial"/>
          <w:sz w:val="20"/>
          <w:szCs w:val="20"/>
          <w:color w:val="auto"/>
        </w:rPr>
        <w:t>calculation, the election under Section 172(b)(3) of the Code shall be made on a separate company basis.</w:t>
      </w:r>
    </w:p>
    <w:p>
      <w:pPr>
        <w:spacing w:after="0" w:line="206" w:lineRule="exact"/>
        <w:rPr>
          <w:sz w:val="20"/>
          <w:szCs w:val="20"/>
          <w:color w:val="auto"/>
        </w:rPr>
      </w:pPr>
    </w:p>
    <w:p>
      <w:pPr>
        <w:ind w:left="940" w:hanging="343"/>
        <w:spacing w:after="0"/>
        <w:tabs>
          <w:tab w:leader="none" w:pos="940" w:val="left"/>
        </w:tabs>
        <w:numPr>
          <w:ilvl w:val="0"/>
          <w:numId w:val="180"/>
        </w:numPr>
        <w:rPr>
          <w:rFonts w:ascii="Arial" w:cs="Arial" w:eastAsia="Arial" w:hAnsi="Arial"/>
          <w:sz w:val="19"/>
          <w:szCs w:val="19"/>
          <w:color w:val="010000"/>
        </w:rPr>
      </w:pPr>
      <w:r>
        <w:rPr>
          <w:rFonts w:ascii="Arial" w:cs="Arial" w:eastAsia="Arial" w:hAnsi="Arial"/>
          <w:sz w:val="19"/>
          <w:szCs w:val="19"/>
          <w:color w:val="auto"/>
        </w:rPr>
        <w:t xml:space="preserve">Regarding the application of the allocation method in </w:t>
      </w:r>
      <w:r>
        <w:rPr>
          <w:rFonts w:ascii="Arial" w:cs="Arial" w:eastAsia="Arial" w:hAnsi="Arial"/>
          <w:sz w:val="19"/>
          <w:szCs w:val="19"/>
          <w:u w:val="single" w:color="auto"/>
          <w:color w:val="auto"/>
        </w:rPr>
        <w:t>Paragraph 3</w:t>
      </w:r>
      <w:r>
        <w:rPr>
          <w:rFonts w:ascii="Arial" w:cs="Arial" w:eastAsia="Arial" w:hAnsi="Arial"/>
          <w:sz w:val="19"/>
          <w:szCs w:val="19"/>
          <w:color w:val="auto"/>
        </w:rPr>
        <w:t xml:space="preserve"> of this Agreement, the following principles will govern:</w:t>
      </w:r>
    </w:p>
    <w:p>
      <w:pPr>
        <w:spacing w:after="0" w:line="217" w:lineRule="exact"/>
        <w:rPr>
          <w:rFonts w:ascii="Arial" w:cs="Arial" w:eastAsia="Arial" w:hAnsi="Arial"/>
          <w:sz w:val="19"/>
          <w:szCs w:val="19"/>
          <w:color w:val="010000"/>
        </w:rPr>
      </w:pPr>
    </w:p>
    <w:p>
      <w:pPr>
        <w:jc w:val="both"/>
        <w:ind w:left="600" w:firstLine="594"/>
        <w:spacing w:after="0" w:line="292" w:lineRule="auto"/>
        <w:tabs>
          <w:tab w:leader="none" w:pos="1559" w:val="left"/>
        </w:tabs>
        <w:numPr>
          <w:ilvl w:val="1"/>
          <w:numId w:val="180"/>
        </w:numPr>
        <w:rPr>
          <w:rFonts w:ascii="Arial" w:cs="Arial" w:eastAsia="Arial" w:hAnsi="Arial"/>
          <w:sz w:val="18"/>
          <w:szCs w:val="18"/>
          <w:color w:val="010000"/>
        </w:rPr>
      </w:pPr>
      <w:r>
        <w:rPr>
          <w:rFonts w:ascii="Arial" w:cs="Arial" w:eastAsia="Arial" w:hAnsi="Arial"/>
          <w:sz w:val="18"/>
          <w:szCs w:val="18"/>
          <w:color w:val="auto"/>
        </w:rPr>
        <w:t xml:space="preserve">It is acknowledged that allocation of the consolidated federal income tax liability for the Affiliated Group under Section 1.1552-1(a)(1) of the Regulations (see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of this Agreement), which is also the allocation for </w:t>
      </w:r>
      <w:r>
        <w:rPr>
          <w:rFonts w:ascii="Arial" w:cs="Arial" w:eastAsia="Arial" w:hAnsi="Arial"/>
          <w:sz w:val="18"/>
          <w:szCs w:val="18"/>
          <w:u w:val="single" w:color="auto"/>
          <w:color w:val="auto"/>
        </w:rPr>
        <w:t>Step 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of this Agreement, shall (in accordance with Section 1.1552-1(b)(2) of the Regulations) in the amount allocated to each Member (i) decrease the earnings and profits of such Member and (ii) be treated as a liability of such Member for such amount.</w:t>
      </w:r>
    </w:p>
    <w:p>
      <w:pPr>
        <w:spacing w:after="0" w:line="137" w:lineRule="exact"/>
        <w:rPr>
          <w:rFonts w:ascii="Arial" w:cs="Arial" w:eastAsia="Arial" w:hAnsi="Arial"/>
          <w:sz w:val="18"/>
          <w:szCs w:val="18"/>
          <w:color w:val="010000"/>
        </w:rPr>
      </w:pPr>
    </w:p>
    <w:p>
      <w:pPr>
        <w:jc w:val="both"/>
        <w:ind w:left="600" w:firstLine="594"/>
        <w:spacing w:after="0" w:line="292" w:lineRule="auto"/>
        <w:tabs>
          <w:tab w:leader="none" w:pos="1620" w:val="left"/>
        </w:tabs>
        <w:numPr>
          <w:ilvl w:val="1"/>
          <w:numId w:val="180"/>
        </w:numPr>
        <w:rPr>
          <w:rFonts w:ascii="Arial" w:cs="Arial" w:eastAsia="Arial" w:hAnsi="Arial"/>
          <w:sz w:val="18"/>
          <w:szCs w:val="18"/>
          <w:color w:val="010000"/>
        </w:rPr>
      </w:pPr>
      <w:r>
        <w:rPr>
          <w:rFonts w:ascii="Arial" w:cs="Arial" w:eastAsia="Arial" w:hAnsi="Arial"/>
          <w:sz w:val="18"/>
          <w:szCs w:val="18"/>
          <w:color w:val="auto"/>
        </w:rPr>
        <w:t xml:space="preserve">It is acknowledged that allocations under </w:t>
      </w:r>
      <w:r>
        <w:rPr>
          <w:rFonts w:ascii="Arial" w:cs="Arial" w:eastAsia="Arial" w:hAnsi="Arial"/>
          <w:sz w:val="18"/>
          <w:szCs w:val="18"/>
          <w:u w:val="single" w:color="auto"/>
          <w:color w:val="auto"/>
        </w:rPr>
        <w:t>Step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Step 3</w:t>
      </w:r>
      <w:r>
        <w:rPr>
          <w:rFonts w:ascii="Arial" w:cs="Arial" w:eastAsia="Arial" w:hAnsi="Arial"/>
          <w:sz w:val="18"/>
          <w:szCs w:val="18"/>
          <w:color w:val="auto"/>
        </w:rPr>
        <w:t xml:space="preserve"> (but not </w:t>
      </w:r>
      <w:r>
        <w:rPr>
          <w:rFonts w:ascii="Arial" w:cs="Arial" w:eastAsia="Arial" w:hAnsi="Arial"/>
          <w:sz w:val="18"/>
          <w:szCs w:val="18"/>
          <w:u w:val="single" w:color="auto"/>
          <w:color w:val="auto"/>
        </w:rPr>
        <w:t>Step 1</w:t>
      </w:r>
      <w:r>
        <w:rPr>
          <w:rFonts w:ascii="Arial" w:cs="Arial" w:eastAsia="Arial" w:hAnsi="Arial"/>
          <w:sz w:val="18"/>
          <w:szCs w:val="18"/>
          <w:color w:val="auto"/>
        </w:rPr>
        <w:t xml:space="preserve">) to individual Members of the Affiliated Group will not create liabilities and receivables among such Members under the principles of Section 1.1552-1(b)(2) of the Regulations, Revenue Ruling 73-605, and Revenue Ruling 76-302, but rather, to the extent not paid (in accordance with </w:t>
      </w:r>
      <w:r>
        <w:rPr>
          <w:rFonts w:ascii="Arial" w:cs="Arial" w:eastAsia="Arial" w:hAnsi="Arial"/>
          <w:sz w:val="18"/>
          <w:szCs w:val="18"/>
          <w:u w:val="single" w:color="auto"/>
          <w:color w:val="auto"/>
        </w:rPr>
        <w:t>Paragraph</w:t>
      </w:r>
      <w:r>
        <w:rPr>
          <w:rFonts w:ascii="Arial" w:cs="Arial" w:eastAsia="Arial" w:hAnsi="Arial"/>
          <w:sz w:val="18"/>
          <w:szCs w:val="18"/>
          <w:color w:val="auto"/>
        </w:rPr>
        <w:t xml:space="preserve"> </w:t>
      </w:r>
      <w:r>
        <w:rPr>
          <w:rFonts w:ascii="Arial" w:cs="Arial" w:eastAsia="Arial" w:hAnsi="Arial"/>
          <w:sz w:val="18"/>
          <w:szCs w:val="18"/>
          <w:u w:val="single" w:color="auto"/>
          <w:color w:val="auto"/>
        </w:rPr>
        <w:t>5.c</w:t>
      </w:r>
      <w:r>
        <w:rPr>
          <w:rFonts w:ascii="Arial" w:cs="Arial" w:eastAsia="Arial" w:hAnsi="Arial"/>
          <w:sz w:val="18"/>
          <w:szCs w:val="18"/>
          <w:color w:val="auto"/>
        </w:rPr>
        <w:t xml:space="preserve"> or otherwise), will be regarded as distributions with respect to stock, contributions to capital, or combinations thereof.</w:t>
      </w:r>
    </w:p>
    <w:p>
      <w:pPr>
        <w:spacing w:after="0" w:line="137" w:lineRule="exact"/>
        <w:rPr>
          <w:rFonts w:ascii="Arial" w:cs="Arial" w:eastAsia="Arial" w:hAnsi="Arial"/>
          <w:sz w:val="18"/>
          <w:szCs w:val="18"/>
          <w:color w:val="010000"/>
        </w:rPr>
      </w:pPr>
    </w:p>
    <w:p>
      <w:pPr>
        <w:jc w:val="both"/>
        <w:ind w:firstLine="597"/>
        <w:spacing w:after="0" w:line="252" w:lineRule="auto"/>
        <w:tabs>
          <w:tab w:leader="none" w:pos="1070" w:val="left"/>
        </w:tabs>
        <w:numPr>
          <w:ilvl w:val="0"/>
          <w:numId w:val="180"/>
        </w:numPr>
        <w:rPr>
          <w:rFonts w:ascii="Arial" w:cs="Arial" w:eastAsia="Arial" w:hAnsi="Arial"/>
          <w:sz w:val="20"/>
          <w:szCs w:val="20"/>
          <w:color w:val="010000"/>
        </w:rPr>
      </w:pPr>
      <w:r>
        <w:rPr>
          <w:rFonts w:ascii="Arial" w:cs="Arial" w:eastAsia="Arial" w:hAnsi="Arial"/>
          <w:sz w:val="20"/>
          <w:szCs w:val="20"/>
          <w:color w:val="auto"/>
        </w:rPr>
        <w:t>With respect to taxable years during which (in whole or part) DRS is a Member or State Member, the provisions of this Agreement and relating to the group to which DRS belongs, and any related tax matters shall be administered and determined by DRS (the “</w:t>
      </w:r>
      <w:r>
        <w:rPr>
          <w:rFonts w:ascii="Arial" w:cs="Arial" w:eastAsia="Arial" w:hAnsi="Arial"/>
          <w:sz w:val="20"/>
          <w:szCs w:val="20"/>
          <w:b w:val="1"/>
          <w:bCs w:val="1"/>
          <w:u w:val="single" w:color="auto"/>
          <w:color w:val="auto"/>
        </w:rPr>
        <w:t>Administrator</w:t>
      </w:r>
      <w:r>
        <w:rPr>
          <w:rFonts w:ascii="Arial" w:cs="Arial" w:eastAsia="Arial" w:hAnsi="Arial"/>
          <w:sz w:val="20"/>
          <w:szCs w:val="20"/>
          <w:color w:val="auto"/>
        </w:rPr>
        <w:t>”) in its reasonable discretion, acting through its Senior Vice President Chief Tax and Treasury Officer or such other officer as DRS may duly appoint. With respect to taxable years during which DRS is not a Member or State Member, as the case may be, Parent shall appoint the Administrator. More specifically:</w:t>
      </w:r>
    </w:p>
    <w:p>
      <w:pPr>
        <w:spacing w:after="0" w:line="173" w:lineRule="exact"/>
        <w:rPr>
          <w:rFonts w:ascii="Arial" w:cs="Arial" w:eastAsia="Arial" w:hAnsi="Arial"/>
          <w:sz w:val="20"/>
          <w:szCs w:val="20"/>
          <w:color w:val="010000"/>
        </w:rPr>
      </w:pPr>
    </w:p>
    <w:p>
      <w:pPr>
        <w:jc w:val="both"/>
        <w:ind w:left="600" w:firstLine="594"/>
        <w:spacing w:after="0" w:line="252" w:lineRule="auto"/>
        <w:tabs>
          <w:tab w:leader="none" w:pos="1559" w:val="left"/>
        </w:tabs>
        <w:numPr>
          <w:ilvl w:val="1"/>
          <w:numId w:val="180"/>
        </w:numPr>
        <w:rPr>
          <w:rFonts w:ascii="Arial" w:cs="Arial" w:eastAsia="Arial" w:hAnsi="Arial"/>
          <w:sz w:val="20"/>
          <w:szCs w:val="20"/>
          <w:color w:val="010000"/>
        </w:rPr>
      </w:pPr>
      <w:r>
        <w:rPr>
          <w:rFonts w:ascii="Arial" w:cs="Arial" w:eastAsia="Arial" w:hAnsi="Arial"/>
          <w:sz w:val="20"/>
          <w:szCs w:val="20"/>
          <w:color w:val="auto"/>
        </w:rPr>
        <w:t>Parent, in its capacity as agent for the Affiliated Group under Section 1.1502-77 of the Regulations, shall act as directed by the Administrator. Within ten days after a request by the Administrator, the Parent shall provide to the Administrator any powers of attorney necessary for the Administrator to act on behalf of the Parent with respect to tax returns and taxes of the Affiliated Group, State Tax Returns and State Tax Liabilities, including audits, inquiries or other proceedings with respect thereto (“</w:t>
      </w:r>
      <w:r>
        <w:rPr>
          <w:rFonts w:ascii="Arial" w:cs="Arial" w:eastAsia="Arial" w:hAnsi="Arial"/>
          <w:sz w:val="20"/>
          <w:szCs w:val="20"/>
          <w:b w:val="1"/>
          <w:bCs w:val="1"/>
          <w:color w:val="auto"/>
        </w:rPr>
        <w:t>Tax</w:t>
      </w:r>
      <w:r>
        <w:rPr>
          <w:rFonts w:ascii="Arial" w:cs="Arial" w:eastAsia="Arial" w:hAnsi="Arial"/>
          <w:sz w:val="20"/>
          <w:szCs w:val="20"/>
          <w:color w:val="auto"/>
        </w:rPr>
        <w:t xml:space="preserve"> </w:t>
      </w:r>
      <w:r>
        <w:rPr>
          <w:rFonts w:ascii="Arial" w:cs="Arial" w:eastAsia="Arial" w:hAnsi="Arial"/>
          <w:sz w:val="20"/>
          <w:szCs w:val="20"/>
          <w:b w:val="1"/>
          <w:bCs w:val="1"/>
          <w:color w:val="auto"/>
        </w:rPr>
        <w:t>Administration</w:t>
      </w:r>
      <w:r>
        <w:rPr>
          <w:rFonts w:ascii="Arial" w:cs="Arial" w:eastAsia="Arial" w:hAnsi="Arial"/>
          <w:sz w:val="20"/>
          <w:szCs w:val="20"/>
          <w:color w:val="auto"/>
        </w:rPr>
        <w:t>”).</w:t>
      </w:r>
    </w:p>
    <w:p>
      <w:pPr>
        <w:spacing w:after="0" w:line="173" w:lineRule="exact"/>
        <w:rPr>
          <w:rFonts w:ascii="Arial" w:cs="Arial" w:eastAsia="Arial" w:hAnsi="Arial"/>
          <w:sz w:val="20"/>
          <w:szCs w:val="20"/>
          <w:color w:val="010000"/>
        </w:rPr>
      </w:pPr>
    </w:p>
    <w:p>
      <w:pPr>
        <w:jc w:val="both"/>
        <w:ind w:left="600" w:firstLine="594"/>
        <w:spacing w:after="0" w:line="287" w:lineRule="auto"/>
        <w:tabs>
          <w:tab w:leader="none" w:pos="1633" w:val="left"/>
        </w:tabs>
        <w:numPr>
          <w:ilvl w:val="1"/>
          <w:numId w:val="180"/>
        </w:numPr>
        <w:rPr>
          <w:rFonts w:ascii="Arial" w:cs="Arial" w:eastAsia="Arial" w:hAnsi="Arial"/>
          <w:sz w:val="18"/>
          <w:szCs w:val="18"/>
          <w:color w:val="010000"/>
        </w:rPr>
      </w:pPr>
      <w:r>
        <w:rPr>
          <w:rFonts w:ascii="Arial" w:cs="Arial" w:eastAsia="Arial" w:hAnsi="Arial"/>
          <w:sz w:val="18"/>
          <w:szCs w:val="18"/>
          <w:color w:val="auto"/>
        </w:rPr>
        <w:t>The Administrator shall in its reasonable discretion determine which elections shall be made by or for the Affiliated Group or any tax group for State tax purposes, including, but not limited to, elections under Section 1.1502-36(d) of the Regulations, provided, however, that any election that would result in materially adverse consequences to any Member compared to the other Members shall not be made without the consent of such Member, such consent not to be unreasonably withheld, conditioned or delayed. Tax Administration shall be controlled by the Administrator with respect to the taxable year at issue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28" w:right="339" w:bottom="1440" w:gutter="0" w:footer="0" w:header="0"/>
        </w:sectPr>
      </w:pPr>
    </w:p>
    <w:bookmarkStart w:id="293" w:name="page294"/>
    <w:bookmarkEnd w:id="293"/>
    <w:p>
      <w:pPr>
        <w:jc w:val="both"/>
        <w:ind w:left="600"/>
        <w:spacing w:after="0" w:line="254" w:lineRule="auto"/>
        <w:rPr>
          <w:sz w:val="20"/>
          <w:szCs w:val="20"/>
          <w:color w:val="auto"/>
        </w:rPr>
      </w:pPr>
      <w:r>
        <w:rPr>
          <w:rFonts w:ascii="Arial" w:cs="Arial" w:eastAsia="Arial" w:hAnsi="Arial"/>
          <w:sz w:val="20"/>
          <w:szCs w:val="20"/>
          <w:color w:val="auto"/>
        </w:rPr>
        <w:t>under audit (even if the person that was (or would have been, had this Agreement been in effect) the Administrator with respect to such taxable year is not the Administrator with respect to the taxable years during which the applicable Tax Administration occurs). The Administrator shall consult with Parent with respect to Tax Administration, and Parent shall have the right to review correspondence with or submissions to tax authorities.</w:t>
      </w:r>
    </w:p>
    <w:p>
      <w:pPr>
        <w:spacing w:after="0" w:line="171" w:lineRule="exact"/>
        <w:rPr>
          <w:sz w:val="20"/>
          <w:szCs w:val="20"/>
          <w:color w:val="auto"/>
        </w:rPr>
      </w:pPr>
    </w:p>
    <w:p>
      <w:pPr>
        <w:jc w:val="both"/>
        <w:ind w:left="600" w:firstLine="594"/>
        <w:spacing w:after="0" w:line="258" w:lineRule="auto"/>
        <w:tabs>
          <w:tab w:leader="none" w:pos="1584" w:val="left"/>
        </w:tabs>
        <w:numPr>
          <w:ilvl w:val="1"/>
          <w:numId w:val="181"/>
        </w:numPr>
        <w:rPr>
          <w:rFonts w:ascii="Arial" w:cs="Arial" w:eastAsia="Arial" w:hAnsi="Arial"/>
          <w:sz w:val="20"/>
          <w:szCs w:val="20"/>
          <w:color w:val="010000"/>
        </w:rPr>
      </w:pPr>
      <w:r>
        <w:rPr>
          <w:rFonts w:ascii="Arial" w:cs="Arial" w:eastAsia="Arial" w:hAnsi="Arial"/>
          <w:sz w:val="20"/>
          <w:szCs w:val="20"/>
          <w:color w:val="auto"/>
        </w:rPr>
        <w:t>All calculations, decisions and determinations relating to the application of this Agreement (and the application of any law or regulation in respect of the application of this Agreement) to the parties hereto shall be made in good faith by the Administrator in its reasonable discretion.</w:t>
      </w:r>
    </w:p>
    <w:p>
      <w:pPr>
        <w:spacing w:after="0" w:line="160" w:lineRule="exact"/>
        <w:rPr>
          <w:rFonts w:ascii="Arial" w:cs="Arial" w:eastAsia="Arial" w:hAnsi="Arial"/>
          <w:sz w:val="20"/>
          <w:szCs w:val="20"/>
          <w:color w:val="010000"/>
        </w:rPr>
      </w:pPr>
    </w:p>
    <w:p>
      <w:pPr>
        <w:jc w:val="both"/>
        <w:ind w:firstLine="597"/>
        <w:spacing w:after="0" w:line="268" w:lineRule="auto"/>
        <w:tabs>
          <w:tab w:leader="none" w:pos="946" w:val="left"/>
        </w:tabs>
        <w:numPr>
          <w:ilvl w:val="0"/>
          <w:numId w:val="182"/>
        </w:numPr>
        <w:rPr>
          <w:rFonts w:ascii="Arial" w:cs="Arial" w:eastAsia="Arial" w:hAnsi="Arial"/>
          <w:sz w:val="19"/>
          <w:szCs w:val="19"/>
          <w:color w:val="010000"/>
        </w:rPr>
      </w:pPr>
      <w:r>
        <w:rPr>
          <w:rFonts w:ascii="Arial" w:cs="Arial" w:eastAsia="Arial" w:hAnsi="Arial"/>
          <w:sz w:val="19"/>
          <w:szCs w:val="19"/>
          <w:color w:val="auto"/>
        </w:rPr>
        <w:t>Each Member shall pay to the Administrator (the “</w:t>
      </w:r>
      <w:r>
        <w:rPr>
          <w:rFonts w:ascii="Arial" w:cs="Arial" w:eastAsia="Arial" w:hAnsi="Arial"/>
          <w:sz w:val="19"/>
          <w:szCs w:val="19"/>
          <w:b w:val="1"/>
          <w:bCs w:val="1"/>
          <w:color w:val="auto"/>
        </w:rPr>
        <w:t>Payment Agent</w:t>
      </w:r>
      <w:r>
        <w:rPr>
          <w:rFonts w:ascii="Arial" w:cs="Arial" w:eastAsia="Arial" w:hAnsi="Arial"/>
          <w:sz w:val="19"/>
          <w:szCs w:val="19"/>
          <w:color w:val="auto"/>
        </w:rPr>
        <w:t xml:space="preserve">”) its allocated consolidated federal income tax liability under </w:t>
      </w:r>
      <w:r>
        <w:rPr>
          <w:rFonts w:ascii="Arial" w:cs="Arial" w:eastAsia="Arial" w:hAnsi="Arial"/>
          <w:sz w:val="19"/>
          <w:szCs w:val="19"/>
          <w:u w:val="single" w:color="auto"/>
          <w:color w:val="auto"/>
        </w:rPr>
        <w:t>Step 1</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Paragraph 3</w:t>
      </w:r>
      <w:r>
        <w:rPr>
          <w:rFonts w:ascii="Arial" w:cs="Arial" w:eastAsia="Arial" w:hAnsi="Arial"/>
          <w:sz w:val="19"/>
          <w:szCs w:val="19"/>
          <w:color w:val="auto"/>
        </w:rPr>
        <w:t xml:space="preserve"> of this Agreement. Each Member benefitting from net operating losses and tax credits shall pay to the Payment Agent added tax assessment determined under </w:t>
      </w:r>
      <w:r>
        <w:rPr>
          <w:rFonts w:ascii="Arial" w:cs="Arial" w:eastAsia="Arial" w:hAnsi="Arial"/>
          <w:sz w:val="19"/>
          <w:szCs w:val="19"/>
          <w:u w:val="single" w:color="auto"/>
          <w:color w:val="auto"/>
        </w:rPr>
        <w:t>Step 2</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Paragraph 3</w:t>
      </w:r>
      <w:r>
        <w:rPr>
          <w:rFonts w:ascii="Arial" w:cs="Arial" w:eastAsia="Arial" w:hAnsi="Arial"/>
          <w:sz w:val="19"/>
          <w:szCs w:val="19"/>
          <w:color w:val="auto"/>
        </w:rPr>
        <w:t xml:space="preserve"> of this Agreement. The Payment Agent shall pay to each Member with a net operating loss or tax credits during the taxable year its allocable share of the total of the additional amounts due from other Members pursuant to </w:t>
      </w:r>
      <w:r>
        <w:rPr>
          <w:rFonts w:ascii="Arial" w:cs="Arial" w:eastAsia="Arial" w:hAnsi="Arial"/>
          <w:sz w:val="19"/>
          <w:szCs w:val="19"/>
          <w:u w:val="single" w:color="auto"/>
          <w:color w:val="auto"/>
        </w:rPr>
        <w:t>Step 3</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Paragraph 3</w:t>
      </w:r>
      <w:r>
        <w:rPr>
          <w:rFonts w:ascii="Arial" w:cs="Arial" w:eastAsia="Arial" w:hAnsi="Arial"/>
          <w:sz w:val="19"/>
          <w:szCs w:val="19"/>
          <w:color w:val="auto"/>
        </w:rPr>
        <w:t xml:space="preserve"> of this Agreement. Payments for these allocable shares are to be made no later than ten days after the date of filing of the consolidated federal income tax return for such taxable year.</w:t>
      </w:r>
    </w:p>
    <w:p>
      <w:pPr>
        <w:spacing w:after="0" w:line="159" w:lineRule="exact"/>
        <w:rPr>
          <w:rFonts w:ascii="Arial" w:cs="Arial" w:eastAsia="Arial" w:hAnsi="Arial"/>
          <w:sz w:val="19"/>
          <w:szCs w:val="19"/>
          <w:color w:val="010000"/>
        </w:rPr>
      </w:pPr>
    </w:p>
    <w:p>
      <w:pPr>
        <w:jc w:val="both"/>
        <w:ind w:firstLine="597"/>
        <w:spacing w:after="0" w:line="325" w:lineRule="auto"/>
        <w:tabs>
          <w:tab w:leader="none" w:pos="1008" w:val="left"/>
        </w:tabs>
        <w:numPr>
          <w:ilvl w:val="0"/>
          <w:numId w:val="182"/>
        </w:numPr>
        <w:rPr>
          <w:rFonts w:ascii="Arial" w:cs="Arial" w:eastAsia="Arial" w:hAnsi="Arial"/>
          <w:sz w:val="17"/>
          <w:szCs w:val="17"/>
          <w:color w:val="010000"/>
        </w:rPr>
      </w:pPr>
      <w:r>
        <w:rPr>
          <w:rFonts w:ascii="Arial" w:cs="Arial" w:eastAsia="Arial" w:hAnsi="Arial"/>
          <w:sz w:val="17"/>
          <w:szCs w:val="17"/>
          <w:color w:val="auto"/>
        </w:rPr>
        <w:t xml:space="preserve">The Administrator shall have the right to assess Members their share of estimated tax payments to be made on the projected consolidated federal income tax liability or State Tax Liabilities for each year. Payment to the Payment Agent shall be made ten days after such assessment. Such Member will receive credit for such prepayments in the year-end computation under </w:t>
      </w:r>
      <w:r>
        <w:rPr>
          <w:rFonts w:ascii="Arial" w:cs="Arial" w:eastAsia="Arial" w:hAnsi="Arial"/>
          <w:sz w:val="17"/>
          <w:szCs w:val="17"/>
          <w:u w:val="single" w:color="auto"/>
          <w:color w:val="auto"/>
        </w:rPr>
        <w:t>Paragraph 5.c</w:t>
      </w:r>
      <w:r>
        <w:rPr>
          <w:rFonts w:ascii="Arial" w:cs="Arial" w:eastAsia="Arial" w:hAnsi="Arial"/>
          <w:sz w:val="17"/>
          <w:szCs w:val="17"/>
          <w:color w:val="auto"/>
        </w:rPr>
        <w:t xml:space="preserve"> of this Agreement.</w:t>
      </w:r>
    </w:p>
    <w:p>
      <w:pPr>
        <w:spacing w:after="0" w:line="114" w:lineRule="exact"/>
        <w:rPr>
          <w:rFonts w:ascii="Arial" w:cs="Arial" w:eastAsia="Arial" w:hAnsi="Arial"/>
          <w:sz w:val="17"/>
          <w:szCs w:val="17"/>
          <w:color w:val="010000"/>
        </w:rPr>
      </w:pPr>
    </w:p>
    <w:p>
      <w:pPr>
        <w:jc w:val="both"/>
        <w:ind w:firstLine="597"/>
        <w:spacing w:after="0" w:line="283" w:lineRule="auto"/>
        <w:tabs>
          <w:tab w:leader="none" w:pos="958"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If part or all of an unused consolidated net operating loss or tax credit is allocated to a Member of the Affiliated Group pursuant to Section 1.1502-79 or 1.1502-21 of the Regulations, and it is carried back or forward to a year in which such Member filed a separate income tax return or a consolidated federal income tax return with another affiliated group, any refund or reduction in tax liability arising from the carryback or carryover shall be retained by such Member. (If such refund or reduction is allocated to another party other than the Member, then such other party shall pay over such amount to the Member.) Notwithstanding the aforementioned, the Administrator shall determine whether an election shall be made not to carryback any consolidated net operating loss arising in a consolidated return year (including any portion allocated to a Member under Section 1.1502-79) in accordance with Section 172(b)(3) of the Code.</w:t>
      </w:r>
    </w:p>
    <w:p>
      <w:pPr>
        <w:spacing w:after="0" w:line="145" w:lineRule="exact"/>
        <w:rPr>
          <w:rFonts w:ascii="Arial" w:cs="Arial" w:eastAsia="Arial" w:hAnsi="Arial"/>
          <w:sz w:val="18"/>
          <w:szCs w:val="18"/>
          <w:color w:val="010000"/>
        </w:rPr>
      </w:pPr>
    </w:p>
    <w:p>
      <w:pPr>
        <w:ind w:left="940" w:hanging="343"/>
        <w:spacing w:after="0"/>
        <w:tabs>
          <w:tab w:leader="none" w:pos="940" w:val="left"/>
        </w:tabs>
        <w:numPr>
          <w:ilvl w:val="0"/>
          <w:numId w:val="182"/>
        </w:numPr>
        <w:rPr>
          <w:rFonts w:ascii="Arial" w:cs="Arial" w:eastAsia="Arial" w:hAnsi="Arial"/>
          <w:sz w:val="20"/>
          <w:szCs w:val="20"/>
          <w:color w:val="010000"/>
        </w:rPr>
      </w:pPr>
      <w:r>
        <w:rPr>
          <w:rFonts w:ascii="Arial" w:cs="Arial" w:eastAsia="Arial" w:hAnsi="Arial"/>
          <w:sz w:val="20"/>
          <w:szCs w:val="20"/>
          <w:color w:val="auto"/>
        </w:rPr>
        <w:t>Regarding adjustments by taxing authorities:</w:t>
      </w:r>
    </w:p>
    <w:p>
      <w:pPr>
        <w:spacing w:after="0" w:line="205" w:lineRule="exact"/>
        <w:rPr>
          <w:rFonts w:ascii="Arial" w:cs="Arial" w:eastAsia="Arial" w:hAnsi="Arial"/>
          <w:sz w:val="20"/>
          <w:szCs w:val="20"/>
          <w:color w:val="010000"/>
        </w:rPr>
      </w:pPr>
    </w:p>
    <w:p>
      <w:pPr>
        <w:jc w:val="both"/>
        <w:ind w:left="600" w:firstLine="594"/>
        <w:spacing w:after="0" w:line="258" w:lineRule="auto"/>
        <w:tabs>
          <w:tab w:leader="none" w:pos="1609" w:val="left"/>
        </w:tabs>
        <w:numPr>
          <w:ilvl w:val="1"/>
          <w:numId w:val="182"/>
        </w:numPr>
        <w:rPr>
          <w:rFonts w:ascii="Arial" w:cs="Arial" w:eastAsia="Arial" w:hAnsi="Arial"/>
          <w:sz w:val="20"/>
          <w:szCs w:val="20"/>
          <w:color w:val="010000"/>
        </w:rPr>
      </w:pPr>
      <w:r>
        <w:rPr>
          <w:rFonts w:ascii="Arial" w:cs="Arial" w:eastAsia="Arial" w:hAnsi="Arial"/>
          <w:sz w:val="20"/>
          <w:szCs w:val="20"/>
          <w:color w:val="auto"/>
        </w:rPr>
        <w:t>If the consolidated federal income tax liability is adjusted for any taxable period with respect to which Parent filed a consolidated federal income tax return (including taxable periods prior to the effectiveness of this Agreement), whether by means of an amended return, claim for refund, or audit by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27" w:right="339" w:bottom="1440" w:gutter="0" w:footer="0" w:header="0"/>
        </w:sectPr>
      </w:pPr>
    </w:p>
    <w:bookmarkStart w:id="294" w:name="page295"/>
    <w:bookmarkEnd w:id="294"/>
    <w:p>
      <w:pPr>
        <w:jc w:val="both"/>
        <w:ind w:left="600"/>
        <w:spacing w:after="0" w:line="281" w:lineRule="auto"/>
        <w:rPr>
          <w:sz w:val="20"/>
          <w:szCs w:val="20"/>
          <w:color w:val="auto"/>
        </w:rPr>
      </w:pPr>
      <w:r>
        <w:rPr>
          <w:rFonts w:ascii="Arial" w:cs="Arial" w:eastAsia="Arial" w:hAnsi="Arial"/>
          <w:sz w:val="18"/>
          <w:szCs w:val="18"/>
          <w:color w:val="auto"/>
        </w:rPr>
        <w:t xml:space="preserve">Revenue Service, the liability of each Member that was a Member in such taxable period shall be recomputed under </w:t>
      </w:r>
      <w:r>
        <w:rPr>
          <w:rFonts w:ascii="Arial" w:cs="Arial" w:eastAsia="Arial" w:hAnsi="Arial"/>
          <w:sz w:val="18"/>
          <w:szCs w:val="18"/>
          <w:u w:val="single" w:color="auto"/>
          <w:color w:val="auto"/>
        </w:rPr>
        <w:t>Paragraphs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this Agreement to give effect to such adjustments. In the case of a refund, the Parent shall make payment to each Member for its share of the refund, determined in the same manner as in </w:t>
      </w:r>
      <w:r>
        <w:rPr>
          <w:rFonts w:ascii="Arial" w:cs="Arial" w:eastAsia="Arial" w:hAnsi="Arial"/>
          <w:sz w:val="18"/>
          <w:szCs w:val="18"/>
          <w:u w:val="single" w:color="auto"/>
          <w:color w:val="auto"/>
        </w:rPr>
        <w:t>Paragraph 6</w:t>
      </w:r>
      <w:r>
        <w:rPr>
          <w:rFonts w:ascii="Arial" w:cs="Arial" w:eastAsia="Arial" w:hAnsi="Arial"/>
          <w:sz w:val="18"/>
          <w:szCs w:val="18"/>
          <w:color w:val="auto"/>
        </w:rPr>
        <w:t xml:space="preserve"> of this Agreement, within ten days after the refund is received by the Parent, and in the case of an increase in tax liability, each Member shall pay to the Payment Agent its allocable share of such increased tax liability within ten days after receiving notice of such liability from the Parent. If any interest is to be paid or received as a result of a consolidated federal income tax deficiency or refund, such interest shall be allocated to the Members in the ratio each Member’s change in consolidated federal income tax liability bears to the total change in tax liability. Any penalty shall be allocated upon such basis as the Administrator deems appropriate in view of all applicable circumstances.</w:t>
      </w:r>
    </w:p>
    <w:p>
      <w:pPr>
        <w:spacing w:after="0" w:line="152" w:lineRule="exact"/>
        <w:rPr>
          <w:sz w:val="20"/>
          <w:szCs w:val="20"/>
          <w:color w:val="auto"/>
        </w:rPr>
      </w:pPr>
    </w:p>
    <w:p>
      <w:pPr>
        <w:jc w:val="both"/>
        <w:ind w:left="600" w:firstLine="594"/>
        <w:spacing w:after="0" w:line="250" w:lineRule="auto"/>
        <w:tabs>
          <w:tab w:leader="none" w:pos="1546" w:val="left"/>
        </w:tabs>
        <w:numPr>
          <w:ilvl w:val="1"/>
          <w:numId w:val="183"/>
        </w:numPr>
        <w:rPr>
          <w:rFonts w:ascii="Arial" w:cs="Arial" w:eastAsia="Arial" w:hAnsi="Arial"/>
          <w:sz w:val="20"/>
          <w:szCs w:val="20"/>
          <w:color w:val="010000"/>
        </w:rPr>
      </w:pPr>
      <w:r>
        <w:rPr>
          <w:rFonts w:ascii="Arial" w:cs="Arial" w:eastAsia="Arial" w:hAnsi="Arial"/>
          <w:sz w:val="20"/>
          <w:szCs w:val="20"/>
          <w:color w:val="auto"/>
        </w:rPr>
        <w:t>If as a result of an adjustment in connection with an audit or examination by the Internal Revenue Service or other taxing authority for any taxable period with respect to which Parent filed a consolidated federal income tax return (including taxable periods prior to the effectiveness of this Agreement), a party that was a Member in such taxable period (the “Suffering Member”) incurs a net detriment to its net operating losses, tax credits or other tax attributes and another party that was a Member in such taxable period (the “Enriched Member”) receives a corresponding net benefit to its net operating losses, tax credits or other tax attributes, the Enriched Member shall pay to the Suffering Member an amount reasonably determined by the Administrator that would compensate the Suffering Member for such detriment.</w:t>
      </w:r>
    </w:p>
    <w:p>
      <w:pPr>
        <w:spacing w:after="0" w:line="177" w:lineRule="exact"/>
        <w:rPr>
          <w:rFonts w:ascii="Arial" w:cs="Arial" w:eastAsia="Arial" w:hAnsi="Arial"/>
          <w:sz w:val="20"/>
          <w:szCs w:val="20"/>
          <w:color w:val="010000"/>
        </w:rPr>
      </w:pPr>
    </w:p>
    <w:p>
      <w:pPr>
        <w:jc w:val="both"/>
        <w:ind w:firstLine="597"/>
        <w:spacing w:after="0" w:line="278" w:lineRule="auto"/>
        <w:tabs>
          <w:tab w:leader="none" w:pos="1045" w:val="left"/>
        </w:tabs>
        <w:numPr>
          <w:ilvl w:val="0"/>
          <w:numId w:val="184"/>
        </w:numPr>
        <w:rPr>
          <w:rFonts w:ascii="Arial" w:cs="Arial" w:eastAsia="Arial" w:hAnsi="Arial"/>
          <w:sz w:val="19"/>
          <w:szCs w:val="19"/>
          <w:color w:val="010000"/>
        </w:rPr>
      </w:pPr>
      <w:r>
        <w:rPr>
          <w:rFonts w:ascii="Arial" w:cs="Arial" w:eastAsia="Arial" w:hAnsi="Arial"/>
          <w:sz w:val="19"/>
          <w:szCs w:val="19"/>
          <w:color w:val="auto"/>
        </w:rPr>
        <w:t xml:space="preserve">The State Members (other than those that also are or become Members, which are bound by every provision of this Agreement) shall be bound only by the following enumerated Paragraphs of this Agreement: 5, 10, 11, 12, 13, 16, 17, 18, 18.a, 20, 21, and, solely to the extent referred to in </w:t>
      </w:r>
      <w:r>
        <w:rPr>
          <w:rFonts w:ascii="Arial" w:cs="Arial" w:eastAsia="Arial" w:hAnsi="Arial"/>
          <w:sz w:val="19"/>
          <w:szCs w:val="19"/>
          <w:u w:val="single" w:color="auto"/>
          <w:color w:val="auto"/>
        </w:rPr>
        <w:t>Paragraph 11</w:t>
      </w:r>
      <w:r>
        <w:rPr>
          <w:rFonts w:ascii="Arial" w:cs="Arial" w:eastAsia="Arial" w:hAnsi="Arial"/>
          <w:sz w:val="19"/>
          <w:szCs w:val="19"/>
          <w:color w:val="auto"/>
        </w:rPr>
        <w:t xml:space="preserve"> or applicable to State Tax Liabilities (as defined in </w:t>
      </w:r>
      <w:r>
        <w:rPr>
          <w:rFonts w:ascii="Arial" w:cs="Arial" w:eastAsia="Arial" w:hAnsi="Arial"/>
          <w:sz w:val="19"/>
          <w:szCs w:val="19"/>
          <w:u w:val="single" w:color="auto"/>
          <w:color w:val="auto"/>
        </w:rPr>
        <w:t>Paragraph 11</w:t>
      </w:r>
      <w:r>
        <w:rPr>
          <w:rFonts w:ascii="Arial" w:cs="Arial" w:eastAsia="Arial" w:hAnsi="Arial"/>
          <w:sz w:val="19"/>
          <w:szCs w:val="19"/>
          <w:color w:val="auto"/>
        </w:rPr>
        <w:t>), 7.</w:t>
      </w:r>
    </w:p>
    <w:p>
      <w:pPr>
        <w:spacing w:after="0" w:line="149" w:lineRule="exact"/>
        <w:rPr>
          <w:rFonts w:ascii="Arial" w:cs="Arial" w:eastAsia="Arial" w:hAnsi="Arial"/>
          <w:sz w:val="19"/>
          <w:szCs w:val="19"/>
          <w:color w:val="010000"/>
        </w:rPr>
      </w:pPr>
    </w:p>
    <w:p>
      <w:pPr>
        <w:jc w:val="both"/>
        <w:ind w:firstLine="597"/>
        <w:spacing w:after="0" w:line="264" w:lineRule="auto"/>
        <w:tabs>
          <w:tab w:leader="none" w:pos="1050" w:val="left"/>
        </w:tabs>
        <w:numPr>
          <w:ilvl w:val="0"/>
          <w:numId w:val="184"/>
        </w:numPr>
        <w:rPr>
          <w:rFonts w:ascii="Arial" w:cs="Arial" w:eastAsia="Arial" w:hAnsi="Arial"/>
          <w:sz w:val="19"/>
          <w:szCs w:val="19"/>
          <w:color w:val="010000"/>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Paragraph 11</w:t>
      </w:r>
      <w:r>
        <w:rPr>
          <w:rFonts w:ascii="Arial" w:cs="Arial" w:eastAsia="Arial" w:hAnsi="Arial"/>
          <w:sz w:val="19"/>
          <w:szCs w:val="19"/>
          <w:color w:val="auto"/>
        </w:rPr>
        <w:t xml:space="preserve"> shall be applied separately with respect to each state in which Parent files a consolidated, combined, unitary or similar tax return (a “</w:t>
      </w:r>
      <w:r>
        <w:rPr>
          <w:rFonts w:ascii="Arial" w:cs="Arial" w:eastAsia="Arial" w:hAnsi="Arial"/>
          <w:sz w:val="19"/>
          <w:szCs w:val="19"/>
          <w:b w:val="1"/>
          <w:bCs w:val="1"/>
          <w:u w:val="single" w:color="auto"/>
          <w:color w:val="auto"/>
        </w:rPr>
        <w:t>State Tax Return</w:t>
      </w:r>
      <w:r>
        <w:rPr>
          <w:rFonts w:ascii="Arial" w:cs="Arial" w:eastAsia="Arial" w:hAnsi="Arial"/>
          <w:sz w:val="19"/>
          <w:szCs w:val="19"/>
          <w:color w:val="auto"/>
        </w:rPr>
        <w:t>”) with respect to state tax liabilities (“</w:t>
      </w:r>
      <w:r>
        <w:rPr>
          <w:rFonts w:ascii="Arial" w:cs="Arial" w:eastAsia="Arial" w:hAnsi="Arial"/>
          <w:sz w:val="19"/>
          <w:szCs w:val="19"/>
          <w:b w:val="1"/>
          <w:bCs w:val="1"/>
          <w:u w:val="single" w:color="auto"/>
          <w:color w:val="auto"/>
        </w:rPr>
        <w:t>State Tax Liabilities</w:t>
      </w:r>
      <w:r>
        <w:rPr>
          <w:rFonts w:ascii="Arial" w:cs="Arial" w:eastAsia="Arial" w:hAnsi="Arial"/>
          <w:sz w:val="19"/>
          <w:szCs w:val="19"/>
          <w:color w:val="auto"/>
        </w:rPr>
        <w:t>”). Any State Tax Liabilities shall be allocated among the State Members by the Administrator, taking into account the apportionment of the income of each Member and other relevant factors. Each State Member shall pay the Payment Agent its allocated State Tax Liabilities under this paragraph. Each State Member benefitting from state net operating or other tax losses, tax credits or other tax attributes shall pay to the Payment Agent an added tax assessment determined taking into account the apportionment of the income of each Member and other relevant factors. The Payment Agent shall pay to each State Member with a state net operating or other tax losses, tax credits or other tax attributes during the taxable year its allocable share of the total of the additional amounts due from other State Members pursuant to this paragraph. Payments for these allocable shares are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27" w:right="339" w:bottom="1440" w:gutter="0" w:footer="0" w:header="0"/>
        </w:sectPr>
      </w:pPr>
    </w:p>
    <w:bookmarkStart w:id="295" w:name="page296"/>
    <w:bookmarkEnd w:id="295"/>
    <w:p>
      <w:pPr>
        <w:jc w:val="both"/>
        <w:spacing w:after="0" w:line="278" w:lineRule="auto"/>
        <w:rPr>
          <w:sz w:val="20"/>
          <w:szCs w:val="20"/>
          <w:color w:val="auto"/>
        </w:rPr>
      </w:pPr>
      <w:r>
        <w:rPr>
          <w:rFonts w:ascii="Arial" w:cs="Arial" w:eastAsia="Arial" w:hAnsi="Arial"/>
          <w:sz w:val="19"/>
          <w:szCs w:val="19"/>
          <w:color w:val="auto"/>
        </w:rPr>
        <w:t>no later than ten days after the date of filing of the applicable State Tax Return for such taxable year. If one State Member has a State Tax Liability as a result of such State Member’s affiliation with another State Member, no payments shall be made between the two State Members in respect of such State Tax Liability except as provided in the foregoing provisions of this paragraph.</w:t>
      </w:r>
    </w:p>
    <w:p>
      <w:pPr>
        <w:spacing w:after="0" w:line="149" w:lineRule="exact"/>
        <w:rPr>
          <w:sz w:val="20"/>
          <w:szCs w:val="20"/>
          <w:color w:val="auto"/>
        </w:rPr>
      </w:pPr>
    </w:p>
    <w:p>
      <w:pPr>
        <w:jc w:val="both"/>
        <w:ind w:firstLine="597"/>
        <w:spacing w:after="0" w:line="278" w:lineRule="auto"/>
        <w:tabs>
          <w:tab w:leader="none" w:pos="1083"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This Agreement shall apply to the taxable year specified in the preamble of this Agreement, and all subsequent taxable years, unless the Members and the State Members agree in writing to terminate the Agreement. Notwithstanding such termination, this Agreement shall continue in effect with respect to any payment or refunds due for all taxable periods prior to termination.</w:t>
      </w:r>
    </w:p>
    <w:p>
      <w:pPr>
        <w:spacing w:after="0" w:line="149" w:lineRule="exact"/>
        <w:rPr>
          <w:rFonts w:ascii="Arial" w:cs="Arial" w:eastAsia="Arial" w:hAnsi="Arial"/>
          <w:sz w:val="19"/>
          <w:szCs w:val="19"/>
          <w:color w:val="010000"/>
        </w:rPr>
      </w:pPr>
    </w:p>
    <w:p>
      <w:pPr>
        <w:ind w:left="1040" w:hanging="443"/>
        <w:spacing w:after="0"/>
        <w:tabs>
          <w:tab w:leader="none" w:pos="1040" w:val="left"/>
        </w:tabs>
        <w:numPr>
          <w:ilvl w:val="0"/>
          <w:numId w:val="185"/>
        </w:numPr>
        <w:rPr>
          <w:rFonts w:ascii="Arial" w:cs="Arial" w:eastAsia="Arial" w:hAnsi="Arial"/>
          <w:sz w:val="20"/>
          <w:szCs w:val="20"/>
          <w:color w:val="010000"/>
        </w:rPr>
      </w:pPr>
      <w:r>
        <w:rPr>
          <w:rFonts w:ascii="Arial" w:cs="Arial" w:eastAsia="Arial" w:hAnsi="Arial"/>
          <w:sz w:val="20"/>
          <w:szCs w:val="20"/>
          <w:color w:val="auto"/>
        </w:rPr>
        <w:t>The Agreement shall not be assignable by any party without the prior written consent of the other parties.</w:t>
      </w:r>
    </w:p>
    <w:p>
      <w:pPr>
        <w:spacing w:after="0" w:line="205" w:lineRule="exact"/>
        <w:rPr>
          <w:rFonts w:ascii="Arial" w:cs="Arial" w:eastAsia="Arial" w:hAnsi="Arial"/>
          <w:sz w:val="20"/>
          <w:szCs w:val="20"/>
          <w:color w:val="010000"/>
        </w:rPr>
      </w:pPr>
    </w:p>
    <w:p>
      <w:pPr>
        <w:jc w:val="both"/>
        <w:ind w:firstLine="597"/>
        <w:spacing w:after="0" w:line="292" w:lineRule="auto"/>
        <w:tabs>
          <w:tab w:leader="none" w:pos="1120" w:val="left"/>
        </w:tabs>
        <w:numPr>
          <w:ilvl w:val="0"/>
          <w:numId w:val="185"/>
        </w:numPr>
        <w:rPr>
          <w:rFonts w:ascii="Arial" w:cs="Arial" w:eastAsia="Arial" w:hAnsi="Arial"/>
          <w:sz w:val="18"/>
          <w:szCs w:val="18"/>
          <w:color w:val="010000"/>
        </w:rPr>
      </w:pPr>
      <w:r>
        <w:rPr>
          <w:rFonts w:ascii="Arial" w:cs="Arial" w:eastAsia="Arial" w:hAnsi="Arial"/>
          <w:sz w:val="18"/>
          <w:szCs w:val="18"/>
          <w:color w:val="auto"/>
        </w:rPr>
        <w:t>All material including, but not limited to, returns, supporting schedules, work papers, correspondence, and other documents relating to the consolidated federal income tax returns filed for a taxable year during which this Agreement was in effect shall be made available to any Member to the Agreement during regular business hours for a minimum period equal to applicable federal record retention requirements. All such materials for a taxable year shall be retained and maintained by the Administrator in respect of such taxable year.</w:t>
      </w:r>
    </w:p>
    <w:p>
      <w:pPr>
        <w:spacing w:after="0" w:line="137" w:lineRule="exact"/>
        <w:rPr>
          <w:rFonts w:ascii="Arial" w:cs="Arial" w:eastAsia="Arial" w:hAnsi="Arial"/>
          <w:sz w:val="18"/>
          <w:szCs w:val="18"/>
          <w:color w:val="010000"/>
        </w:rPr>
      </w:pPr>
    </w:p>
    <w:p>
      <w:pPr>
        <w:jc w:val="both"/>
        <w:ind w:firstLine="597"/>
        <w:spacing w:after="0" w:line="262" w:lineRule="auto"/>
        <w:tabs>
          <w:tab w:leader="none" w:pos="1107"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In the event of any controversy, dispute or claim arising under or related to this Agreement (“Dispute”), the parties agree to make diligent and reasonable attempts to resolve any Dispute through negotiations. If the parties are unable to resolve the Dispute through negotiations within ten (10) business days, or such longer period of time as agreed by the parties in writing, then the Dispute shall be finally resolved by binding arbitration pursuant to the Commercial Arbitration Rules of the American Arbitration Association (“AAA”) then in effect by a single arbitrator appointed in accordance with said Rules. The arbitrator shall not limit, expand or modify the terms and conditions of this Agreement. The place of the proceedings shall be in the State where DRS is located. Each party shall bear its own costs and expenses (including attorneys’ fees) and an equal share of all costs and fees of the arbitration. If a party fails to pay its share of the arbitration expenses, such party’s claims or counterclaims shall be dismissed with prejudice. The parties voluntarily and irrevocably waive any and all rights to have any Dispute heard or resolved in any forum other than through arbitration. This waiver specifically includes, but is not limited to, a jury trial. This waiver does not, however, limit the right of a party to apply to a court of competent jurisdiction for cases of urgent equitable relief or for any provisional remedy. The arbitrator shall render a reasoned award. Any party may bring an action in any court of competent jurisdiction to compel arbitration under this Agreement and/or to enforce an arbitration award. Any type of class, collective claims or multi-party claims are expressly prohibited and the arbitrator will have no authority to alter the parties’ agreement in this regard.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27" w:right="339" w:bottom="1440" w:gutter="0" w:footer="0" w:header="0"/>
        </w:sectPr>
      </w:pPr>
    </w:p>
    <w:bookmarkStart w:id="296" w:name="page297"/>
    <w:bookmarkEnd w:id="296"/>
    <w:p>
      <w:pPr>
        <w:jc w:val="both"/>
        <w:ind w:firstLine="597"/>
        <w:spacing w:after="0" w:line="266" w:lineRule="auto"/>
        <w:tabs>
          <w:tab w:leader="none" w:pos="1083" w:val="left"/>
        </w:tabs>
        <w:numPr>
          <w:ilvl w:val="0"/>
          <w:numId w:val="186"/>
        </w:numPr>
        <w:rPr>
          <w:rFonts w:ascii="Arial" w:cs="Arial" w:eastAsia="Arial" w:hAnsi="Arial"/>
          <w:sz w:val="19"/>
          <w:szCs w:val="19"/>
          <w:color w:val="010000"/>
        </w:rPr>
      </w:pPr>
      <w:r>
        <w:rPr>
          <w:rFonts w:ascii="Arial" w:cs="Arial" w:eastAsia="Arial" w:hAnsi="Arial"/>
          <w:sz w:val="19"/>
          <w:szCs w:val="19"/>
          <w:color w:val="auto"/>
        </w:rPr>
        <w:t>Any Member, State Member or Expanded Group Member that leaves the Affiliated Group, ceases to be part of any State Tax Return, or leaves the Expanded Affiliated Group, whichever is applicable (which may be more than one of the foregoing), shall be bound by the applicable portions of this Agreement only with respect to taxable years in which the Member, State Member or Expanded Group Member was part of the Affiliated Group, included in a State Tax Return or part of the Expanded Affiliated Group, as applicable, and references in this Agreement to a “Member”, “State Member”, “Expanded Group Member”, the “Members”, the “State Members” or the “Expanded Group Members” shall refer to former Members, State Members or Expanded Group Members that were Members, State Members, or Expanded Group Members in the relevant taxable year.</w:t>
      </w:r>
    </w:p>
    <w:p>
      <w:pPr>
        <w:spacing w:after="0" w:line="158" w:lineRule="exact"/>
        <w:rPr>
          <w:rFonts w:ascii="Arial" w:cs="Arial" w:eastAsia="Arial" w:hAnsi="Arial"/>
          <w:sz w:val="19"/>
          <w:szCs w:val="19"/>
          <w:color w:val="010000"/>
        </w:rPr>
      </w:pPr>
    </w:p>
    <w:p>
      <w:pPr>
        <w:jc w:val="both"/>
        <w:ind w:firstLine="597"/>
        <w:spacing w:after="0" w:line="258" w:lineRule="auto"/>
        <w:tabs>
          <w:tab w:leader="none" w:pos="1045" w:val="left"/>
        </w:tabs>
        <w:numPr>
          <w:ilvl w:val="0"/>
          <w:numId w:val="186"/>
        </w:numPr>
        <w:rPr>
          <w:rFonts w:ascii="Arial" w:cs="Arial" w:eastAsia="Arial" w:hAnsi="Arial"/>
          <w:sz w:val="20"/>
          <w:szCs w:val="20"/>
          <w:color w:val="010000"/>
        </w:rPr>
      </w:pPr>
      <w:r>
        <w:rPr>
          <w:rFonts w:ascii="Arial" w:cs="Arial" w:eastAsia="Arial" w:hAnsi="Arial"/>
          <w:sz w:val="20"/>
          <w:szCs w:val="20"/>
          <w:color w:val="auto"/>
        </w:rPr>
        <w:t>Each Member, State Member and Expanded Group Member shall, and shall cause its subsidiaries to, reasonably cooperate with Parent and the Administrator in carrying out the provisions of this Agreement, including providing the Administrator access to its books and records and other relevant information.</w:t>
      </w:r>
    </w:p>
    <w:p>
      <w:pPr>
        <w:spacing w:after="0" w:line="166" w:lineRule="exact"/>
        <w:rPr>
          <w:rFonts w:ascii="Arial" w:cs="Arial" w:eastAsia="Arial" w:hAnsi="Arial"/>
          <w:sz w:val="20"/>
          <w:szCs w:val="20"/>
          <w:color w:val="010000"/>
        </w:rPr>
      </w:pPr>
    </w:p>
    <w:p>
      <w:pPr>
        <w:jc w:val="both"/>
        <w:ind w:firstLine="597"/>
        <w:spacing w:after="0" w:line="254" w:lineRule="auto"/>
        <w:tabs>
          <w:tab w:leader="none" w:pos="1045" w:val="left"/>
        </w:tabs>
        <w:numPr>
          <w:ilvl w:val="0"/>
          <w:numId w:val="186"/>
        </w:numPr>
        <w:rPr>
          <w:rFonts w:ascii="Arial" w:cs="Arial" w:eastAsia="Arial" w:hAnsi="Arial"/>
          <w:sz w:val="20"/>
          <w:szCs w:val="20"/>
          <w:color w:val="010000"/>
        </w:rPr>
      </w:pPr>
      <w:r>
        <w:rPr>
          <w:rFonts w:ascii="Arial" w:cs="Arial" w:eastAsia="Arial" w:hAnsi="Arial"/>
          <w:sz w:val="20"/>
          <w:szCs w:val="20"/>
          <w:color w:val="auto"/>
        </w:rPr>
        <w:t xml:space="preserve">The Expanded Group Members (other than those that also are or become Members (which are bound by every provision of this Agreement) or State Members (which are bound to the provisions of this Agreement as provided in </w:t>
      </w:r>
      <w:r>
        <w:rPr>
          <w:rFonts w:ascii="Arial" w:cs="Arial" w:eastAsia="Arial" w:hAnsi="Arial"/>
          <w:sz w:val="20"/>
          <w:szCs w:val="20"/>
          <w:u w:val="single" w:color="auto"/>
          <w:color w:val="auto"/>
        </w:rPr>
        <w:t>Paragraph 10</w:t>
      </w:r>
      <w:r>
        <w:rPr>
          <w:rFonts w:ascii="Arial" w:cs="Arial" w:eastAsia="Arial" w:hAnsi="Arial"/>
          <w:sz w:val="20"/>
          <w:szCs w:val="20"/>
          <w:color w:val="auto"/>
        </w:rPr>
        <w:t xml:space="preserve">) shall be bound only by </w:t>
      </w:r>
      <w:r>
        <w:rPr>
          <w:rFonts w:ascii="Arial" w:cs="Arial" w:eastAsia="Arial" w:hAnsi="Arial"/>
          <w:sz w:val="20"/>
          <w:szCs w:val="20"/>
          <w:u w:val="single" w:color="auto"/>
          <w:color w:val="auto"/>
        </w:rPr>
        <w:t>Paragraphs a, 16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17</w:t>
      </w:r>
      <w:r>
        <w:rPr>
          <w:rFonts w:ascii="Arial" w:cs="Arial" w:eastAsia="Arial" w:hAnsi="Arial"/>
          <w:sz w:val="20"/>
          <w:szCs w:val="20"/>
          <w:color w:val="auto"/>
        </w:rPr>
        <w:t>. The Expanded Group Members shall cooperate in good faith, taking into account each such member’s tax consequences, in relation to the following decisions or matters:</w:t>
      </w:r>
    </w:p>
    <w:p>
      <w:pPr>
        <w:spacing w:after="0" w:line="171" w:lineRule="exact"/>
        <w:rPr>
          <w:rFonts w:ascii="Arial" w:cs="Arial" w:eastAsia="Arial" w:hAnsi="Arial"/>
          <w:sz w:val="20"/>
          <w:szCs w:val="20"/>
          <w:color w:val="010000"/>
        </w:rPr>
      </w:pPr>
    </w:p>
    <w:p>
      <w:pPr>
        <w:jc w:val="both"/>
        <w:ind w:left="600" w:firstLine="594"/>
        <w:spacing w:after="0" w:line="254" w:lineRule="auto"/>
        <w:tabs>
          <w:tab w:leader="none" w:pos="1572" w:val="left"/>
        </w:tabs>
        <w:numPr>
          <w:ilvl w:val="1"/>
          <w:numId w:val="186"/>
        </w:numPr>
        <w:rPr>
          <w:rFonts w:ascii="Arial" w:cs="Arial" w:eastAsia="Arial" w:hAnsi="Arial"/>
          <w:sz w:val="20"/>
          <w:szCs w:val="20"/>
          <w:color w:val="010000"/>
        </w:rPr>
      </w:pPr>
      <w:r>
        <w:rPr>
          <w:rFonts w:ascii="Arial" w:cs="Arial" w:eastAsia="Arial" w:hAnsi="Arial"/>
          <w:sz w:val="20"/>
          <w:szCs w:val="20"/>
          <w:color w:val="auto"/>
        </w:rPr>
        <w:t>The taking of any action that would increase the “base erosion percentage” within the meaning of Section 59A(c)(4) of the Code and the Regulations promulgated thereunder of the Expanded Affiliated Group, provided that no Expanded Group Member shall take any action that would result in an increase to its base erosion percentage to above 3% without the consent of Parent, the Administrator and DRS.</w:t>
      </w:r>
    </w:p>
    <w:p>
      <w:pPr>
        <w:spacing w:after="0" w:line="171" w:lineRule="exact"/>
        <w:rPr>
          <w:rFonts w:ascii="Arial" w:cs="Arial" w:eastAsia="Arial" w:hAnsi="Arial"/>
          <w:sz w:val="20"/>
          <w:szCs w:val="20"/>
          <w:color w:val="010000"/>
        </w:rPr>
      </w:pPr>
    </w:p>
    <w:p>
      <w:pPr>
        <w:ind w:left="1540" w:hanging="346"/>
        <w:spacing w:after="0"/>
        <w:tabs>
          <w:tab w:leader="none" w:pos="1540" w:val="left"/>
        </w:tabs>
        <w:numPr>
          <w:ilvl w:val="1"/>
          <w:numId w:val="186"/>
        </w:numPr>
        <w:rPr>
          <w:rFonts w:ascii="Arial" w:cs="Arial" w:eastAsia="Arial" w:hAnsi="Arial"/>
          <w:sz w:val="18"/>
          <w:szCs w:val="18"/>
          <w:color w:val="010000"/>
        </w:rPr>
      </w:pPr>
      <w:r>
        <w:rPr>
          <w:rFonts w:ascii="Arial" w:cs="Arial" w:eastAsia="Arial" w:hAnsi="Arial"/>
          <w:sz w:val="18"/>
          <w:szCs w:val="18"/>
          <w:color w:val="auto"/>
        </w:rPr>
        <w:t>The application of the Foreign Account Tax Compliance Act and reporting and withholding requirements related thereto.</w:t>
      </w:r>
    </w:p>
    <w:p>
      <w:pPr>
        <w:spacing w:after="0" w:line="228" w:lineRule="exact"/>
        <w:rPr>
          <w:rFonts w:ascii="Arial" w:cs="Arial" w:eastAsia="Arial" w:hAnsi="Arial"/>
          <w:sz w:val="18"/>
          <w:szCs w:val="18"/>
          <w:color w:val="010000"/>
        </w:rPr>
      </w:pPr>
    </w:p>
    <w:p>
      <w:pPr>
        <w:ind w:left="600" w:firstLine="594"/>
        <w:spacing w:after="0" w:line="271" w:lineRule="auto"/>
        <w:tabs>
          <w:tab w:leader="none" w:pos="1597" w:val="left"/>
        </w:tabs>
        <w:numPr>
          <w:ilvl w:val="1"/>
          <w:numId w:val="186"/>
        </w:numPr>
        <w:rPr>
          <w:rFonts w:ascii="Arial" w:cs="Arial" w:eastAsia="Arial" w:hAnsi="Arial"/>
          <w:sz w:val="20"/>
          <w:szCs w:val="20"/>
          <w:color w:val="010000"/>
        </w:rPr>
      </w:pPr>
      <w:r>
        <w:rPr>
          <w:rFonts w:ascii="Arial" w:cs="Arial" w:eastAsia="Arial" w:hAnsi="Arial"/>
          <w:sz w:val="20"/>
          <w:szCs w:val="20"/>
          <w:color w:val="auto"/>
        </w:rPr>
        <w:t>Any other tax-related decision or matter the Administrator determines in its reasonable discretion, with the consent of Parent, is appropriate.</w:t>
      </w:r>
    </w:p>
    <w:p>
      <w:pPr>
        <w:spacing w:after="0" w:line="152" w:lineRule="exact"/>
        <w:rPr>
          <w:rFonts w:ascii="Arial" w:cs="Arial" w:eastAsia="Arial" w:hAnsi="Arial"/>
          <w:sz w:val="20"/>
          <w:szCs w:val="20"/>
          <w:color w:val="010000"/>
        </w:rPr>
      </w:pPr>
    </w:p>
    <w:p>
      <w:pPr>
        <w:jc w:val="both"/>
        <w:ind w:firstLine="597"/>
        <w:spacing w:after="0" w:line="252" w:lineRule="auto"/>
        <w:tabs>
          <w:tab w:leader="none" w:pos="1070" w:val="left"/>
        </w:tabs>
        <w:numPr>
          <w:ilvl w:val="0"/>
          <w:numId w:val="186"/>
        </w:numPr>
        <w:rPr>
          <w:rFonts w:ascii="Arial" w:cs="Arial" w:eastAsia="Arial" w:hAnsi="Arial"/>
          <w:sz w:val="20"/>
          <w:szCs w:val="20"/>
          <w:color w:val="010000"/>
        </w:rPr>
      </w:pPr>
      <w:r>
        <w:rPr>
          <w:rFonts w:ascii="Arial" w:cs="Arial" w:eastAsia="Arial" w:hAnsi="Arial"/>
          <w:sz w:val="20"/>
          <w:szCs w:val="20"/>
          <w:color w:val="auto"/>
        </w:rPr>
        <w:t>The parties specifically recognize that from time to time other companies may become Members of the Affiliated Group or be included in a State Tax Return or the Expanded Affiliated Group (any such company, a “</w:t>
      </w:r>
      <w:r>
        <w:rPr>
          <w:rFonts w:ascii="Arial" w:cs="Arial" w:eastAsia="Arial" w:hAnsi="Arial"/>
          <w:sz w:val="20"/>
          <w:szCs w:val="20"/>
          <w:b w:val="1"/>
          <w:bCs w:val="1"/>
          <w:color w:val="auto"/>
        </w:rPr>
        <w:t>New Member</w:t>
      </w:r>
      <w:r>
        <w:rPr>
          <w:rFonts w:ascii="Arial" w:cs="Arial" w:eastAsia="Arial" w:hAnsi="Arial"/>
          <w:sz w:val="20"/>
          <w:szCs w:val="20"/>
          <w:color w:val="auto"/>
        </w:rPr>
        <w:t>”). Any New Member shall promptly execute a joinder in substantially the form of Exhibit I and shall become a party hereto as if it had been an original signatory to this Agreement. The Administrator shall update the Schedules to this Agreement as applicable to reflect the New Member becoming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27" w:right="339" w:bottom="1440" w:gutter="0" w:footer="0" w:header="0"/>
        </w:sectPr>
      </w:pPr>
    </w:p>
    <w:bookmarkStart w:id="297" w:name="page298"/>
    <w:bookmarkEnd w:id="297"/>
    <w:p>
      <w:pPr>
        <w:ind w:firstLine="597"/>
        <w:spacing w:after="0" w:line="271" w:lineRule="auto"/>
        <w:tabs>
          <w:tab w:leader="none" w:pos="1045" w:val="left"/>
        </w:tabs>
        <w:numPr>
          <w:ilvl w:val="0"/>
          <w:numId w:val="187"/>
        </w:numPr>
        <w:rPr>
          <w:rFonts w:ascii="Arial" w:cs="Arial" w:eastAsia="Arial" w:hAnsi="Arial"/>
          <w:sz w:val="20"/>
          <w:szCs w:val="20"/>
          <w:color w:val="010000"/>
        </w:rPr>
      </w:pPr>
      <w:r>
        <w:rPr>
          <w:rFonts w:ascii="Arial" w:cs="Arial" w:eastAsia="Arial" w:hAnsi="Arial"/>
          <w:sz w:val="20"/>
          <w:szCs w:val="20"/>
          <w:color w:val="auto"/>
        </w:rPr>
        <w:t>Any alteration, modification, addition, deletion, or other change in the consolidated income tax return provisions of the Code or the Regulations shall automatically be applicable to this Agreement mutatis mutandis.</w:t>
      </w:r>
    </w:p>
    <w:p>
      <w:pPr>
        <w:spacing w:after="0" w:line="152" w:lineRule="exact"/>
        <w:rPr>
          <w:rFonts w:ascii="Arial" w:cs="Arial" w:eastAsia="Arial" w:hAnsi="Arial"/>
          <w:sz w:val="20"/>
          <w:szCs w:val="20"/>
          <w:color w:val="010000"/>
        </w:rPr>
      </w:pPr>
    </w:p>
    <w:p>
      <w:pPr>
        <w:ind w:firstLine="597"/>
        <w:spacing w:after="0" w:line="271" w:lineRule="auto"/>
        <w:tabs>
          <w:tab w:leader="none" w:pos="1120" w:val="left"/>
        </w:tabs>
        <w:numPr>
          <w:ilvl w:val="0"/>
          <w:numId w:val="187"/>
        </w:numPr>
        <w:rPr>
          <w:rFonts w:ascii="Arial" w:cs="Arial" w:eastAsia="Arial" w:hAnsi="Arial"/>
          <w:sz w:val="20"/>
          <w:szCs w:val="20"/>
          <w:color w:val="010000"/>
        </w:rPr>
      </w:pPr>
      <w:r>
        <w:rPr>
          <w:rFonts w:ascii="Arial" w:cs="Arial" w:eastAsia="Arial" w:hAnsi="Arial"/>
          <w:sz w:val="20"/>
          <w:szCs w:val="20"/>
          <w:color w:val="auto"/>
        </w:rPr>
        <w:t>This Agreement shall bind and inure to the respective successors and assigns of the parties hereto; but no assignment shall relieve any party’s obligations hereunder without the written consent of the other parties.</w:t>
      </w:r>
    </w:p>
    <w:p>
      <w:pPr>
        <w:spacing w:after="0" w:line="152" w:lineRule="exact"/>
        <w:rPr>
          <w:rFonts w:ascii="Arial" w:cs="Arial" w:eastAsia="Arial" w:hAnsi="Arial"/>
          <w:sz w:val="20"/>
          <w:szCs w:val="20"/>
          <w:color w:val="010000"/>
        </w:rPr>
      </w:pPr>
    </w:p>
    <w:p>
      <w:pPr>
        <w:ind w:firstLine="597"/>
        <w:spacing w:after="0" w:line="271" w:lineRule="auto"/>
        <w:tabs>
          <w:tab w:leader="none" w:pos="1207" w:val="left"/>
        </w:tabs>
        <w:numPr>
          <w:ilvl w:val="0"/>
          <w:numId w:val="187"/>
        </w:numPr>
        <w:rPr>
          <w:rFonts w:ascii="Arial" w:cs="Arial" w:eastAsia="Arial" w:hAnsi="Arial"/>
          <w:sz w:val="20"/>
          <w:szCs w:val="20"/>
          <w:color w:val="010000"/>
        </w:rPr>
      </w:pPr>
      <w:r>
        <w:rPr>
          <w:rFonts w:ascii="Arial" w:cs="Arial" w:eastAsia="Arial" w:hAnsi="Arial"/>
          <w:sz w:val="20"/>
          <w:szCs w:val="20"/>
          <w:color w:val="auto"/>
        </w:rPr>
        <w:t>Regardless of its place of negotiation, execution, or performance, this Agreement shall be enforced and interpreted in accordance with the laws of the State of New York, without regard to the principles of conflict of laws thereof.</w:t>
      </w:r>
    </w:p>
    <w:p>
      <w:pPr>
        <w:spacing w:after="0" w:line="153" w:lineRule="exact"/>
        <w:rPr>
          <w:sz w:val="20"/>
          <w:szCs w:val="20"/>
          <w:color w:val="auto"/>
        </w:rPr>
      </w:pPr>
    </w:p>
    <w:p>
      <w:pPr>
        <w:ind w:firstLine="597"/>
        <w:spacing w:after="0" w:line="271" w:lineRule="auto"/>
        <w:rPr>
          <w:sz w:val="20"/>
          <w:szCs w:val="20"/>
          <w:color w:val="auto"/>
        </w:rPr>
      </w:pPr>
      <w:r>
        <w:rPr>
          <w:rFonts w:ascii="Arial" w:cs="Arial" w:eastAsia="Arial" w:hAnsi="Arial"/>
          <w:sz w:val="20"/>
          <w:szCs w:val="20"/>
          <w:color w:val="auto"/>
        </w:rPr>
        <w:t>IN WITNESS WHEREOF, the parties hereto have caused their names to be subscribed and executed by their respective authorized officers on the dates indicated, effective as of the date first written above.</w:t>
      </w:r>
    </w:p>
    <w:p>
      <w:pPr>
        <w:spacing w:after="0" w:line="196"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LEONARDO US HOLDING, INC.</w:t>
      </w:r>
    </w:p>
    <w:p>
      <w:pPr>
        <w:spacing w:after="0" w:line="311" w:lineRule="exact"/>
        <w:rPr>
          <w:sz w:val="20"/>
          <w:szCs w:val="20"/>
          <w:color w:val="auto"/>
        </w:rPr>
      </w:pPr>
    </w:p>
    <w:tbl>
      <w:tblPr>
        <w:tblLayout w:type="fixed"/>
        <w:tblInd w:w="4980" w:type="dxa"/>
        <w:tblCellMar>
          <w:top w:w="0" w:type="dxa"/>
          <w:left w:w="0" w:type="dxa"/>
          <w:bottom w:w="0" w:type="dxa"/>
          <w:right w:w="0" w:type="dxa"/>
        </w:tblCellMar>
      </w:tblPr>
      <w:tr>
        <w:trPr>
          <w:trHeight w:val="261"/>
        </w:trPr>
        <w:tc>
          <w:tcPr>
            <w:tcW w:w="1120" w:type="dxa"/>
            <w:vAlign w:val="bottom"/>
          </w:tcPr>
          <w:p>
            <w:pPr>
              <w:spacing w:after="0"/>
              <w:rPr>
                <w:sz w:val="20"/>
                <w:szCs w:val="20"/>
                <w:color w:val="auto"/>
              </w:rPr>
            </w:pPr>
            <w:r>
              <w:rPr>
                <w:rFonts w:ascii="Arial" w:cs="Arial" w:eastAsia="Arial" w:hAnsi="Arial"/>
                <w:sz w:val="20"/>
                <w:szCs w:val="20"/>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0"/>
                <w:szCs w:val="20"/>
                <w:i w:val="1"/>
                <w:iCs w:val="1"/>
                <w:color w:val="auto"/>
              </w:rPr>
              <w:t>/s/ Christopher Slack</w:t>
            </w:r>
          </w:p>
        </w:tc>
      </w:tr>
      <w:tr>
        <w:trPr>
          <w:trHeight w:val="279"/>
        </w:trPr>
        <w:tc>
          <w:tcPr>
            <w:tcW w:w="1120" w:type="dxa"/>
            <w:vAlign w:val="bottom"/>
          </w:tcPr>
          <w:p>
            <w:pPr>
              <w:spacing w:after="0"/>
              <w:rPr>
                <w:sz w:val="20"/>
                <w:szCs w:val="20"/>
                <w:color w:val="auto"/>
              </w:rPr>
            </w:pPr>
            <w:r>
              <w:rPr>
                <w:rFonts w:ascii="Arial" w:cs="Arial" w:eastAsia="Arial" w:hAnsi="Arial"/>
                <w:sz w:val="20"/>
                <w:szCs w:val="20"/>
                <w:color w:val="auto"/>
              </w:rPr>
              <w:t>Name:</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Christopher Slack</w:t>
            </w:r>
          </w:p>
        </w:tc>
      </w:tr>
      <w:tr>
        <w:trPr>
          <w:trHeight w:val="279"/>
        </w:trPr>
        <w:tc>
          <w:tcPr>
            <w:tcW w:w="1120" w:type="dxa"/>
            <w:vAlign w:val="bottom"/>
          </w:tcPr>
          <w:p>
            <w:pPr>
              <w:spacing w:after="0"/>
              <w:rPr>
                <w:sz w:val="20"/>
                <w:szCs w:val="20"/>
                <w:color w:val="auto"/>
              </w:rPr>
            </w:pPr>
            <w:r>
              <w:rPr>
                <w:rFonts w:ascii="Arial" w:cs="Arial" w:eastAsia="Arial" w:hAnsi="Arial"/>
                <w:sz w:val="20"/>
                <w:szCs w:val="20"/>
                <w:color w:val="auto"/>
              </w:rPr>
              <w:t>Title:</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President</w:t>
            </w:r>
          </w:p>
        </w:tc>
      </w:tr>
      <w:tr>
        <w:trPr>
          <w:trHeight w:val="508"/>
        </w:trPr>
        <w:tc>
          <w:tcPr>
            <w:tcW w:w="6260" w:type="dxa"/>
            <w:vAlign w:val="bottom"/>
            <w:gridSpan w:val="2"/>
          </w:tcPr>
          <w:p>
            <w:pPr>
              <w:spacing w:after="0"/>
              <w:rPr>
                <w:sz w:val="20"/>
                <w:szCs w:val="20"/>
                <w:color w:val="auto"/>
              </w:rPr>
            </w:pPr>
            <w:r>
              <w:rPr>
                <w:rFonts w:ascii="Arial" w:cs="Arial" w:eastAsia="Arial" w:hAnsi="Arial"/>
                <w:sz w:val="20"/>
                <w:szCs w:val="20"/>
                <w:b w:val="1"/>
                <w:bCs w:val="1"/>
                <w:color w:val="auto"/>
              </w:rPr>
              <w:t>LEONARDO DRS, INC.</w:t>
            </w:r>
          </w:p>
        </w:tc>
      </w:tr>
      <w:tr>
        <w:trPr>
          <w:trHeight w:val="542"/>
        </w:trPr>
        <w:tc>
          <w:tcPr>
            <w:tcW w:w="1120" w:type="dxa"/>
            <w:vAlign w:val="bottom"/>
          </w:tcPr>
          <w:p>
            <w:pPr>
              <w:spacing w:after="0"/>
              <w:rPr>
                <w:sz w:val="20"/>
                <w:szCs w:val="20"/>
                <w:color w:val="auto"/>
              </w:rPr>
            </w:pPr>
            <w:r>
              <w:rPr>
                <w:rFonts w:ascii="Arial" w:cs="Arial" w:eastAsia="Arial" w:hAnsi="Arial"/>
                <w:sz w:val="20"/>
                <w:szCs w:val="20"/>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0"/>
                <w:szCs w:val="20"/>
                <w:i w:val="1"/>
                <w:iCs w:val="1"/>
                <w:color w:val="auto"/>
              </w:rPr>
              <w:t>/s/ Jason Rinsky</w:t>
            </w:r>
          </w:p>
        </w:tc>
      </w:tr>
      <w:tr>
        <w:trPr>
          <w:trHeight w:val="279"/>
        </w:trPr>
        <w:tc>
          <w:tcPr>
            <w:tcW w:w="1120" w:type="dxa"/>
            <w:vAlign w:val="bottom"/>
          </w:tcPr>
          <w:p>
            <w:pPr>
              <w:spacing w:after="0"/>
              <w:rPr>
                <w:sz w:val="20"/>
                <w:szCs w:val="20"/>
                <w:color w:val="auto"/>
              </w:rPr>
            </w:pPr>
            <w:r>
              <w:rPr>
                <w:rFonts w:ascii="Arial" w:cs="Arial" w:eastAsia="Arial" w:hAnsi="Arial"/>
                <w:sz w:val="20"/>
                <w:szCs w:val="20"/>
                <w:color w:val="auto"/>
              </w:rPr>
              <w:t>Name:</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Jason Rinsky</w:t>
            </w:r>
          </w:p>
        </w:tc>
      </w:tr>
      <w:tr>
        <w:trPr>
          <w:trHeight w:val="279"/>
        </w:trPr>
        <w:tc>
          <w:tcPr>
            <w:tcW w:w="1120" w:type="dxa"/>
            <w:vAlign w:val="bottom"/>
          </w:tcPr>
          <w:p>
            <w:pPr>
              <w:spacing w:after="0"/>
              <w:rPr>
                <w:sz w:val="20"/>
                <w:szCs w:val="20"/>
                <w:color w:val="auto"/>
              </w:rPr>
            </w:pPr>
            <w:r>
              <w:rPr>
                <w:rFonts w:ascii="Arial" w:cs="Arial" w:eastAsia="Arial" w:hAnsi="Arial"/>
                <w:sz w:val="20"/>
                <w:szCs w:val="20"/>
                <w:color w:val="auto"/>
              </w:rPr>
              <w:t>Title:</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SVP, Chief Tax and Treasury Officer</w:t>
            </w:r>
          </w:p>
        </w:tc>
      </w:tr>
      <w:tr>
        <w:trPr>
          <w:trHeight w:val="508"/>
        </w:trPr>
        <w:tc>
          <w:tcPr>
            <w:tcW w:w="6260" w:type="dxa"/>
            <w:vAlign w:val="bottom"/>
            <w:gridSpan w:val="2"/>
          </w:tcPr>
          <w:p>
            <w:pPr>
              <w:spacing w:after="0"/>
              <w:rPr>
                <w:sz w:val="20"/>
                <w:szCs w:val="20"/>
                <w:color w:val="auto"/>
              </w:rPr>
            </w:pPr>
            <w:r>
              <w:rPr>
                <w:rFonts w:ascii="Arial" w:cs="Arial" w:eastAsia="Arial" w:hAnsi="Arial"/>
                <w:sz w:val="20"/>
                <w:szCs w:val="20"/>
                <w:b w:val="1"/>
                <w:bCs w:val="1"/>
                <w:color w:val="auto"/>
              </w:rPr>
              <w:t>LEONARDO US AIRCRAFT INC.</w:t>
            </w:r>
          </w:p>
        </w:tc>
      </w:tr>
      <w:tr>
        <w:trPr>
          <w:trHeight w:val="542"/>
        </w:trPr>
        <w:tc>
          <w:tcPr>
            <w:tcW w:w="1120" w:type="dxa"/>
            <w:vAlign w:val="bottom"/>
          </w:tcPr>
          <w:p>
            <w:pPr>
              <w:spacing w:after="0"/>
              <w:rPr>
                <w:sz w:val="20"/>
                <w:szCs w:val="20"/>
                <w:color w:val="auto"/>
              </w:rPr>
            </w:pPr>
            <w:r>
              <w:rPr>
                <w:rFonts w:ascii="Arial" w:cs="Arial" w:eastAsia="Arial" w:hAnsi="Arial"/>
                <w:sz w:val="20"/>
                <w:szCs w:val="20"/>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0"/>
                <w:szCs w:val="20"/>
                <w:i w:val="1"/>
                <w:iCs w:val="1"/>
                <w:color w:val="auto"/>
              </w:rPr>
              <w:t>/s/ Giorgio Moreni</w:t>
            </w:r>
          </w:p>
        </w:tc>
      </w:tr>
      <w:tr>
        <w:trPr>
          <w:trHeight w:val="279"/>
        </w:trPr>
        <w:tc>
          <w:tcPr>
            <w:tcW w:w="1120" w:type="dxa"/>
            <w:vAlign w:val="bottom"/>
          </w:tcPr>
          <w:p>
            <w:pPr>
              <w:spacing w:after="0"/>
              <w:rPr>
                <w:sz w:val="20"/>
                <w:szCs w:val="20"/>
                <w:color w:val="auto"/>
              </w:rPr>
            </w:pPr>
            <w:r>
              <w:rPr>
                <w:rFonts w:ascii="Arial" w:cs="Arial" w:eastAsia="Arial" w:hAnsi="Arial"/>
                <w:sz w:val="20"/>
                <w:szCs w:val="20"/>
                <w:color w:val="auto"/>
              </w:rPr>
              <w:t>Name:</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Giorgio Moreni</w:t>
            </w:r>
          </w:p>
        </w:tc>
      </w:tr>
      <w:tr>
        <w:trPr>
          <w:trHeight w:val="279"/>
        </w:trPr>
        <w:tc>
          <w:tcPr>
            <w:tcW w:w="1120" w:type="dxa"/>
            <w:vAlign w:val="bottom"/>
          </w:tcPr>
          <w:p>
            <w:pPr>
              <w:spacing w:after="0"/>
              <w:rPr>
                <w:sz w:val="20"/>
                <w:szCs w:val="20"/>
                <w:color w:val="auto"/>
              </w:rPr>
            </w:pPr>
            <w:r>
              <w:rPr>
                <w:rFonts w:ascii="Arial" w:cs="Arial" w:eastAsia="Arial" w:hAnsi="Arial"/>
                <w:sz w:val="20"/>
                <w:szCs w:val="20"/>
                <w:color w:val="auto"/>
              </w:rPr>
              <w:t>Title:</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Sole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327" w:right="339" w:bottom="1440" w:gutter="0" w:footer="0" w:header="0"/>
        </w:sectPr>
      </w:pPr>
    </w:p>
    <w:bookmarkStart w:id="298" w:name="page299"/>
    <w:bookmarkEnd w:id="298"/>
    <w:p>
      <w:pPr>
        <w:ind w:left="600"/>
        <w:spacing w:after="0"/>
        <w:rPr>
          <w:sz w:val="20"/>
          <w:szCs w:val="20"/>
          <w:color w:val="auto"/>
        </w:rPr>
      </w:pPr>
      <w:r>
        <w:rPr>
          <w:rFonts w:ascii="Arial" w:cs="Arial" w:eastAsia="Arial" w:hAnsi="Arial"/>
          <w:sz w:val="20"/>
          <w:szCs w:val="20"/>
          <w:b w:val="1"/>
          <w:bCs w:val="1"/>
          <w:color w:val="auto"/>
        </w:rPr>
        <w:t>Exhibit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Joinder</w:t>
      </w:r>
    </w:p>
    <w:p>
      <w:pPr>
        <w:spacing w:after="0" w:line="236" w:lineRule="exact"/>
        <w:rPr>
          <w:sz w:val="20"/>
          <w:szCs w:val="20"/>
          <w:color w:val="auto"/>
        </w:rPr>
      </w:pPr>
    </w:p>
    <w:p>
      <w:pPr>
        <w:ind w:right="200" w:firstLine="299"/>
        <w:spacing w:after="0" w:line="254" w:lineRule="auto"/>
        <w:rPr>
          <w:sz w:val="20"/>
          <w:szCs w:val="20"/>
          <w:color w:val="auto"/>
        </w:rPr>
      </w:pPr>
      <w:r>
        <w:rPr>
          <w:rFonts w:ascii="Arial" w:cs="Arial" w:eastAsia="Arial" w:hAnsi="Arial"/>
          <w:sz w:val="20"/>
          <w:szCs w:val="20"/>
          <w:color w:val="auto"/>
        </w:rPr>
        <w:t>THIS JOINDER (“Joinder”) is made and entered into as of [l] by [l], and is effective commencing as of [l], with respect to that certain Tax Allocation Agreement, dated as of November [l], 2020 (as amended, restated, supplemented or otherwise modified in accordance with the terms thereof, the “Tax Allocation Agreement”) by and among Leonardo US Holding, Inc., Leonardo DRS, Inc. and the other parties signatory thereto from time to time.</w:t>
      </w:r>
    </w:p>
    <w:p>
      <w:pPr>
        <w:spacing w:after="0" w:line="196" w:lineRule="exact"/>
        <w:rPr>
          <w:sz w:val="20"/>
          <w:szCs w:val="20"/>
          <w:color w:val="auto"/>
        </w:rPr>
      </w:pPr>
    </w:p>
    <w:p>
      <w:pPr>
        <w:ind w:firstLine="299"/>
        <w:spacing w:after="0" w:line="254" w:lineRule="auto"/>
        <w:rPr>
          <w:sz w:val="20"/>
          <w:szCs w:val="20"/>
          <w:color w:val="auto"/>
        </w:rPr>
      </w:pPr>
      <w:r>
        <w:rPr>
          <w:rFonts w:ascii="Arial" w:cs="Arial" w:eastAsia="Arial" w:hAnsi="Arial"/>
          <w:sz w:val="20"/>
          <w:szCs w:val="20"/>
          <w:color w:val="auto"/>
        </w:rPr>
        <w:t>By executing and delivering this Joinder, the undersigned hereby adopts and approves the Tax Allocation Agreement and agrees, effective commencing on the date hereof, to (1) become a party to, and to be bound by and comply with the provisions of, the Tax Allocation Agreement in the same manner as if the undersigned were an original signatory to the Tax Allocation Agreement and (2) be listed on Schedule _______________ to the Tax Allocation Agreement.</w:t>
      </w:r>
    </w:p>
    <w:p>
      <w:pPr>
        <w:spacing w:after="0" w:line="221" w:lineRule="exact"/>
        <w:rPr>
          <w:sz w:val="20"/>
          <w:szCs w:val="20"/>
          <w:color w:val="auto"/>
        </w:rPr>
      </w:pPr>
    </w:p>
    <w:p>
      <w:pPr>
        <w:ind w:left="5280"/>
        <w:spacing w:after="0"/>
        <w:rPr>
          <w:sz w:val="20"/>
          <w:szCs w:val="20"/>
          <w:color w:val="auto"/>
        </w:rPr>
      </w:pPr>
      <w:r>
        <w:rPr>
          <w:rFonts w:ascii="Arial" w:cs="Arial" w:eastAsia="Arial" w:hAnsi="Arial"/>
          <w:sz w:val="20"/>
          <w:szCs w:val="20"/>
          <w:b w:val="1"/>
          <w:bCs w:val="1"/>
          <w:i w:val="1"/>
          <w:iCs w:val="1"/>
          <w:color w:val="auto"/>
        </w:rPr>
        <w:t>[Name of Joinder Party]</w:t>
      </w:r>
    </w:p>
    <w:p>
      <w:pPr>
        <w:spacing w:after="0" w:line="30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24130</wp:posOffset>
            </wp:positionV>
            <wp:extent cx="326326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63265" cy="7620"/>
                    </a:xfrm>
                    <a:prstGeom prst="rect">
                      <a:avLst/>
                    </a:prstGeom>
                    <a:noFill/>
                  </pic:spPr>
                </pic:pic>
              </a:graphicData>
            </a:graphic>
          </wp:anchor>
        </w:drawing>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24130</wp:posOffset>
            </wp:positionV>
            <wp:extent cx="326326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63265" cy="7620"/>
                    </a:xfrm>
                    <a:prstGeom prst="rect">
                      <a:avLst/>
                    </a:prstGeom>
                    <a:noFill/>
                  </pic:spPr>
                </pic:pic>
              </a:graphicData>
            </a:graphic>
          </wp:anchor>
        </w:drawing>
      </w:r>
    </w:p>
    <w:p>
      <w:pPr>
        <w:spacing w:after="0" w:line="3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24130</wp:posOffset>
            </wp:positionV>
            <wp:extent cx="326326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63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321" w:right="339" w:bottom="1440" w:gutter="0" w:footer="0" w:header="0"/>
        </w:sectPr>
      </w:pPr>
    </w:p>
    <w:bookmarkStart w:id="299" w:name="page300"/>
    <w:bookmarkEnd w:id="299"/>
    <w:p>
      <w:pPr>
        <w:jc w:val="right"/>
        <w:ind w:right="4039"/>
        <w:spacing w:after="0"/>
        <w:rPr>
          <w:sz w:val="20"/>
          <w:szCs w:val="20"/>
          <w:color w:val="auto"/>
        </w:rPr>
      </w:pPr>
      <w:r>
        <w:rPr>
          <w:rFonts w:ascii="Arial" w:cs="Arial" w:eastAsia="Arial" w:hAnsi="Arial"/>
          <w:sz w:val="20"/>
          <w:szCs w:val="20"/>
          <w:b w:val="1"/>
          <w:bCs w:val="1"/>
          <w:color w:val="auto"/>
        </w:rPr>
        <w:t>Schedule A</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Members:</w:t>
      </w:r>
    </w:p>
    <w:p>
      <w:pPr>
        <w:spacing w:after="0" w:line="236" w:lineRule="exact"/>
        <w:rPr>
          <w:sz w:val="20"/>
          <w:szCs w:val="20"/>
          <w:color w:val="auto"/>
        </w:rPr>
      </w:pPr>
    </w:p>
    <w:p>
      <w:pPr>
        <w:ind w:left="640" w:hanging="343"/>
        <w:spacing w:after="0"/>
        <w:tabs>
          <w:tab w:leader="none" w:pos="6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Leonardo US Holding, Inc.</w:t>
      </w:r>
    </w:p>
    <w:p>
      <w:pPr>
        <w:spacing w:after="0" w:line="22" w:lineRule="exact"/>
        <w:rPr>
          <w:rFonts w:ascii="Arial" w:cs="Arial" w:eastAsia="Arial" w:hAnsi="Arial"/>
          <w:sz w:val="20"/>
          <w:szCs w:val="20"/>
          <w:color w:val="auto"/>
        </w:rPr>
      </w:pPr>
    </w:p>
    <w:p>
      <w:pPr>
        <w:ind w:left="640" w:hanging="343"/>
        <w:spacing w:after="0"/>
        <w:tabs>
          <w:tab w:leader="none" w:pos="6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Leonardo DRS, Inc.</w:t>
      </w:r>
    </w:p>
    <w:p>
      <w:pPr>
        <w:spacing w:after="0" w:line="6" w:lineRule="exact"/>
        <w:rPr>
          <w:rFonts w:ascii="Arial" w:cs="Arial" w:eastAsia="Arial" w:hAnsi="Arial"/>
          <w:sz w:val="20"/>
          <w:szCs w:val="20"/>
          <w:color w:val="auto"/>
        </w:rPr>
      </w:pPr>
    </w:p>
    <w:p>
      <w:pPr>
        <w:ind w:left="640" w:hanging="343"/>
        <w:spacing w:after="0"/>
        <w:tabs>
          <w:tab w:leader="none" w:pos="6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Leonardo US Aircraft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9839"/>
          </w:cols>
          <w:pgMar w:left="620" w:top="1321" w:right="1440" w:bottom="1440" w:gutter="0" w:footer="0" w:header="0"/>
        </w:sectPr>
      </w:pPr>
    </w:p>
    <w:bookmarkStart w:id="300" w:name="page301"/>
    <w:bookmarkEnd w:id="300"/>
    <w:p>
      <w:pPr>
        <w:jc w:val="right"/>
        <w:ind w:right="4039"/>
        <w:spacing w:after="0"/>
        <w:rPr>
          <w:sz w:val="20"/>
          <w:szCs w:val="20"/>
          <w:color w:val="auto"/>
        </w:rPr>
      </w:pPr>
      <w:r>
        <w:rPr>
          <w:rFonts w:ascii="Arial" w:cs="Arial" w:eastAsia="Arial" w:hAnsi="Arial"/>
          <w:sz w:val="20"/>
          <w:szCs w:val="20"/>
          <w:b w:val="1"/>
          <w:bCs w:val="1"/>
          <w:color w:val="auto"/>
        </w:rPr>
        <w:t>Schedule B</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 Members:</w:t>
      </w:r>
    </w:p>
    <w:p>
      <w:pPr>
        <w:spacing w:after="0" w:line="236" w:lineRule="exact"/>
        <w:rPr>
          <w:sz w:val="20"/>
          <w:szCs w:val="20"/>
          <w:color w:val="auto"/>
        </w:rPr>
      </w:pPr>
    </w:p>
    <w:p>
      <w:pPr>
        <w:ind w:left="640" w:hanging="343"/>
        <w:spacing w:after="0"/>
        <w:tabs>
          <w:tab w:leader="none" w:pos="6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Leonardo US Holding, Inc.</w:t>
      </w:r>
    </w:p>
    <w:p>
      <w:pPr>
        <w:spacing w:after="0" w:line="22" w:lineRule="exact"/>
        <w:rPr>
          <w:rFonts w:ascii="Arial" w:cs="Arial" w:eastAsia="Arial" w:hAnsi="Arial"/>
          <w:sz w:val="20"/>
          <w:szCs w:val="20"/>
          <w:color w:val="auto"/>
        </w:rPr>
      </w:pPr>
    </w:p>
    <w:p>
      <w:pPr>
        <w:ind w:left="640" w:hanging="343"/>
        <w:spacing w:after="0"/>
        <w:tabs>
          <w:tab w:leader="none" w:pos="6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Leonardo DRS, Inc.</w:t>
      </w:r>
    </w:p>
    <w:p>
      <w:pPr>
        <w:spacing w:after="0" w:line="6" w:lineRule="exact"/>
        <w:rPr>
          <w:rFonts w:ascii="Arial" w:cs="Arial" w:eastAsia="Arial" w:hAnsi="Arial"/>
          <w:sz w:val="20"/>
          <w:szCs w:val="20"/>
          <w:color w:val="auto"/>
        </w:rPr>
      </w:pPr>
    </w:p>
    <w:p>
      <w:pPr>
        <w:ind w:left="640" w:hanging="343"/>
        <w:spacing w:after="0"/>
        <w:tabs>
          <w:tab w:leader="none" w:pos="6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Leonardo US Aircraft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9839"/>
          </w:cols>
          <w:pgMar w:left="620" w:top="1321" w:right="1440" w:bottom="1440" w:gutter="0" w:footer="0" w:header="0"/>
        </w:sectPr>
      </w:pPr>
    </w:p>
    <w:bookmarkStart w:id="301" w:name="page302"/>
    <w:bookmarkEnd w:id="301"/>
    <w:p>
      <w:pPr>
        <w:jc w:val="right"/>
        <w:ind w:right="4039"/>
        <w:spacing w:after="0"/>
        <w:rPr>
          <w:sz w:val="20"/>
          <w:szCs w:val="20"/>
          <w:color w:val="auto"/>
        </w:rPr>
      </w:pPr>
      <w:r>
        <w:rPr>
          <w:rFonts w:ascii="Arial" w:cs="Arial" w:eastAsia="Arial" w:hAnsi="Arial"/>
          <w:sz w:val="20"/>
          <w:szCs w:val="20"/>
          <w:b w:val="1"/>
          <w:bCs w:val="1"/>
          <w:color w:val="auto"/>
        </w:rPr>
        <w:t>Schedule C</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Expanded Group Members:</w:t>
      </w:r>
    </w:p>
    <w:p>
      <w:pPr>
        <w:spacing w:after="0" w:line="236" w:lineRule="exact"/>
        <w:rPr>
          <w:sz w:val="20"/>
          <w:szCs w:val="20"/>
          <w:color w:val="auto"/>
        </w:rPr>
      </w:pPr>
    </w:p>
    <w:p>
      <w:pPr>
        <w:ind w:left="640" w:hanging="343"/>
        <w:spacing w:after="0"/>
        <w:tabs>
          <w:tab w:leader="none" w:pos="6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Leonardo US Holding, Inc.</w:t>
      </w:r>
    </w:p>
    <w:p>
      <w:pPr>
        <w:spacing w:after="0" w:line="22" w:lineRule="exact"/>
        <w:rPr>
          <w:rFonts w:ascii="Arial" w:cs="Arial" w:eastAsia="Arial" w:hAnsi="Arial"/>
          <w:sz w:val="20"/>
          <w:szCs w:val="20"/>
          <w:color w:val="auto"/>
        </w:rPr>
      </w:pPr>
    </w:p>
    <w:p>
      <w:pPr>
        <w:ind w:left="640" w:hanging="343"/>
        <w:spacing w:after="0"/>
        <w:tabs>
          <w:tab w:leader="none" w:pos="6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Leonardo DRS, Inc.</w:t>
      </w:r>
    </w:p>
    <w:p>
      <w:pPr>
        <w:spacing w:after="0" w:line="6" w:lineRule="exact"/>
        <w:rPr>
          <w:rFonts w:ascii="Arial" w:cs="Arial" w:eastAsia="Arial" w:hAnsi="Arial"/>
          <w:sz w:val="20"/>
          <w:szCs w:val="20"/>
          <w:color w:val="auto"/>
        </w:rPr>
      </w:pPr>
    </w:p>
    <w:p>
      <w:pPr>
        <w:ind w:left="640" w:hanging="343"/>
        <w:spacing w:after="0"/>
        <w:tabs>
          <w:tab w:leader="none" w:pos="6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Leonardo US Aircraft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9839"/>
          </w:cols>
          <w:pgMar w:left="620" w:top="1321" w:right="1440" w:bottom="1440" w:gutter="0" w:footer="0" w:header="0"/>
        </w:sectPr>
      </w:pPr>
    </w:p>
    <w:bookmarkStart w:id="302" w:name="page303"/>
    <w:bookmarkEnd w:id="302"/>
    <w:p>
      <w:pPr>
        <w:jc w:val="right"/>
        <w:spacing w:after="0"/>
        <w:rPr>
          <w:sz w:val="20"/>
          <w:szCs w:val="20"/>
          <w:color w:val="auto"/>
        </w:rPr>
      </w:pPr>
      <w:r>
        <w:rPr>
          <w:rFonts w:ascii="Arial" w:cs="Arial" w:eastAsia="Arial" w:hAnsi="Arial"/>
          <w:sz w:val="17"/>
          <w:szCs w:val="17"/>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LEONARDO DRS</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INCENTIVE COMPENSATION PLAN</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(ICP)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Last Revised February 24, 2021</w:t>
      </w:r>
    </w:p>
    <w:p>
      <w:pPr>
        <w:sectPr>
          <w:pgSz w:w="11900" w:h="16838" w:orient="portrait"/>
          <w:cols w:equalWidth="0" w:num="1">
            <w:col w:w="10120"/>
          </w:cols>
          <w:pgMar w:left="1440" w:top="123" w:right="339" w:bottom="1440" w:gutter="0" w:footer="0" w:header="0"/>
        </w:sectPr>
      </w:pPr>
    </w:p>
    <w:bookmarkStart w:id="303" w:name="page304"/>
    <w:bookmarkEnd w:id="303"/>
    <w:p>
      <w:pPr>
        <w:spacing w:after="0" w:line="305" w:lineRule="exact"/>
        <w:rPr>
          <w:sz w:val="20"/>
          <w:szCs w:val="20"/>
          <w:color w:val="auto"/>
        </w:rPr>
      </w:pPr>
    </w:p>
    <w:p>
      <w:pPr>
        <w:ind w:left="340" w:hanging="340"/>
        <w:spacing w:after="0"/>
        <w:tabs>
          <w:tab w:leader="none" w:pos="340" w:val="left"/>
        </w:tabs>
        <w:numPr>
          <w:ilvl w:val="0"/>
          <w:numId w:val="191"/>
        </w:numPr>
        <w:rPr>
          <w:rFonts w:ascii="Arial" w:cs="Arial" w:eastAsia="Arial" w:hAnsi="Arial"/>
          <w:sz w:val="20"/>
          <w:szCs w:val="20"/>
          <w:b w:val="1"/>
          <w:bCs w:val="1"/>
          <w:color w:val="auto"/>
        </w:rPr>
      </w:pPr>
      <w:r>
        <w:rPr>
          <w:rFonts w:ascii="Arial" w:cs="Arial" w:eastAsia="Arial" w:hAnsi="Arial"/>
          <w:sz w:val="20"/>
          <w:szCs w:val="20"/>
          <w:b w:val="1"/>
          <w:bCs w:val="1"/>
          <w:color w:val="auto"/>
        </w:rPr>
        <w:t>PLAN OBJECTIVES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primary Plan objectives are:</w:t>
      </w:r>
    </w:p>
    <w:p>
      <w:pPr>
        <w:spacing w:after="0" w:line="206" w:lineRule="exact"/>
        <w:rPr>
          <w:sz w:val="20"/>
          <w:szCs w:val="20"/>
          <w:color w:val="auto"/>
        </w:rPr>
      </w:pPr>
    </w:p>
    <w:p>
      <w:pPr>
        <w:ind w:left="1040" w:right="520" w:hanging="596"/>
        <w:spacing w:after="0" w:line="271" w:lineRule="auto"/>
        <w:tabs>
          <w:tab w:leader="none" w:pos="1020" w:val="left"/>
        </w:tabs>
        <w:rPr>
          <w:sz w:val="20"/>
          <w:szCs w:val="20"/>
          <w:color w:val="auto"/>
        </w:rPr>
      </w:pPr>
      <w:r>
        <w:rPr>
          <w:rFonts w:ascii="Arial" w:cs="Arial" w:eastAsia="Arial" w:hAnsi="Arial"/>
          <w:sz w:val="20"/>
          <w:szCs w:val="20"/>
          <w:color w:val="auto"/>
        </w:rPr>
        <w:t>1.1</w:t>
        <w:tab/>
        <w:t>To encourage individual effort and group teamwork toward the accomplishment of Company and Individual Performance Objectives.</w:t>
      </w:r>
    </w:p>
    <w:p>
      <w:pPr>
        <w:spacing w:after="0" w:line="153"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To reward outstanding performance by Participants.</w:t>
      </w:r>
    </w:p>
    <w:p>
      <w:pPr>
        <w:spacing w:after="0" w:line="206" w:lineRule="exact"/>
        <w:rPr>
          <w:sz w:val="20"/>
          <w:szCs w:val="20"/>
          <w:color w:val="auto"/>
        </w:rPr>
      </w:pPr>
    </w:p>
    <w:p>
      <w:pPr>
        <w:ind w:left="1040" w:right="460" w:hanging="596"/>
        <w:spacing w:after="0" w:line="271" w:lineRule="auto"/>
        <w:tabs>
          <w:tab w:leader="none" w:pos="1020" w:val="left"/>
        </w:tabs>
        <w:rPr>
          <w:sz w:val="20"/>
          <w:szCs w:val="20"/>
          <w:color w:val="auto"/>
        </w:rPr>
      </w:pPr>
      <w:r>
        <w:rPr>
          <w:rFonts w:ascii="Arial" w:cs="Arial" w:eastAsia="Arial" w:hAnsi="Arial"/>
          <w:sz w:val="20"/>
          <w:szCs w:val="20"/>
          <w:color w:val="auto"/>
        </w:rPr>
        <w:t>1.3</w:t>
        <w:tab/>
        <w:t>To provide total compensation that is competitive with the businesses with which the Company competes and sufficient to maintain the Company’s ability to attract, retain and motivate its participating employees.</w:t>
      </w:r>
    </w:p>
    <w:p>
      <w:pPr>
        <w:spacing w:after="0" w:line="153"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To focus the attention of Participants on Corporate, Operating Unit and individual goals for the Plan Year.</w:t>
      </w:r>
    </w:p>
    <w:p>
      <w:pPr>
        <w:spacing w:after="0" w:line="200" w:lineRule="exact"/>
        <w:rPr>
          <w:sz w:val="20"/>
          <w:szCs w:val="20"/>
          <w:color w:val="auto"/>
        </w:rPr>
      </w:pPr>
    </w:p>
    <w:p>
      <w:pPr>
        <w:ind w:left="340" w:hanging="340"/>
        <w:spacing w:after="0"/>
        <w:tabs>
          <w:tab w:leader="none" w:pos="340"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12" w:lineRule="exact"/>
        <w:rPr>
          <w:sz w:val="20"/>
          <w:szCs w:val="20"/>
          <w:color w:val="auto"/>
        </w:rPr>
      </w:pPr>
    </w:p>
    <w:p>
      <w:pPr>
        <w:ind w:left="1040" w:right="480" w:hanging="596"/>
        <w:spacing w:after="0" w:line="271" w:lineRule="auto"/>
        <w:tabs>
          <w:tab w:leader="none" w:pos="10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u w:val="single" w:color="auto"/>
          <w:color w:val="auto"/>
        </w:rPr>
        <w:t>Administrator</w:t>
      </w:r>
      <w:r>
        <w:rPr>
          <w:rFonts w:ascii="Arial" w:cs="Arial" w:eastAsia="Arial" w:hAnsi="Arial"/>
          <w:sz w:val="20"/>
          <w:szCs w:val="20"/>
          <w:color w:val="auto"/>
        </w:rPr>
        <w:t>: The Compensation Committee of the Board (as constituted from time to time, and including any successor</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committee) or its designee.</w:t>
      </w:r>
    </w:p>
    <w:p>
      <w:pPr>
        <w:spacing w:after="0" w:line="153" w:lineRule="exact"/>
        <w:rPr>
          <w:sz w:val="20"/>
          <w:szCs w:val="20"/>
          <w:color w:val="auto"/>
        </w:rPr>
      </w:pPr>
    </w:p>
    <w:p>
      <w:pPr>
        <w:ind w:left="1040" w:right="280" w:hanging="596"/>
        <w:spacing w:after="0" w:line="271" w:lineRule="auto"/>
        <w:tabs>
          <w:tab w:leader="none" w:pos="10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u w:val="single" w:color="auto"/>
          <w:color w:val="auto"/>
        </w:rPr>
        <w:t>Affiliate(s)</w:t>
      </w:r>
      <w:r>
        <w:rPr>
          <w:rFonts w:ascii="Arial" w:cs="Arial" w:eastAsia="Arial" w:hAnsi="Arial"/>
          <w:sz w:val="20"/>
          <w:szCs w:val="20"/>
          <w:color w:val="auto"/>
        </w:rPr>
        <w:t>: Any corporation, subsidiary or other entity controlled by the Company and designated by the Administrator as a</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participating entity in the Plan.</w:t>
      </w:r>
    </w:p>
    <w:p>
      <w:pPr>
        <w:spacing w:after="0" w:line="153"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Award Letter</w:t>
      </w:r>
      <w:r>
        <w:rPr>
          <w:rFonts w:ascii="Arial" w:cs="Arial" w:eastAsia="Arial" w:hAnsi="Arial"/>
          <w:sz w:val="18"/>
          <w:szCs w:val="18"/>
          <w:color w:val="auto"/>
        </w:rPr>
        <w:t>: Written notification to a Participant informing the Participant of his or her Target Award for the Plan Year.</w:t>
      </w:r>
    </w:p>
    <w:p>
      <w:pPr>
        <w:spacing w:after="0" w:line="206" w:lineRule="exact"/>
        <w:rPr>
          <w:sz w:val="20"/>
          <w:szCs w:val="20"/>
          <w:color w:val="auto"/>
        </w:rPr>
      </w:pPr>
    </w:p>
    <w:p>
      <w:pPr>
        <w:ind w:left="1040" w:right="40" w:hanging="596"/>
        <w:spacing w:after="0" w:line="271" w:lineRule="auto"/>
        <w:tabs>
          <w:tab w:leader="none" w:pos="10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u w:val="single" w:color="auto"/>
          <w:color w:val="auto"/>
        </w:rPr>
        <w:t>Award Payment</w:t>
      </w:r>
      <w:r>
        <w:rPr>
          <w:rFonts w:ascii="Arial" w:cs="Arial" w:eastAsia="Arial" w:hAnsi="Arial"/>
          <w:sz w:val="20"/>
          <w:szCs w:val="20"/>
          <w:color w:val="auto"/>
        </w:rPr>
        <w:t>: The amount of an ICP award payment made, or to be made, to a Participant as determined by the achievement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the designated Corporate, Operating Unit and Individual Performance Objectives.</w:t>
      </w:r>
    </w:p>
    <w:p>
      <w:pPr>
        <w:spacing w:after="0" w:line="153" w:lineRule="exact"/>
        <w:rPr>
          <w:sz w:val="20"/>
          <w:szCs w:val="20"/>
          <w:color w:val="auto"/>
        </w:rPr>
      </w:pPr>
    </w:p>
    <w:p>
      <w:pPr>
        <w:ind w:left="1040" w:right="220" w:hanging="596"/>
        <w:spacing w:after="0" w:line="258" w:lineRule="auto"/>
        <w:tabs>
          <w:tab w:leader="none" w:pos="10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20"/>
          <w:szCs w:val="20"/>
          <w:u w:val="single" w:color="auto"/>
          <w:color w:val="auto"/>
        </w:rPr>
        <w:t>Base Salary</w:t>
      </w:r>
      <w:r>
        <w:rPr>
          <w:rFonts w:ascii="Arial" w:cs="Arial" w:eastAsia="Arial" w:hAnsi="Arial"/>
          <w:sz w:val="20"/>
          <w:szCs w:val="20"/>
          <w:color w:val="auto"/>
        </w:rPr>
        <w:t>: The Participant’s annualized rate of base salary as of April 1 of the Plan Year before: (i) deductions for taxes,</w:t>
      </w:r>
      <w:r>
        <w:rPr>
          <w:rFonts w:ascii="Arial" w:cs="Arial" w:eastAsia="Arial" w:hAnsi="Arial"/>
          <w:sz w:val="20"/>
          <w:szCs w:val="20"/>
          <w:u w:val="single" w:color="auto"/>
          <w:color w:val="auto"/>
        </w:rPr>
        <w:t xml:space="preserve"> </w:t>
      </w:r>
      <w:r>
        <w:rPr>
          <w:rFonts w:ascii="Arial" w:cs="Arial" w:eastAsia="Arial" w:hAnsi="Arial"/>
          <w:sz w:val="20"/>
          <w:szCs w:val="20"/>
          <w:color w:val="auto"/>
        </w:rPr>
        <w:t>benefits or other required withholdings, and (ii) deferrals of compensation pursuant to any Company or Affiliate-sponsored plans.</w:t>
      </w:r>
    </w:p>
    <w:p>
      <w:pPr>
        <w:spacing w:after="0" w:line="167"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 as constituted from time to time.</w:t>
      </w:r>
    </w:p>
    <w:p>
      <w:pPr>
        <w:spacing w:after="0" w:line="206" w:lineRule="exact"/>
        <w:rPr>
          <w:sz w:val="20"/>
          <w:szCs w:val="20"/>
          <w:color w:val="auto"/>
        </w:rPr>
      </w:pPr>
    </w:p>
    <w:p>
      <w:pPr>
        <w:ind w:left="1040" w:hanging="596"/>
        <w:spacing w:after="0" w:line="271" w:lineRule="auto"/>
        <w:tabs>
          <w:tab w:leader="none" w:pos="10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0"/>
          <w:szCs w:val="20"/>
          <w:u w:val="single" w:color="auto"/>
          <w:color w:val="auto"/>
        </w:rPr>
        <w:t>Calculated Award</w:t>
      </w:r>
      <w:r>
        <w:rPr>
          <w:rFonts w:ascii="Arial" w:cs="Arial" w:eastAsia="Arial" w:hAnsi="Arial"/>
          <w:sz w:val="20"/>
          <w:szCs w:val="20"/>
          <w:color w:val="auto"/>
        </w:rPr>
        <w:t>: The score of each performance component multiplied by the Target Award for each performance component,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summed to calculate the total Calculated Award.</w:t>
      </w:r>
    </w:p>
    <w:p>
      <w:pPr>
        <w:spacing w:after="0" w:line="153" w:lineRule="exact"/>
        <w:rPr>
          <w:sz w:val="20"/>
          <w:szCs w:val="20"/>
          <w:color w:val="auto"/>
        </w:rPr>
      </w:pPr>
    </w:p>
    <w:p>
      <w:pPr>
        <w:ind w:left="1040" w:right="680" w:hanging="596"/>
        <w:spacing w:after="0" w:line="271" w:lineRule="auto"/>
        <w:tabs>
          <w:tab w:leader="none" w:pos="10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u w:val="single" w:color="auto"/>
          <w:color w:val="auto"/>
        </w:rPr>
        <w:t>Cause</w:t>
      </w:r>
      <w:r>
        <w:rPr>
          <w:rFonts w:ascii="Arial" w:cs="Arial" w:eastAsia="Arial" w:hAnsi="Arial"/>
          <w:sz w:val="20"/>
          <w:szCs w:val="20"/>
          <w:color w:val="auto"/>
        </w:rPr>
        <w:t>: means (a) with respect to a Participant employed pursuant to a written employment agreement which agreement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includes a definition of “Cause,”</w:t>
      </w:r>
    </w:p>
    <w:p>
      <w:pPr>
        <w:sectPr>
          <w:pgSz w:w="11900" w:h="16838" w:orient="portrait"/>
          <w:cols w:equalWidth="0" w:num="1">
            <w:col w:w="11240"/>
          </w:cols>
          <w:pgMar w:left="320" w:top="1440" w:right="339" w:bottom="1440" w:gutter="0" w:footer="0" w:header="0"/>
        </w:sectPr>
      </w:pPr>
    </w:p>
    <w:bookmarkStart w:id="304" w:name="page305"/>
    <w:bookmarkEnd w:id="304"/>
    <w:p>
      <w:pPr>
        <w:ind w:left="600"/>
        <w:spacing w:after="0" w:line="281" w:lineRule="auto"/>
        <w:rPr>
          <w:sz w:val="20"/>
          <w:szCs w:val="20"/>
          <w:color w:val="auto"/>
        </w:rPr>
      </w:pPr>
      <w:r>
        <w:rPr>
          <w:rFonts w:ascii="Arial" w:cs="Arial" w:eastAsia="Arial" w:hAnsi="Arial"/>
          <w:sz w:val="18"/>
          <w:szCs w:val="18"/>
          <w:color w:val="auto"/>
        </w:rPr>
        <w:t>“Cause” as defined in that agreement or (b) with respect to any other Participant, the occurrence of any of the following: (i) the Participant’s repeated or continued failure to perform his or her duties to the Company’s satisfaction (other than any such failure resulting from incapacity due to physical or mental illness), as determined in the Company’s sole discretion; (ii) the Participant’s engagement in dishonesty, illegal conduct or misconduct; (iii) the Participant’s embezzlement, misappropriation or fraud, whether or not related to the Participant’s employment with the Company; (iv) the Participant’s conviction of, or plea of guilty or nolo contendere to, a crime that constitutes a felony (or state law equivalent) or crime that constitutes a misdemeanor involving moral turpitude; or (v) the Participant’s violations of the Company’s code of ethics and business conduct, as amended from time to time, as determined in the Company’s sole discretion.</w:t>
      </w:r>
    </w:p>
    <w:p>
      <w:pPr>
        <w:spacing w:after="0" w:line="15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u w:val="single" w:color="auto"/>
          <w:color w:val="auto"/>
        </w:rPr>
        <w:t>CEO</w:t>
      </w:r>
      <w:r>
        <w:rPr>
          <w:rFonts w:ascii="Arial" w:cs="Arial" w:eastAsia="Arial" w:hAnsi="Arial"/>
          <w:sz w:val="18"/>
          <w:szCs w:val="18"/>
          <w:color w:val="auto"/>
        </w:rPr>
        <w:t>: The Chief Executive Officer of the Company.</w:t>
      </w:r>
    </w:p>
    <w:p>
      <w:pPr>
        <w:spacing w:after="0" w:line="206" w:lineRule="exact"/>
        <w:rPr>
          <w:sz w:val="20"/>
          <w:szCs w:val="20"/>
          <w:color w:val="auto"/>
        </w:rPr>
      </w:pPr>
    </w:p>
    <w:p>
      <w:pPr>
        <w:ind w:left="540" w:right="340" w:hanging="596"/>
        <w:spacing w:after="0" w:line="271" w:lineRule="auto"/>
        <w:tabs>
          <w:tab w:leader="none" w:pos="5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20"/>
          <w:szCs w:val="20"/>
          <w:u w:val="single" w:color="auto"/>
          <w:color w:val="auto"/>
        </w:rPr>
        <w:t>Code</w:t>
      </w:r>
      <w:r>
        <w:rPr>
          <w:rFonts w:ascii="Arial" w:cs="Arial" w:eastAsia="Arial" w:hAnsi="Arial"/>
          <w:sz w:val="20"/>
          <w:szCs w:val="20"/>
          <w:color w:val="auto"/>
        </w:rPr>
        <w:t>: The U.S. Internal Revenue Code of 1986, as amended from time to time, including any regulations or authoritative</w:t>
      </w:r>
      <w:r>
        <w:rPr>
          <w:rFonts w:ascii="Arial" w:cs="Arial" w:eastAsia="Arial" w:hAnsi="Arial"/>
          <w:sz w:val="20"/>
          <w:szCs w:val="20"/>
          <w:u w:val="single" w:color="auto"/>
          <w:color w:val="auto"/>
        </w:rPr>
        <w:t xml:space="preserve"> </w:t>
      </w:r>
      <w:r>
        <w:rPr>
          <w:rFonts w:ascii="Arial" w:cs="Arial" w:eastAsia="Arial" w:hAnsi="Arial"/>
          <w:sz w:val="20"/>
          <w:szCs w:val="20"/>
          <w:color w:val="auto"/>
        </w:rPr>
        <w:t>guidance promulgated thereunder and successor provisions thereto.</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Committee</w:t>
      </w:r>
      <w:r>
        <w:rPr>
          <w:rFonts w:ascii="Arial" w:cs="Arial" w:eastAsia="Arial" w:hAnsi="Arial"/>
          <w:sz w:val="18"/>
          <w:szCs w:val="18"/>
          <w:color w:val="auto"/>
        </w:rPr>
        <w:t>: The Compensation Committee of the Board of Directors of the Company, as constituted from time to time.</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Company</w:t>
      </w:r>
      <w:r>
        <w:rPr>
          <w:rFonts w:ascii="Arial" w:cs="Arial" w:eastAsia="Arial" w:hAnsi="Arial"/>
          <w:sz w:val="18"/>
          <w:szCs w:val="18"/>
          <w:color w:val="auto"/>
        </w:rPr>
        <w:t>: Leonardo DRS, Inc.</w:t>
      </w:r>
    </w:p>
    <w:p>
      <w:pPr>
        <w:spacing w:after="0" w:line="206" w:lineRule="exact"/>
        <w:rPr>
          <w:sz w:val="20"/>
          <w:szCs w:val="20"/>
          <w:color w:val="auto"/>
        </w:rPr>
      </w:pPr>
    </w:p>
    <w:p>
      <w:pPr>
        <w:ind w:left="540" w:right="180" w:hanging="596"/>
        <w:spacing w:after="0" w:line="271" w:lineRule="auto"/>
        <w:tabs>
          <w:tab w:leader="none" w:pos="5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20"/>
          <w:szCs w:val="20"/>
          <w:u w:val="single" w:color="auto"/>
          <w:color w:val="auto"/>
        </w:rPr>
        <w:t>Corporate Performance Objectives</w:t>
      </w:r>
      <w:r>
        <w:rPr>
          <w:rFonts w:ascii="Arial" w:cs="Arial" w:eastAsia="Arial" w:hAnsi="Arial"/>
          <w:sz w:val="20"/>
          <w:szCs w:val="20"/>
          <w:color w:val="auto"/>
        </w:rPr>
        <w:t>: The Company’s annual financial and operational performance objectives established by</w:t>
      </w:r>
      <w:r>
        <w:rPr>
          <w:rFonts w:ascii="Arial" w:cs="Arial" w:eastAsia="Arial" w:hAnsi="Arial"/>
          <w:sz w:val="20"/>
          <w:szCs w:val="20"/>
          <w:u w:val="single" w:color="auto"/>
          <w:color w:val="auto"/>
        </w:rPr>
        <w:t xml:space="preserve"> </w:t>
      </w:r>
      <w:r>
        <w:rPr>
          <w:rFonts w:ascii="Arial" w:cs="Arial" w:eastAsia="Arial" w:hAnsi="Arial"/>
          <w:sz w:val="20"/>
          <w:szCs w:val="20"/>
          <w:color w:val="auto"/>
        </w:rPr>
        <w:t>senior management and approved by the Administrator.</w:t>
      </w:r>
    </w:p>
    <w:p>
      <w:pPr>
        <w:spacing w:after="0" w:line="153" w:lineRule="exact"/>
        <w:rPr>
          <w:sz w:val="20"/>
          <w:szCs w:val="20"/>
          <w:color w:val="auto"/>
        </w:rPr>
      </w:pPr>
    </w:p>
    <w:p>
      <w:pPr>
        <w:ind w:left="540" w:right="20" w:hanging="596"/>
        <w:spacing w:after="0" w:line="292" w:lineRule="auto"/>
        <w:tabs>
          <w:tab w:leader="none" w:pos="5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Corporate Performance Objective Threshold(s)</w:t>
      </w:r>
      <w:r>
        <w:rPr>
          <w:rFonts w:ascii="Arial" w:cs="Arial" w:eastAsia="Arial" w:hAnsi="Arial"/>
          <w:sz w:val="18"/>
          <w:szCs w:val="18"/>
          <w:color w:val="auto"/>
        </w:rPr>
        <w:t>: The minimum level of performance below which no Award Payment amount</w:t>
      </w:r>
      <w:r>
        <w:rPr>
          <w:rFonts w:ascii="Arial" w:cs="Arial" w:eastAsia="Arial" w:hAnsi="Arial"/>
          <w:sz w:val="18"/>
          <w:szCs w:val="18"/>
          <w:u w:val="single" w:color="auto"/>
          <w:color w:val="auto"/>
        </w:rPr>
        <w:t xml:space="preserve"> </w:t>
      </w:r>
      <w:r>
        <w:rPr>
          <w:rFonts w:ascii="Arial" w:cs="Arial" w:eastAsia="Arial" w:hAnsi="Arial"/>
          <w:sz w:val="18"/>
          <w:szCs w:val="18"/>
          <w:color w:val="auto"/>
        </w:rPr>
        <w:t>will be paid in connection with a Performance Objective, a target level of performance at which one hundred percent (100%) of the Target Award will be paid in connection with a Performance Objective, and a maximum level of performance above which no additional Award Payment amount will be paid in connection with a Performance Objective.</w:t>
      </w:r>
    </w:p>
    <w:p>
      <w:pPr>
        <w:spacing w:after="0" w:line="137" w:lineRule="exact"/>
        <w:rPr>
          <w:sz w:val="20"/>
          <w:szCs w:val="20"/>
          <w:color w:val="auto"/>
        </w:rPr>
      </w:pPr>
    </w:p>
    <w:p>
      <w:pPr>
        <w:jc w:val="both"/>
        <w:ind w:left="540" w:right="160" w:hanging="596"/>
        <w:spacing w:after="0" w:line="258" w:lineRule="auto"/>
        <w:tabs>
          <w:tab w:leader="none" w:pos="5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20"/>
          <w:szCs w:val="20"/>
          <w:u w:val="single" w:color="auto"/>
          <w:color w:val="auto"/>
        </w:rPr>
        <w:t>Disabled or Disability</w:t>
      </w:r>
      <w:r>
        <w:rPr>
          <w:rFonts w:ascii="Arial" w:cs="Arial" w:eastAsia="Arial" w:hAnsi="Arial"/>
          <w:sz w:val="20"/>
          <w:szCs w:val="20"/>
          <w:color w:val="auto"/>
        </w:rPr>
        <w:t>: Unless otherwise defined in an employment agreement between the Participant and the Company, a</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Participant’s inability to perform the duties of his or her employment on a full-time basis for six (6) consecutive months, as determined by the Committee.</w:t>
      </w:r>
    </w:p>
    <w:p>
      <w:pPr>
        <w:spacing w:after="0" w:line="167" w:lineRule="exact"/>
        <w:rPr>
          <w:sz w:val="20"/>
          <w:szCs w:val="20"/>
          <w:color w:val="auto"/>
        </w:rPr>
      </w:pPr>
    </w:p>
    <w:p>
      <w:pPr>
        <w:ind w:left="540" w:right="480" w:hanging="596"/>
        <w:spacing w:after="0" w:line="271" w:lineRule="auto"/>
        <w:tabs>
          <w:tab w:leader="none" w:pos="5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20"/>
          <w:szCs w:val="20"/>
          <w:u w:val="single" w:color="auto"/>
          <w:color w:val="auto"/>
        </w:rPr>
        <w:t>Earned Award</w:t>
      </w:r>
      <w:r>
        <w:rPr>
          <w:rFonts w:ascii="Arial" w:cs="Arial" w:eastAsia="Arial" w:hAnsi="Arial"/>
          <w:sz w:val="20"/>
          <w:szCs w:val="20"/>
          <w:color w:val="auto"/>
        </w:rPr>
        <w:t>: The Calculated Award following any adjustments, up or down in accordance with</w:t>
      </w:r>
      <w:r>
        <w:rPr>
          <w:rFonts w:ascii="Arial" w:cs="Arial" w:eastAsia="Arial" w:hAnsi="Arial"/>
          <w:sz w:val="20"/>
          <w:szCs w:val="20"/>
          <w:u w:val="single" w:color="auto"/>
          <w:color w:val="auto"/>
        </w:rPr>
        <w:t xml:space="preserve"> Section 7</w:t>
      </w:r>
      <w:r>
        <w:rPr>
          <w:rFonts w:ascii="Arial" w:cs="Arial" w:eastAsia="Arial" w:hAnsi="Arial"/>
          <w:sz w:val="20"/>
          <w:szCs w:val="20"/>
          <w:color w:val="auto"/>
        </w:rPr>
        <w:t>, based upon</w:t>
      </w:r>
      <w:r>
        <w:rPr>
          <w:rFonts w:ascii="Arial" w:cs="Arial" w:eastAsia="Arial" w:hAnsi="Arial"/>
          <w:sz w:val="20"/>
          <w:szCs w:val="20"/>
          <w:u w:val="single" w:color="auto"/>
          <w:color w:val="auto"/>
        </w:rPr>
        <w:t xml:space="preserve"> </w:t>
      </w:r>
      <w:r>
        <w:rPr>
          <w:rFonts w:ascii="Arial" w:cs="Arial" w:eastAsia="Arial" w:hAnsi="Arial"/>
          <w:sz w:val="20"/>
          <w:szCs w:val="20"/>
          <w:color w:val="auto"/>
        </w:rPr>
        <w:t>review of a Participant’s contributions and other performance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60"/>
          </w:cols>
          <w:pgMar w:left="920" w:top="1327" w:right="419" w:bottom="1440" w:gutter="0" w:footer="0" w:header="0"/>
        </w:sectPr>
      </w:pPr>
    </w:p>
    <w:bookmarkStart w:id="305" w:name="page306"/>
    <w:bookmarkEnd w:id="305"/>
    <w:p>
      <w:pPr>
        <w:ind w:left="540" w:right="80" w:hanging="596"/>
        <w:spacing w:after="0" w:line="258" w:lineRule="auto"/>
        <w:tabs>
          <w:tab w:leader="none" w:pos="5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20"/>
          <w:szCs w:val="20"/>
          <w:u w:val="single" w:color="auto"/>
          <w:color w:val="auto"/>
        </w:rPr>
        <w:t>EBITDA (Adjusted)</w:t>
      </w:r>
      <w:r>
        <w:rPr>
          <w:rFonts w:ascii="Arial" w:cs="Arial" w:eastAsia="Arial" w:hAnsi="Arial"/>
          <w:sz w:val="20"/>
          <w:szCs w:val="20"/>
          <w:color w:val="auto"/>
        </w:rPr>
        <w:t>: The Company’s net earnings before income taxes, amortization of acquired intangible assets,</w:t>
      </w:r>
      <w:r>
        <w:rPr>
          <w:rFonts w:ascii="Arial" w:cs="Arial" w:eastAsia="Arial" w:hAnsi="Arial"/>
          <w:sz w:val="20"/>
          <w:szCs w:val="20"/>
          <w:u w:val="single" w:color="auto"/>
          <w:color w:val="auto"/>
        </w:rPr>
        <w:t xml:space="preserve"> </w:t>
      </w:r>
      <w:r>
        <w:rPr>
          <w:rFonts w:ascii="Arial" w:cs="Arial" w:eastAsia="Arial" w:hAnsi="Arial"/>
          <w:sz w:val="20"/>
          <w:szCs w:val="20"/>
          <w:color w:val="auto"/>
        </w:rPr>
        <w:t>depreciation, restructuring costs, interest, acquisition and divestiture related expenses, foreign exchange, non-service pension expenditures and other one-time non-operational events.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8"/>
          <w:szCs w:val="18"/>
          <w:u w:val="single" w:color="auto"/>
          <w:color w:val="auto"/>
        </w:rPr>
        <w:t>ICP or Plan</w:t>
      </w:r>
      <w:r>
        <w:rPr>
          <w:rFonts w:ascii="Arial" w:cs="Arial" w:eastAsia="Arial" w:hAnsi="Arial"/>
          <w:sz w:val="18"/>
          <w:szCs w:val="18"/>
          <w:color w:val="auto"/>
        </w:rPr>
        <w:t>: The Leonardo DRS Incentive Compensation Plan.</w:t>
      </w:r>
    </w:p>
    <w:p>
      <w:pPr>
        <w:spacing w:after="0" w:line="206" w:lineRule="exact"/>
        <w:rPr>
          <w:sz w:val="20"/>
          <w:szCs w:val="20"/>
          <w:color w:val="auto"/>
        </w:rPr>
      </w:pPr>
    </w:p>
    <w:p>
      <w:pPr>
        <w:ind w:left="540" w:right="160" w:hanging="596"/>
        <w:spacing w:after="0" w:line="271" w:lineRule="auto"/>
        <w:tabs>
          <w:tab w:leader="none" w:pos="52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20"/>
          <w:szCs w:val="20"/>
          <w:u w:val="single" w:color="auto"/>
          <w:color w:val="auto"/>
        </w:rPr>
        <w:t>Individual Performance Objectives</w:t>
      </w:r>
      <w:r>
        <w:rPr>
          <w:rFonts w:ascii="Arial" w:cs="Arial" w:eastAsia="Arial" w:hAnsi="Arial"/>
          <w:sz w:val="20"/>
          <w:szCs w:val="20"/>
          <w:color w:val="auto"/>
        </w:rPr>
        <w:t>: Specific performance objectives established and approved for each Participant reflective</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his/her functional area and individual responsibilities.</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2.20</w:t>
      </w:r>
      <w:r>
        <w:rPr>
          <w:sz w:val="20"/>
          <w:szCs w:val="20"/>
          <w:color w:val="auto"/>
        </w:rPr>
        <w:tab/>
      </w:r>
      <w:r>
        <w:rPr>
          <w:rFonts w:ascii="Arial" w:cs="Arial" w:eastAsia="Arial" w:hAnsi="Arial"/>
          <w:sz w:val="17"/>
          <w:szCs w:val="17"/>
          <w:u w:val="single" w:color="auto"/>
          <w:color w:val="auto"/>
        </w:rPr>
        <w:t>Operating Unit</w:t>
      </w:r>
      <w:r>
        <w:rPr>
          <w:rFonts w:ascii="Arial" w:cs="Arial" w:eastAsia="Arial" w:hAnsi="Arial"/>
          <w:sz w:val="17"/>
          <w:szCs w:val="17"/>
          <w:color w:val="auto"/>
        </w:rPr>
        <w:t>: A major business area or Company subsidiary, as designated by the Company and amended from time to time.</w:t>
      </w:r>
    </w:p>
    <w:p>
      <w:pPr>
        <w:spacing w:after="0" w:line="206" w:lineRule="exact"/>
        <w:rPr>
          <w:sz w:val="20"/>
          <w:szCs w:val="20"/>
          <w:color w:val="auto"/>
        </w:rPr>
      </w:pPr>
    </w:p>
    <w:p>
      <w:pPr>
        <w:ind w:left="540" w:right="400" w:hanging="596"/>
        <w:spacing w:after="0" w:line="271" w:lineRule="auto"/>
        <w:tabs>
          <w:tab w:leader="none" w:pos="52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20"/>
          <w:szCs w:val="20"/>
          <w:u w:val="single" w:color="auto"/>
          <w:color w:val="auto"/>
        </w:rPr>
        <w:t>Operating Unit Performance Objectives</w:t>
      </w:r>
      <w:r>
        <w:rPr>
          <w:rFonts w:ascii="Arial" w:cs="Arial" w:eastAsia="Arial" w:hAnsi="Arial"/>
          <w:sz w:val="20"/>
          <w:szCs w:val="20"/>
          <w:color w:val="auto"/>
        </w:rPr>
        <w:t>: The specific financial and/or operating objectives established for each Operating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Unit.</w:t>
      </w:r>
    </w:p>
    <w:p>
      <w:pPr>
        <w:spacing w:after="0" w:line="153" w:lineRule="exact"/>
        <w:rPr>
          <w:sz w:val="20"/>
          <w:szCs w:val="20"/>
          <w:color w:val="auto"/>
        </w:rPr>
      </w:pPr>
    </w:p>
    <w:p>
      <w:pPr>
        <w:ind w:left="540" w:right="420" w:hanging="596"/>
        <w:spacing w:after="0" w:line="271" w:lineRule="auto"/>
        <w:tabs>
          <w:tab w:leader="none" w:pos="52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20"/>
          <w:szCs w:val="20"/>
          <w:u w:val="single" w:color="auto"/>
          <w:color w:val="auto"/>
        </w:rPr>
        <w:t>Participant</w:t>
      </w:r>
      <w:r>
        <w:rPr>
          <w:rFonts w:ascii="Arial" w:cs="Arial" w:eastAsia="Arial" w:hAnsi="Arial"/>
          <w:sz w:val="20"/>
          <w:szCs w:val="20"/>
          <w:color w:val="auto"/>
        </w:rPr>
        <w:t>: Those employees of the Company or an Affiliate selected to participate in the ICP and who receive an Award</w:t>
      </w:r>
      <w:r>
        <w:rPr>
          <w:rFonts w:ascii="Arial" w:cs="Arial" w:eastAsia="Arial" w:hAnsi="Arial"/>
          <w:sz w:val="20"/>
          <w:szCs w:val="20"/>
          <w:u w:val="single" w:color="auto"/>
          <w:color w:val="auto"/>
        </w:rPr>
        <w:t xml:space="preserve"> </w:t>
      </w:r>
      <w:r>
        <w:rPr>
          <w:rFonts w:ascii="Arial" w:cs="Arial" w:eastAsia="Arial" w:hAnsi="Arial"/>
          <w:sz w:val="20"/>
          <w:szCs w:val="20"/>
          <w:color w:val="auto"/>
        </w:rPr>
        <w:t>Letter pursuant to the Plan.</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7"/>
          <w:szCs w:val="17"/>
          <w:u w:val="single" w:color="auto"/>
          <w:color w:val="auto"/>
        </w:rPr>
        <w:t>Payment Date</w:t>
      </w:r>
      <w:r>
        <w:rPr>
          <w:rFonts w:ascii="Arial" w:cs="Arial" w:eastAsia="Arial" w:hAnsi="Arial"/>
          <w:sz w:val="17"/>
          <w:szCs w:val="17"/>
          <w:color w:val="auto"/>
        </w:rPr>
        <w:t>: The date on which Award Payments are made to Participants.</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7"/>
          <w:szCs w:val="17"/>
          <w:u w:val="single" w:color="auto"/>
          <w:color w:val="auto"/>
        </w:rPr>
        <w:t>Plan Year</w:t>
      </w:r>
      <w:r>
        <w:rPr>
          <w:rFonts w:ascii="Arial" w:cs="Arial" w:eastAsia="Arial" w:hAnsi="Arial"/>
          <w:sz w:val="17"/>
          <w:szCs w:val="17"/>
          <w:color w:val="auto"/>
        </w:rPr>
        <w:t>: January 1 through December 31.</w:t>
      </w:r>
    </w:p>
    <w:p>
      <w:pPr>
        <w:spacing w:after="0" w:line="206" w:lineRule="exact"/>
        <w:rPr>
          <w:sz w:val="20"/>
          <w:szCs w:val="20"/>
          <w:color w:val="auto"/>
        </w:rPr>
      </w:pPr>
    </w:p>
    <w:p>
      <w:pPr>
        <w:ind w:left="540" w:right="280" w:hanging="596"/>
        <w:spacing w:after="0" w:line="258" w:lineRule="auto"/>
        <w:tabs>
          <w:tab w:leader="none" w:pos="52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20"/>
          <w:szCs w:val="20"/>
          <w:u w:val="single" w:color="auto"/>
          <w:color w:val="auto"/>
        </w:rPr>
        <w:t>Pro-rated Award Payment</w:t>
      </w:r>
      <w:r>
        <w:rPr>
          <w:rFonts w:ascii="Arial" w:cs="Arial" w:eastAsia="Arial" w:hAnsi="Arial"/>
          <w:sz w:val="20"/>
          <w:szCs w:val="20"/>
          <w:color w:val="auto"/>
        </w:rPr>
        <w:t>: An amount equal to the Award Payment otherwise payable to the Participant for the Plan Year,</w:t>
      </w:r>
      <w:r>
        <w:rPr>
          <w:rFonts w:ascii="Arial" w:cs="Arial" w:eastAsia="Arial" w:hAnsi="Arial"/>
          <w:sz w:val="20"/>
          <w:szCs w:val="20"/>
          <w:u w:val="single" w:color="auto"/>
          <w:color w:val="auto"/>
        </w:rPr>
        <w:t xml:space="preserve"> </w:t>
      </w:r>
      <w:r>
        <w:rPr>
          <w:rFonts w:ascii="Arial" w:cs="Arial" w:eastAsia="Arial" w:hAnsi="Arial"/>
          <w:sz w:val="20"/>
          <w:szCs w:val="20"/>
          <w:color w:val="auto"/>
        </w:rPr>
        <w:t>multiplied by a fraction, the numerator of which is the number of days the Participant worked during the Plan Year and the denominator of which is the number of days in the Plan Year.</w:t>
      </w:r>
    </w:p>
    <w:p>
      <w:pPr>
        <w:spacing w:after="0" w:line="167" w:lineRule="exact"/>
        <w:rPr>
          <w:sz w:val="20"/>
          <w:szCs w:val="20"/>
          <w:color w:val="auto"/>
        </w:rPr>
      </w:pPr>
    </w:p>
    <w:p>
      <w:pPr>
        <w:ind w:left="540" w:right="120" w:hanging="596"/>
        <w:spacing w:after="0" w:line="258" w:lineRule="auto"/>
        <w:tabs>
          <w:tab w:leader="none" w:pos="52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20"/>
          <w:szCs w:val="20"/>
          <w:u w:val="single" w:color="auto"/>
          <w:color w:val="auto"/>
        </w:rPr>
        <w:t>Pro-rated Target Award</w:t>
      </w:r>
      <w:r>
        <w:rPr>
          <w:rFonts w:ascii="Arial" w:cs="Arial" w:eastAsia="Arial" w:hAnsi="Arial"/>
          <w:sz w:val="20"/>
          <w:szCs w:val="20"/>
          <w:color w:val="auto"/>
        </w:rPr>
        <w:t>: An amount equal to the Target Award a Participant otherwise would have been granted for the Plan</w:t>
      </w:r>
      <w:r>
        <w:rPr>
          <w:rFonts w:ascii="Arial" w:cs="Arial" w:eastAsia="Arial" w:hAnsi="Arial"/>
          <w:sz w:val="20"/>
          <w:szCs w:val="20"/>
          <w:u w:val="single" w:color="auto"/>
          <w:color w:val="auto"/>
        </w:rPr>
        <w:t xml:space="preserve"> </w:t>
      </w:r>
      <w:r>
        <w:rPr>
          <w:rFonts w:ascii="Arial" w:cs="Arial" w:eastAsia="Arial" w:hAnsi="Arial"/>
          <w:sz w:val="20"/>
          <w:szCs w:val="20"/>
          <w:color w:val="auto"/>
        </w:rPr>
        <w:t>Year, multiplied by a fraction, the numerator of which is the number of days the Participant worked during the Plan Year and the denominator of which is the number of days in the Plan Year.</w:t>
      </w:r>
    </w:p>
    <w:p>
      <w:pPr>
        <w:spacing w:after="0" w:line="167" w:lineRule="exact"/>
        <w:rPr>
          <w:sz w:val="20"/>
          <w:szCs w:val="20"/>
          <w:color w:val="auto"/>
        </w:rPr>
      </w:pPr>
    </w:p>
    <w:p>
      <w:pPr>
        <w:ind w:left="540" w:right="480" w:hanging="596"/>
        <w:spacing w:after="0" w:line="272" w:lineRule="auto"/>
        <w:tabs>
          <w:tab w:leader="none" w:pos="52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19"/>
          <w:szCs w:val="19"/>
          <w:u w:val="single" w:color="auto"/>
          <w:color w:val="auto"/>
        </w:rPr>
        <w:t xml:space="preserve">Restrictive Covenants: </w:t>
      </w:r>
      <w:r>
        <w:rPr>
          <w:rFonts w:ascii="Arial" w:cs="Arial" w:eastAsia="Arial" w:hAnsi="Arial"/>
          <w:sz w:val="19"/>
          <w:szCs w:val="19"/>
          <w:color w:val="auto"/>
        </w:rPr>
        <w:t>The restrictions set forth in</w:t>
      </w:r>
      <w:r>
        <w:rPr>
          <w:rFonts w:ascii="Arial" w:cs="Arial" w:eastAsia="Arial" w:hAnsi="Arial"/>
          <w:sz w:val="19"/>
          <w:szCs w:val="19"/>
          <w:u w:val="single" w:color="auto"/>
          <w:color w:val="auto"/>
        </w:rPr>
        <w:t xml:space="preserve"> Section 11.15 </w:t>
      </w:r>
      <w:r>
        <w:rPr>
          <w:rFonts w:ascii="Arial" w:cs="Arial" w:eastAsia="Arial" w:hAnsi="Arial"/>
          <w:sz w:val="19"/>
          <w:szCs w:val="19"/>
          <w:color w:val="auto"/>
        </w:rPr>
        <w:t>and, if Participant is a party to, or participant in, an</w:t>
      </w:r>
      <w:r>
        <w:rPr>
          <w:rFonts w:ascii="Arial" w:cs="Arial" w:eastAsia="Arial" w:hAnsi="Arial"/>
          <w:sz w:val="19"/>
          <w:szCs w:val="19"/>
          <w:u w:val="single" w:color="auto"/>
          <w:color w:val="auto"/>
        </w:rPr>
        <w:t xml:space="preserve"> </w:t>
      </w:r>
      <w:r>
        <w:rPr>
          <w:rFonts w:ascii="Arial" w:cs="Arial" w:eastAsia="Arial" w:hAnsi="Arial"/>
          <w:sz w:val="19"/>
          <w:szCs w:val="19"/>
          <w:color w:val="auto"/>
        </w:rPr>
        <w:t>employment agreement, severance agreement or other agreement or plan with the Company, which agreement sets forth provisions regarding confidential information, non-solicitation or non-competition, the provisions set forth in such employment agreement, severance agreement or other agreement or plan.</w:t>
      </w:r>
    </w:p>
    <w:p>
      <w:pPr>
        <w:spacing w:after="0" w:line="154" w:lineRule="exact"/>
        <w:rPr>
          <w:sz w:val="20"/>
          <w:szCs w:val="20"/>
          <w:color w:val="auto"/>
        </w:rPr>
      </w:pPr>
    </w:p>
    <w:p>
      <w:pPr>
        <w:jc w:val="both"/>
        <w:ind w:left="540" w:right="780" w:hanging="596"/>
        <w:spacing w:after="0" w:line="258" w:lineRule="auto"/>
        <w:tabs>
          <w:tab w:leader="none" w:pos="520" w:val="left"/>
        </w:tabs>
        <w:rPr>
          <w:sz w:val="20"/>
          <w:szCs w:val="20"/>
          <w:color w:val="auto"/>
        </w:rPr>
      </w:pPr>
      <w:r>
        <w:rPr>
          <w:rFonts w:ascii="Arial" w:cs="Arial" w:eastAsia="Arial" w:hAnsi="Arial"/>
          <w:sz w:val="20"/>
          <w:szCs w:val="20"/>
          <w:color w:val="auto"/>
        </w:rPr>
        <w:t>2.28</w:t>
      </w:r>
      <w:r>
        <w:rPr>
          <w:sz w:val="20"/>
          <w:szCs w:val="20"/>
          <w:color w:val="auto"/>
        </w:rPr>
        <w:tab/>
      </w:r>
      <w:r>
        <w:rPr>
          <w:rFonts w:ascii="Arial" w:cs="Arial" w:eastAsia="Arial" w:hAnsi="Arial"/>
          <w:sz w:val="20"/>
          <w:szCs w:val="20"/>
          <w:u w:val="single" w:color="auto"/>
          <w:color w:val="auto"/>
        </w:rPr>
        <w:t>Section 409A</w:t>
      </w:r>
      <w:r>
        <w:rPr>
          <w:rFonts w:ascii="Arial" w:cs="Arial" w:eastAsia="Arial" w:hAnsi="Arial"/>
          <w:sz w:val="20"/>
          <w:szCs w:val="20"/>
          <w:color w:val="auto"/>
        </w:rPr>
        <w:t>: Section 409A of the Code, including any amendments or successor provisions to that section, and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regulations and other administrative guidance thereunder, in each case as they may be from time to time amended or interpreted through further administrative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40"/>
          </w:cols>
          <w:pgMar w:left="920" w:top="1327" w:right="339" w:bottom="1440" w:gutter="0" w:footer="0" w:header="0"/>
        </w:sectPr>
      </w:pPr>
    </w:p>
    <w:bookmarkStart w:id="306" w:name="page307"/>
    <w:bookmarkEnd w:id="306"/>
    <w:p>
      <w:pPr>
        <w:ind w:left="1140" w:hanging="596"/>
        <w:spacing w:after="0" w:line="271" w:lineRule="auto"/>
        <w:tabs>
          <w:tab w:leader="none" w:pos="112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20"/>
          <w:szCs w:val="20"/>
          <w:u w:val="single" w:color="auto"/>
          <w:color w:val="auto"/>
        </w:rPr>
        <w:t>Solicit</w:t>
      </w:r>
      <w:r>
        <w:rPr>
          <w:rFonts w:ascii="Arial" w:cs="Arial" w:eastAsia="Arial" w:hAnsi="Arial"/>
          <w:sz w:val="20"/>
          <w:szCs w:val="20"/>
          <w:color w:val="auto"/>
        </w:rPr>
        <w:t>: means any direct or indirect communication of any kind, regardless of who initiates it, that in any way invites, advises,</w:t>
      </w:r>
      <w:r>
        <w:rPr>
          <w:rFonts w:ascii="Arial" w:cs="Arial" w:eastAsia="Arial" w:hAnsi="Arial"/>
          <w:sz w:val="20"/>
          <w:szCs w:val="20"/>
          <w:u w:val="single" w:color="auto"/>
          <w:color w:val="auto"/>
        </w:rPr>
        <w:t xml:space="preserve"> </w:t>
      </w:r>
      <w:r>
        <w:rPr>
          <w:rFonts w:ascii="Arial" w:cs="Arial" w:eastAsia="Arial" w:hAnsi="Arial"/>
          <w:sz w:val="20"/>
          <w:szCs w:val="20"/>
          <w:color w:val="auto"/>
        </w:rPr>
        <w:t>encourages or requests any person to take or refrain from taking any action.</w:t>
      </w:r>
    </w:p>
    <w:p>
      <w:pPr>
        <w:spacing w:after="0" w:line="153" w:lineRule="exact"/>
        <w:rPr>
          <w:sz w:val="20"/>
          <w:szCs w:val="20"/>
          <w:color w:val="auto"/>
        </w:rPr>
      </w:pPr>
    </w:p>
    <w:p>
      <w:pPr>
        <w:ind w:left="1140" w:right="200" w:hanging="596"/>
        <w:spacing w:after="0" w:line="258" w:lineRule="auto"/>
        <w:tabs>
          <w:tab w:leader="none" w:pos="1120" w:val="left"/>
        </w:tabs>
        <w:rPr>
          <w:sz w:val="20"/>
          <w:szCs w:val="20"/>
          <w:color w:val="auto"/>
        </w:rPr>
      </w:pPr>
      <w:r>
        <w:rPr>
          <w:rFonts w:ascii="Arial" w:cs="Arial" w:eastAsia="Arial" w:hAnsi="Arial"/>
          <w:sz w:val="20"/>
          <w:szCs w:val="20"/>
          <w:color w:val="auto"/>
        </w:rPr>
        <w:t>2.30</w:t>
      </w:r>
      <w:r>
        <w:rPr>
          <w:sz w:val="20"/>
          <w:szCs w:val="20"/>
          <w:color w:val="auto"/>
        </w:rPr>
        <w:tab/>
      </w:r>
      <w:r>
        <w:rPr>
          <w:rFonts w:ascii="Arial" w:cs="Arial" w:eastAsia="Arial" w:hAnsi="Arial"/>
          <w:sz w:val="20"/>
          <w:szCs w:val="20"/>
          <w:u w:val="single" w:color="auto"/>
          <w:color w:val="auto"/>
        </w:rPr>
        <w:t>Target Award</w:t>
      </w:r>
      <w:r>
        <w:rPr>
          <w:rFonts w:ascii="Arial" w:cs="Arial" w:eastAsia="Arial" w:hAnsi="Arial"/>
          <w:sz w:val="20"/>
          <w:szCs w:val="20"/>
          <w:color w:val="auto"/>
        </w:rPr>
        <w:t>: The target award, calculated as a percentage of a Participant’s Base Salary in accordance with</w:t>
      </w:r>
      <w:r>
        <w:rPr>
          <w:rFonts w:ascii="Arial" w:cs="Arial" w:eastAsia="Arial" w:hAnsi="Arial"/>
          <w:sz w:val="20"/>
          <w:szCs w:val="20"/>
          <w:u w:val="single" w:color="auto"/>
          <w:color w:val="auto"/>
        </w:rPr>
        <w:t xml:space="preserve"> Section 6.3</w:t>
      </w:r>
      <w:r>
        <w:rPr>
          <w:rFonts w:ascii="Arial" w:cs="Arial" w:eastAsia="Arial" w:hAnsi="Arial"/>
          <w:sz w:val="20"/>
          <w:szCs w:val="20"/>
          <w:color w:val="auto"/>
        </w:rPr>
        <w:t>,</w:t>
      </w:r>
      <w:r>
        <w:rPr>
          <w:rFonts w:ascii="Arial" w:cs="Arial" w:eastAsia="Arial" w:hAnsi="Arial"/>
          <w:sz w:val="20"/>
          <w:szCs w:val="20"/>
          <w:u w:val="single" w:color="auto"/>
          <w:color w:val="auto"/>
        </w:rPr>
        <w:t xml:space="preserve"> </w:t>
      </w:r>
      <w:r>
        <w:rPr>
          <w:rFonts w:ascii="Arial" w:cs="Arial" w:eastAsia="Arial" w:hAnsi="Arial"/>
          <w:sz w:val="20"/>
          <w:szCs w:val="20"/>
          <w:color w:val="auto"/>
        </w:rPr>
        <w:t>potentially payable under the Plan to a Participant following the Plan Year. The target award assumes 100% achievement of all performance objectives for the Plan Year.</w:t>
      </w:r>
    </w:p>
    <w:p>
      <w:pPr>
        <w:spacing w:after="0" w:line="167" w:lineRule="exact"/>
        <w:rPr>
          <w:sz w:val="20"/>
          <w:szCs w:val="20"/>
          <w:color w:val="auto"/>
        </w:rPr>
      </w:pPr>
    </w:p>
    <w:p>
      <w:pPr>
        <w:ind w:left="1140" w:right="360" w:hanging="596"/>
        <w:spacing w:after="0" w:line="271" w:lineRule="auto"/>
        <w:tabs>
          <w:tab w:leader="none" w:pos="112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20"/>
          <w:szCs w:val="20"/>
          <w:u w:val="single" w:color="auto"/>
          <w:color w:val="auto"/>
        </w:rPr>
        <w:t>Target Performance Level</w:t>
      </w:r>
      <w:r>
        <w:rPr>
          <w:rFonts w:ascii="Arial" w:cs="Arial" w:eastAsia="Arial" w:hAnsi="Arial"/>
          <w:sz w:val="20"/>
          <w:szCs w:val="20"/>
          <w:color w:val="auto"/>
        </w:rPr>
        <w:t>: The fully satisfactory performance level at which the Calculated Award will equal 100%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Target Award established for that performance objective.</w:t>
      </w:r>
    </w:p>
    <w:p>
      <w:pPr>
        <w:spacing w:after="0" w:line="153" w:lineRule="exact"/>
        <w:rPr>
          <w:sz w:val="20"/>
          <w:szCs w:val="20"/>
          <w:color w:val="auto"/>
        </w:rPr>
      </w:pPr>
    </w:p>
    <w:p>
      <w:pPr>
        <w:jc w:val="both"/>
        <w:ind w:left="1140" w:right="200" w:hanging="596"/>
        <w:spacing w:after="0" w:line="258" w:lineRule="auto"/>
        <w:tabs>
          <w:tab w:leader="none" w:pos="112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20"/>
          <w:szCs w:val="20"/>
          <w:u w:val="single" w:color="auto"/>
          <w:color w:val="auto"/>
        </w:rPr>
        <w:t>Top Executives</w:t>
      </w:r>
      <w:r>
        <w:rPr>
          <w:rFonts w:ascii="Arial" w:cs="Arial" w:eastAsia="Arial" w:hAnsi="Arial"/>
          <w:sz w:val="20"/>
          <w:szCs w:val="20"/>
          <w:color w:val="auto"/>
        </w:rPr>
        <w:t>: The Chief Executive Officer, the Chief Operating Officer, the Chief Financial Officer, the General Counsel,</w:t>
      </w:r>
      <w:r>
        <w:rPr>
          <w:rFonts w:ascii="Arial" w:cs="Arial" w:eastAsia="Arial" w:hAnsi="Arial"/>
          <w:sz w:val="20"/>
          <w:szCs w:val="20"/>
          <w:u w:val="single" w:color="auto"/>
          <w:color w:val="auto"/>
        </w:rPr>
        <w:t xml:space="preserve"> </w:t>
      </w:r>
      <w:r>
        <w:rPr>
          <w:rFonts w:ascii="Arial" w:cs="Arial" w:eastAsia="Arial" w:hAnsi="Arial"/>
          <w:sz w:val="20"/>
          <w:szCs w:val="20"/>
          <w:color w:val="auto"/>
        </w:rPr>
        <w:t>Executive Vice Presidents who report directly to the CEO. The actual number of executives covered by this definition may vary from time to time.</w:t>
      </w:r>
    </w:p>
    <w:p>
      <w:pPr>
        <w:spacing w:after="0" w:line="167"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color w:val="auto"/>
        </w:rPr>
        <w:t>2.33</w:t>
      </w:r>
      <w:r>
        <w:rPr>
          <w:sz w:val="20"/>
          <w:szCs w:val="20"/>
          <w:color w:val="auto"/>
        </w:rPr>
        <w:tab/>
      </w:r>
      <w:r>
        <w:rPr>
          <w:rFonts w:ascii="Arial" w:cs="Arial" w:eastAsia="Arial" w:hAnsi="Arial"/>
          <w:sz w:val="17"/>
          <w:szCs w:val="17"/>
          <w:u w:val="single" w:color="auto"/>
          <w:color w:val="auto"/>
        </w:rPr>
        <w:t>Treasury Regulations</w:t>
      </w:r>
      <w:r>
        <w:rPr>
          <w:rFonts w:ascii="Arial" w:cs="Arial" w:eastAsia="Arial" w:hAnsi="Arial"/>
          <w:sz w:val="17"/>
          <w:szCs w:val="17"/>
          <w:color w:val="auto"/>
        </w:rPr>
        <w:t>: The regulations promulgated under the Code by the United States Treasury Department, as amended.</w:t>
      </w:r>
    </w:p>
    <w:p>
      <w:pPr>
        <w:spacing w:after="0" w:line="206"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color w:val="auto"/>
        </w:rPr>
        <w:t>2.34</w:t>
      </w:r>
      <w:r>
        <w:rPr>
          <w:sz w:val="20"/>
          <w:szCs w:val="20"/>
          <w:color w:val="auto"/>
        </w:rPr>
        <w:tab/>
      </w:r>
      <w:r>
        <w:rPr>
          <w:rFonts w:ascii="Arial" w:cs="Arial" w:eastAsia="Arial" w:hAnsi="Arial"/>
          <w:sz w:val="18"/>
          <w:szCs w:val="18"/>
          <w:u w:val="single" w:color="auto"/>
          <w:color w:val="auto"/>
        </w:rPr>
        <w:t>United States GAAP</w:t>
      </w:r>
      <w:r>
        <w:rPr>
          <w:rFonts w:ascii="Arial" w:cs="Arial" w:eastAsia="Arial" w:hAnsi="Arial"/>
          <w:sz w:val="18"/>
          <w:szCs w:val="18"/>
          <w:color w:val="auto"/>
        </w:rPr>
        <w:t>: Generally accepted accounting principles in the United States.</w:t>
      </w:r>
    </w:p>
    <w:p>
      <w:pPr>
        <w:spacing w:after="0" w:line="20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tab/>
        <w:t>ADMINISTRATION</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The Plan shall be administered by the Administrator.</w:t>
      </w:r>
    </w:p>
    <w:p>
      <w:pPr>
        <w:spacing w:after="0" w:line="206" w:lineRule="exact"/>
        <w:rPr>
          <w:sz w:val="20"/>
          <w:szCs w:val="20"/>
          <w:color w:val="auto"/>
        </w:rPr>
      </w:pPr>
    </w:p>
    <w:p>
      <w:pPr>
        <w:ind w:left="1040" w:right="20" w:hanging="596"/>
        <w:spacing w:after="0" w:line="258" w:lineRule="auto"/>
        <w:tabs>
          <w:tab w:leader="none" w:pos="1020" w:val="left"/>
        </w:tabs>
        <w:rPr>
          <w:sz w:val="20"/>
          <w:szCs w:val="20"/>
          <w:color w:val="auto"/>
        </w:rPr>
      </w:pPr>
      <w:r>
        <w:rPr>
          <w:rFonts w:ascii="Arial" w:cs="Arial" w:eastAsia="Arial" w:hAnsi="Arial"/>
          <w:sz w:val="20"/>
          <w:szCs w:val="20"/>
          <w:color w:val="auto"/>
        </w:rPr>
        <w:t>3.2</w:t>
        <w:tab/>
        <w:t xml:space="preserve">The Administrator, in its sole discretion, may delegate all or part of its authority and powers under the Plan to the CEO; </w:t>
      </w:r>
      <w:r>
        <w:rPr>
          <w:rFonts w:ascii="Arial" w:cs="Arial" w:eastAsia="Arial" w:hAnsi="Arial"/>
          <w:sz w:val="20"/>
          <w:szCs w:val="20"/>
          <w:u w:val="single" w:color="auto"/>
          <w:color w:val="auto"/>
        </w:rPr>
        <w:t>provided however</w:t>
      </w:r>
      <w:r>
        <w:rPr>
          <w:rFonts w:ascii="Arial" w:cs="Arial" w:eastAsia="Arial" w:hAnsi="Arial"/>
          <w:sz w:val="20"/>
          <w:szCs w:val="20"/>
          <w:color w:val="auto"/>
        </w:rPr>
        <w:t>, the Committee may not delegate its responsibility to issue Target Awards or determine Award Payments to the CEO.</w:t>
      </w:r>
    </w:p>
    <w:p>
      <w:pPr>
        <w:spacing w:after="0" w:line="167" w:lineRule="exact"/>
        <w:rPr>
          <w:sz w:val="20"/>
          <w:szCs w:val="20"/>
          <w:color w:val="auto"/>
        </w:rPr>
      </w:pPr>
    </w:p>
    <w:p>
      <w:pPr>
        <w:ind w:left="1040" w:hanging="596"/>
        <w:spacing w:after="0" w:line="277" w:lineRule="auto"/>
        <w:tabs>
          <w:tab w:leader="none" w:pos="10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color w:val="auto"/>
        </w:rPr>
        <w:t>Subject to the provisions of the Plan and applicable law, the Administrator shall have the power, in addition to other express powers and authorizations conferred on the Administrator by the Plan, to: (i) designate Participants; (ii) determine the terms and conditions of any Target Award or Award Payment; (iii) determine whether, to what extent, and under what circumstances Target Awards or Award Payments may be issued, modified, amended, withdrawn, rescinded, forfeited, suspended, reduced, eliminated, or clawed back; (iv) interpret and administer the Plan; (v) reconcile any inconsistency, correct any defect, and/or supply any omission, in the Plan or any instrument or agreement relating to, or Target Award granted under, the Plan;</w:t>
      </w:r>
    </w:p>
    <w:p>
      <w:pPr>
        <w:spacing w:after="0" w:line="1" w:lineRule="exact"/>
        <w:rPr>
          <w:sz w:val="20"/>
          <w:szCs w:val="20"/>
          <w:color w:val="auto"/>
        </w:rPr>
      </w:pPr>
    </w:p>
    <w:p>
      <w:pPr>
        <w:ind w:left="1200" w:right="140" w:hanging="6"/>
        <w:spacing w:after="0" w:line="250" w:lineRule="auto"/>
        <w:tabs>
          <w:tab w:leader="none" w:pos="153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establish, amend, suspend, or waive any Plan rules or provisions for the administration, interpretation and/or application of the Plan; (vii) adopt such procedures and sub-plans as are necessary or appropriate to permit participation in the Plan by employees who are foreign nationals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27" w:right="339" w:bottom="1440" w:gutter="0" w:footer="0" w:header="0"/>
        </w:sectPr>
      </w:pPr>
    </w:p>
    <w:bookmarkStart w:id="307" w:name="page308"/>
    <w:bookmarkEnd w:id="307"/>
    <w:p>
      <w:pPr>
        <w:jc w:val="both"/>
        <w:ind w:left="1200" w:right="200"/>
        <w:spacing w:after="0" w:line="258" w:lineRule="auto"/>
        <w:rPr>
          <w:sz w:val="20"/>
          <w:szCs w:val="20"/>
          <w:color w:val="auto"/>
        </w:rPr>
      </w:pPr>
      <w:r>
        <w:rPr>
          <w:rFonts w:ascii="Arial" w:cs="Arial" w:eastAsia="Arial" w:hAnsi="Arial"/>
          <w:sz w:val="20"/>
          <w:szCs w:val="20"/>
          <w:color w:val="auto"/>
        </w:rPr>
        <w:t>employed outside of the United States; (viii) amend, alter, cancel, suspend, modify or terminate the Plan; and (ix) make any other determination and take any other action that the Administrator deems necessary or desirable for the administration of the Plan.</w:t>
      </w:r>
    </w:p>
    <w:p>
      <w:pPr>
        <w:spacing w:after="0" w:line="167" w:lineRule="exact"/>
        <w:rPr>
          <w:sz w:val="20"/>
          <w:szCs w:val="20"/>
          <w:color w:val="auto"/>
        </w:rPr>
      </w:pPr>
    </w:p>
    <w:p>
      <w:pPr>
        <w:ind w:left="1040" w:right="60" w:hanging="596"/>
        <w:spacing w:after="0" w:line="327" w:lineRule="auto"/>
        <w:tabs>
          <w:tab w:leader="none" w:pos="10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color w:val="auto"/>
        </w:rPr>
        <w:t>All determinations and decisions made by the Administrator and any designee of the Administrator pursuant to the provisions of the Plan shall be final, conclusive and binding on all persons, and shall be given the maximum deference permitted by law.</w:t>
      </w:r>
    </w:p>
    <w:p>
      <w:pPr>
        <w:spacing w:after="0" w:line="108" w:lineRule="exact"/>
        <w:rPr>
          <w:sz w:val="20"/>
          <w:szCs w:val="20"/>
          <w:color w:val="auto"/>
        </w:rPr>
      </w:pPr>
    </w:p>
    <w:p>
      <w:pPr>
        <w:ind w:left="1040" w:hanging="596"/>
        <w:spacing w:after="0" w:line="250" w:lineRule="auto"/>
        <w:tabs>
          <w:tab w:leader="none" w:pos="1020" w:val="left"/>
        </w:tabs>
        <w:rPr>
          <w:sz w:val="20"/>
          <w:szCs w:val="20"/>
          <w:color w:val="auto"/>
        </w:rPr>
      </w:pPr>
      <w:r>
        <w:rPr>
          <w:rFonts w:ascii="Arial" w:cs="Arial" w:eastAsia="Arial" w:hAnsi="Arial"/>
          <w:sz w:val="20"/>
          <w:szCs w:val="20"/>
          <w:color w:val="auto"/>
        </w:rPr>
        <w:t>3.5</w:t>
        <w:tab/>
        <w:t>The Administrator may appoint agents to assist in administering the Plan. The Administrator and each member thereof shall be entitled to, in good faith, rely or act upon any report or other information furnished to it or him by any officer or employee of the Company, the Company’s certified public accountants, consultants or any other agent assisting in the administration of the Plan. The Administrator and any officer or employee of the Company acting at the direction or on behalf of the Administrator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1" w:lineRule="exact"/>
        <w:rPr>
          <w:sz w:val="20"/>
          <w:szCs w:val="20"/>
          <w:color w:val="auto"/>
        </w:rPr>
      </w:pPr>
    </w:p>
    <w:p>
      <w:pPr>
        <w:ind w:left="340" w:hanging="340"/>
        <w:spacing w:after="0"/>
        <w:tabs>
          <w:tab w:leader="none" w:pos="340"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 AND PARTICIPATION</w:t>
      </w:r>
    </w:p>
    <w:p>
      <w:pPr>
        <w:spacing w:after="0" w:line="212" w:lineRule="exact"/>
        <w:rPr>
          <w:sz w:val="20"/>
          <w:szCs w:val="20"/>
          <w:color w:val="auto"/>
        </w:rPr>
      </w:pPr>
    </w:p>
    <w:p>
      <w:pPr>
        <w:ind w:left="1040" w:right="120" w:hanging="596"/>
        <w:spacing w:after="0" w:line="327" w:lineRule="auto"/>
        <w:tabs>
          <w:tab w:leader="none" w:pos="10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Participation in the Plan is limited to those individuals employed by the Company or its Affiliates who are regularly scheduled to work 30 or more hours per week and selected to participate by the Administrator or its authorized designee.</w:t>
      </w:r>
    </w:p>
    <w:p>
      <w:pPr>
        <w:spacing w:after="0" w:line="108" w:lineRule="exact"/>
        <w:rPr>
          <w:sz w:val="20"/>
          <w:szCs w:val="20"/>
          <w:color w:val="auto"/>
        </w:rPr>
      </w:pPr>
    </w:p>
    <w:p>
      <w:pPr>
        <w:ind w:left="1040" w:right="300" w:hanging="596"/>
        <w:spacing w:after="0" w:line="258" w:lineRule="auto"/>
        <w:tabs>
          <w:tab w:leader="none" w:pos="1020" w:val="left"/>
        </w:tabs>
        <w:rPr>
          <w:sz w:val="20"/>
          <w:szCs w:val="20"/>
          <w:color w:val="auto"/>
        </w:rPr>
      </w:pPr>
      <w:r>
        <w:rPr>
          <w:rFonts w:ascii="Arial" w:cs="Arial" w:eastAsia="Arial" w:hAnsi="Arial"/>
          <w:sz w:val="20"/>
          <w:szCs w:val="20"/>
          <w:color w:val="auto"/>
        </w:rPr>
        <w:t>4.2</w:t>
        <w:tab/>
        <w:t>The Administrator, or its authorized designee, shall select the individuals who shall be Participants for the Plan Year. Only those individuals designated by the Administrator to participate in the Plan for the Plan Year and who are issued an Award Letter under the Plan, may participate in the Plan for the designated Plan Year.</w:t>
      </w:r>
    </w:p>
    <w:p>
      <w:pPr>
        <w:spacing w:after="0" w:line="167" w:lineRule="exact"/>
        <w:rPr>
          <w:sz w:val="20"/>
          <w:szCs w:val="20"/>
          <w:color w:val="auto"/>
        </w:rPr>
      </w:pPr>
    </w:p>
    <w:p>
      <w:pPr>
        <w:ind w:left="1040" w:right="200" w:hanging="596"/>
        <w:spacing w:after="0" w:line="327" w:lineRule="auto"/>
        <w:tabs>
          <w:tab w:leader="none" w:pos="10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4.2</w:t>
      </w:r>
      <w:r>
        <w:rPr>
          <w:rFonts w:ascii="Arial" w:cs="Arial" w:eastAsia="Arial" w:hAnsi="Arial"/>
          <w:sz w:val="18"/>
          <w:szCs w:val="18"/>
          <w:color w:val="auto"/>
        </w:rPr>
        <w:t>, an individual hired or promoted into an eligible position (as designated by the Administrator) prior to July 1 of the Plan Year, is eligible to receive a Pro-rated Target Award reflecting participation for a portion of the Plan Year.</w:t>
      </w:r>
    </w:p>
    <w:p>
      <w:pPr>
        <w:spacing w:after="0" w:line="108" w:lineRule="exact"/>
        <w:rPr>
          <w:sz w:val="20"/>
          <w:szCs w:val="20"/>
          <w:color w:val="auto"/>
        </w:rPr>
      </w:pPr>
    </w:p>
    <w:p>
      <w:pPr>
        <w:ind w:left="1040" w:right="40" w:hanging="596"/>
        <w:spacing w:after="0" w:line="271" w:lineRule="auto"/>
        <w:tabs>
          <w:tab w:leader="none" w:pos="1020" w:val="left"/>
        </w:tabs>
        <w:rPr>
          <w:sz w:val="20"/>
          <w:szCs w:val="20"/>
          <w:color w:val="auto"/>
        </w:rPr>
      </w:pPr>
      <w:r>
        <w:rPr>
          <w:rFonts w:ascii="Arial" w:cs="Arial" w:eastAsia="Arial" w:hAnsi="Arial"/>
          <w:sz w:val="20"/>
          <w:szCs w:val="20"/>
          <w:color w:val="auto"/>
        </w:rPr>
        <w:t>4.4</w:t>
        <w:tab/>
        <w:t>Unless otherwise authorized by the Administrator, or its authorized designee, an individual hired or promoted into an otherwise eligible position after June 30 of the Plan Year is not eligible to participate in the Plan.</w:t>
      </w:r>
    </w:p>
    <w:p>
      <w:pPr>
        <w:spacing w:after="0" w:line="153" w:lineRule="exact"/>
        <w:rPr>
          <w:sz w:val="20"/>
          <w:szCs w:val="20"/>
          <w:color w:val="auto"/>
        </w:rPr>
      </w:pPr>
    </w:p>
    <w:p>
      <w:pPr>
        <w:ind w:left="1040" w:right="740" w:hanging="596"/>
        <w:spacing w:after="0" w:line="327" w:lineRule="auto"/>
        <w:tabs>
          <w:tab w:leader="none" w:pos="102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color w:val="auto"/>
        </w:rPr>
        <w:t>An individual who is designated as a Participant for the Plan Year is not guaranteed or assured of being selected for participation in any subsequent Plan Year. Participation in the Plan does not guarantee participation in other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27" w:right="339" w:bottom="1440" w:gutter="0" w:footer="0" w:header="0"/>
        </w:sectPr>
      </w:pPr>
    </w:p>
    <w:bookmarkStart w:id="308" w:name="page309"/>
    <w:bookmarkEnd w:id="308"/>
    <w:p>
      <w:pPr>
        <w:ind w:left="1200"/>
        <w:spacing w:after="0"/>
        <w:rPr>
          <w:sz w:val="20"/>
          <w:szCs w:val="20"/>
          <w:color w:val="auto"/>
        </w:rPr>
      </w:pPr>
      <w:r>
        <w:rPr>
          <w:rFonts w:ascii="Arial" w:cs="Arial" w:eastAsia="Arial" w:hAnsi="Arial"/>
          <w:sz w:val="20"/>
          <w:szCs w:val="20"/>
          <w:color w:val="auto"/>
        </w:rPr>
        <w:t>incentive plans. Plan design and participation will be evaluated and determined on a year-to-year basis.</w:t>
      </w:r>
    </w:p>
    <w:p>
      <w:pPr>
        <w:spacing w:after="0" w:line="206" w:lineRule="exact"/>
        <w:rPr>
          <w:sz w:val="20"/>
          <w:szCs w:val="20"/>
          <w:color w:val="auto"/>
        </w:rPr>
      </w:pPr>
    </w:p>
    <w:p>
      <w:pPr>
        <w:ind w:left="1040" w:right="160" w:hanging="596"/>
        <w:spacing w:after="0" w:line="287" w:lineRule="auto"/>
        <w:tabs>
          <w:tab w:leader="none" w:pos="102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color w:val="auto"/>
        </w:rPr>
        <w:t>Except as provided herein, to be eligible to receive payments under the Plan, Participants must be actively and continuously employed by the Company through the Payment Date following the end of the Plan Year. If a Participant takes a leave of absence from the Company for a portion of the Plan Year, the Participant will be eligible to receive a Pro-rated Award Payment, reflecting participation for the period during which the Participant was actively employed and depending upon the type of leave and time away from the Company, as determined in the sole discretion of the Administrator.</w:t>
      </w:r>
    </w:p>
    <w:p>
      <w:pPr>
        <w:spacing w:after="0" w:line="144" w:lineRule="exact"/>
        <w:rPr>
          <w:sz w:val="20"/>
          <w:szCs w:val="20"/>
          <w:color w:val="auto"/>
        </w:rPr>
      </w:pPr>
    </w:p>
    <w:p>
      <w:pPr>
        <w:ind w:left="1040" w:right="380" w:hanging="596"/>
        <w:spacing w:after="0" w:line="254" w:lineRule="auto"/>
        <w:tabs>
          <w:tab w:leader="none" w:pos="1020" w:val="left"/>
        </w:tabs>
        <w:rPr>
          <w:sz w:val="20"/>
          <w:szCs w:val="20"/>
          <w:color w:val="auto"/>
        </w:rPr>
      </w:pPr>
      <w:r>
        <w:rPr>
          <w:rFonts w:ascii="Arial" w:cs="Arial" w:eastAsia="Arial" w:hAnsi="Arial"/>
          <w:sz w:val="20"/>
          <w:szCs w:val="20"/>
          <w:color w:val="auto"/>
        </w:rPr>
        <w:t>4.7</w:t>
        <w:tab/>
        <w:t>If a Participant’s employment terminates and the Company or an Affiliate re-employs the Participant at any time thereafter, whether in the same or different Plan Year, the Participant shall not automatically resume participation in the ICP. Any subsequent participation in the ICP will be subject to designation by the Administrator and the issuance of a new Target Award.</w:t>
      </w:r>
    </w:p>
    <w:p>
      <w:pPr>
        <w:spacing w:after="0" w:line="165" w:lineRule="exact"/>
        <w:rPr>
          <w:sz w:val="20"/>
          <w:szCs w:val="20"/>
          <w:color w:val="auto"/>
        </w:rPr>
      </w:pPr>
    </w:p>
    <w:p>
      <w:pPr>
        <w:ind w:left="340" w:hanging="340"/>
        <w:spacing w:after="0"/>
        <w:tabs>
          <w:tab w:leader="none" w:pos="34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OBJECTIVES</w:t>
      </w:r>
    </w:p>
    <w:p>
      <w:pPr>
        <w:spacing w:after="0" w:line="212" w:lineRule="exact"/>
        <w:rPr>
          <w:sz w:val="20"/>
          <w:szCs w:val="20"/>
          <w:color w:val="auto"/>
        </w:rPr>
      </w:pPr>
    </w:p>
    <w:p>
      <w:pPr>
        <w:ind w:left="1040" w:right="220" w:hanging="596"/>
        <w:spacing w:after="0" w:line="327" w:lineRule="auto"/>
        <w:tabs>
          <w:tab w:leader="none" w:pos="10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color w:val="auto"/>
        </w:rPr>
        <w:t>Prior to, or reasonably promptly following the commencement of the Plan Year, subject to approval by the Administrator, the Company will establish the Corporate and/or Operating Unit Performance Objectives for the Plan Year.</w:t>
      </w:r>
    </w:p>
    <w:p>
      <w:pPr>
        <w:spacing w:after="0" w:line="108" w:lineRule="exact"/>
        <w:rPr>
          <w:sz w:val="20"/>
          <w:szCs w:val="20"/>
          <w:color w:val="auto"/>
        </w:rPr>
      </w:pPr>
    </w:p>
    <w:p>
      <w:pPr>
        <w:ind w:left="1040" w:right="440" w:hanging="596"/>
        <w:spacing w:after="0" w:line="271" w:lineRule="auto"/>
        <w:tabs>
          <w:tab w:leader="none" w:pos="1020" w:val="left"/>
        </w:tabs>
        <w:rPr>
          <w:sz w:val="20"/>
          <w:szCs w:val="20"/>
          <w:color w:val="auto"/>
        </w:rPr>
      </w:pPr>
      <w:r>
        <w:rPr>
          <w:rFonts w:ascii="Arial" w:cs="Arial" w:eastAsia="Arial" w:hAnsi="Arial"/>
          <w:sz w:val="20"/>
          <w:szCs w:val="20"/>
          <w:color w:val="auto"/>
        </w:rPr>
        <w:t>5.2</w:t>
        <w:tab/>
        <w:t>The Administrator will approve the minimum, target and maximum Corporate Performance Objective Thresholds for each Corporate and Operating Unit Performance Objective for the Plan Year.</w:t>
      </w:r>
    </w:p>
    <w:p>
      <w:pPr>
        <w:spacing w:after="0" w:line="153"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color w:val="auto"/>
        </w:rPr>
        <w:t>Individual Performance Objectives will be established for each Participant.</w:t>
      </w:r>
    </w:p>
    <w:p>
      <w:pPr>
        <w:spacing w:after="0" w:line="206" w:lineRule="exact"/>
        <w:rPr>
          <w:sz w:val="20"/>
          <w:szCs w:val="20"/>
          <w:color w:val="auto"/>
        </w:rPr>
      </w:pPr>
    </w:p>
    <w:p>
      <w:pPr>
        <w:ind w:left="1040" w:right="740" w:hanging="596"/>
        <w:spacing w:after="0" w:line="271" w:lineRule="auto"/>
        <w:tabs>
          <w:tab w:leader="none" w:pos="1020" w:val="left"/>
        </w:tabs>
        <w:rPr>
          <w:sz w:val="20"/>
          <w:szCs w:val="20"/>
          <w:color w:val="auto"/>
        </w:rPr>
      </w:pPr>
      <w:r>
        <w:rPr>
          <w:rFonts w:ascii="Arial" w:cs="Arial" w:eastAsia="Arial" w:hAnsi="Arial"/>
          <w:sz w:val="20"/>
          <w:szCs w:val="20"/>
          <w:color w:val="auto"/>
        </w:rPr>
        <w:t>5.4</w:t>
        <w:tab/>
        <w:t>The Administrator will approve the relative weighting of the Corporate, Operating Unit and/or Individual Performance Objectives for the Plan Year.</w:t>
      </w:r>
    </w:p>
    <w:p>
      <w:pPr>
        <w:spacing w:after="0" w:line="14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TARGET AWARDS</w:t>
      </w:r>
    </w:p>
    <w:p>
      <w:pPr>
        <w:spacing w:after="0" w:line="212" w:lineRule="exact"/>
        <w:rPr>
          <w:sz w:val="20"/>
          <w:szCs w:val="20"/>
          <w:color w:val="auto"/>
        </w:rPr>
      </w:pPr>
    </w:p>
    <w:p>
      <w:pPr>
        <w:ind w:left="1040" w:hanging="596"/>
        <w:spacing w:after="0" w:line="271" w:lineRule="auto"/>
        <w:tabs>
          <w:tab w:leader="none" w:pos="1020" w:val="left"/>
        </w:tabs>
        <w:rPr>
          <w:sz w:val="20"/>
          <w:szCs w:val="20"/>
          <w:color w:val="auto"/>
        </w:rPr>
      </w:pPr>
      <w:r>
        <w:rPr>
          <w:rFonts w:ascii="Arial" w:cs="Arial" w:eastAsia="Arial" w:hAnsi="Arial"/>
          <w:sz w:val="20"/>
          <w:szCs w:val="20"/>
          <w:color w:val="auto"/>
        </w:rPr>
        <w:t>6.1</w:t>
        <w:tab/>
        <w:t>Prior to, or reasonably promptly following the commencement of the Plan Year, the Administrator shall establish or approve the Target Award for each Participant.</w:t>
      </w:r>
    </w:p>
    <w:p>
      <w:pPr>
        <w:spacing w:after="0" w:line="153" w:lineRule="exact"/>
        <w:rPr>
          <w:sz w:val="20"/>
          <w:szCs w:val="20"/>
          <w:color w:val="auto"/>
        </w:rPr>
      </w:pPr>
    </w:p>
    <w:p>
      <w:pPr>
        <w:ind w:left="1040" w:right="300" w:hanging="596"/>
        <w:spacing w:after="0" w:line="271" w:lineRule="auto"/>
        <w:tabs>
          <w:tab w:leader="none" w:pos="1020" w:val="left"/>
        </w:tabs>
        <w:rPr>
          <w:sz w:val="20"/>
          <w:szCs w:val="20"/>
          <w:color w:val="auto"/>
        </w:rPr>
      </w:pPr>
      <w:r>
        <w:rPr>
          <w:rFonts w:ascii="Arial" w:cs="Arial" w:eastAsia="Arial" w:hAnsi="Arial"/>
          <w:sz w:val="20"/>
          <w:szCs w:val="20"/>
          <w:color w:val="auto"/>
        </w:rPr>
        <w:t>6.2</w:t>
        <w:tab/>
        <w:t>The Company shall notify each Participant of the Participant’s Target Award on or after January 1 of each Plan Year through issuance of an Award Letter.</w:t>
      </w:r>
    </w:p>
    <w:p>
      <w:pPr>
        <w:spacing w:after="0" w:line="153" w:lineRule="exact"/>
        <w:rPr>
          <w:sz w:val="20"/>
          <w:szCs w:val="20"/>
          <w:color w:val="auto"/>
        </w:rPr>
      </w:pPr>
    </w:p>
    <w:p>
      <w:pPr>
        <w:ind w:left="1040" w:right="60" w:hanging="596"/>
        <w:spacing w:after="0" w:line="258" w:lineRule="auto"/>
        <w:tabs>
          <w:tab w:leader="none" w:pos="1020" w:val="left"/>
        </w:tabs>
        <w:rPr>
          <w:sz w:val="20"/>
          <w:szCs w:val="20"/>
          <w:color w:val="auto"/>
        </w:rPr>
      </w:pPr>
      <w:r>
        <w:rPr>
          <w:rFonts w:ascii="Arial" w:cs="Arial" w:eastAsia="Arial" w:hAnsi="Arial"/>
          <w:sz w:val="20"/>
          <w:szCs w:val="20"/>
          <w:color w:val="auto"/>
        </w:rPr>
        <w:t>6.3</w:t>
        <w:tab/>
        <w:t>Target Award amounts are based upon a percentage of each Participant’s Base Salary in effect as of April 1 of the Plan Year. The Target Award will be adjusted on a pro-rata basis to reflect any changes to a Participant’s Base Salary after April 1 of the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327" w:right="339" w:bottom="1440" w:gutter="0" w:footer="0" w:header="0"/>
        </w:sectPr>
      </w:pPr>
    </w:p>
    <w:bookmarkStart w:id="309" w:name="page310"/>
    <w:bookmarkEnd w:id="309"/>
    <w:p>
      <w:pPr>
        <w:ind w:left="340" w:hanging="340"/>
        <w:spacing w:after="0"/>
        <w:tabs>
          <w:tab w:leader="none" w:pos="34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DETERMINATION OF CALCULATED AND EARNED AWARDS</w:t>
      </w:r>
    </w:p>
    <w:p>
      <w:pPr>
        <w:spacing w:after="0" w:line="212" w:lineRule="exact"/>
        <w:rPr>
          <w:sz w:val="20"/>
          <w:szCs w:val="20"/>
          <w:color w:val="auto"/>
        </w:rPr>
      </w:pPr>
    </w:p>
    <w:p>
      <w:pPr>
        <w:ind w:left="1040" w:right="100" w:hanging="596"/>
        <w:spacing w:after="0" w:line="254" w:lineRule="auto"/>
        <w:tabs>
          <w:tab w:leader="none" w:pos="1020" w:val="left"/>
        </w:tabs>
        <w:rPr>
          <w:sz w:val="20"/>
          <w:szCs w:val="20"/>
          <w:color w:val="auto"/>
        </w:rPr>
      </w:pPr>
      <w:r>
        <w:rPr>
          <w:rFonts w:ascii="Arial" w:cs="Arial" w:eastAsia="Arial" w:hAnsi="Arial"/>
          <w:sz w:val="20"/>
          <w:szCs w:val="20"/>
          <w:color w:val="auto"/>
        </w:rPr>
        <w:t>7.1</w:t>
        <w:tab/>
        <w:t>Following completion of the Plan Year, the Administrator shall determine or approve the extent to which Corporate, Operating Unit and/or Individual Performance Objectives (collectively, “Performance Objectives”) were achieved or exceeded. If the minimum Corporate Performance Objective Thresholds are not achieved for a designated Performance Objective, no Award Payments will be paid related to that Performance Objective.</w:t>
      </w:r>
    </w:p>
    <w:p>
      <w:pPr>
        <w:spacing w:after="0" w:line="171" w:lineRule="exact"/>
        <w:rPr>
          <w:sz w:val="20"/>
          <w:szCs w:val="20"/>
          <w:color w:val="auto"/>
        </w:rPr>
      </w:pPr>
    </w:p>
    <w:p>
      <w:pPr>
        <w:jc w:val="right"/>
        <w:ind w:left="600" w:right="800"/>
        <w:spacing w:after="0" w:line="327" w:lineRule="auto"/>
        <w:rPr>
          <w:sz w:val="20"/>
          <w:szCs w:val="20"/>
          <w:color w:val="auto"/>
        </w:rPr>
      </w:pPr>
      <w:r>
        <w:rPr>
          <w:rFonts w:ascii="Arial" w:cs="Arial" w:eastAsia="Arial" w:hAnsi="Arial"/>
          <w:sz w:val="18"/>
          <w:szCs w:val="18"/>
          <w:color w:val="auto"/>
        </w:rPr>
        <w:t>7.2  To the extent the minimum Corporate Performance Objective Threshold is achieved for a Performance Objective, the Administrator shall certify in writing the extent to which the Performance Objective has been achieved or exceeded.</w:t>
      </w:r>
    </w:p>
    <w:p>
      <w:pPr>
        <w:spacing w:after="0" w:line="108" w:lineRule="exact"/>
        <w:rPr>
          <w:sz w:val="20"/>
          <w:szCs w:val="20"/>
          <w:color w:val="auto"/>
        </w:rPr>
      </w:pPr>
    </w:p>
    <w:p>
      <w:pPr>
        <w:ind w:left="1040" w:right="60" w:hanging="596"/>
        <w:spacing w:after="0" w:line="327" w:lineRule="auto"/>
        <w:tabs>
          <w:tab w:leader="none" w:pos="10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 xml:space="preserve">The Calculated Award is the sum of the weighted Performance Objectives. The Earned Award is determined by multiplying the Calculated Award by a discretionary factor selected at the discretion of the Company in accordance with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08" w:lineRule="exact"/>
        <w:rPr>
          <w:sz w:val="20"/>
          <w:szCs w:val="20"/>
          <w:color w:val="auto"/>
        </w:rPr>
      </w:pPr>
    </w:p>
    <w:p>
      <w:pPr>
        <w:ind w:left="1040" w:right="160" w:hanging="596"/>
        <w:spacing w:after="0" w:line="254" w:lineRule="auto"/>
        <w:tabs>
          <w:tab w:leader="none" w:pos="1020" w:val="left"/>
        </w:tabs>
        <w:rPr>
          <w:sz w:val="20"/>
          <w:szCs w:val="20"/>
          <w:color w:val="auto"/>
        </w:rPr>
      </w:pPr>
      <w:r>
        <w:rPr>
          <w:rFonts w:ascii="Arial" w:cs="Arial" w:eastAsia="Arial" w:hAnsi="Arial"/>
          <w:sz w:val="20"/>
          <w:szCs w:val="20"/>
          <w:color w:val="auto"/>
        </w:rPr>
        <w:t>7.4</w:t>
        <w:tab/>
        <w:t>Calculated and Earned Awards may be (i) increased or decreased for Participants who are not Top Executives at the discretion of the CEO, and (ii) decreased for Participants who are Top Executives, at the discretion of the Administrator based on circumstances or events unrelated to achievement of the Performance Objectives (</w:t>
      </w:r>
      <w:r>
        <w:rPr>
          <w:rFonts w:ascii="Arial" w:cs="Arial" w:eastAsia="Arial" w:hAnsi="Arial"/>
          <w:sz w:val="20"/>
          <w:szCs w:val="20"/>
          <w:u w:val="single" w:color="auto"/>
          <w:color w:val="auto"/>
        </w:rPr>
        <w:t>e.g.</w:t>
      </w:r>
      <w:r>
        <w:rPr>
          <w:rFonts w:ascii="Arial" w:cs="Arial" w:eastAsia="Arial" w:hAnsi="Arial"/>
          <w:sz w:val="20"/>
          <w:szCs w:val="20"/>
          <w:color w:val="auto"/>
        </w:rPr>
        <w:t>, inappropriate behavior or conduct; poor demonstration of critical competencies, etc.).</w:t>
      </w:r>
    </w:p>
    <w:p>
      <w:pPr>
        <w:spacing w:after="0" w:line="171"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color w:val="auto"/>
        </w:rPr>
        <w:t>Payout ranges for each Performance Objective run from 0% to 200% of the Target Performance Level.</w:t>
      </w:r>
    </w:p>
    <w:p>
      <w:pPr>
        <w:spacing w:after="0" w:line="206" w:lineRule="exact"/>
        <w:rPr>
          <w:sz w:val="20"/>
          <w:szCs w:val="20"/>
          <w:color w:val="auto"/>
        </w:rPr>
      </w:pPr>
    </w:p>
    <w:p>
      <w:pPr>
        <w:ind w:left="1040" w:right="700" w:hanging="596"/>
        <w:spacing w:after="0" w:line="271" w:lineRule="auto"/>
        <w:tabs>
          <w:tab w:leader="none" w:pos="1020" w:val="left"/>
        </w:tabs>
        <w:rPr>
          <w:sz w:val="20"/>
          <w:szCs w:val="20"/>
          <w:color w:val="auto"/>
        </w:rPr>
      </w:pPr>
      <w:r>
        <w:rPr>
          <w:rFonts w:ascii="Arial" w:cs="Arial" w:eastAsia="Arial" w:hAnsi="Arial"/>
          <w:sz w:val="20"/>
          <w:szCs w:val="20"/>
          <w:color w:val="auto"/>
        </w:rPr>
        <w:t>7.6</w:t>
        <w:tab/>
        <w:t>Earned Award recommendations will be reviewed and subject to approval by the CEO for Participants who are not Top Executives. Earned Awards for Top Executives are subject to the approval of the Administrator.</w:t>
      </w:r>
    </w:p>
    <w:p>
      <w:pPr>
        <w:spacing w:after="0" w:line="153"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7"/>
          <w:szCs w:val="17"/>
          <w:color w:val="auto"/>
        </w:rPr>
        <w:t>Earned Awards will be calculated and rounded to the nearest one hundred dollars.</w:t>
      </w:r>
    </w:p>
    <w:p>
      <w:pPr>
        <w:spacing w:after="0" w:line="20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AWARD PAYMENTS</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Earned Awards will be calculated within a reasonable period following the end of the Plan Year.</w:t>
      </w:r>
    </w:p>
    <w:p>
      <w:pPr>
        <w:spacing w:after="0" w:line="206" w:lineRule="exact"/>
        <w:rPr>
          <w:sz w:val="20"/>
          <w:szCs w:val="20"/>
          <w:color w:val="auto"/>
        </w:rPr>
      </w:pPr>
    </w:p>
    <w:p>
      <w:pPr>
        <w:ind w:left="1040" w:hanging="596"/>
        <w:spacing w:after="0" w:line="254" w:lineRule="auto"/>
        <w:tabs>
          <w:tab w:leader="none" w:pos="1020" w:val="left"/>
        </w:tabs>
        <w:rPr>
          <w:sz w:val="20"/>
          <w:szCs w:val="20"/>
          <w:color w:val="auto"/>
        </w:rPr>
      </w:pPr>
      <w:r>
        <w:rPr>
          <w:rFonts w:ascii="Arial" w:cs="Arial" w:eastAsia="Arial" w:hAnsi="Arial"/>
          <w:sz w:val="20"/>
          <w:szCs w:val="20"/>
          <w:color w:val="auto"/>
        </w:rPr>
        <w:t>8.2</w:t>
        <w:tab/>
        <w:t>Except as otherwise provided herein, as soon as practicable following the determination of any Earned Awards, each Participant shall receive a cash lump sum payment of the Participant’s applicable Award Payment, less required and applicable withholdings and deductions. In no event shall such payment be made later than the fifteenth day of the third month following the end of a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321" w:right="339" w:bottom="1440" w:gutter="0" w:footer="0" w:header="0"/>
        </w:sectPr>
      </w:pPr>
    </w:p>
    <w:bookmarkStart w:id="310" w:name="page311"/>
    <w:bookmarkEnd w:id="310"/>
    <w:p>
      <w:pPr>
        <w:ind w:left="1040" w:right="140" w:hanging="596"/>
        <w:spacing w:after="0" w:line="271" w:lineRule="auto"/>
        <w:tabs>
          <w:tab w:leader="none" w:pos="1020" w:val="left"/>
        </w:tabs>
        <w:rPr>
          <w:sz w:val="20"/>
          <w:szCs w:val="20"/>
          <w:color w:val="auto"/>
        </w:rPr>
      </w:pPr>
      <w:r>
        <w:rPr>
          <w:rFonts w:ascii="Arial" w:cs="Arial" w:eastAsia="Arial" w:hAnsi="Arial"/>
          <w:sz w:val="20"/>
          <w:szCs w:val="20"/>
          <w:color w:val="auto"/>
        </w:rPr>
        <w:t>8.3</w:t>
        <w:tab/>
        <w:t>Subject to the discretion of the CEO and approval by the Administrator, no Award Payments will be paid to Participants if the Company’s EBITDA (Adjusted) is 50% or less of plan for the Plan Year.</w:t>
      </w:r>
    </w:p>
    <w:p>
      <w:pPr>
        <w:spacing w:after="0" w:line="153" w:lineRule="exact"/>
        <w:rPr>
          <w:sz w:val="20"/>
          <w:szCs w:val="20"/>
          <w:color w:val="auto"/>
        </w:rPr>
      </w:pPr>
    </w:p>
    <w:p>
      <w:pPr>
        <w:ind w:left="1040" w:right="340" w:hanging="596"/>
        <w:spacing w:after="0" w:line="271" w:lineRule="auto"/>
        <w:tabs>
          <w:tab w:leader="none" w:pos="1020" w:val="left"/>
        </w:tabs>
        <w:rPr>
          <w:sz w:val="20"/>
          <w:szCs w:val="20"/>
          <w:color w:val="auto"/>
        </w:rPr>
      </w:pPr>
      <w:r>
        <w:rPr>
          <w:rFonts w:ascii="Arial" w:cs="Arial" w:eastAsia="Arial" w:hAnsi="Arial"/>
          <w:sz w:val="20"/>
          <w:szCs w:val="20"/>
          <w:color w:val="auto"/>
        </w:rPr>
        <w:t>8.4</w:t>
        <w:tab/>
        <w:t>Subject to the discretion of the CEO and approval by the Administrator, Award Payments may not be paid to Participants if Operating Unit EBITDA is 50% or less of plan for the Plan Year.</w:t>
      </w:r>
    </w:p>
    <w:p>
      <w:pPr>
        <w:spacing w:after="0" w:line="153"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8"/>
          <w:szCs w:val="18"/>
          <w:color w:val="auto"/>
        </w:rPr>
        <w:t>The Administrator is authorized, in its sole discretion, to adjust or modify the calculation as to achievement of Corporate or</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Operating Unit Performance Objectives in connection with any one or more of the following events:</w:t>
      </w:r>
    </w:p>
    <w:p>
      <w:pPr>
        <w:spacing w:after="0" w:line="190" w:lineRule="exact"/>
        <w:rPr>
          <w:sz w:val="20"/>
          <w:szCs w:val="20"/>
          <w:color w:val="auto"/>
        </w:rPr>
      </w:pPr>
    </w:p>
    <w:p>
      <w:pPr>
        <w:ind w:left="1620" w:hanging="426"/>
        <w:spacing w:after="0"/>
        <w:tabs>
          <w:tab w:leader="none" w:pos="16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asset write-downs;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significant litigation or claim judgments or settlements;</w:t>
      </w:r>
    </w:p>
    <w:p>
      <w:pPr>
        <w:spacing w:after="0" w:line="205" w:lineRule="exact"/>
        <w:rPr>
          <w:rFonts w:ascii="Arial" w:cs="Arial" w:eastAsia="Arial" w:hAnsi="Arial"/>
          <w:sz w:val="20"/>
          <w:szCs w:val="20"/>
          <w:color w:val="auto"/>
        </w:rPr>
      </w:pPr>
    </w:p>
    <w:p>
      <w:pPr>
        <w:ind w:left="1800" w:hanging="606"/>
        <w:spacing w:after="0" w:line="271" w:lineRule="auto"/>
        <w:tabs>
          <w:tab w:leader="none" w:pos="162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effect of changes in tax laws, accounting standards or principles, or other laws or regulatory rules affecting reporting results;</w:t>
      </w:r>
    </w:p>
    <w:p>
      <w:pPr>
        <w:spacing w:after="0" w:line="152" w:lineRule="exact"/>
        <w:rPr>
          <w:rFonts w:ascii="Arial" w:cs="Arial" w:eastAsia="Arial" w:hAnsi="Arial"/>
          <w:sz w:val="20"/>
          <w:szCs w:val="20"/>
          <w:color w:val="auto"/>
        </w:rPr>
      </w:pPr>
    </w:p>
    <w:p>
      <w:pPr>
        <w:ind w:left="1620" w:hanging="426"/>
        <w:spacing w:after="0"/>
        <w:tabs>
          <w:tab w:leader="none" w:pos="16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any reorganization and restructuring programs;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extraordinary nonrecurring items as in the Company’s financial statements for the applicable year or period;</w:t>
      </w:r>
    </w:p>
    <w:p>
      <w:pPr>
        <w:spacing w:after="0" w:line="205" w:lineRule="exact"/>
        <w:rPr>
          <w:rFonts w:ascii="Arial" w:cs="Arial" w:eastAsia="Arial" w:hAnsi="Arial"/>
          <w:sz w:val="20"/>
          <w:szCs w:val="20"/>
          <w:color w:val="auto"/>
        </w:rPr>
      </w:pPr>
    </w:p>
    <w:p>
      <w:pPr>
        <w:ind w:left="1600" w:hanging="406"/>
        <w:spacing w:after="0"/>
        <w:tabs>
          <w:tab w:leader="none" w:pos="16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acquisitions or divestitures;</w:t>
      </w:r>
    </w:p>
    <w:p>
      <w:pPr>
        <w:spacing w:after="0" w:line="205" w:lineRule="exact"/>
        <w:rPr>
          <w:rFonts w:ascii="Arial" w:cs="Arial" w:eastAsia="Arial" w:hAnsi="Arial"/>
          <w:sz w:val="20"/>
          <w:szCs w:val="20"/>
          <w:color w:val="auto"/>
        </w:rPr>
      </w:pPr>
    </w:p>
    <w:p>
      <w:pPr>
        <w:ind w:left="1800" w:right="520" w:hanging="606"/>
        <w:spacing w:after="0" w:line="271" w:lineRule="auto"/>
        <w:tabs>
          <w:tab w:leader="none" w:pos="1634"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any other specific unusual or nonrecurring events or objectively determinable category thereof (e.g., restructuring expenses);</w:t>
      </w:r>
    </w:p>
    <w:p>
      <w:pPr>
        <w:spacing w:after="0" w:line="152" w:lineRule="exact"/>
        <w:rPr>
          <w:rFonts w:ascii="Arial" w:cs="Arial" w:eastAsia="Arial" w:hAnsi="Arial"/>
          <w:sz w:val="20"/>
          <w:szCs w:val="20"/>
          <w:color w:val="auto"/>
        </w:rPr>
      </w:pPr>
    </w:p>
    <w:p>
      <w:pPr>
        <w:ind w:left="1620" w:hanging="426"/>
        <w:spacing w:after="0"/>
        <w:tabs>
          <w:tab w:leader="none" w:pos="16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foreign exchange gains and losses; and</w:t>
      </w:r>
    </w:p>
    <w:p>
      <w:pPr>
        <w:spacing w:after="0" w:line="205" w:lineRule="exact"/>
        <w:rPr>
          <w:rFonts w:ascii="Arial" w:cs="Arial" w:eastAsia="Arial" w:hAnsi="Arial"/>
          <w:sz w:val="20"/>
          <w:szCs w:val="20"/>
          <w:color w:val="auto"/>
        </w:rPr>
      </w:pPr>
    </w:p>
    <w:p>
      <w:pPr>
        <w:ind w:left="1580" w:hanging="386"/>
        <w:spacing w:after="0"/>
        <w:tabs>
          <w:tab w:leader="none" w:pos="158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 change in the Company’s fiscal year.</w:t>
      </w:r>
    </w:p>
    <w:p>
      <w:pPr>
        <w:spacing w:after="0" w:line="200" w:lineRule="exact"/>
        <w:rPr>
          <w:sz w:val="20"/>
          <w:szCs w:val="20"/>
          <w:color w:val="auto"/>
        </w:rPr>
      </w:pPr>
    </w:p>
    <w:p>
      <w:pPr>
        <w:ind w:left="340" w:hanging="340"/>
        <w:spacing w:after="0"/>
        <w:tabs>
          <w:tab w:leader="none" w:pos="340" w:val="left"/>
        </w:tabs>
        <w:numPr>
          <w:ilvl w:val="0"/>
          <w:numId w:val="198"/>
        </w:numPr>
        <w:rPr>
          <w:rFonts w:ascii="Arial" w:cs="Arial" w:eastAsia="Arial" w:hAnsi="Arial"/>
          <w:sz w:val="20"/>
          <w:szCs w:val="20"/>
          <w:b w:val="1"/>
          <w:bCs w:val="1"/>
          <w:color w:val="auto"/>
        </w:rPr>
      </w:pPr>
      <w:r>
        <w:rPr>
          <w:rFonts w:ascii="Arial" w:cs="Arial" w:eastAsia="Arial" w:hAnsi="Arial"/>
          <w:sz w:val="20"/>
          <w:szCs w:val="20"/>
          <w:b w:val="1"/>
          <w:bCs w:val="1"/>
          <w:color w:val="auto"/>
        </w:rPr>
        <w:t>EMPLOYMENT REQUIREMENT</w:t>
      </w:r>
    </w:p>
    <w:p>
      <w:pPr>
        <w:spacing w:after="0" w:line="212" w:lineRule="exact"/>
        <w:rPr>
          <w:sz w:val="20"/>
          <w:szCs w:val="20"/>
          <w:color w:val="auto"/>
        </w:rPr>
      </w:pPr>
    </w:p>
    <w:p>
      <w:pPr>
        <w:jc w:val="both"/>
        <w:ind w:left="1040" w:right="20" w:hanging="596"/>
        <w:spacing w:after="0" w:line="272" w:lineRule="auto"/>
        <w:tabs>
          <w:tab w:leader="none" w:pos="10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color w:val="auto"/>
        </w:rPr>
        <w:t>Award Payments are not earned until the Payment Date. No Award Payments will be paid to any Participant who is not actively employed, in good standing, by the Company or an Affiliate on the Payment Date, subject to the discretion of (i) the CEO for Participants who are not Top Executives and (ii) the Administrator for Top Executives. Whether a Participant is employed in good standing as of the Payment Date shall be determined in the sole discretion of the Company.</w:t>
      </w:r>
    </w:p>
    <w:p>
      <w:pPr>
        <w:spacing w:after="0" w:line="154" w:lineRule="exact"/>
        <w:rPr>
          <w:sz w:val="20"/>
          <w:szCs w:val="20"/>
          <w:color w:val="auto"/>
        </w:rPr>
      </w:pPr>
    </w:p>
    <w:p>
      <w:pPr>
        <w:ind w:left="1040" w:right="260" w:hanging="596"/>
        <w:spacing w:after="0" w:line="258" w:lineRule="auto"/>
        <w:tabs>
          <w:tab w:leader="none" w:pos="1020" w:val="left"/>
        </w:tabs>
        <w:rPr>
          <w:sz w:val="20"/>
          <w:szCs w:val="20"/>
          <w:color w:val="auto"/>
        </w:rPr>
      </w:pPr>
      <w:r>
        <w:rPr>
          <w:rFonts w:ascii="Arial" w:cs="Arial" w:eastAsia="Arial" w:hAnsi="Arial"/>
          <w:sz w:val="20"/>
          <w:szCs w:val="20"/>
          <w:color w:val="auto"/>
        </w:rPr>
        <w:t>9.2</w:t>
        <w:tab/>
        <w:t xml:space="preserve">In addition to being actively employed, in good standing, on the Payment Date, Participants must receive an overall performance rating of “Solid Performer” or better for the Plan Year in order to be eligible to receive payment of an Earned Award. Subject to </w:t>
      </w:r>
      <w:r>
        <w:rPr>
          <w:rFonts w:ascii="Arial" w:cs="Arial" w:eastAsia="Arial" w:hAnsi="Arial"/>
          <w:sz w:val="20"/>
          <w:szCs w:val="20"/>
          <w:u w:val="single" w:color="auto"/>
          <w:color w:val="auto"/>
        </w:rPr>
        <w:t>Section 4</w:t>
      </w:r>
      <w:r>
        <w:rPr>
          <w:rFonts w:ascii="Arial" w:cs="Arial" w:eastAsia="Arial" w:hAnsi="Arial"/>
          <w:sz w:val="20"/>
          <w:szCs w:val="20"/>
          <w:color w:val="auto"/>
        </w:rPr>
        <w:t>, Participants with an overall performance rating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00"/>
          </w:cols>
          <w:pgMar w:left="320" w:top="1327" w:right="379" w:bottom="1440" w:gutter="0" w:footer="0" w:header="0"/>
        </w:sectPr>
      </w:pPr>
    </w:p>
    <w:bookmarkStart w:id="311" w:name="page312"/>
    <w:bookmarkEnd w:id="311"/>
    <w:p>
      <w:pPr>
        <w:ind w:left="1200"/>
        <w:spacing w:after="0"/>
        <w:rPr>
          <w:sz w:val="20"/>
          <w:szCs w:val="20"/>
          <w:color w:val="auto"/>
        </w:rPr>
      </w:pPr>
      <w:r>
        <w:rPr>
          <w:rFonts w:ascii="Arial" w:cs="Arial" w:eastAsia="Arial" w:hAnsi="Arial"/>
          <w:sz w:val="19"/>
          <w:szCs w:val="19"/>
          <w:color w:val="auto"/>
        </w:rPr>
        <w:t>“New to Role/Developing” may be eligible to receive a Pro-rated Award Payment at the discretion of the Administrator.</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10.</w:t>
        <w:tab/>
        <w:t>TERMINATION OF EMPLOYMENT</w:t>
      </w:r>
    </w:p>
    <w:p>
      <w:pPr>
        <w:spacing w:after="0" w:line="212" w:lineRule="exact"/>
        <w:rPr>
          <w:sz w:val="20"/>
          <w:szCs w:val="20"/>
          <w:color w:val="auto"/>
        </w:rPr>
      </w:pPr>
    </w:p>
    <w:p>
      <w:pPr>
        <w:ind w:left="1140" w:hanging="596"/>
        <w:spacing w:after="0" w:line="287" w:lineRule="auto"/>
        <w:tabs>
          <w:tab w:leader="none" w:pos="11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color w:val="auto"/>
        </w:rPr>
        <w:t>, or in any employment agreement or severance arrangement of the Company or its Affiliates if a Participant’s employment terminates for any reason, the Participant shall cease to be eligible for any Award Payments not paid as of the date on which employment terminates, provided however, in the event a Participant is terminated involuntarily for reasons other than Cause, after July 1 of the Plan Year, the Administrator, in its sole discretion, may authorize a Pro-rated Award Payment reflecting the Participant’s participation for a portion of the Plan Year.</w:t>
      </w:r>
    </w:p>
    <w:p>
      <w:pPr>
        <w:spacing w:after="0" w:line="144" w:lineRule="exact"/>
        <w:rPr>
          <w:sz w:val="20"/>
          <w:szCs w:val="20"/>
          <w:color w:val="auto"/>
        </w:rPr>
      </w:pPr>
    </w:p>
    <w:p>
      <w:pPr>
        <w:jc w:val="both"/>
        <w:ind w:left="1140" w:right="180" w:hanging="596"/>
        <w:spacing w:after="0" w:line="254" w:lineRule="auto"/>
        <w:tabs>
          <w:tab w:leader="none" w:pos="1120" w:val="left"/>
        </w:tabs>
        <w:rPr>
          <w:sz w:val="20"/>
          <w:szCs w:val="20"/>
          <w:color w:val="auto"/>
        </w:rPr>
      </w:pPr>
      <w:r>
        <w:rPr>
          <w:rFonts w:ascii="Arial" w:cs="Arial" w:eastAsia="Arial" w:hAnsi="Arial"/>
          <w:sz w:val="20"/>
          <w:szCs w:val="20"/>
          <w:color w:val="auto"/>
        </w:rPr>
        <w:t>10.2</w:t>
        <w:tab/>
        <w:t>If a Participant’s employment is terminated for Cause, the Participant shall cease to be eligible for any Award Payments not paid as of the date on which employment terminates. The Company may require repayment of any Earned Award Payments previously paid to a Participant if it discovers facts that, if known earlier, would have constituted grounds for termination of employment for Cause prior to payment.</w:t>
      </w:r>
    </w:p>
    <w:p>
      <w:pPr>
        <w:spacing w:after="0" w:line="171" w:lineRule="exact"/>
        <w:rPr>
          <w:sz w:val="20"/>
          <w:szCs w:val="20"/>
          <w:color w:val="auto"/>
        </w:rPr>
      </w:pPr>
    </w:p>
    <w:p>
      <w:pPr>
        <w:ind w:left="1140" w:right="400" w:hanging="596"/>
        <w:spacing w:after="0" w:line="252" w:lineRule="auto"/>
        <w:tabs>
          <w:tab w:leader="none" w:pos="1120" w:val="left"/>
        </w:tabs>
        <w:rPr>
          <w:sz w:val="20"/>
          <w:szCs w:val="20"/>
          <w:color w:val="auto"/>
        </w:rPr>
      </w:pPr>
      <w:r>
        <w:rPr>
          <w:rFonts w:ascii="Arial" w:cs="Arial" w:eastAsia="Arial" w:hAnsi="Arial"/>
          <w:sz w:val="20"/>
          <w:szCs w:val="20"/>
          <w:color w:val="auto"/>
        </w:rPr>
        <w:t>10.3</w:t>
        <w:tab/>
        <w:t>If a Participant’s employment is terminated by reason of the Participant’s death or Disability, the Administrator, in its sole discretion, may authorize a Pro-rated Award Payment to the Participant or the Participant’s beneficiary reflecting the Participant’s participation for a portion of the Plan Year in which employment terminated. In the case of a Participant’s Disability, employment shall be deemed to have terminated on the date the Administrator determines the Participant is Disabled.</w:t>
      </w:r>
    </w:p>
    <w:p>
      <w:pPr>
        <w:spacing w:after="0" w:line="174" w:lineRule="exact"/>
        <w:rPr>
          <w:sz w:val="20"/>
          <w:szCs w:val="20"/>
          <w:color w:val="auto"/>
        </w:rPr>
      </w:pPr>
    </w:p>
    <w:p>
      <w:pPr>
        <w:ind w:left="1140" w:right="420" w:hanging="596"/>
        <w:spacing w:after="0" w:line="271" w:lineRule="auto"/>
        <w:tabs>
          <w:tab w:leader="none" w:pos="1120" w:val="left"/>
        </w:tabs>
        <w:rPr>
          <w:sz w:val="20"/>
          <w:szCs w:val="20"/>
          <w:color w:val="auto"/>
        </w:rPr>
      </w:pPr>
      <w:r>
        <w:rPr>
          <w:rFonts w:ascii="Arial" w:cs="Arial" w:eastAsia="Arial" w:hAnsi="Arial"/>
          <w:sz w:val="20"/>
          <w:szCs w:val="20"/>
          <w:color w:val="auto"/>
        </w:rPr>
        <w:t>10.4</w:t>
        <w:tab/>
        <w:t xml:space="preserve">Any Pro-rated Award Payments paid pursuant to this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will be made at the same time and in the same manner as Earned Award payments paid to other Participants.</w:t>
      </w:r>
    </w:p>
    <w:p>
      <w:pPr>
        <w:spacing w:after="0" w:line="153" w:lineRule="exact"/>
        <w:rPr>
          <w:sz w:val="20"/>
          <w:szCs w:val="20"/>
          <w:color w:val="auto"/>
        </w:rPr>
      </w:pPr>
    </w:p>
    <w:p>
      <w:pPr>
        <w:jc w:val="both"/>
        <w:ind w:left="1140" w:right="100" w:hanging="596"/>
        <w:spacing w:after="0" w:line="254" w:lineRule="auto"/>
        <w:tabs>
          <w:tab w:leader="none" w:pos="1120" w:val="left"/>
        </w:tabs>
        <w:rPr>
          <w:sz w:val="20"/>
          <w:szCs w:val="20"/>
          <w:color w:val="auto"/>
        </w:rPr>
      </w:pPr>
      <w:r>
        <w:rPr>
          <w:rFonts w:ascii="Arial" w:cs="Arial" w:eastAsia="Arial" w:hAnsi="Arial"/>
          <w:sz w:val="20"/>
          <w:szCs w:val="20"/>
          <w:color w:val="auto"/>
        </w:rPr>
        <w:t>10.5</w:t>
        <w:tab/>
        <w:t>In the event a Participant’s status changes during the Plan Year as a result of promotion, demotion, position re-evaluation or re-assignment, the Participant’s Target Award may be revised by the Administrator in its sole discretion. Target Awards will typically be pro-rated based on the amount of time spent in each position and the corresponding Target Award percentage for each position.</w:t>
      </w:r>
    </w:p>
    <w:p>
      <w:pPr>
        <w:spacing w:after="0" w:line="165" w:lineRule="exact"/>
        <w:rPr>
          <w:sz w:val="20"/>
          <w:szCs w:val="20"/>
          <w:color w:val="auto"/>
        </w:rPr>
      </w:pPr>
    </w:p>
    <w:p>
      <w:pPr>
        <w:ind w:left="440" w:hanging="440"/>
        <w:spacing w:after="0"/>
        <w:tabs>
          <w:tab w:leader="none" w:pos="440" w:val="left"/>
        </w:tabs>
        <w:numPr>
          <w:ilvl w:val="0"/>
          <w:numId w:val="199"/>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12" w:lineRule="exact"/>
        <w:rPr>
          <w:sz w:val="20"/>
          <w:szCs w:val="20"/>
          <w:color w:val="auto"/>
        </w:rPr>
      </w:pPr>
    </w:p>
    <w:p>
      <w:pPr>
        <w:jc w:val="right"/>
        <w:ind w:left="600" w:right="300"/>
        <w:spacing w:after="0" w:line="32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Compliance with Legal Requirements</w:t>
      </w:r>
      <w:r>
        <w:rPr>
          <w:rFonts w:ascii="Arial" w:cs="Arial" w:eastAsia="Arial" w:hAnsi="Arial"/>
          <w:sz w:val="18"/>
          <w:szCs w:val="18"/>
          <w:color w:val="auto"/>
        </w:rPr>
        <w:t>. The Plan and the granting of Target Awards shall be subject to all applicable federal and state laws, rules and regulations, and to such approvals by any regulatory or governmental agency as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327" w:right="339" w:bottom="1440" w:gutter="0" w:footer="0" w:header="0"/>
        </w:sectPr>
      </w:pPr>
    </w:p>
    <w:bookmarkStart w:id="312" w:name="page313"/>
    <w:bookmarkEnd w:id="312"/>
    <w:p>
      <w:pPr>
        <w:ind w:left="20" w:right="560" w:hanging="596"/>
        <w:spacing w:after="0" w:line="271" w:lineRule="auto"/>
        <w:rPr>
          <w:sz w:val="20"/>
          <w:szCs w:val="20"/>
          <w:color w:val="auto"/>
        </w:rPr>
      </w:pPr>
      <w:r>
        <w:rPr>
          <w:rFonts w:ascii="Arial" w:cs="Arial" w:eastAsia="Arial" w:hAnsi="Arial"/>
          <w:sz w:val="20"/>
          <w:szCs w:val="20"/>
          <w:color w:val="auto"/>
        </w:rPr>
        <w:t>11.2</w:t>
      </w:r>
      <w:r>
        <w:rPr>
          <w:sz w:val="20"/>
          <w:szCs w:val="20"/>
          <w:color w:val="auto"/>
        </w:rPr>
        <w:t xml:space="preserve"> </w:t>
      </w:r>
      <w:r>
        <w:rPr>
          <w:rFonts w:ascii="Arial" w:cs="Arial" w:eastAsia="Arial" w:hAnsi="Arial"/>
          <w:sz w:val="20"/>
          <w:szCs w:val="20"/>
          <w:u w:val="single" w:color="auto"/>
          <w:color w:val="auto"/>
        </w:rPr>
        <w:t>Non-transferability</w:t>
      </w:r>
      <w:r>
        <w:rPr>
          <w:rFonts w:ascii="Arial" w:cs="Arial" w:eastAsia="Arial" w:hAnsi="Arial"/>
          <w:sz w:val="20"/>
          <w:szCs w:val="20"/>
          <w:color w:val="auto"/>
        </w:rPr>
        <w:t>. A person’s rights and interests under the Plan, including any Target Award previously made to such</w:t>
      </w:r>
      <w:r>
        <w:rPr>
          <w:rFonts w:ascii="Arial" w:cs="Arial" w:eastAsia="Arial" w:hAnsi="Arial"/>
          <w:sz w:val="20"/>
          <w:szCs w:val="20"/>
          <w:u w:val="single" w:color="auto"/>
          <w:color w:val="auto"/>
        </w:rPr>
        <w:t xml:space="preserve"> </w:t>
      </w:r>
      <w:r>
        <w:rPr>
          <w:rFonts w:ascii="Arial" w:cs="Arial" w:eastAsia="Arial" w:hAnsi="Arial"/>
          <w:sz w:val="20"/>
          <w:szCs w:val="20"/>
          <w:color w:val="auto"/>
        </w:rPr>
        <w:t>person or any amounts payable under the Plan may not be assigned, pledged, or transferred.</w:t>
      </w:r>
    </w:p>
    <w:p>
      <w:pPr>
        <w:spacing w:after="0" w:line="153" w:lineRule="exact"/>
        <w:rPr>
          <w:sz w:val="20"/>
          <w:szCs w:val="20"/>
          <w:color w:val="auto"/>
        </w:rPr>
      </w:pPr>
    </w:p>
    <w:p>
      <w:pPr>
        <w:jc w:val="both"/>
        <w:ind w:left="20" w:right="60" w:hanging="596"/>
        <w:spacing w:after="0" w:line="258" w:lineRule="auto"/>
        <w:rPr>
          <w:sz w:val="20"/>
          <w:szCs w:val="20"/>
          <w:color w:val="auto"/>
        </w:rPr>
      </w:pPr>
      <w:r>
        <w:rPr>
          <w:rFonts w:ascii="Arial" w:cs="Arial" w:eastAsia="Arial" w:hAnsi="Arial"/>
          <w:sz w:val="20"/>
          <w:szCs w:val="20"/>
          <w:color w:val="auto"/>
        </w:rPr>
        <w:t>11.3</w:t>
      </w:r>
      <w:r>
        <w:rPr>
          <w:sz w:val="20"/>
          <w:szCs w:val="20"/>
          <w:color w:val="auto"/>
        </w:rPr>
        <w:t xml:space="preserve"> </w:t>
      </w:r>
      <w:r>
        <w:rPr>
          <w:rFonts w:ascii="Arial" w:cs="Arial" w:eastAsia="Arial" w:hAnsi="Arial"/>
          <w:sz w:val="20"/>
          <w:szCs w:val="20"/>
          <w:u w:val="single" w:color="auto"/>
          <w:color w:val="auto"/>
        </w:rPr>
        <w:t>No Right to Employment</w:t>
      </w:r>
      <w:r>
        <w:rPr>
          <w:rFonts w:ascii="Arial" w:cs="Arial" w:eastAsia="Arial" w:hAnsi="Arial"/>
          <w:sz w:val="20"/>
          <w:szCs w:val="20"/>
          <w:color w:val="auto"/>
        </w:rPr>
        <w:t>. Nothing in the Plan or in any Award Letter shall confer upon any person the right to continue in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employment of the Company or any Affiliate or affect the right of the Company or any Affiliate to terminate the employment of any Participant.</w:t>
      </w:r>
    </w:p>
    <w:p>
      <w:pPr>
        <w:spacing w:after="0" w:line="167" w:lineRule="exact"/>
        <w:rPr>
          <w:sz w:val="20"/>
          <w:szCs w:val="20"/>
          <w:color w:val="auto"/>
        </w:rPr>
      </w:pPr>
    </w:p>
    <w:p>
      <w:pPr>
        <w:ind w:left="20" w:right="40" w:hanging="596"/>
        <w:spacing w:after="0" w:line="254" w:lineRule="auto"/>
        <w:rPr>
          <w:sz w:val="20"/>
          <w:szCs w:val="20"/>
          <w:color w:val="auto"/>
        </w:rPr>
      </w:pPr>
      <w:r>
        <w:rPr>
          <w:rFonts w:ascii="Arial" w:cs="Arial" w:eastAsia="Arial" w:hAnsi="Arial"/>
          <w:sz w:val="20"/>
          <w:szCs w:val="20"/>
          <w:color w:val="auto"/>
        </w:rPr>
        <w:t>11.4</w:t>
      </w:r>
      <w:r>
        <w:rPr>
          <w:sz w:val="20"/>
          <w:szCs w:val="20"/>
          <w:color w:val="auto"/>
        </w:rPr>
        <w:t xml:space="preserve"> </w:t>
      </w:r>
      <w:r>
        <w:rPr>
          <w:rFonts w:ascii="Arial" w:cs="Arial" w:eastAsia="Arial" w:hAnsi="Arial"/>
          <w:sz w:val="20"/>
          <w:szCs w:val="20"/>
          <w:u w:val="single" w:color="auto"/>
          <w:color w:val="auto"/>
        </w:rPr>
        <w:t>No Right to Award</w:t>
      </w:r>
      <w:r>
        <w:rPr>
          <w:rFonts w:ascii="Arial" w:cs="Arial" w:eastAsia="Arial" w:hAnsi="Arial"/>
          <w:sz w:val="20"/>
          <w:szCs w:val="20"/>
          <w:color w:val="auto"/>
        </w:rPr>
        <w:t>. Unless otherwise expressly set forth in an employment agreement signed by the Company and a</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Participant, a Participant shall not have any right to a Target Award under the Plan until such Target Award has been issued to such Participant. Participation in the Plan in one Plan Year does not connote or confer any right to participate in the Plan in any future Plan Year.</w:t>
      </w:r>
    </w:p>
    <w:p>
      <w:pPr>
        <w:spacing w:after="0" w:line="171" w:lineRule="exact"/>
        <w:rPr>
          <w:sz w:val="20"/>
          <w:szCs w:val="20"/>
          <w:color w:val="auto"/>
        </w:rPr>
      </w:pPr>
    </w:p>
    <w:p>
      <w:pPr>
        <w:ind w:left="20" w:hanging="596"/>
        <w:spacing w:after="0" w:line="284" w:lineRule="auto"/>
        <w:rPr>
          <w:sz w:val="20"/>
          <w:szCs w:val="20"/>
          <w:color w:val="auto"/>
        </w:rPr>
      </w:pPr>
      <w:r>
        <w:rPr>
          <w:rFonts w:ascii="Arial" w:cs="Arial" w:eastAsia="Arial" w:hAnsi="Arial"/>
          <w:sz w:val="20"/>
          <w:szCs w:val="20"/>
          <w:color w:val="auto"/>
        </w:rPr>
        <w:t>11.5</w:t>
      </w:r>
      <w:r>
        <w:rPr>
          <w:sz w:val="20"/>
          <w:szCs w:val="20"/>
          <w:color w:val="auto"/>
        </w:rPr>
        <w:t xml:space="preserve"> </w:t>
      </w: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withhold from any amounts payable under the Plan, any federal, state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local income and/or payroll taxes required by law to be withheld, any other applicable withholdings or deductions, and to take such other action as the Company may deem advisable to enable the Company and Participants to satisfy obligations for the payment of withholding taxes and other tax obligations relating to payment of an Earned Award. The Company shall also be entitled to withhold from an Earned Award any amounts owed by the Participant to the Company. Participants will only receive the net amount remaining after all applicable taxes, withholdings and deductions have been collected.</w:t>
      </w:r>
    </w:p>
    <w:p>
      <w:pPr>
        <w:spacing w:after="0" w:line="148" w:lineRule="exact"/>
        <w:rPr>
          <w:sz w:val="20"/>
          <w:szCs w:val="20"/>
          <w:color w:val="auto"/>
        </w:rPr>
      </w:pPr>
    </w:p>
    <w:p>
      <w:pPr>
        <w:ind w:left="20" w:right="120" w:hanging="596"/>
        <w:spacing w:after="0" w:line="258" w:lineRule="auto"/>
        <w:rPr>
          <w:sz w:val="20"/>
          <w:szCs w:val="20"/>
          <w:color w:val="auto"/>
        </w:rPr>
      </w:pPr>
      <w:r>
        <w:rPr>
          <w:rFonts w:ascii="Arial" w:cs="Arial" w:eastAsia="Arial" w:hAnsi="Arial"/>
          <w:sz w:val="20"/>
          <w:szCs w:val="20"/>
          <w:color w:val="auto"/>
        </w:rPr>
        <w:t>11.6</w:t>
      </w:r>
      <w:r>
        <w:rPr>
          <w:sz w:val="20"/>
          <w:szCs w:val="20"/>
          <w:color w:val="auto"/>
        </w:rPr>
        <w:t xml:space="preserve"> </w:t>
      </w:r>
      <w:r>
        <w:rPr>
          <w:rFonts w:ascii="Arial" w:cs="Arial" w:eastAsia="Arial" w:hAnsi="Arial"/>
          <w:sz w:val="20"/>
          <w:szCs w:val="20"/>
          <w:u w:val="single" w:color="auto"/>
          <w:color w:val="auto"/>
        </w:rPr>
        <w:t>Amendment or Termination of the Plan</w:t>
      </w:r>
      <w:r>
        <w:rPr>
          <w:rFonts w:ascii="Arial" w:cs="Arial" w:eastAsia="Arial" w:hAnsi="Arial"/>
          <w:sz w:val="20"/>
          <w:szCs w:val="20"/>
          <w:color w:val="auto"/>
        </w:rPr>
        <w:t>. The Board or the Committee may, at any time, amend, alter, cancel, suspend, modify</w:t>
      </w:r>
      <w:r>
        <w:rPr>
          <w:rFonts w:ascii="Arial" w:cs="Arial" w:eastAsia="Arial" w:hAnsi="Arial"/>
          <w:sz w:val="20"/>
          <w:szCs w:val="20"/>
          <w:u w:val="single" w:color="auto"/>
          <w:color w:val="auto"/>
        </w:rPr>
        <w:t xml:space="preserve"> </w:t>
      </w:r>
      <w:r>
        <w:rPr>
          <w:rFonts w:ascii="Arial" w:cs="Arial" w:eastAsia="Arial" w:hAnsi="Arial"/>
          <w:sz w:val="20"/>
          <w:szCs w:val="20"/>
          <w:color w:val="auto"/>
        </w:rPr>
        <w:t>or terminate the Plan, in whole or in part, at any time and for any reason. Any Earned Awards earned prior to the date of modification or termination will be distributed in accordance with Plan provisions.</w:t>
      </w:r>
    </w:p>
    <w:p>
      <w:pPr>
        <w:spacing w:after="0" w:line="167" w:lineRule="exact"/>
        <w:rPr>
          <w:sz w:val="20"/>
          <w:szCs w:val="20"/>
          <w:color w:val="auto"/>
        </w:rPr>
      </w:pPr>
    </w:p>
    <w:p>
      <w:pPr>
        <w:ind w:left="20" w:right="100" w:hanging="596"/>
        <w:spacing w:after="0" w:line="283" w:lineRule="auto"/>
        <w:rPr>
          <w:sz w:val="20"/>
          <w:szCs w:val="20"/>
          <w:color w:val="auto"/>
        </w:rPr>
      </w:pPr>
      <w:r>
        <w:rPr>
          <w:rFonts w:ascii="Arial" w:cs="Arial" w:eastAsia="Arial" w:hAnsi="Arial"/>
          <w:sz w:val="20"/>
          <w:szCs w:val="20"/>
          <w:color w:val="auto"/>
        </w:rPr>
        <w:t>11.7</w:t>
      </w:r>
      <w:r>
        <w:rPr>
          <w:sz w:val="20"/>
          <w:szCs w:val="20"/>
          <w:color w:val="auto"/>
        </w:rPr>
        <w:t xml:space="preserve"> </w:t>
      </w:r>
      <w:r>
        <w:rPr>
          <w:rFonts w:ascii="Arial" w:cs="Arial" w:eastAsia="Arial" w:hAnsi="Arial"/>
          <w:sz w:val="18"/>
          <w:szCs w:val="18"/>
          <w:u w:val="single" w:color="auto"/>
          <w:color w:val="auto"/>
        </w:rPr>
        <w:t>Unfunded Status</w:t>
      </w:r>
      <w:r>
        <w:rPr>
          <w:rFonts w:ascii="Arial" w:cs="Arial" w:eastAsia="Arial" w:hAnsi="Arial"/>
          <w:sz w:val="18"/>
          <w:szCs w:val="18"/>
          <w:color w:val="auto"/>
        </w:rPr>
        <w:t>. Nothing contained in the Plan, and no action taken pursuant to its provisions, shall create or be construed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create a trust of any kind or a fiduciary relationship between the Company and any Participant, beneficiary or legal representative or any other person. To the extent that a person acquires a right to receive payments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The Plan is not intended to be subject to the Employee Retirement Income Security Act of 1974, as amended (ERISA).</w:t>
      </w:r>
    </w:p>
    <w:p>
      <w:pPr>
        <w:spacing w:after="0" w:line="146" w:lineRule="exact"/>
        <w:rPr>
          <w:sz w:val="20"/>
          <w:szCs w:val="20"/>
          <w:color w:val="auto"/>
        </w:rPr>
      </w:pPr>
    </w:p>
    <w:p>
      <w:pPr>
        <w:ind w:left="20" w:right="480" w:hanging="596"/>
        <w:spacing w:after="0" w:line="271" w:lineRule="auto"/>
        <w:rPr>
          <w:sz w:val="20"/>
          <w:szCs w:val="20"/>
          <w:color w:val="auto"/>
        </w:rPr>
      </w:pPr>
      <w:r>
        <w:rPr>
          <w:rFonts w:ascii="Arial" w:cs="Arial" w:eastAsia="Arial" w:hAnsi="Arial"/>
          <w:sz w:val="20"/>
          <w:szCs w:val="20"/>
          <w:color w:val="auto"/>
        </w:rPr>
        <w:t>11.8</w:t>
      </w:r>
      <w:r>
        <w:rPr>
          <w:sz w:val="20"/>
          <w:szCs w:val="20"/>
          <w:color w:val="auto"/>
        </w:rPr>
        <w:t xml:space="preserve"> </w:t>
      </w:r>
      <w:r>
        <w:rPr>
          <w:rFonts w:ascii="Arial" w:cs="Arial" w:eastAsia="Arial" w:hAnsi="Arial"/>
          <w:sz w:val="20"/>
          <w:szCs w:val="20"/>
          <w:u w:val="single" w:color="auto"/>
          <w:color w:val="auto"/>
        </w:rPr>
        <w:t>Governing Law, Jurisdiction, Venue</w:t>
      </w:r>
      <w:r>
        <w:rPr>
          <w:rFonts w:ascii="Arial" w:cs="Arial" w:eastAsia="Arial" w:hAnsi="Arial"/>
          <w:sz w:val="20"/>
          <w:szCs w:val="20"/>
          <w:color w:val="auto"/>
        </w:rPr>
        <w:t>. The laws of the Commonwealth of Virginia shall govern the interpretation, validity,</w:t>
      </w:r>
      <w:r>
        <w:rPr>
          <w:rFonts w:ascii="Arial" w:cs="Arial" w:eastAsia="Arial" w:hAnsi="Arial"/>
          <w:sz w:val="20"/>
          <w:szCs w:val="20"/>
          <w:u w:val="single" w:color="auto"/>
          <w:color w:val="auto"/>
        </w:rPr>
        <w:t xml:space="preserve"> </w:t>
      </w:r>
      <w:r>
        <w:rPr>
          <w:rFonts w:ascii="Arial" w:cs="Arial" w:eastAsia="Arial" w:hAnsi="Arial"/>
          <w:sz w:val="20"/>
          <w:szCs w:val="20"/>
          <w:color w:val="auto"/>
        </w:rPr>
        <w:t>administration, enforcement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120"/>
          </w:cols>
          <w:pgMar w:left="1440" w:top="1327" w:right="339" w:bottom="1440" w:gutter="0" w:footer="0" w:header="0"/>
        </w:sectPr>
      </w:pPr>
    </w:p>
    <w:bookmarkStart w:id="313" w:name="page314"/>
    <w:bookmarkEnd w:id="313"/>
    <w:p>
      <w:pPr>
        <w:ind w:left="80" w:right="140"/>
        <w:spacing w:after="0" w:line="264" w:lineRule="auto"/>
        <w:rPr>
          <w:sz w:val="20"/>
          <w:szCs w:val="20"/>
          <w:color w:val="auto"/>
        </w:rPr>
      </w:pPr>
      <w:r>
        <w:rPr>
          <w:rFonts w:ascii="Arial" w:cs="Arial" w:eastAsia="Arial" w:hAnsi="Arial"/>
          <w:sz w:val="19"/>
          <w:szCs w:val="19"/>
          <w:color w:val="auto"/>
        </w:rPr>
        <w:t>performance of the terms of the Plan regardless of the law that might be applied under principles of conflicts of laws. The parties agree that any suit, action, or proceeding arising out of or relating to the Plan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the Plan shall for any reason be held invalid or unenforceable, it is the specific intent of the parties that such provisions shall be modified to the minimum extent necessary to make it or its application valid and enforceable.</w:t>
      </w:r>
    </w:p>
    <w:p>
      <w:pPr>
        <w:spacing w:after="0" w:line="164" w:lineRule="exact"/>
        <w:rPr>
          <w:sz w:val="20"/>
          <w:szCs w:val="20"/>
          <w:color w:val="auto"/>
        </w:rPr>
      </w:pPr>
    </w:p>
    <w:p>
      <w:pPr>
        <w:ind w:left="20" w:right="20" w:hanging="596"/>
        <w:spacing w:after="0" w:line="252" w:lineRule="auto"/>
        <w:rPr>
          <w:sz w:val="20"/>
          <w:szCs w:val="20"/>
          <w:color w:val="auto"/>
        </w:rPr>
      </w:pPr>
      <w:r>
        <w:rPr>
          <w:rFonts w:ascii="Arial" w:cs="Arial" w:eastAsia="Arial" w:hAnsi="Arial"/>
          <w:sz w:val="20"/>
          <w:szCs w:val="20"/>
          <w:color w:val="auto"/>
        </w:rPr>
        <w:t>11.9</w:t>
      </w:r>
      <w:r>
        <w:rPr>
          <w:sz w:val="20"/>
          <w:szCs w:val="20"/>
          <w:color w:val="auto"/>
        </w:rPr>
        <w:t xml:space="preserve"> </w:t>
      </w:r>
      <w:r>
        <w:rPr>
          <w:rFonts w:ascii="Arial" w:cs="Arial" w:eastAsia="Arial" w:hAnsi="Arial"/>
          <w:sz w:val="20"/>
          <w:szCs w:val="20"/>
          <w:u w:val="single" w:color="auto"/>
          <w:color w:val="auto"/>
        </w:rPr>
        <w:t>Section 409Aof the Code</w:t>
      </w:r>
      <w:r>
        <w:rPr>
          <w:rFonts w:ascii="Arial" w:cs="Arial" w:eastAsia="Arial" w:hAnsi="Arial"/>
          <w:sz w:val="20"/>
          <w:szCs w:val="20"/>
          <w:color w:val="auto"/>
        </w:rPr>
        <w:t>. It is intended that payments under the Plan qualify as short-term deferrals exempt from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requirements of Section 409A of the Code. In the event that any Target Award does not qualify for treatment as an exempt short-term deferral, it is intended that such amount will be paid in a manner that satisfies the requirements of Section 409A of the Code. The Plan shall be interpreted and construed accordingly. The Board and the Committee will have full authority to give effect to the intent of the foregoing.</w:t>
      </w:r>
    </w:p>
    <w:p>
      <w:pPr>
        <w:spacing w:after="0" w:line="174" w:lineRule="exact"/>
        <w:rPr>
          <w:sz w:val="20"/>
          <w:szCs w:val="20"/>
          <w:color w:val="auto"/>
        </w:rPr>
      </w:pPr>
    </w:p>
    <w:p>
      <w:pPr>
        <w:ind w:left="80" w:right="220"/>
        <w:spacing w:after="0" w:line="271" w:lineRule="auto"/>
        <w:rPr>
          <w:sz w:val="20"/>
          <w:szCs w:val="20"/>
          <w:color w:val="auto"/>
        </w:rPr>
      </w:pPr>
      <w:r>
        <w:rPr>
          <w:rFonts w:ascii="Arial" w:cs="Arial" w:eastAsia="Arial" w:hAnsi="Arial"/>
          <w:sz w:val="20"/>
          <w:szCs w:val="20"/>
          <w:color w:val="auto"/>
        </w:rPr>
        <w:t xml:space="preserve">Without limiting the generality of this </w:t>
      </w:r>
      <w:r>
        <w:rPr>
          <w:rFonts w:ascii="Arial" w:cs="Arial" w:eastAsia="Arial" w:hAnsi="Arial"/>
          <w:sz w:val="20"/>
          <w:szCs w:val="20"/>
          <w:u w:val="single" w:color="auto"/>
          <w:color w:val="auto"/>
        </w:rPr>
        <w:t>Section 11.9</w:t>
      </w:r>
      <w:r>
        <w:rPr>
          <w:rFonts w:ascii="Arial" w:cs="Arial" w:eastAsia="Arial" w:hAnsi="Arial"/>
          <w:sz w:val="20"/>
          <w:szCs w:val="20"/>
          <w:color w:val="auto"/>
        </w:rPr>
        <w:t>, with respect to any Target Award made under the Plan that is “deferred compensation” subject to Section 409A:</w:t>
      </w:r>
    </w:p>
    <w:p>
      <w:pPr>
        <w:spacing w:after="0" w:line="153" w:lineRule="exact"/>
        <w:rPr>
          <w:sz w:val="20"/>
          <w:szCs w:val="20"/>
          <w:color w:val="auto"/>
        </w:rPr>
      </w:pPr>
    </w:p>
    <w:p>
      <w:pPr>
        <w:ind w:left="680" w:right="60" w:hanging="606"/>
        <w:spacing w:after="0" w:line="271" w:lineRule="auto"/>
        <w:tabs>
          <w:tab w:leader="none" w:pos="50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any payment due upon termination of the Participant’s employment will be paid only upon such Participant’s separation from service from the Company within the meaning of Section 409A;</w:t>
      </w:r>
    </w:p>
    <w:p>
      <w:pPr>
        <w:spacing w:after="0" w:line="152" w:lineRule="exact"/>
        <w:rPr>
          <w:rFonts w:ascii="Arial" w:cs="Arial" w:eastAsia="Arial" w:hAnsi="Arial"/>
          <w:sz w:val="20"/>
          <w:szCs w:val="20"/>
          <w:color w:val="auto"/>
        </w:rPr>
      </w:pPr>
    </w:p>
    <w:p>
      <w:pPr>
        <w:ind w:left="680" w:right="100" w:hanging="606"/>
        <w:spacing w:after="0" w:line="272" w:lineRule="auto"/>
        <w:tabs>
          <w:tab w:leader="none" w:pos="514"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any payment to be made with respect to such Target Award in connection with the Participant’s separation from service from the Company within the meaning of Section 409A (and any other payment that would be subject to the limitations in Section 409A(a)(2)(B) of the Code) will be delayed until six months after the Participant’s separation from service (or earlier death) in accordance with the requirements of Section 409A; and</w:t>
      </w:r>
    </w:p>
    <w:p>
      <w:pPr>
        <w:spacing w:after="0" w:line="154" w:lineRule="exact"/>
        <w:rPr>
          <w:rFonts w:ascii="Arial" w:cs="Arial" w:eastAsia="Arial" w:hAnsi="Arial"/>
          <w:sz w:val="19"/>
          <w:szCs w:val="19"/>
          <w:color w:val="auto"/>
        </w:rPr>
      </w:pPr>
    </w:p>
    <w:p>
      <w:pPr>
        <w:ind w:left="680" w:hanging="606"/>
        <w:spacing w:after="0" w:line="267" w:lineRule="auto"/>
        <w:tabs>
          <w:tab w:leader="none" w:pos="503" w:val="left"/>
        </w:tabs>
        <w:numPr>
          <w:ilvl w:val="0"/>
          <w:numId w:val="200"/>
        </w:numPr>
        <w:rPr>
          <w:rFonts w:ascii="Arial" w:cs="Arial" w:eastAsia="Arial" w:hAnsi="Arial"/>
          <w:sz w:val="19"/>
          <w:szCs w:val="19"/>
          <w:color w:val="auto"/>
        </w:rPr>
      </w:pPr>
      <w:r>
        <w:rPr>
          <w:rFonts w:ascii="Arial" w:cs="Arial" w:eastAsia="Arial" w:hAnsi="Arial"/>
          <w:sz w:val="19"/>
          <w:szCs w:val="19"/>
          <w:color w:val="auto"/>
        </w:rPr>
        <w:t>for purposes of determining whether the Participant has experienced a separation from service from the Company within the meaning of Section 409A, “subsidiary” will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 provided that the language “at least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100"/>
          </w:cols>
          <w:pgMar w:left="1440" w:top="1327" w:right="359" w:bottom="1440" w:gutter="0" w:footer="0" w:header="0"/>
        </w:sectPr>
      </w:pPr>
    </w:p>
    <w:bookmarkStart w:id="314" w:name="page315"/>
    <w:bookmarkEnd w:id="314"/>
    <w:p>
      <w:pPr>
        <w:ind w:left="680" w:right="280"/>
        <w:spacing w:after="0" w:line="271" w:lineRule="auto"/>
        <w:rPr>
          <w:sz w:val="20"/>
          <w:szCs w:val="20"/>
          <w:color w:val="auto"/>
        </w:rPr>
      </w:pPr>
      <w:r>
        <w:rPr>
          <w:rFonts w:ascii="Arial" w:cs="Arial" w:eastAsia="Arial" w:hAnsi="Arial"/>
          <w:sz w:val="20"/>
          <w:szCs w:val="20"/>
          <w:color w:val="auto"/>
        </w:rPr>
        <w:t>percent” is used instead of “at least 80 percent” each place it appears in Section 1.414(c)-2(b)(2)(i) of the Treasury Regulations.</w:t>
      </w:r>
    </w:p>
    <w:p>
      <w:pPr>
        <w:spacing w:after="0" w:line="153" w:lineRule="exact"/>
        <w:rPr>
          <w:sz w:val="20"/>
          <w:szCs w:val="20"/>
          <w:color w:val="auto"/>
        </w:rPr>
      </w:pPr>
    </w:p>
    <w:p>
      <w:pPr>
        <w:ind w:left="80" w:right="340" w:hanging="596"/>
        <w:spacing w:after="0" w:line="271" w:lineRule="auto"/>
        <w:tabs>
          <w:tab w:leader="none" w:pos="6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20"/>
          <w:szCs w:val="20"/>
          <w:u w:val="single" w:color="auto"/>
          <w:color w:val="auto"/>
        </w:rPr>
        <w:t>Section Headings</w:t>
      </w:r>
      <w:r>
        <w:rPr>
          <w:rFonts w:ascii="Arial" w:cs="Arial" w:eastAsia="Arial" w:hAnsi="Arial"/>
          <w:sz w:val="20"/>
          <w:szCs w:val="20"/>
          <w:color w:val="auto"/>
        </w:rPr>
        <w:t>. The headings of the Plan have been inserted for convenience of reference only and in the event of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conflict, the text of the Plan, rather than such headings, shall control.</w:t>
      </w:r>
    </w:p>
    <w:p>
      <w:pPr>
        <w:spacing w:after="0" w:line="153" w:lineRule="exact"/>
        <w:rPr>
          <w:sz w:val="20"/>
          <w:szCs w:val="20"/>
          <w:color w:val="auto"/>
        </w:rPr>
      </w:pPr>
    </w:p>
    <w:p>
      <w:pPr>
        <w:jc w:val="both"/>
        <w:ind w:left="80" w:right="260" w:hanging="596"/>
        <w:spacing w:after="0" w:line="258" w:lineRule="auto"/>
        <w:tabs>
          <w:tab w:leader="none" w:pos="6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the Plan shall be considered illegal or invalid for any reason, such illegality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invalidity shall not affect the remaining provisions of the Plan, but shall be fully severable, and the Plan shall be construed and enforced as if such illegal or invalid provision had never been contained therein.</w:t>
      </w:r>
    </w:p>
    <w:p>
      <w:pPr>
        <w:spacing w:after="0" w:line="167" w:lineRule="exact"/>
        <w:rPr>
          <w:sz w:val="20"/>
          <w:szCs w:val="20"/>
          <w:color w:val="auto"/>
        </w:rPr>
      </w:pPr>
    </w:p>
    <w:p>
      <w:pPr>
        <w:ind w:left="80" w:right="40" w:hanging="596"/>
        <w:spacing w:after="0" w:line="271" w:lineRule="auto"/>
        <w:tabs>
          <w:tab w:leader="none" w:pos="6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20"/>
          <w:szCs w:val="20"/>
          <w:u w:val="single" w:color="auto"/>
          <w:color w:val="auto"/>
        </w:rPr>
        <w:t>Non-exclusive</w:t>
      </w:r>
      <w:r>
        <w:rPr>
          <w:rFonts w:ascii="Arial" w:cs="Arial" w:eastAsia="Arial" w:hAnsi="Arial"/>
          <w:sz w:val="20"/>
          <w:szCs w:val="20"/>
          <w:color w:val="auto"/>
        </w:rPr>
        <w:t>. Nothing in the Plan shall limit the authority of the Company to adopt other compensation arrangements for a</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Participant.</w:t>
      </w:r>
    </w:p>
    <w:p>
      <w:pPr>
        <w:spacing w:after="0" w:line="153" w:lineRule="exact"/>
        <w:rPr>
          <w:sz w:val="20"/>
          <w:szCs w:val="20"/>
          <w:color w:val="auto"/>
        </w:rPr>
      </w:pPr>
    </w:p>
    <w:p>
      <w:pPr>
        <w:jc w:val="both"/>
        <w:ind w:left="80" w:right="320" w:hanging="596"/>
        <w:spacing w:after="0" w:line="325" w:lineRule="auto"/>
        <w:tabs>
          <w:tab w:leader="none" w:pos="6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7"/>
          <w:szCs w:val="17"/>
          <w:u w:val="single" w:color="auto"/>
          <w:color w:val="auto"/>
        </w:rPr>
        <w:t>Successors</w:t>
      </w:r>
      <w:r>
        <w:rPr>
          <w:rFonts w:ascii="Arial" w:cs="Arial" w:eastAsia="Arial" w:hAnsi="Arial"/>
          <w:sz w:val="17"/>
          <w:szCs w:val="17"/>
          <w:color w:val="auto"/>
        </w:rPr>
        <w:t>. Subject to</w:t>
      </w:r>
      <w:r>
        <w:rPr>
          <w:rFonts w:ascii="Arial" w:cs="Arial" w:eastAsia="Arial" w:hAnsi="Arial"/>
          <w:sz w:val="17"/>
          <w:szCs w:val="17"/>
          <w:u w:val="single" w:color="auto"/>
          <w:color w:val="auto"/>
        </w:rPr>
        <w:t xml:space="preserve"> Section 11.6</w:t>
      </w:r>
      <w:r>
        <w:rPr>
          <w:rFonts w:ascii="Arial" w:cs="Arial" w:eastAsia="Arial" w:hAnsi="Arial"/>
          <w:sz w:val="17"/>
          <w:szCs w:val="17"/>
          <w:color w:val="auto"/>
        </w:rPr>
        <w:t>, all obligations of the Company under the Plan with respect to Target Awards granted</w:t>
      </w:r>
      <w:r>
        <w:rPr>
          <w:rFonts w:ascii="Arial" w:cs="Arial" w:eastAsia="Arial" w:hAnsi="Arial"/>
          <w:sz w:val="17"/>
          <w:szCs w:val="17"/>
          <w:u w:val="single" w:color="auto"/>
          <w:color w:val="auto"/>
        </w:rPr>
        <w:t xml:space="preserve"> </w:t>
      </w:r>
      <w:r>
        <w:rPr>
          <w:rFonts w:ascii="Arial" w:cs="Arial" w:eastAsia="Arial" w:hAnsi="Arial"/>
          <w:sz w:val="17"/>
          <w:szCs w:val="17"/>
          <w:color w:val="auto"/>
        </w:rPr>
        <w:t>hereunder shall be binding upon any successor to the Company, whether the existence of such successor is the result of a direct or indirect purchase, merger, consolidation or otherwise, of all or substantially all of the assets of the Company.</w:t>
      </w:r>
    </w:p>
    <w:p>
      <w:pPr>
        <w:spacing w:after="0" w:line="114" w:lineRule="exact"/>
        <w:rPr>
          <w:sz w:val="20"/>
          <w:szCs w:val="20"/>
          <w:color w:val="auto"/>
        </w:rPr>
      </w:pPr>
    </w:p>
    <w:p>
      <w:pPr>
        <w:ind w:left="80" w:right="20" w:hanging="596"/>
        <w:spacing w:after="0" w:line="258" w:lineRule="auto"/>
        <w:tabs>
          <w:tab w:leader="none" w:pos="6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20"/>
          <w:szCs w:val="20"/>
          <w:u w:val="single" w:color="auto"/>
          <w:color w:val="auto"/>
        </w:rPr>
        <w:t>Effect on Other Benefits</w:t>
      </w:r>
      <w:r>
        <w:rPr>
          <w:rFonts w:ascii="Arial" w:cs="Arial" w:eastAsia="Arial" w:hAnsi="Arial"/>
          <w:sz w:val="20"/>
          <w:szCs w:val="20"/>
          <w:color w:val="auto"/>
        </w:rPr>
        <w:t>. Amounts paid or payable under the Plan may be taken into account in determining payments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benefits under any other compensation or benefit plan, but only to the extent provided for, or not explicitly prohibited by, any governing plan documents.</w:t>
      </w:r>
    </w:p>
    <w:p>
      <w:pPr>
        <w:spacing w:after="0" w:line="167" w:lineRule="exact"/>
        <w:rPr>
          <w:sz w:val="20"/>
          <w:szCs w:val="20"/>
          <w:color w:val="auto"/>
        </w:rPr>
      </w:pPr>
    </w:p>
    <w:p>
      <w:pPr>
        <w:ind w:left="80" w:right="40" w:hanging="596"/>
        <w:spacing w:after="0" w:line="264" w:lineRule="auto"/>
        <w:tabs>
          <w:tab w:leader="none" w:pos="6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of Participant’s employment with the Company and for a period of twelve (12) months</w:t>
      </w:r>
      <w:r>
        <w:rPr>
          <w:rFonts w:ascii="Arial" w:cs="Arial" w:eastAsia="Arial" w:hAnsi="Arial"/>
          <w:sz w:val="19"/>
          <w:szCs w:val="19"/>
          <w:u w:val="single" w:color="auto"/>
          <w:color w:val="auto"/>
        </w:rPr>
        <w:t xml:space="preserve"> </w:t>
      </w:r>
      <w:r>
        <w:rPr>
          <w:rFonts w:ascii="Arial" w:cs="Arial" w:eastAsia="Arial" w:hAnsi="Arial"/>
          <w:sz w:val="19"/>
          <w:szCs w:val="19"/>
          <w:color w:val="auto"/>
        </w:rPr>
        <w:t>following termination of the Participant’s employment, the Participant will not, directly or indirectly, either on Participant’s own behalf or 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(collectively, “</w:t>
      </w:r>
      <w:r>
        <w:rPr>
          <w:rFonts w:ascii="Arial" w:cs="Arial" w:eastAsia="Arial" w:hAnsi="Arial"/>
          <w:sz w:val="19"/>
          <w:szCs w:val="19"/>
          <w:u w:val="single" w:color="auto"/>
          <w:color w:val="auto"/>
        </w:rPr>
        <w:t>Covered Employee</w:t>
      </w:r>
      <w:r>
        <w:rPr>
          <w:rFonts w:ascii="Arial" w:cs="Arial" w:eastAsia="Arial" w:hAnsi="Arial"/>
          <w:sz w:val="19"/>
          <w:szCs w:val="19"/>
          <w:color w:val="auto"/>
        </w:rPr>
        <w:t>”) to leave the employment of the Company or cease performing services for the Company; (ii) hire or engage or assist any third party in hiring or engaging, any Covered Employee; or (iii) Solicit, induce or assist any third party in Soliciting or inducing any other person or entity (including, without limitation, any third-party service provider or distributor) to terminate its relationship with the Company or otherwise interfere with such relationship.</w:t>
      </w:r>
    </w:p>
    <w:p>
      <w:pPr>
        <w:spacing w:after="0" w:line="164" w:lineRule="exact"/>
        <w:rPr>
          <w:sz w:val="20"/>
          <w:szCs w:val="20"/>
          <w:color w:val="auto"/>
        </w:rPr>
      </w:pPr>
    </w:p>
    <w:p>
      <w:pPr>
        <w:ind w:left="80"/>
        <w:spacing w:after="0" w:line="258" w:lineRule="auto"/>
        <w:rPr>
          <w:sz w:val="20"/>
          <w:szCs w:val="20"/>
          <w:color w:val="auto"/>
        </w:rPr>
      </w:pPr>
      <w:r>
        <w:rPr>
          <w:rFonts w:ascii="Arial" w:cs="Arial" w:eastAsia="Arial" w:hAnsi="Arial"/>
          <w:sz w:val="20"/>
          <w:szCs w:val="20"/>
          <w:color w:val="auto"/>
        </w:rPr>
        <w:t>This non-solicitation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080"/>
          </w:cols>
          <w:pgMar w:left="1440" w:top="1327" w:right="379" w:bottom="1440" w:gutter="0" w:footer="0" w:header="0"/>
        </w:sectPr>
      </w:pPr>
    </w:p>
    <w:bookmarkStart w:id="315" w:name="page316"/>
    <w:bookmarkEnd w:id="315"/>
    <w:p>
      <w:pPr>
        <w:ind w:left="80" w:right="420"/>
        <w:spacing w:after="0" w:line="272" w:lineRule="auto"/>
        <w:rPr>
          <w:sz w:val="20"/>
          <w:szCs w:val="20"/>
          <w:color w:val="auto"/>
        </w:rPr>
      </w:pPr>
      <w:r>
        <w:rPr>
          <w:rFonts w:ascii="Arial" w:cs="Arial" w:eastAsia="Arial" w:hAnsi="Arial"/>
          <w:sz w:val="19"/>
          <w:szCs w:val="19"/>
          <w:color w:val="auto"/>
        </w:rPr>
        <w:t>any other social media platform, whether or not in existence at the time of entering into the Plan. However, it will not be deemed a violation of this Section if the Participant merely updates the Participant’s LinkedIn profile or connects with a Covered Employee on Facebook, LinkedIn, or other social media platform without engaging in any other substantive communication, by social media or otherwise, that is prohibited by this Section.</w:t>
      </w:r>
    </w:p>
    <w:p>
      <w:pPr>
        <w:spacing w:after="0" w:line="154" w:lineRule="exact"/>
        <w:rPr>
          <w:sz w:val="20"/>
          <w:szCs w:val="20"/>
          <w:color w:val="auto"/>
        </w:rPr>
      </w:pPr>
    </w:p>
    <w:p>
      <w:pPr>
        <w:ind w:left="80" w:right="60" w:hanging="596"/>
        <w:spacing w:after="0" w:line="308" w:lineRule="auto"/>
        <w:tabs>
          <w:tab w:leader="none" w:pos="6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17"/>
          <w:szCs w:val="17"/>
          <w:u w:val="single" w:color="auto"/>
          <w:color w:val="auto"/>
        </w:rPr>
        <w:t>Forfeiture for Violation of Restrictive Covenants</w:t>
      </w:r>
      <w:r>
        <w:rPr>
          <w:rFonts w:ascii="Arial" w:cs="Arial" w:eastAsia="Arial" w:hAnsi="Arial"/>
          <w:sz w:val="17"/>
          <w:szCs w:val="17"/>
          <w:color w:val="auto"/>
        </w:rPr>
        <w:t>. The grant of an Award Payment and Participant’s agreement to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Restrictive Covenants are intended to be mutually dependent promises and in the event Participant breaches or threatens to breach the Restrictive Covenants, then to the greatest extent permitted by applicable law: (i) any Award Payment that has not yet been paid shall cease to be payable and (ii) any Award Payment that has been paid to Participant during the twelve (12) months prior to Participant’s breach or threatened breach of the Restrictive Covenants shall be forfeited for no consideration.</w:t>
      </w:r>
    </w:p>
    <w:p>
      <w:pPr>
        <w:spacing w:after="0" w:line="127" w:lineRule="exact"/>
        <w:rPr>
          <w:sz w:val="20"/>
          <w:szCs w:val="20"/>
          <w:color w:val="auto"/>
        </w:rPr>
      </w:pPr>
    </w:p>
    <w:p>
      <w:pPr>
        <w:ind w:left="80" w:hanging="596"/>
        <w:spacing w:after="0" w:line="262" w:lineRule="auto"/>
        <w:tabs>
          <w:tab w:leader="none" w:pos="6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9"/>
          <w:szCs w:val="19"/>
          <w:u w:val="single" w:color="auto"/>
          <w:color w:val="auto"/>
        </w:rPr>
        <w:t>Clawback</w:t>
      </w:r>
      <w:r>
        <w:rPr>
          <w:rFonts w:ascii="Arial" w:cs="Arial" w:eastAsia="Arial" w:hAnsi="Arial"/>
          <w:sz w:val="19"/>
          <w:szCs w:val="19"/>
          <w:color w:val="auto"/>
        </w:rPr>
        <w:t>. In the event of a restatement of the Company’s financial results (other than a restatement caused by a change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applicable accounting rules or interpretations), the result of which is that an Earned Award paid pursuant to the Plan would have been a lower amount had it been calculated based on such restated results, the Administrator shall review such Earned Award. If the Administrator determines: (i) the amount of any such Earned Award actually paid to a Participant (the “Awarded Compensation”) would have been a lower amount had it been calculated based on such restated financial statements (the “Actual Compensation”), and (ii) such restatement is the result of negligence, misconduct, deception, non-disclosure, policy violation or fraud by a Participant, the Administrator, in its sole discretion, may, to the extent permitted by applicable law, require repayment of a portion or all of any Award Payment from any Participants knowledgeable of, responsible for, or contributing to, the negligence, misconduct, deception, non-disclosure, policy violation or fraud resulting in the restatement (such difference, the “Excess Compensation”). If the Administrator determines to seek repayment for the Excess Compensation, it shall issue a written demand for repayment from the Participant and, if the Participant does not within a reasonable period thereafter tender repayment in response to such demand, and the Administrator determines the Participant is unlikely to do so, the Administrator may authorize the Company to seek a court order against the Participant for such repayment.</w:t>
      </w:r>
    </w:p>
    <w:p>
      <w:pPr>
        <w:spacing w:after="0" w:line="170" w:lineRule="exact"/>
        <w:rPr>
          <w:sz w:val="20"/>
          <w:szCs w:val="20"/>
          <w:color w:val="auto"/>
        </w:rPr>
      </w:pPr>
    </w:p>
    <w:p>
      <w:pPr>
        <w:ind w:left="80" w:right="20"/>
        <w:spacing w:after="0" w:line="271" w:lineRule="auto"/>
        <w:rPr>
          <w:sz w:val="20"/>
          <w:szCs w:val="20"/>
          <w:color w:val="auto"/>
        </w:rPr>
      </w:pPr>
      <w:r>
        <w:rPr>
          <w:rFonts w:ascii="Arial" w:cs="Arial" w:eastAsia="Arial" w:hAnsi="Arial"/>
          <w:sz w:val="20"/>
          <w:szCs w:val="20"/>
          <w:color w:val="auto"/>
        </w:rPr>
        <w:t>The Company shall not be required to pay Participants any additional amounts in the event the restated financials would have otherwise resulted in a higher Award Payment.</w:t>
      </w:r>
    </w:p>
    <w:p>
      <w:pPr>
        <w:spacing w:after="0" w:line="153" w:lineRule="exact"/>
        <w:rPr>
          <w:sz w:val="20"/>
          <w:szCs w:val="20"/>
          <w:color w:val="auto"/>
        </w:rPr>
      </w:pPr>
    </w:p>
    <w:p>
      <w:pPr>
        <w:ind w:left="80" w:right="240"/>
        <w:spacing w:after="0" w:line="327" w:lineRule="auto"/>
        <w:rPr>
          <w:sz w:val="20"/>
          <w:szCs w:val="20"/>
          <w:color w:val="auto"/>
        </w:rPr>
      </w:pPr>
      <w:r>
        <w:rPr>
          <w:rFonts w:ascii="Arial" w:cs="Arial" w:eastAsia="Arial" w:hAnsi="Arial"/>
          <w:sz w:val="18"/>
          <w:szCs w:val="18"/>
          <w:color w:val="auto"/>
        </w:rPr>
        <w:t xml:space="preserve">The action permitted to be taken under this </w:t>
      </w:r>
      <w:r>
        <w:rPr>
          <w:rFonts w:ascii="Arial" w:cs="Arial" w:eastAsia="Arial" w:hAnsi="Arial"/>
          <w:sz w:val="18"/>
          <w:szCs w:val="18"/>
          <w:u w:val="single" w:color="auto"/>
          <w:color w:val="auto"/>
        </w:rPr>
        <w:t>Section 11.17</w:t>
      </w:r>
      <w:r>
        <w:rPr>
          <w:rFonts w:ascii="Arial" w:cs="Arial" w:eastAsia="Arial" w:hAnsi="Arial"/>
          <w:sz w:val="18"/>
          <w:szCs w:val="18"/>
          <w:color w:val="auto"/>
        </w:rPr>
        <w:t xml:space="preserve"> is in addition to, and not in lieu of, any and all other rights of the Company under applicable law or any other clawback policy adopted by the Company or its Affiliates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080"/>
          </w:cols>
          <w:pgMar w:left="1440" w:top="1327" w:right="379" w:bottom="1440" w:gutter="0" w:footer="0" w:header="0"/>
        </w:sectPr>
      </w:pPr>
    </w:p>
    <w:bookmarkStart w:id="316" w:name="page317"/>
    <w:bookmarkEnd w:id="316"/>
    <w:p>
      <w:pPr>
        <w:ind w:left="600"/>
        <w:spacing w:after="0"/>
        <w:rPr>
          <w:sz w:val="20"/>
          <w:szCs w:val="20"/>
          <w:color w:val="auto"/>
        </w:rPr>
      </w:pPr>
      <w:r>
        <w:rPr>
          <w:rFonts w:ascii="Arial" w:cs="Arial" w:eastAsia="Arial" w:hAnsi="Arial"/>
          <w:sz w:val="20"/>
          <w:szCs w:val="20"/>
          <w:color w:val="auto"/>
        </w:rPr>
        <w:t>or required by applicable law and shall apply notwithstanding anything to the contrary in the Plan.</w:t>
      </w:r>
    </w:p>
    <w:p>
      <w:pPr>
        <w:spacing w:after="0" w:line="206" w:lineRule="exact"/>
        <w:rPr>
          <w:sz w:val="20"/>
          <w:szCs w:val="20"/>
          <w:color w:val="auto"/>
        </w:rPr>
      </w:pPr>
    </w:p>
    <w:p>
      <w:pPr>
        <w:ind w:left="600" w:hanging="596"/>
        <w:spacing w:after="0" w:line="269" w:lineRule="auto"/>
        <w:tabs>
          <w:tab w:leader="none" w:pos="58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9"/>
          <w:szCs w:val="19"/>
          <w:u w:val="single" w:color="auto"/>
          <w:color w:val="auto"/>
        </w:rPr>
        <w:t>Shortened Statute of Limitations</w:t>
      </w:r>
      <w:r>
        <w:rPr>
          <w:rFonts w:ascii="Arial" w:cs="Arial" w:eastAsia="Arial" w:hAnsi="Arial"/>
          <w:sz w:val="19"/>
          <w:szCs w:val="19"/>
          <w:color w:val="auto"/>
        </w:rPr>
        <w:t>. Each Participant agrees to shorten the applicable statute of limitations and agrees that no</w:t>
      </w:r>
      <w:r>
        <w:rPr>
          <w:rFonts w:ascii="Arial" w:cs="Arial" w:eastAsia="Arial" w:hAnsi="Arial"/>
          <w:sz w:val="19"/>
          <w:szCs w:val="19"/>
          <w:u w:val="single" w:color="auto"/>
          <w:color w:val="auto"/>
        </w:rPr>
        <w:t xml:space="preserve"> </w:t>
      </w:r>
      <w:r>
        <w:rPr>
          <w:rFonts w:ascii="Arial" w:cs="Arial" w:eastAsia="Arial" w:hAnsi="Arial"/>
          <w:sz w:val="19"/>
          <w:szCs w:val="19"/>
          <w:color w:val="auto"/>
        </w:rPr>
        <w:t>claims or causes of actions may be brought against the Company or any its subsidiaries or Affiliates or any of their directors, officers, employees, controlling persons, agents or representatives based upon, directly or indirectly, any claim that arises under the Plan more than twelve (12) months after the date of the action that is the subject of the claim or lawsuit. Each Participant agrees to waive any statute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40"/>
          </w:cols>
          <w:pgMar w:left="920" w:top="1327"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7"/>
          <w:szCs w:val="17"/>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LEONARDO DRS</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LONG-TERM INCENTIVE PLAN (LTIP),</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Last Revised February 24, 2021</w:t>
      </w:r>
    </w:p>
    <w:p>
      <w:pPr>
        <w:sectPr>
          <w:pgSz w:w="11900" w:h="16838" w:orient="portrait"/>
          <w:cols w:equalWidth="0" w:num="1">
            <w:col w:w="10120"/>
          </w:cols>
          <w:pgMar w:left="1440" w:top="123" w:right="3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20"/>
          <w:szCs w:val="20"/>
          <w:b w:val="1"/>
          <w:bCs w:val="1"/>
          <w:color w:val="auto"/>
        </w:rPr>
        <w:t>THE LEONARDO DRS LONG-TERM INCENTIVE PLAN (LTIP), AS AMENDED</w:t>
      </w:r>
    </w:p>
    <w:p>
      <w:pPr>
        <w:spacing w:after="0" w:line="206" w:lineRule="exact"/>
        <w:rPr>
          <w:sz w:val="20"/>
          <w:szCs w:val="20"/>
          <w:color w:val="auto"/>
        </w:rPr>
      </w:pPr>
    </w:p>
    <w:p>
      <w:pPr>
        <w:ind w:left="340" w:hanging="340"/>
        <w:spacing w:after="0"/>
        <w:tabs>
          <w:tab w:leader="none" w:pos="340" w:val="left"/>
        </w:tabs>
        <w:numPr>
          <w:ilvl w:val="0"/>
          <w:numId w:val="201"/>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w:t>
      </w:r>
    </w:p>
    <w:p>
      <w:pPr>
        <w:spacing w:after="0" w:line="212" w:lineRule="exact"/>
        <w:rPr>
          <w:sz w:val="20"/>
          <w:szCs w:val="20"/>
          <w:color w:val="auto"/>
        </w:rPr>
      </w:pPr>
    </w:p>
    <w:p>
      <w:pPr>
        <w:ind w:left="1040" w:right="200" w:hanging="596"/>
        <w:spacing w:after="0" w:line="254" w:lineRule="auto"/>
        <w:tabs>
          <w:tab w:leader="none" w:pos="10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u w:val="single" w:color="auto"/>
          <w:color w:val="auto"/>
        </w:rPr>
        <w:t xml:space="preserve">Name and Purpose. </w:t>
      </w:r>
      <w:r>
        <w:rPr>
          <w:rFonts w:ascii="Arial" w:cs="Arial" w:eastAsia="Arial" w:hAnsi="Arial"/>
          <w:sz w:val="20"/>
          <w:szCs w:val="20"/>
          <w:color w:val="2D2D2D"/>
        </w:rPr>
        <w:t>The name of this plan is the Leonardo</w:t>
      </w:r>
      <w:r>
        <w:rPr>
          <w:rFonts w:ascii="Arial" w:cs="Arial" w:eastAsia="Arial" w:hAnsi="Arial"/>
          <w:sz w:val="20"/>
          <w:szCs w:val="20"/>
          <w:u w:val="single" w:color="auto"/>
          <w:color w:val="auto"/>
        </w:rPr>
        <w:t xml:space="preserve"> </w:t>
      </w:r>
      <w:r>
        <w:rPr>
          <w:rFonts w:ascii="Arial" w:cs="Arial" w:eastAsia="Arial" w:hAnsi="Arial"/>
          <w:sz w:val="20"/>
          <w:szCs w:val="20"/>
          <w:color w:val="auto"/>
        </w:rPr>
        <w:t>DRS Long-Term Incentive Plan, as amended</w:t>
      </w:r>
      <w:r>
        <w:rPr>
          <w:rFonts w:ascii="Arial" w:cs="Arial" w:eastAsia="Arial" w:hAnsi="Arial"/>
          <w:sz w:val="20"/>
          <w:szCs w:val="20"/>
          <w:u w:val="single" w:color="auto"/>
          <w:color w:val="auto"/>
        </w:rPr>
        <w:t xml:space="preserve"> </w:t>
      </w:r>
      <w:r>
        <w:rPr>
          <w:rFonts w:ascii="Arial" w:cs="Arial" w:eastAsia="Arial" w:hAnsi="Arial"/>
          <w:sz w:val="20"/>
          <w:szCs w:val="20"/>
          <w:color w:val="2D2D2D"/>
        </w:rPr>
        <w:t>(the “</w:t>
      </w:r>
      <w:r>
        <w:rPr>
          <w:rFonts w:ascii="Arial" w:cs="Arial" w:eastAsia="Arial" w:hAnsi="Arial"/>
          <w:sz w:val="20"/>
          <w:szCs w:val="20"/>
          <w:u w:val="single" w:color="auto"/>
          <w:color w:val="2D2D2D"/>
        </w:rPr>
        <w:t>Plan</w:t>
      </w:r>
      <w:r>
        <w:rPr>
          <w:rFonts w:ascii="Arial" w:cs="Arial" w:eastAsia="Arial" w:hAnsi="Arial"/>
          <w:sz w:val="20"/>
          <w:szCs w:val="20"/>
          <w:color w:val="2D2D2D"/>
        </w:rPr>
        <w:t>”).</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purpose of the Plan is to: (a) motivate and reward Participants; (b) </w:t>
      </w:r>
      <w:r>
        <w:rPr>
          <w:rFonts w:ascii="Arial" w:cs="Arial" w:eastAsia="Arial" w:hAnsi="Arial"/>
          <w:sz w:val="20"/>
          <w:szCs w:val="20"/>
          <w:color w:val="2D2D2D"/>
        </w:rPr>
        <w:t>enable the Company to attract and retain employees who</w:t>
      </w:r>
      <w:r>
        <w:rPr>
          <w:rFonts w:ascii="Arial" w:cs="Arial" w:eastAsia="Arial" w:hAnsi="Arial"/>
          <w:sz w:val="20"/>
          <w:szCs w:val="20"/>
          <w:color w:val="auto"/>
        </w:rPr>
        <w:t xml:space="preserve"> </w:t>
      </w:r>
      <w:r>
        <w:rPr>
          <w:rFonts w:ascii="Arial" w:cs="Arial" w:eastAsia="Arial" w:hAnsi="Arial"/>
          <w:sz w:val="20"/>
          <w:szCs w:val="20"/>
          <w:color w:val="2D2D2D"/>
        </w:rPr>
        <w:t>will contribute to the Company’s long-term success; and (c) promote effective use of the Company’s resources to achieve expected and superior performance.</w:t>
      </w:r>
    </w:p>
    <w:p>
      <w:pPr>
        <w:spacing w:after="0" w:line="171" w:lineRule="exact"/>
        <w:rPr>
          <w:sz w:val="20"/>
          <w:szCs w:val="20"/>
          <w:color w:val="auto"/>
        </w:rPr>
      </w:pPr>
    </w:p>
    <w:p>
      <w:pPr>
        <w:ind w:left="1040" w:right="200" w:hanging="596"/>
        <w:spacing w:after="0" w:line="271" w:lineRule="auto"/>
        <w:tabs>
          <w:tab w:leader="none" w:pos="10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u w:val="single" w:color="auto"/>
          <w:color w:val="auto"/>
        </w:rPr>
        <w:t>Effective Date</w:t>
      </w:r>
      <w:r>
        <w:rPr>
          <w:rFonts w:ascii="Arial" w:cs="Arial" w:eastAsia="Arial" w:hAnsi="Arial"/>
          <w:sz w:val="20"/>
          <w:szCs w:val="20"/>
          <w:color w:val="auto"/>
        </w:rPr>
        <w:t>. The Plan is effective as of January 1, 2021, and shall remain in effect until amended or terminated pursuant to</w:t>
      </w:r>
      <w:r>
        <w:rPr>
          <w:rFonts w:ascii="Arial" w:cs="Arial" w:eastAsia="Arial" w:hAnsi="Arial"/>
          <w:sz w:val="20"/>
          <w:szCs w:val="20"/>
          <w:u w:val="single" w:color="auto"/>
          <w:color w:val="auto"/>
        </w:rPr>
        <w:t xml:space="preserve"> Section 9.7</w:t>
      </w:r>
      <w:r>
        <w:rPr>
          <w:rFonts w:ascii="Arial" w:cs="Arial" w:eastAsia="Arial" w:hAnsi="Arial"/>
          <w:sz w:val="20"/>
          <w:szCs w:val="20"/>
          <w:color w:val="auto"/>
        </w:rPr>
        <w:t>.</w:t>
      </w:r>
    </w:p>
    <w:p>
      <w:pPr>
        <w:spacing w:after="0" w:line="147" w:lineRule="exact"/>
        <w:rPr>
          <w:sz w:val="20"/>
          <w:szCs w:val="20"/>
          <w:color w:val="auto"/>
        </w:rPr>
      </w:pPr>
    </w:p>
    <w:p>
      <w:pPr>
        <w:ind w:left="340" w:hanging="340"/>
        <w:spacing w:after="0"/>
        <w:tabs>
          <w:tab w:leader="none" w:pos="340"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1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The following terms shall have the following meanings:</w:t>
      </w:r>
    </w:p>
    <w:p>
      <w:pPr>
        <w:spacing w:after="0" w:line="200"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shall mean the Committee or its designee.</w:t>
      </w:r>
    </w:p>
    <w:p>
      <w:pPr>
        <w:spacing w:after="0" w:line="206" w:lineRule="exact"/>
        <w:rPr>
          <w:sz w:val="20"/>
          <w:szCs w:val="20"/>
          <w:color w:val="auto"/>
        </w:rPr>
      </w:pPr>
    </w:p>
    <w:p>
      <w:pPr>
        <w:ind w:left="1040" w:right="1140" w:hanging="596"/>
        <w:spacing w:after="0" w:line="277" w:lineRule="auto"/>
        <w:tabs>
          <w:tab w:leader="none" w:pos="1020" w:val="left"/>
        </w:tabs>
        <w:rPr>
          <w:sz w:val="20"/>
          <w:szCs w:val="20"/>
          <w:color w:val="auto"/>
        </w:rPr>
      </w:pPr>
      <w:r>
        <w:rPr>
          <w:rFonts w:ascii="Arial" w:cs="Arial" w:eastAsia="Arial" w:hAnsi="Arial"/>
          <w:sz w:val="20"/>
          <w:szCs w:val="20"/>
          <w:color w:val="auto"/>
        </w:rPr>
        <w:t>2.2</w:t>
        <w:tab/>
        <w:t>“</w:t>
      </w:r>
      <w:r>
        <w:rPr>
          <w:rFonts w:ascii="Arial" w:cs="Arial" w:eastAsia="Arial" w:hAnsi="Arial"/>
          <w:sz w:val="20"/>
          <w:szCs w:val="20"/>
          <w:b w:val="1"/>
          <w:bCs w:val="1"/>
          <w:color w:val="auto"/>
        </w:rPr>
        <w:t>Affiliate(s)</w:t>
      </w:r>
      <w:r>
        <w:rPr>
          <w:rFonts w:ascii="Arial" w:cs="Arial" w:eastAsia="Arial" w:hAnsi="Arial"/>
          <w:sz w:val="20"/>
          <w:szCs w:val="20"/>
          <w:color w:val="auto"/>
        </w:rPr>
        <w:t>” means any corporation, subsidiary or other entity controlled by the Company and designated by the Administrator as a participating entity in the Plan.</w:t>
      </w:r>
    </w:p>
    <w:p>
      <w:pPr>
        <w:spacing w:after="0" w:line="141" w:lineRule="exact"/>
        <w:rPr>
          <w:sz w:val="20"/>
          <w:szCs w:val="20"/>
          <w:color w:val="auto"/>
        </w:rPr>
      </w:pPr>
    </w:p>
    <w:p>
      <w:pPr>
        <w:ind w:left="1040" w:right="500" w:hanging="596"/>
        <w:spacing w:after="0" w:line="277" w:lineRule="auto"/>
        <w:tabs>
          <w:tab w:leader="none" w:pos="1020" w:val="left"/>
        </w:tabs>
        <w:rPr>
          <w:sz w:val="20"/>
          <w:szCs w:val="20"/>
          <w:color w:val="auto"/>
        </w:rPr>
      </w:pPr>
      <w:r>
        <w:rPr>
          <w:rFonts w:ascii="Arial" w:cs="Arial" w:eastAsia="Arial" w:hAnsi="Arial"/>
          <w:sz w:val="20"/>
          <w:szCs w:val="20"/>
          <w:color w:val="auto"/>
        </w:rPr>
        <w:t>2.3</w:t>
        <w:tab/>
        <w:t>“</w:t>
      </w:r>
      <w:r>
        <w:rPr>
          <w:rFonts w:ascii="Arial" w:cs="Arial" w:eastAsia="Arial" w:hAnsi="Arial"/>
          <w:sz w:val="20"/>
          <w:szCs w:val="20"/>
          <w:b w:val="1"/>
          <w:bCs w:val="1"/>
          <w:color w:val="auto"/>
        </w:rPr>
        <w:t>Award Letter</w:t>
      </w:r>
      <w:r>
        <w:rPr>
          <w:rFonts w:ascii="Arial" w:cs="Arial" w:eastAsia="Arial" w:hAnsi="Arial"/>
          <w:sz w:val="20"/>
          <w:szCs w:val="20"/>
          <w:color w:val="auto"/>
        </w:rPr>
        <w:t>” means written or electronic notification to a Participant informing the Participant of his or her remaining Award Payments, pursuant to Section 6.2, for Award Letters issued prior to January 1, 2021.</w:t>
      </w:r>
    </w:p>
    <w:p>
      <w:pPr>
        <w:spacing w:after="0" w:line="141"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Award Payment</w:t>
      </w:r>
      <w:r>
        <w:rPr>
          <w:rFonts w:ascii="Arial" w:cs="Arial" w:eastAsia="Arial" w:hAnsi="Arial"/>
          <w:sz w:val="18"/>
          <w:szCs w:val="18"/>
          <w:color w:val="auto"/>
        </w:rPr>
        <w:t xml:space="preserve">” means the amount of an LTIP award payment made, or to be made, to a Participant as set forth in </w:t>
      </w:r>
      <w:r>
        <w:rPr>
          <w:rFonts w:ascii="Arial" w:cs="Arial" w:eastAsia="Arial" w:hAnsi="Arial"/>
          <w:sz w:val="18"/>
          <w:szCs w:val="18"/>
          <w:u w:val="single" w:color="auto"/>
          <w:color w:val="auto"/>
        </w:rPr>
        <w:t>Section</w:t>
      </w:r>
    </w:p>
    <w:p>
      <w:pPr>
        <w:spacing w:after="0" w:line="28"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auto"/>
        </w:rPr>
        <w:t>6.2</w:t>
      </w:r>
      <w:r>
        <w:rPr>
          <w:rFonts w:ascii="Arial" w:cs="Arial" w:eastAsia="Arial" w:hAnsi="Arial"/>
          <w:sz w:val="20"/>
          <w:szCs w:val="20"/>
          <w:color w:val="auto"/>
        </w:rPr>
        <w:t>.</w:t>
      </w:r>
    </w:p>
    <w:p>
      <w:pPr>
        <w:spacing w:after="0" w:line="184"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230" w:lineRule="exact"/>
        <w:rPr>
          <w:sz w:val="20"/>
          <w:szCs w:val="20"/>
          <w:color w:val="auto"/>
        </w:rPr>
      </w:pPr>
    </w:p>
    <w:p>
      <w:pPr>
        <w:ind w:left="1040" w:hanging="596"/>
        <w:spacing w:after="0" w:line="282" w:lineRule="auto"/>
        <w:tabs>
          <w:tab w:leader="none" w:pos="10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 with respect to a Participant employed pursuant to a written employment agreement which agreement includes a definition of “Cause,” “Cause” as defined in that agreement or (b) with respect to any other Participant, the occurrence of any of the following: (i) the Participant’s repeated or continued failure to perform his or her duties to the Company’s satisfaction (other than any such failure resulting from incapacity due to physical or mental illness), as determined in the Company’s sole discretion; (ii) the Participant’s engagement in dishonesty, illegal conduct or misconduct; (iii) the Participant’s embezzlement, misappropriation or fraud, whether or not related to the Participant’s employment with the Company; (iv) the Participant’s conviction of, or plea of guilty or nolo contendere to, a crime that constitutes a felony (or state law equivalent) or crime that constitutes a misdemeanor involving moral turpitude; or (v)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21" w:right="339" w:bottom="1440" w:gutter="0" w:footer="0" w:header="0"/>
        </w:sectPr>
      </w:pPr>
    </w:p>
    <w:bookmarkStart w:id="319" w:name="page320"/>
    <w:bookmarkEnd w:id="319"/>
    <w:p>
      <w:pPr>
        <w:ind w:left="600" w:right="600"/>
        <w:spacing w:after="0" w:line="271" w:lineRule="auto"/>
        <w:rPr>
          <w:sz w:val="20"/>
          <w:szCs w:val="20"/>
          <w:color w:val="auto"/>
        </w:rPr>
      </w:pPr>
      <w:r>
        <w:rPr>
          <w:rFonts w:ascii="Arial" w:cs="Arial" w:eastAsia="Arial" w:hAnsi="Arial"/>
          <w:sz w:val="20"/>
          <w:szCs w:val="20"/>
          <w:color w:val="auto"/>
        </w:rPr>
        <w:t>violations of the Company’s code of ethics and business conduct, as amended from time to time, as determined in the Company’s sole discretion.</w:t>
      </w:r>
    </w:p>
    <w:p>
      <w:pPr>
        <w:spacing w:after="0" w:line="171" w:lineRule="exact"/>
        <w:rPr>
          <w:sz w:val="20"/>
          <w:szCs w:val="20"/>
          <w:color w:val="auto"/>
        </w:rPr>
      </w:pPr>
    </w:p>
    <w:p>
      <w:pPr>
        <w:ind w:left="440" w:right="840" w:hanging="596"/>
        <w:spacing w:after="0" w:line="277" w:lineRule="auto"/>
        <w:tabs>
          <w:tab w:leader="none" w:pos="4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0"/>
          <w:szCs w:val="20"/>
          <w:b w:val="1"/>
          <w:bCs w:val="1"/>
          <w:color w:val="auto"/>
        </w:rPr>
        <w:t>“Code</w:t>
      </w:r>
      <w:r>
        <w:rPr>
          <w:rFonts w:ascii="Arial" w:cs="Arial" w:eastAsia="Arial" w:hAnsi="Arial"/>
          <w:sz w:val="20"/>
          <w:szCs w:val="20"/>
          <w:color w:val="auto"/>
        </w:rPr>
        <w:t>” means the U.S. Internal Revenue Code of 1986, as amended from time to time, including any regulations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authoritative guidance promulgated thereunder and successor provisions thereto.</w:t>
      </w:r>
    </w:p>
    <w:p>
      <w:pPr>
        <w:spacing w:after="0" w:line="141" w:lineRule="exact"/>
        <w:rPr>
          <w:sz w:val="20"/>
          <w:szCs w:val="20"/>
          <w:color w:val="auto"/>
        </w:rPr>
      </w:pPr>
    </w:p>
    <w:p>
      <w:pPr>
        <w:ind w:left="440" w:hanging="596"/>
        <w:spacing w:after="0" w:line="277" w:lineRule="auto"/>
        <w:tabs>
          <w:tab w:leader="none" w:pos="420" w:val="left"/>
        </w:tabs>
        <w:rPr>
          <w:sz w:val="20"/>
          <w:szCs w:val="20"/>
          <w:color w:val="auto"/>
        </w:rPr>
      </w:pPr>
      <w:r>
        <w:rPr>
          <w:rFonts w:ascii="Arial" w:cs="Arial" w:eastAsia="Arial" w:hAnsi="Arial"/>
          <w:sz w:val="20"/>
          <w:szCs w:val="20"/>
          <w:color w:val="auto"/>
        </w:rPr>
        <w:t>2.8</w:t>
        <w:tab/>
        <w:t>“</w:t>
      </w:r>
      <w:r>
        <w:rPr>
          <w:rFonts w:ascii="Arial" w:cs="Arial" w:eastAsia="Arial" w:hAnsi="Arial"/>
          <w:sz w:val="20"/>
          <w:szCs w:val="20"/>
          <w:b w:val="1"/>
          <w:bCs w:val="1"/>
          <w:color w:val="auto"/>
        </w:rPr>
        <w:t>Committee</w:t>
      </w:r>
      <w:r>
        <w:rPr>
          <w:rFonts w:ascii="Arial" w:cs="Arial" w:eastAsia="Arial" w:hAnsi="Arial"/>
          <w:sz w:val="20"/>
          <w:szCs w:val="20"/>
          <w:color w:val="auto"/>
        </w:rPr>
        <w:t xml:space="preserve">” means the Compensation Committee, as constituted from time to time, appointed by the Board to administer the Plan pursuant to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14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Leonardo DRS, Inc.</w:t>
      </w:r>
    </w:p>
    <w:p>
      <w:pPr>
        <w:spacing w:after="0" w:line="206" w:lineRule="exact"/>
        <w:rPr>
          <w:sz w:val="20"/>
          <w:szCs w:val="20"/>
          <w:color w:val="auto"/>
        </w:rPr>
      </w:pPr>
    </w:p>
    <w:p>
      <w:pPr>
        <w:ind w:left="540" w:right="380" w:hanging="596"/>
        <w:spacing w:after="0" w:line="277" w:lineRule="auto"/>
        <w:tabs>
          <w:tab w:leader="none" w:pos="520" w:val="left"/>
        </w:tabs>
        <w:rPr>
          <w:sz w:val="20"/>
          <w:szCs w:val="20"/>
          <w:color w:val="auto"/>
        </w:rPr>
      </w:pPr>
      <w:r>
        <w:rPr>
          <w:rFonts w:ascii="Arial" w:cs="Arial" w:eastAsia="Arial" w:hAnsi="Arial"/>
          <w:sz w:val="20"/>
          <w:szCs w:val="20"/>
          <w:color w:val="auto"/>
        </w:rPr>
        <w:t>2.10</w:t>
        <w:tab/>
        <w:t>“</w:t>
      </w:r>
      <w:r>
        <w:rPr>
          <w:rFonts w:ascii="Arial" w:cs="Arial" w:eastAsia="Arial" w:hAnsi="Arial"/>
          <w:sz w:val="20"/>
          <w:szCs w:val="20"/>
          <w:b w:val="1"/>
          <w:bCs w:val="1"/>
          <w:color w:val="auto"/>
        </w:rPr>
        <w:t>Company Performance Component</w:t>
      </w:r>
      <w:r>
        <w:rPr>
          <w:rFonts w:ascii="Arial" w:cs="Arial" w:eastAsia="Arial" w:hAnsi="Arial"/>
          <w:sz w:val="20"/>
          <w:szCs w:val="20"/>
          <w:color w:val="auto"/>
        </w:rPr>
        <w:t>” means the part of a Target Award tied to achievement of Company Performance Goals, as set forth in an Award Letter.</w:t>
      </w:r>
    </w:p>
    <w:p>
      <w:pPr>
        <w:spacing w:after="0" w:line="141" w:lineRule="exact"/>
        <w:rPr>
          <w:sz w:val="20"/>
          <w:szCs w:val="20"/>
          <w:color w:val="auto"/>
        </w:rPr>
      </w:pPr>
    </w:p>
    <w:p>
      <w:pPr>
        <w:ind w:left="580" w:right="140" w:hanging="596"/>
        <w:spacing w:after="0" w:line="262" w:lineRule="auto"/>
        <w:tabs>
          <w:tab w:leader="none" w:pos="560" w:val="left"/>
        </w:tabs>
        <w:rPr>
          <w:sz w:val="20"/>
          <w:szCs w:val="20"/>
          <w:color w:val="auto"/>
        </w:rPr>
      </w:pPr>
      <w:r>
        <w:rPr>
          <w:rFonts w:ascii="Arial" w:cs="Arial" w:eastAsia="Arial" w:hAnsi="Arial"/>
          <w:sz w:val="20"/>
          <w:szCs w:val="20"/>
          <w:color w:val="auto"/>
        </w:rPr>
        <w:t>2.11</w:t>
        <w:tab/>
        <w:t>“</w:t>
      </w:r>
      <w:r>
        <w:rPr>
          <w:rFonts w:ascii="Arial" w:cs="Arial" w:eastAsia="Arial" w:hAnsi="Arial"/>
          <w:sz w:val="20"/>
          <w:szCs w:val="20"/>
          <w:b w:val="1"/>
          <w:bCs w:val="1"/>
          <w:color w:val="auto"/>
        </w:rPr>
        <w:t>Cycle</w:t>
      </w:r>
      <w:r>
        <w:rPr>
          <w:rFonts w:ascii="Arial" w:cs="Arial" w:eastAsia="Arial" w:hAnsi="Arial"/>
          <w:sz w:val="20"/>
          <w:szCs w:val="20"/>
          <w:color w:val="auto"/>
        </w:rPr>
        <w:t>” or “</w:t>
      </w:r>
      <w:r>
        <w:rPr>
          <w:rFonts w:ascii="Arial" w:cs="Arial" w:eastAsia="Arial" w:hAnsi="Arial"/>
          <w:sz w:val="20"/>
          <w:szCs w:val="20"/>
          <w:b w:val="1"/>
          <w:bCs w:val="1"/>
          <w:color w:val="auto"/>
        </w:rPr>
        <w:t>Performance Cycle</w:t>
      </w:r>
      <w:r>
        <w:rPr>
          <w:rFonts w:ascii="Arial" w:cs="Arial" w:eastAsia="Arial" w:hAnsi="Arial"/>
          <w:sz w:val="20"/>
          <w:szCs w:val="20"/>
          <w:color w:val="auto"/>
        </w:rPr>
        <w:t>” means three (3) consecutive Plan Years, commencing on the first day of the Plan Year in which a Target Award is issued and ending on the last day of the third Plan Year thereafter (</w:t>
      </w:r>
      <w:r>
        <w:rPr>
          <w:rFonts w:ascii="Arial" w:cs="Arial" w:eastAsia="Arial" w:hAnsi="Arial"/>
          <w:sz w:val="20"/>
          <w:szCs w:val="20"/>
          <w:u w:val="single" w:color="auto"/>
          <w:color w:val="auto"/>
        </w:rPr>
        <w:t>e.g.</w:t>
      </w:r>
      <w:r>
        <w:rPr>
          <w:rFonts w:ascii="Arial" w:cs="Arial" w:eastAsia="Arial" w:hAnsi="Arial"/>
          <w:sz w:val="20"/>
          <w:szCs w:val="20"/>
          <w:color w:val="auto"/>
        </w:rPr>
        <w:t>, January 1, 2020 – December 31, 2022).</w:t>
      </w:r>
    </w:p>
    <w:p>
      <w:pPr>
        <w:spacing w:after="0" w:line="155" w:lineRule="exact"/>
        <w:rPr>
          <w:sz w:val="20"/>
          <w:szCs w:val="20"/>
          <w:color w:val="auto"/>
        </w:rPr>
      </w:pPr>
    </w:p>
    <w:p>
      <w:pPr>
        <w:ind w:left="540" w:right="40" w:hanging="596"/>
        <w:spacing w:after="0" w:line="262" w:lineRule="auto"/>
        <w:tabs>
          <w:tab w:leader="none" w:pos="520" w:val="left"/>
        </w:tabs>
        <w:rPr>
          <w:sz w:val="20"/>
          <w:szCs w:val="20"/>
          <w:color w:val="auto"/>
        </w:rPr>
      </w:pPr>
      <w:r>
        <w:rPr>
          <w:rFonts w:ascii="Arial" w:cs="Arial" w:eastAsia="Arial" w:hAnsi="Arial"/>
          <w:sz w:val="20"/>
          <w:szCs w:val="20"/>
          <w:color w:val="auto"/>
        </w:rPr>
        <w:t>2.12</w:t>
        <w:tab/>
        <w:t>“</w:t>
      </w:r>
      <w:r>
        <w:rPr>
          <w:rFonts w:ascii="Arial" w:cs="Arial" w:eastAsia="Arial" w:hAnsi="Arial"/>
          <w:sz w:val="20"/>
          <w:szCs w:val="20"/>
          <w:b w:val="1"/>
          <w:bCs w:val="1"/>
          <w:color w:val="auto"/>
        </w:rPr>
        <w:t>Disability</w:t>
      </w:r>
      <w:r>
        <w:rPr>
          <w:rFonts w:ascii="Arial" w:cs="Arial" w:eastAsia="Arial" w:hAnsi="Arial"/>
          <w:sz w:val="20"/>
          <w:szCs w:val="20"/>
          <w:color w:val="auto"/>
        </w:rPr>
        <w:t>” or “</w:t>
      </w:r>
      <w:r>
        <w:rPr>
          <w:rFonts w:ascii="Arial" w:cs="Arial" w:eastAsia="Arial" w:hAnsi="Arial"/>
          <w:sz w:val="20"/>
          <w:szCs w:val="20"/>
          <w:b w:val="1"/>
          <w:bCs w:val="1"/>
          <w:color w:val="auto"/>
        </w:rPr>
        <w:t>Disabled</w:t>
      </w:r>
      <w:r>
        <w:rPr>
          <w:rFonts w:ascii="Arial" w:cs="Arial" w:eastAsia="Arial" w:hAnsi="Arial"/>
          <w:sz w:val="20"/>
          <w:szCs w:val="20"/>
          <w:color w:val="auto"/>
        </w:rPr>
        <w:t>” means, unless otherwise defined in an employment agreement between the Participant and the Company, a Participant’s inability to perform the duties of his or her employment on a full-time basis for six (6) consecutive months, as determined by the Committee.</w:t>
      </w:r>
    </w:p>
    <w:p>
      <w:pPr>
        <w:spacing w:after="0" w:line="180" w:lineRule="exact"/>
        <w:rPr>
          <w:sz w:val="20"/>
          <w:szCs w:val="20"/>
          <w:color w:val="auto"/>
        </w:rPr>
      </w:pPr>
    </w:p>
    <w:p>
      <w:pPr>
        <w:ind w:left="540" w:right="40" w:hanging="596"/>
        <w:spacing w:after="0" w:line="277" w:lineRule="auto"/>
        <w:tabs>
          <w:tab w:leader="none" w:pos="520" w:val="left"/>
        </w:tabs>
        <w:rPr>
          <w:sz w:val="20"/>
          <w:szCs w:val="20"/>
          <w:color w:val="auto"/>
        </w:rPr>
      </w:pPr>
      <w:r>
        <w:rPr>
          <w:rFonts w:ascii="Arial" w:cs="Arial" w:eastAsia="Arial" w:hAnsi="Arial"/>
          <w:sz w:val="20"/>
          <w:szCs w:val="20"/>
          <w:color w:val="auto"/>
        </w:rPr>
        <w:t>2.13</w:t>
        <w:tab/>
        <w:t>“</w:t>
      </w:r>
      <w:r>
        <w:rPr>
          <w:rFonts w:ascii="Arial" w:cs="Arial" w:eastAsia="Arial" w:hAnsi="Arial"/>
          <w:sz w:val="20"/>
          <w:szCs w:val="20"/>
          <w:b w:val="1"/>
          <w:bCs w:val="1"/>
          <w:color w:val="auto"/>
        </w:rPr>
        <w:t>Participant</w:t>
      </w:r>
      <w:r>
        <w:rPr>
          <w:rFonts w:ascii="Arial" w:cs="Arial" w:eastAsia="Arial" w:hAnsi="Arial"/>
          <w:sz w:val="20"/>
          <w:szCs w:val="20"/>
          <w:color w:val="auto"/>
        </w:rPr>
        <w:t>” means employees of the Company or an Affiliate designated by the Committee or its authorized delegate(s) to participate in the Plan and who receive an Award Letter pursuant to the Plan.</w:t>
      </w:r>
    </w:p>
    <w:p>
      <w:pPr>
        <w:spacing w:after="0" w:line="166" w:lineRule="exact"/>
        <w:rPr>
          <w:sz w:val="20"/>
          <w:szCs w:val="20"/>
          <w:color w:val="auto"/>
        </w:rPr>
      </w:pPr>
    </w:p>
    <w:p>
      <w:pPr>
        <w:ind w:left="540" w:right="520" w:hanging="596"/>
        <w:spacing w:after="0" w:line="277" w:lineRule="auto"/>
        <w:tabs>
          <w:tab w:leader="none" w:pos="520" w:val="left"/>
        </w:tabs>
        <w:rPr>
          <w:sz w:val="20"/>
          <w:szCs w:val="20"/>
          <w:color w:val="auto"/>
        </w:rPr>
      </w:pPr>
      <w:r>
        <w:rPr>
          <w:rFonts w:ascii="Arial" w:cs="Arial" w:eastAsia="Arial" w:hAnsi="Arial"/>
          <w:sz w:val="20"/>
          <w:szCs w:val="20"/>
          <w:color w:val="auto"/>
        </w:rPr>
        <w:t>2.14</w:t>
        <w:tab/>
        <w:t>“</w:t>
      </w:r>
      <w:r>
        <w:rPr>
          <w:rFonts w:ascii="Arial" w:cs="Arial" w:eastAsia="Arial" w:hAnsi="Arial"/>
          <w:sz w:val="20"/>
          <w:szCs w:val="20"/>
          <w:b w:val="1"/>
          <w:bCs w:val="1"/>
          <w:color w:val="auto"/>
        </w:rPr>
        <w:t>Participant Retention Component</w:t>
      </w:r>
      <w:r>
        <w:rPr>
          <w:rFonts w:ascii="Arial" w:cs="Arial" w:eastAsia="Arial" w:hAnsi="Arial"/>
          <w:sz w:val="20"/>
          <w:szCs w:val="20"/>
          <w:color w:val="auto"/>
        </w:rPr>
        <w:t>” means the part of a Target Award that is tied to a Participant’s continuous active employment and retention through the end of a Cycle, as set forth in an Award Letter.</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Payment Date</w:t>
      </w:r>
      <w:r>
        <w:rPr>
          <w:rFonts w:ascii="Arial" w:cs="Arial" w:eastAsia="Arial" w:hAnsi="Arial"/>
          <w:sz w:val="17"/>
          <w:szCs w:val="17"/>
          <w:color w:val="auto"/>
        </w:rPr>
        <w:t>” means the date on which Award Payments are made to Participants.</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Leonardo DRS Long-Term Incentive Plan, as hereafter amended from time to time.</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Plan Year</w:t>
      </w:r>
      <w:r>
        <w:rPr>
          <w:rFonts w:ascii="Arial" w:cs="Arial" w:eastAsia="Arial" w:hAnsi="Arial"/>
          <w:sz w:val="17"/>
          <w:szCs w:val="17"/>
          <w:color w:val="auto"/>
        </w:rPr>
        <w:t>” means the Company’s fiscal year, which commences on January 1 and ends on December 31.</w:t>
      </w:r>
    </w:p>
    <w:p>
      <w:pPr>
        <w:spacing w:after="0" w:line="206" w:lineRule="exact"/>
        <w:rPr>
          <w:sz w:val="20"/>
          <w:szCs w:val="20"/>
          <w:color w:val="auto"/>
        </w:rPr>
      </w:pPr>
    </w:p>
    <w:p>
      <w:pPr>
        <w:ind w:left="540" w:right="380" w:hanging="596"/>
        <w:spacing w:after="0" w:line="262" w:lineRule="auto"/>
        <w:tabs>
          <w:tab w:leader="none" w:pos="520" w:val="left"/>
        </w:tabs>
        <w:rPr>
          <w:sz w:val="20"/>
          <w:szCs w:val="20"/>
          <w:color w:val="auto"/>
        </w:rPr>
      </w:pPr>
      <w:r>
        <w:rPr>
          <w:rFonts w:ascii="Arial" w:cs="Arial" w:eastAsia="Arial" w:hAnsi="Arial"/>
          <w:sz w:val="20"/>
          <w:szCs w:val="20"/>
          <w:color w:val="auto"/>
        </w:rPr>
        <w:t>2.18</w:t>
        <w:tab/>
        <w:t>“</w:t>
      </w:r>
      <w:r>
        <w:rPr>
          <w:rFonts w:ascii="Arial" w:cs="Arial" w:eastAsia="Arial" w:hAnsi="Arial"/>
          <w:sz w:val="20"/>
          <w:szCs w:val="20"/>
          <w:b w:val="1"/>
          <w:bCs w:val="1"/>
          <w:color w:val="auto"/>
        </w:rPr>
        <w:t>Restrictive Covenants</w:t>
      </w:r>
      <w:r>
        <w:rPr>
          <w:rFonts w:ascii="Arial" w:cs="Arial" w:eastAsia="Arial" w:hAnsi="Arial"/>
          <w:sz w:val="20"/>
          <w:szCs w:val="20"/>
          <w:color w:val="auto"/>
        </w:rPr>
        <w:t xml:space="preserve">” The restrictions set forth in </w:t>
      </w:r>
      <w:r>
        <w:rPr>
          <w:rFonts w:ascii="Arial" w:cs="Arial" w:eastAsia="Arial" w:hAnsi="Arial"/>
          <w:sz w:val="20"/>
          <w:szCs w:val="20"/>
          <w:u w:val="single" w:color="auto"/>
          <w:color w:val="auto"/>
        </w:rPr>
        <w:t>Section 9.16</w:t>
      </w:r>
      <w:r>
        <w:rPr>
          <w:rFonts w:ascii="Arial" w:cs="Arial" w:eastAsia="Arial" w:hAnsi="Arial"/>
          <w:sz w:val="20"/>
          <w:szCs w:val="20"/>
          <w:color w:val="auto"/>
        </w:rPr>
        <w:t xml:space="preserve"> and, if Participant is a party to, or participant in, an employment agreement, severance agreement or other agreement or plan with the Company, which agreement sets forth provisions regarding confidential information, non-solicitation or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40"/>
          </w:cols>
          <w:pgMar w:left="920" w:top="1327" w:right="439" w:bottom="1440" w:gutter="0" w:footer="0" w:header="0"/>
        </w:sectPr>
      </w:pPr>
    </w:p>
    <w:bookmarkStart w:id="320" w:name="page321"/>
    <w:bookmarkEnd w:id="320"/>
    <w:p>
      <w:pPr>
        <w:jc w:val="center"/>
        <w:ind w:left="520"/>
        <w:spacing w:after="0"/>
        <w:rPr>
          <w:sz w:val="20"/>
          <w:szCs w:val="20"/>
          <w:color w:val="auto"/>
        </w:rPr>
      </w:pPr>
      <w:r>
        <w:rPr>
          <w:rFonts w:ascii="Arial" w:cs="Arial" w:eastAsia="Arial" w:hAnsi="Arial"/>
          <w:sz w:val="20"/>
          <w:szCs w:val="20"/>
          <w:color w:val="auto"/>
        </w:rPr>
        <w:t>competition, the provisions set forth in such employment agreement, severance agreement or other agreement or plan.</w:t>
      </w:r>
    </w:p>
    <w:p>
      <w:pPr>
        <w:spacing w:after="0" w:line="200" w:lineRule="exact"/>
        <w:rPr>
          <w:sz w:val="20"/>
          <w:szCs w:val="20"/>
          <w:color w:val="auto"/>
        </w:rPr>
      </w:pPr>
    </w:p>
    <w:p>
      <w:pPr>
        <w:ind w:left="1140" w:right="20" w:hanging="596"/>
        <w:spacing w:after="0" w:line="262" w:lineRule="auto"/>
        <w:tabs>
          <w:tab w:leader="none" w:pos="1120" w:val="left"/>
        </w:tabs>
        <w:rPr>
          <w:sz w:val="20"/>
          <w:szCs w:val="20"/>
          <w:color w:val="auto"/>
        </w:rPr>
      </w:pPr>
      <w:r>
        <w:rPr>
          <w:rFonts w:ascii="Arial" w:cs="Arial" w:eastAsia="Arial" w:hAnsi="Arial"/>
          <w:sz w:val="20"/>
          <w:szCs w:val="20"/>
          <w:color w:val="auto"/>
        </w:rPr>
        <w:t>2.19</w:t>
        <w:tab/>
        <w:t>“</w:t>
      </w:r>
      <w:r>
        <w:rPr>
          <w:rFonts w:ascii="Arial" w:cs="Arial" w:eastAsia="Arial" w:hAnsi="Arial"/>
          <w:sz w:val="20"/>
          <w:szCs w:val="20"/>
          <w:b w:val="1"/>
          <w:bCs w:val="1"/>
          <w:color w:val="auto"/>
        </w:rPr>
        <w:t>Section 409A</w:t>
      </w:r>
      <w:r>
        <w:rPr>
          <w:rFonts w:ascii="Arial" w:cs="Arial" w:eastAsia="Arial" w:hAnsi="Arial"/>
          <w:sz w:val="20"/>
          <w:szCs w:val="20"/>
          <w:color w:val="auto"/>
        </w:rPr>
        <w:t>” means Section 409A of the Code, including any amendments or successor provisions to that section, and any regulations and other administrative guidance thereunder, in each case as they may be from time to time amended or interpreted through further administrative guidance.</w:t>
      </w:r>
    </w:p>
    <w:p>
      <w:pPr>
        <w:spacing w:after="0" w:line="155" w:lineRule="exact"/>
        <w:rPr>
          <w:sz w:val="20"/>
          <w:szCs w:val="20"/>
          <w:color w:val="auto"/>
        </w:rPr>
      </w:pPr>
    </w:p>
    <w:p>
      <w:pPr>
        <w:ind w:left="1140" w:right="500" w:hanging="596"/>
        <w:spacing w:after="0" w:line="277" w:lineRule="auto"/>
        <w:tabs>
          <w:tab w:leader="none" w:pos="1120" w:val="left"/>
        </w:tabs>
        <w:rPr>
          <w:sz w:val="20"/>
          <w:szCs w:val="20"/>
          <w:color w:val="auto"/>
        </w:rPr>
      </w:pPr>
      <w:r>
        <w:rPr>
          <w:rFonts w:ascii="Arial" w:cs="Arial" w:eastAsia="Arial" w:hAnsi="Arial"/>
          <w:sz w:val="20"/>
          <w:szCs w:val="20"/>
          <w:color w:val="auto"/>
        </w:rPr>
        <w:t>2.20</w:t>
        <w:tab/>
        <w:t>“</w:t>
      </w:r>
      <w:r>
        <w:rPr>
          <w:rFonts w:ascii="Arial" w:cs="Arial" w:eastAsia="Arial" w:hAnsi="Arial"/>
          <w:sz w:val="20"/>
          <w:szCs w:val="20"/>
          <w:b w:val="1"/>
          <w:bCs w:val="1"/>
          <w:color w:val="auto"/>
        </w:rPr>
        <w:t>Solicit</w:t>
      </w:r>
      <w:r>
        <w:rPr>
          <w:rFonts w:ascii="Arial" w:cs="Arial" w:eastAsia="Arial" w:hAnsi="Arial"/>
          <w:sz w:val="20"/>
          <w:szCs w:val="20"/>
          <w:color w:val="auto"/>
        </w:rPr>
        <w:t>” means any direct or indirect communication of any kind, regardless of who initiates it, that in any way invites, advises, encourages or requests any person to take or refrain from taking any action.</w:t>
      </w:r>
    </w:p>
    <w:p>
      <w:pPr>
        <w:spacing w:after="0" w:line="141" w:lineRule="exact"/>
        <w:rPr>
          <w:sz w:val="20"/>
          <w:szCs w:val="20"/>
          <w:color w:val="auto"/>
        </w:rPr>
      </w:pPr>
    </w:p>
    <w:p>
      <w:pPr>
        <w:jc w:val="both"/>
        <w:ind w:left="1140" w:right="80" w:hanging="596"/>
        <w:spacing w:after="0" w:line="274" w:lineRule="auto"/>
        <w:tabs>
          <w:tab w:leader="none" w:pos="112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 Award</w:t>
      </w:r>
      <w:r>
        <w:rPr>
          <w:rFonts w:ascii="Arial" w:cs="Arial" w:eastAsia="Arial" w:hAnsi="Arial"/>
          <w:sz w:val="19"/>
          <w:szCs w:val="19"/>
          <w:color w:val="auto"/>
        </w:rPr>
        <w:t>” means the target award, expressed as a fixed cash value, potentially payable under the Plan to a Participant over the course of one (1) Performance Cycle. The amount designated as the target award assumes 100% achievement of all Company Performance Goals for each Plan Year of the applicable Performance Cycle as well as complete satisfaction of the Participant Retention Component for the applicable Performance Cycle.</w:t>
      </w:r>
    </w:p>
    <w:p>
      <w:pPr>
        <w:spacing w:after="0" w:line="172" w:lineRule="exact"/>
        <w:rPr>
          <w:sz w:val="20"/>
          <w:szCs w:val="20"/>
          <w:color w:val="auto"/>
        </w:rPr>
      </w:pPr>
    </w:p>
    <w:p>
      <w:pPr>
        <w:ind w:left="1140" w:hanging="596"/>
        <w:spacing w:after="0" w:line="262" w:lineRule="auto"/>
        <w:tabs>
          <w:tab w:leader="none" w:pos="1120" w:val="left"/>
        </w:tabs>
        <w:rPr>
          <w:sz w:val="20"/>
          <w:szCs w:val="20"/>
          <w:color w:val="auto"/>
        </w:rPr>
      </w:pPr>
      <w:r>
        <w:rPr>
          <w:rFonts w:ascii="Arial" w:cs="Arial" w:eastAsia="Arial" w:hAnsi="Arial"/>
          <w:sz w:val="20"/>
          <w:szCs w:val="20"/>
          <w:color w:val="auto"/>
        </w:rPr>
        <w:t>2.22</w:t>
        <w:tab/>
        <w:t>“</w:t>
      </w:r>
      <w:r>
        <w:rPr>
          <w:rFonts w:ascii="Arial" w:cs="Arial" w:eastAsia="Arial" w:hAnsi="Arial"/>
          <w:sz w:val="20"/>
          <w:szCs w:val="20"/>
          <w:b w:val="1"/>
          <w:bCs w:val="1"/>
          <w:color w:val="auto"/>
        </w:rPr>
        <w:t>Top Executives</w:t>
      </w:r>
      <w:r>
        <w:rPr>
          <w:rFonts w:ascii="Arial" w:cs="Arial" w:eastAsia="Arial" w:hAnsi="Arial"/>
          <w:sz w:val="20"/>
          <w:szCs w:val="20"/>
          <w:color w:val="auto"/>
        </w:rPr>
        <w:t>” means the Chief Executive Officer (“CEO”), the Chief Operating Officer, the Chief Financial Officer, the General Counsel, and Executive Vice Presidents who report directly to the CEO. The actual number of executives covered by this definition may vary from time to time.</w:t>
      </w:r>
    </w:p>
    <w:p>
      <w:pPr>
        <w:spacing w:after="0" w:line="155" w:lineRule="exact"/>
        <w:rPr>
          <w:sz w:val="20"/>
          <w:szCs w:val="20"/>
          <w:color w:val="auto"/>
        </w:rPr>
      </w:pPr>
    </w:p>
    <w:p>
      <w:pPr>
        <w:ind w:left="1140" w:right="260" w:hanging="596"/>
        <w:spacing w:after="0" w:line="277" w:lineRule="auto"/>
        <w:tabs>
          <w:tab w:leader="none" w:pos="1120" w:val="left"/>
        </w:tabs>
        <w:rPr>
          <w:sz w:val="20"/>
          <w:szCs w:val="20"/>
          <w:color w:val="auto"/>
        </w:rPr>
      </w:pPr>
      <w:r>
        <w:rPr>
          <w:rFonts w:ascii="Arial" w:cs="Arial" w:eastAsia="Arial" w:hAnsi="Arial"/>
          <w:sz w:val="20"/>
          <w:szCs w:val="20"/>
          <w:color w:val="auto"/>
        </w:rPr>
        <w:t>2.23</w:t>
        <w:tab/>
        <w:t>“</w:t>
      </w:r>
      <w:r>
        <w:rPr>
          <w:rFonts w:ascii="Arial" w:cs="Arial" w:eastAsia="Arial" w:hAnsi="Arial"/>
          <w:sz w:val="20"/>
          <w:szCs w:val="20"/>
          <w:b w:val="1"/>
          <w:bCs w:val="1"/>
          <w:color w:val="auto"/>
        </w:rPr>
        <w:t>Treasury Regulations</w:t>
      </w:r>
      <w:r>
        <w:rPr>
          <w:rFonts w:ascii="Arial" w:cs="Arial" w:eastAsia="Arial" w:hAnsi="Arial"/>
          <w:sz w:val="20"/>
          <w:szCs w:val="20"/>
          <w:color w:val="auto"/>
        </w:rPr>
        <w:t>” means the regulations promulgated under the Code by the United States Treasury Department, as amended.</w:t>
      </w:r>
    </w:p>
    <w:p>
      <w:pPr>
        <w:spacing w:after="0" w:line="14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tab/>
        <w:t>ADMINISTRATION.</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w:t>
      </w:r>
    </w:p>
    <w:p>
      <w:pPr>
        <w:spacing w:after="0" w:line="206" w:lineRule="exact"/>
        <w:rPr>
          <w:sz w:val="20"/>
          <w:szCs w:val="20"/>
          <w:color w:val="auto"/>
        </w:rPr>
      </w:pPr>
    </w:p>
    <w:p>
      <w:pPr>
        <w:jc w:val="both"/>
        <w:ind w:left="1040" w:right="120" w:hanging="596"/>
        <w:spacing w:after="0" w:line="258" w:lineRule="auto"/>
        <w:tabs>
          <w:tab w:leader="none" w:pos="10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u w:val="single" w:color="auto"/>
          <w:color w:val="auto"/>
        </w:rPr>
        <w:t>Delegation by the Administrator</w:t>
      </w:r>
      <w:r>
        <w:rPr>
          <w:rFonts w:ascii="Arial" w:cs="Arial" w:eastAsia="Arial" w:hAnsi="Arial"/>
          <w:sz w:val="20"/>
          <w:szCs w:val="20"/>
          <w:color w:val="auto"/>
        </w:rPr>
        <w:t>. The Administrator, in its sole discretion, may delegate all or part of its authority and powers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under the Plan to the CEO; </w:t>
      </w:r>
      <w:r>
        <w:rPr>
          <w:rFonts w:ascii="Arial" w:cs="Arial" w:eastAsia="Arial" w:hAnsi="Arial"/>
          <w:sz w:val="20"/>
          <w:szCs w:val="20"/>
          <w:u w:val="single" w:color="auto"/>
          <w:color w:val="auto"/>
        </w:rPr>
        <w:t>provided however</w:t>
      </w:r>
      <w:r>
        <w:rPr>
          <w:rFonts w:ascii="Arial" w:cs="Arial" w:eastAsia="Arial" w:hAnsi="Arial"/>
          <w:sz w:val="20"/>
          <w:szCs w:val="20"/>
          <w:color w:val="auto"/>
        </w:rPr>
        <w:t>, the Committee may not delegate its responsibility to issue Target Awards or determine Award Payments to the Top Executives.</w:t>
      </w:r>
    </w:p>
    <w:p>
      <w:pPr>
        <w:spacing w:after="0" w:line="167" w:lineRule="exact"/>
        <w:rPr>
          <w:sz w:val="20"/>
          <w:szCs w:val="20"/>
          <w:color w:val="auto"/>
        </w:rPr>
      </w:pPr>
    </w:p>
    <w:p>
      <w:pPr>
        <w:ind w:left="1040" w:right="20" w:hanging="596"/>
        <w:spacing w:after="0" w:line="250" w:lineRule="auto"/>
        <w:tabs>
          <w:tab w:leader="none" w:pos="10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u w:val="single" w:color="auto"/>
          <w:color w:val="auto"/>
        </w:rPr>
        <w:t>Authority of the Administrator</w:t>
      </w:r>
      <w:r>
        <w:rPr>
          <w:rFonts w:ascii="Arial" w:cs="Arial" w:eastAsia="Arial" w:hAnsi="Arial"/>
          <w:sz w:val="20"/>
          <w:szCs w:val="20"/>
          <w:color w:val="auto"/>
        </w:rPr>
        <w:t>. Subject to the provisions of the Plan and applicable law, the Administrator shall have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power, in addition to other express powers and authorizations conferred on the Administrator by the Plan, to: (i) designate Participants; (ii) determine the terms and conditions of any Target Award or Award Payment; (iii) determine whether, to what extent, and under what circumstances Target Awards or Award Payments may be issued, modified, amended, withdrawn, rescinded, forfeited, suspended, reduced, eliminated, or clawed back; (iv) interpret and administer the Plan; (v) reconcile any inconsistency, correct any defect, and/or supply any omission, in the Plan or any instrument or agreement relating to, or Target Award issued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80"/>
          </w:cols>
          <w:pgMar w:left="320" w:top="1327" w:right="399" w:bottom="1440" w:gutter="0" w:footer="0" w:header="0"/>
        </w:sectPr>
      </w:pPr>
    </w:p>
    <w:bookmarkStart w:id="321" w:name="page322"/>
    <w:bookmarkEnd w:id="321"/>
    <w:p>
      <w:pPr>
        <w:ind w:left="1200" w:right="20" w:hanging="6"/>
        <w:spacing w:after="0" w:line="252" w:lineRule="auto"/>
        <w:tabs>
          <w:tab w:leader="none" w:pos="1538" w:val="left"/>
        </w:tabs>
        <w:numPr>
          <w:ilvl w:val="0"/>
          <w:numId w:val="203"/>
        </w:numPr>
        <w:rPr>
          <w:rFonts w:ascii="Arial" w:cs="Arial" w:eastAsia="Arial" w:hAnsi="Arial"/>
          <w:sz w:val="20"/>
          <w:szCs w:val="20"/>
          <w:color w:val="auto"/>
        </w:rPr>
      </w:pPr>
      <w:r>
        <w:rPr>
          <w:rFonts w:ascii="Arial" w:cs="Arial" w:eastAsia="Arial" w:hAnsi="Arial"/>
          <w:sz w:val="20"/>
          <w:szCs w:val="20"/>
          <w:color w:val="auto"/>
        </w:rPr>
        <w:t>establish, amend, suspend, or waive any Plan rules or provisions for the administration, interpretation and/or application of the Plan; (vii) adopt such procedures and sub-plans as are necessary or appropriate to permit participation in the Plan by employees who are foreign nationals or employed outside of the United States; (viii) amend, alter, cancel, suspend, modify or terminate the Plan; and (iv) make any other determination and take any other action that the Administrator deems necessary or desirable for the administration of the Plan.</w:t>
      </w:r>
    </w:p>
    <w:p>
      <w:pPr>
        <w:spacing w:after="0" w:line="174" w:lineRule="exact"/>
        <w:rPr>
          <w:sz w:val="20"/>
          <w:szCs w:val="20"/>
          <w:color w:val="auto"/>
        </w:rPr>
      </w:pPr>
    </w:p>
    <w:p>
      <w:pPr>
        <w:ind w:left="1040" w:right="60" w:hanging="596"/>
        <w:spacing w:after="0" w:line="258" w:lineRule="auto"/>
        <w:tabs>
          <w:tab w:leader="none" w:pos="10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u w:val="single" w:color="auto"/>
          <w:color w:val="auto"/>
        </w:rPr>
        <w:t>Decisions Binding</w:t>
      </w:r>
      <w:r>
        <w:rPr>
          <w:rFonts w:ascii="Arial" w:cs="Arial" w:eastAsia="Arial" w:hAnsi="Arial"/>
          <w:sz w:val="20"/>
          <w:szCs w:val="20"/>
          <w:color w:val="auto"/>
        </w:rPr>
        <w:t>. All determinations and decisions made by the Administrator and any authorized designee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Administrator, pursuant to the provisions of the Plan, shall be final, conclusive and binding on all persons, and shall be given the maximum deference permitted by law.</w:t>
      </w:r>
    </w:p>
    <w:p>
      <w:pPr>
        <w:spacing w:after="0" w:line="167" w:lineRule="exact"/>
        <w:rPr>
          <w:sz w:val="20"/>
          <w:szCs w:val="20"/>
          <w:color w:val="auto"/>
        </w:rPr>
      </w:pPr>
    </w:p>
    <w:p>
      <w:pPr>
        <w:ind w:left="1040" w:right="120" w:hanging="596"/>
        <w:spacing w:after="0" w:line="283" w:lineRule="auto"/>
        <w:tabs>
          <w:tab w:leader="none" w:pos="10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u w:val="single" w:color="auto"/>
          <w:color w:val="auto"/>
        </w:rPr>
        <w:t>Agents; Limitation of Liability</w:t>
      </w:r>
      <w:r>
        <w:rPr>
          <w:rFonts w:ascii="Arial" w:cs="Arial" w:eastAsia="Arial" w:hAnsi="Arial"/>
          <w:sz w:val="18"/>
          <w:szCs w:val="18"/>
          <w:color w:val="auto"/>
        </w:rPr>
        <w:t>. The Administrator may appoint agents to assist in administering the Plan. The Administrator</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each member thereof shall be entitled to, in good faith, rely or act upon any report or other information furnished to it or him by any officer or employee of the Company, the Company’s certified public accountants, consultants or any other agent assisting in the administration of the Plan. The Administrator and any Committee, director, officer or employee of the Company acting at the direction or on behalf of the Administrator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40" w:lineRule="exact"/>
        <w:rPr>
          <w:sz w:val="20"/>
          <w:szCs w:val="20"/>
          <w:color w:val="auto"/>
        </w:rPr>
      </w:pPr>
    </w:p>
    <w:p>
      <w:pPr>
        <w:ind w:left="340" w:hanging="340"/>
        <w:spacing w:after="0"/>
        <w:tabs>
          <w:tab w:leader="none" w:pos="340" w:val="left"/>
        </w:tabs>
        <w:numPr>
          <w:ilvl w:val="0"/>
          <w:numId w:val="204"/>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 AND PARTICIPATION.</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Eligibility</w:t>
      </w:r>
      <w:r>
        <w:rPr>
          <w:rFonts w:ascii="Arial" w:cs="Arial" w:eastAsia="Arial" w:hAnsi="Arial"/>
          <w:sz w:val="18"/>
          <w:szCs w:val="18"/>
          <w:color w:val="auto"/>
        </w:rPr>
        <w:t>. Only those individuals who received an Award Letter prior to January 1, 2021, are eligible to participate in the Plan.</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After January 1, 2021, no new Target Awards shall be granted under the Plan.</w:t>
      </w:r>
    </w:p>
    <w:p>
      <w:pPr>
        <w:spacing w:after="0" w:line="214" w:lineRule="exact"/>
        <w:rPr>
          <w:sz w:val="20"/>
          <w:szCs w:val="20"/>
          <w:color w:val="auto"/>
        </w:rPr>
      </w:pPr>
    </w:p>
    <w:p>
      <w:pPr>
        <w:ind w:left="1040" w:hanging="596"/>
        <w:spacing w:after="0" w:line="271" w:lineRule="auto"/>
        <w:tabs>
          <w:tab w:leader="none" w:pos="10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u w:val="single" w:color="auto"/>
          <w:color w:val="auto"/>
        </w:rPr>
        <w:t>Future Plan Years; Other Plans</w:t>
      </w:r>
      <w:r>
        <w:rPr>
          <w:rFonts w:ascii="Arial" w:cs="Arial" w:eastAsia="Arial" w:hAnsi="Arial"/>
          <w:sz w:val="20"/>
          <w:szCs w:val="20"/>
          <w:color w:val="auto"/>
        </w:rPr>
        <w:t>. Participation in the Plan does not guarantee participation in other or future incentive plans. Plan</w:t>
      </w:r>
      <w:r>
        <w:rPr>
          <w:rFonts w:ascii="Arial" w:cs="Arial" w:eastAsia="Arial" w:hAnsi="Arial"/>
          <w:sz w:val="20"/>
          <w:szCs w:val="20"/>
          <w:u w:val="single" w:color="auto"/>
          <w:color w:val="auto"/>
        </w:rPr>
        <w:t xml:space="preserve"> </w:t>
      </w:r>
      <w:r>
        <w:rPr>
          <w:rFonts w:ascii="Arial" w:cs="Arial" w:eastAsia="Arial" w:hAnsi="Arial"/>
          <w:sz w:val="20"/>
          <w:szCs w:val="20"/>
          <w:color w:val="auto"/>
        </w:rPr>
        <w:t>design and participation will be evaluated and determined on a year-to-year basis.</w:t>
      </w:r>
    </w:p>
    <w:p>
      <w:pPr>
        <w:spacing w:after="0" w:line="177" w:lineRule="exact"/>
        <w:rPr>
          <w:sz w:val="20"/>
          <w:szCs w:val="20"/>
          <w:color w:val="auto"/>
        </w:rPr>
      </w:pPr>
    </w:p>
    <w:p>
      <w:pPr>
        <w:ind w:left="1040" w:right="40" w:hanging="596"/>
        <w:spacing w:after="0" w:line="250" w:lineRule="auto"/>
        <w:tabs>
          <w:tab w:leader="none" w:pos="10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auto"/>
        </w:rPr>
        <w:t>Leaves of Absence</w:t>
      </w:r>
      <w:r>
        <w:rPr>
          <w:rFonts w:ascii="Arial" w:cs="Arial" w:eastAsia="Arial" w:hAnsi="Arial"/>
          <w:sz w:val="20"/>
          <w:szCs w:val="20"/>
          <w:color w:val="auto"/>
        </w:rPr>
        <w:t>. Except as provided herein, to be eligible to receive payments under the Plan, Participants must be actively</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continuously employed by the Company through the Payment Date following the end of each Plan Year and/or Performance Cycle. If a Participant takes a leave of absence from the Company for a portion of a Plan Year or Performance Cycle, the Participant will be eligible to receive Pro-rated Award Payments, as to both the Company Performance and Participant Retention Components, reflecting participation for the period during which the Participant was actively employed and depending upon the type of leave and time away from the Company, as determined in the sole discretion of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20" w:top="1327" w:right="359" w:bottom="1440" w:gutter="0" w:footer="0" w:header="0"/>
        </w:sectPr>
      </w:pPr>
    </w:p>
    <w:bookmarkStart w:id="322" w:name="page323"/>
    <w:bookmarkEnd w:id="322"/>
    <w:p>
      <w:pPr>
        <w:spacing w:after="0" w:line="10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9"/>
          <w:szCs w:val="19"/>
          <w:b w:val="1"/>
          <w:bCs w:val="1"/>
          <w:color w:val="auto"/>
        </w:rPr>
        <w:t>TERMS OF TARGET AWARDS.</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7"/>
          <w:szCs w:val="17"/>
          <w:color w:val="auto"/>
        </w:rPr>
        <w:t>The Company shall provide each Participant with an Award Letter after January 1 of each Plan Year.</w:t>
      </w:r>
    </w:p>
    <w:p>
      <w:pPr>
        <w:spacing w:after="0" w:line="206" w:lineRule="exact"/>
        <w:rPr>
          <w:sz w:val="20"/>
          <w:szCs w:val="20"/>
          <w:color w:val="auto"/>
        </w:rPr>
      </w:pPr>
    </w:p>
    <w:p>
      <w:pPr>
        <w:ind w:left="1040" w:right="200" w:hanging="596"/>
        <w:spacing w:after="0" w:line="271" w:lineRule="auto"/>
        <w:tabs>
          <w:tab w:leader="none" w:pos="10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u w:val="single" w:color="auto"/>
          <w:color w:val="auto"/>
        </w:rPr>
        <w:t>Target Award Components</w:t>
      </w:r>
      <w:r>
        <w:rPr>
          <w:rFonts w:ascii="Arial" w:cs="Arial" w:eastAsia="Arial" w:hAnsi="Arial"/>
          <w:sz w:val="20"/>
          <w:szCs w:val="20"/>
          <w:color w:val="auto"/>
        </w:rPr>
        <w:t>. Target Awards are comprised of two (2) components: a Company Performance Component and a</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Participant Retention Component.</w:t>
      </w:r>
    </w:p>
    <w:p>
      <w:pPr>
        <w:spacing w:after="0" w:line="147" w:lineRule="exact"/>
        <w:rPr>
          <w:sz w:val="20"/>
          <w:szCs w:val="20"/>
          <w:color w:val="auto"/>
        </w:rPr>
      </w:pPr>
    </w:p>
    <w:p>
      <w:pPr>
        <w:ind w:left="340" w:hanging="340"/>
        <w:spacing w:after="0"/>
        <w:tabs>
          <w:tab w:leader="none" w:pos="340" w:val="left"/>
        </w:tabs>
        <w:numPr>
          <w:ilvl w:val="0"/>
          <w:numId w:val="205"/>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TARGET AWARDS.</w:t>
      </w:r>
    </w:p>
    <w:p>
      <w:pPr>
        <w:spacing w:after="0" w:line="212" w:lineRule="exact"/>
        <w:rPr>
          <w:sz w:val="20"/>
          <w:szCs w:val="20"/>
          <w:color w:val="auto"/>
        </w:rPr>
      </w:pPr>
    </w:p>
    <w:p>
      <w:pPr>
        <w:ind w:left="1040" w:right="220" w:hanging="596"/>
        <w:spacing w:after="0" w:line="258" w:lineRule="auto"/>
        <w:tabs>
          <w:tab w:leader="none" w:pos="10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u w:val="single" w:color="auto"/>
          <w:color w:val="auto"/>
        </w:rPr>
        <w:t>Form and Timing of Award Payment</w:t>
      </w:r>
      <w:r>
        <w:rPr>
          <w:rFonts w:ascii="Arial" w:cs="Arial" w:eastAsia="Arial" w:hAnsi="Arial"/>
          <w:sz w:val="20"/>
          <w:szCs w:val="20"/>
          <w:color w:val="auto"/>
        </w:rPr>
        <w:t>. Each Participant shall receive a cash lump sum payment of the Participant’s applicable</w:t>
      </w:r>
      <w:r>
        <w:rPr>
          <w:rFonts w:ascii="Arial" w:cs="Arial" w:eastAsia="Arial" w:hAnsi="Arial"/>
          <w:sz w:val="20"/>
          <w:szCs w:val="20"/>
          <w:u w:val="single" w:color="auto"/>
          <w:color w:val="auto"/>
        </w:rPr>
        <w:t xml:space="preserve"> </w:t>
      </w:r>
      <w:r>
        <w:rPr>
          <w:rFonts w:ascii="Arial" w:cs="Arial" w:eastAsia="Arial" w:hAnsi="Arial"/>
          <w:sz w:val="20"/>
          <w:szCs w:val="20"/>
          <w:color w:val="auto"/>
        </w:rPr>
        <w:t>Award Payment, less required and applicable withholdings and deductions, no later than the fifteenth day of the seventh month following the end of a Plan Year or the first pay period thereafter.</w:t>
      </w:r>
    </w:p>
    <w:p>
      <w:pPr>
        <w:spacing w:after="0" w:line="167" w:lineRule="exact"/>
        <w:rPr>
          <w:sz w:val="20"/>
          <w:szCs w:val="20"/>
          <w:color w:val="auto"/>
        </w:rPr>
      </w:pPr>
    </w:p>
    <w:p>
      <w:pPr>
        <w:ind w:left="1040" w:right="220" w:hanging="596"/>
        <w:spacing w:after="0" w:line="258" w:lineRule="auto"/>
        <w:tabs>
          <w:tab w:leader="none" w:pos="10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u w:val="single" w:color="auto"/>
          <w:color w:val="auto"/>
        </w:rPr>
        <w:t>Treatment of Target Award Components for Award Payments after 2021</w:t>
      </w:r>
      <w:r>
        <w:rPr>
          <w:rFonts w:ascii="Arial" w:cs="Arial" w:eastAsia="Arial" w:hAnsi="Arial"/>
          <w:sz w:val="20"/>
          <w:szCs w:val="20"/>
          <w:color w:val="auto"/>
        </w:rPr>
        <w:t>. For Target Awards issued in 2019 and 2020,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Company Performance Goals for the 2021 and 2022 Plan Years shall be deemed satisfied at 100% of the Target Award and payable as follows:</w:t>
      </w:r>
    </w:p>
    <w:p>
      <w:pPr>
        <w:spacing w:after="0" w:line="167" w:lineRule="exact"/>
        <w:rPr>
          <w:sz w:val="20"/>
          <w:szCs w:val="20"/>
          <w:color w:val="auto"/>
        </w:rPr>
      </w:pPr>
    </w:p>
    <w:p>
      <w:pPr>
        <w:ind w:left="1620" w:hanging="426"/>
        <w:spacing w:after="0"/>
        <w:tabs>
          <w:tab w:leader="none" w:pos="162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For Award Payments payable in 2022, each Participant shall be eligible to receive:</w:t>
      </w:r>
    </w:p>
    <w:p>
      <w:pPr>
        <w:spacing w:after="0" w:line="205" w:lineRule="exact"/>
        <w:rPr>
          <w:rFonts w:ascii="Arial" w:cs="Arial" w:eastAsia="Arial" w:hAnsi="Arial"/>
          <w:sz w:val="20"/>
          <w:szCs w:val="20"/>
          <w:color w:val="auto"/>
        </w:rPr>
      </w:pPr>
    </w:p>
    <w:p>
      <w:pPr>
        <w:ind w:left="2180" w:hanging="389"/>
        <w:spacing w:after="0"/>
        <w:tabs>
          <w:tab w:leader="none" w:pos="218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100% of the third installment of the Company Performance Component, attributable to the 2019 Target Award,</w:t>
      </w:r>
    </w:p>
    <w:p>
      <w:pPr>
        <w:spacing w:after="0" w:line="228" w:lineRule="exact"/>
        <w:rPr>
          <w:rFonts w:ascii="Arial" w:cs="Arial" w:eastAsia="Arial" w:hAnsi="Arial"/>
          <w:sz w:val="18"/>
          <w:szCs w:val="18"/>
          <w:color w:val="auto"/>
        </w:rPr>
      </w:pPr>
    </w:p>
    <w:p>
      <w:pPr>
        <w:ind w:left="2380" w:hanging="589"/>
        <w:spacing w:after="0" w:line="271" w:lineRule="auto"/>
        <w:tabs>
          <w:tab w:leader="none" w:pos="2226" w:val="left"/>
        </w:tabs>
        <w:numPr>
          <w:ilvl w:val="2"/>
          <w:numId w:val="206"/>
        </w:numPr>
        <w:rPr>
          <w:rFonts w:ascii="Arial" w:cs="Arial" w:eastAsia="Arial" w:hAnsi="Arial"/>
          <w:sz w:val="20"/>
          <w:szCs w:val="20"/>
          <w:color w:val="auto"/>
        </w:rPr>
      </w:pPr>
      <w:r>
        <w:rPr>
          <w:rFonts w:ascii="Arial" w:cs="Arial" w:eastAsia="Arial" w:hAnsi="Arial"/>
          <w:sz w:val="20"/>
          <w:szCs w:val="20"/>
          <w:color w:val="auto"/>
        </w:rPr>
        <w:t>100% of the second installment of the Company Performance Component attributable to the 2020 Target Award, and</w:t>
      </w:r>
    </w:p>
    <w:p>
      <w:pPr>
        <w:spacing w:after="0" w:line="152" w:lineRule="exact"/>
        <w:rPr>
          <w:rFonts w:ascii="Arial" w:cs="Arial" w:eastAsia="Arial" w:hAnsi="Arial"/>
          <w:sz w:val="20"/>
          <w:szCs w:val="20"/>
          <w:color w:val="auto"/>
        </w:rPr>
      </w:pPr>
    </w:p>
    <w:p>
      <w:pPr>
        <w:ind w:left="2280" w:hanging="489"/>
        <w:spacing w:after="0"/>
        <w:tabs>
          <w:tab w:leader="none" w:pos="2280" w:val="left"/>
        </w:tabs>
        <w:numPr>
          <w:ilvl w:val="2"/>
          <w:numId w:val="206"/>
        </w:numPr>
        <w:rPr>
          <w:rFonts w:ascii="Arial" w:cs="Arial" w:eastAsia="Arial" w:hAnsi="Arial"/>
          <w:sz w:val="20"/>
          <w:szCs w:val="20"/>
          <w:color w:val="auto"/>
        </w:rPr>
      </w:pPr>
      <w:r>
        <w:rPr>
          <w:rFonts w:ascii="Arial" w:cs="Arial" w:eastAsia="Arial" w:hAnsi="Arial"/>
          <w:sz w:val="20"/>
          <w:szCs w:val="20"/>
          <w:color w:val="auto"/>
        </w:rPr>
        <w:t>100% of the Participant Retention Component attributable to the 2019 Target Award.</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For Award Payments payable in 2023, each Participant shall be eligible to receive:</w:t>
      </w:r>
    </w:p>
    <w:p>
      <w:pPr>
        <w:spacing w:after="0" w:line="205" w:lineRule="exact"/>
        <w:rPr>
          <w:rFonts w:ascii="Arial" w:cs="Arial" w:eastAsia="Arial" w:hAnsi="Arial"/>
          <w:sz w:val="20"/>
          <w:szCs w:val="20"/>
          <w:color w:val="auto"/>
        </w:rPr>
      </w:pPr>
    </w:p>
    <w:p>
      <w:pPr>
        <w:ind w:left="2180" w:hanging="389"/>
        <w:spacing w:after="0"/>
        <w:tabs>
          <w:tab w:leader="none" w:pos="218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100% of the third installment of the Company Performance Component, attributable to 2020 Target Award, and</w:t>
      </w:r>
    </w:p>
    <w:p>
      <w:pPr>
        <w:spacing w:after="0" w:line="228" w:lineRule="exact"/>
        <w:rPr>
          <w:rFonts w:ascii="Arial" w:cs="Arial" w:eastAsia="Arial" w:hAnsi="Arial"/>
          <w:sz w:val="18"/>
          <w:szCs w:val="18"/>
          <w:color w:val="auto"/>
        </w:rPr>
      </w:pPr>
    </w:p>
    <w:p>
      <w:pPr>
        <w:ind w:left="2240" w:hanging="449"/>
        <w:spacing w:after="0"/>
        <w:tabs>
          <w:tab w:leader="none" w:pos="2240" w:val="left"/>
        </w:tabs>
        <w:numPr>
          <w:ilvl w:val="2"/>
          <w:numId w:val="206"/>
        </w:numPr>
        <w:rPr>
          <w:rFonts w:ascii="Arial" w:cs="Arial" w:eastAsia="Arial" w:hAnsi="Arial"/>
          <w:sz w:val="20"/>
          <w:szCs w:val="20"/>
          <w:color w:val="auto"/>
        </w:rPr>
      </w:pPr>
      <w:r>
        <w:rPr>
          <w:rFonts w:ascii="Arial" w:cs="Arial" w:eastAsia="Arial" w:hAnsi="Arial"/>
          <w:sz w:val="20"/>
          <w:szCs w:val="20"/>
          <w:color w:val="auto"/>
        </w:rPr>
        <w:t>100% of the Participant Retention Component attributable to the 2020 Target Award.</w:t>
      </w:r>
    </w:p>
    <w:p>
      <w:pPr>
        <w:spacing w:after="0" w:line="199" w:lineRule="exact"/>
        <w:rPr>
          <w:rFonts w:ascii="Arial" w:cs="Arial" w:eastAsia="Arial" w:hAnsi="Arial"/>
          <w:sz w:val="20"/>
          <w:szCs w:val="20"/>
          <w:color w:val="auto"/>
        </w:rPr>
      </w:pPr>
    </w:p>
    <w:p>
      <w:pPr>
        <w:ind w:left="340" w:hanging="340"/>
        <w:spacing w:after="0"/>
        <w:tabs>
          <w:tab w:leader="none" w:pos="340" w:val="left"/>
        </w:tabs>
        <w:numPr>
          <w:ilvl w:val="0"/>
          <w:numId w:val="207"/>
        </w:numPr>
        <w:rPr>
          <w:rFonts w:ascii="Arial" w:cs="Arial" w:eastAsia="Arial" w:hAnsi="Arial"/>
          <w:sz w:val="20"/>
          <w:szCs w:val="20"/>
          <w:b w:val="1"/>
          <w:bCs w:val="1"/>
          <w:color w:val="auto"/>
        </w:rPr>
      </w:pPr>
      <w:r>
        <w:rPr>
          <w:rFonts w:ascii="Arial" w:cs="Arial" w:eastAsia="Arial" w:hAnsi="Arial"/>
          <w:sz w:val="20"/>
          <w:szCs w:val="20"/>
          <w:b w:val="1"/>
          <w:bCs w:val="1"/>
          <w:color w:val="auto"/>
        </w:rPr>
        <w:t>PARTICIPANT EMPLOYMENT REQUIREMENT.</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7"/>
          <w:szCs w:val="17"/>
          <w:color w:val="auto"/>
        </w:rPr>
        <w:t>Award Payments are not earned until the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440" w:right="379" w:bottom="1440" w:gutter="0" w:footer="0" w:header="0"/>
        </w:sectPr>
      </w:pPr>
    </w:p>
    <w:bookmarkStart w:id="323" w:name="page324"/>
    <w:bookmarkEnd w:id="323"/>
    <w:p>
      <w:pPr>
        <w:ind w:left="1040" w:right="120" w:hanging="596"/>
        <w:spacing w:after="0" w:line="271" w:lineRule="auto"/>
        <w:tabs>
          <w:tab w:leader="none" w:pos="1020" w:val="left"/>
        </w:tabs>
        <w:rPr>
          <w:sz w:val="20"/>
          <w:szCs w:val="20"/>
          <w:color w:val="auto"/>
        </w:rPr>
      </w:pPr>
      <w:r>
        <w:rPr>
          <w:rFonts w:ascii="Arial" w:cs="Arial" w:eastAsia="Arial" w:hAnsi="Arial"/>
          <w:sz w:val="20"/>
          <w:szCs w:val="20"/>
          <w:color w:val="auto"/>
        </w:rPr>
        <w:t>7.2</w:t>
        <w:tab/>
        <w:t xml:space="preserve">Subject to </w:t>
      </w:r>
      <w:r>
        <w:rPr>
          <w:rFonts w:ascii="Arial" w:cs="Arial" w:eastAsia="Arial" w:hAnsi="Arial"/>
          <w:sz w:val="20"/>
          <w:szCs w:val="20"/>
          <w:u w:val="single" w:color="auto"/>
          <w:color w:val="auto"/>
        </w:rPr>
        <w:t>Section 8.1</w:t>
      </w:r>
      <w:r>
        <w:rPr>
          <w:rFonts w:ascii="Arial" w:cs="Arial" w:eastAsia="Arial" w:hAnsi="Arial"/>
          <w:sz w:val="20"/>
          <w:szCs w:val="20"/>
          <w:color w:val="auto"/>
        </w:rPr>
        <w:t>, no Award Payments shall be paid to any Participant who is not actively employed, in good standing, by the Company or an Affiliate on the Payment Date.</w:t>
      </w:r>
    </w:p>
    <w:p>
      <w:pPr>
        <w:spacing w:after="0" w:line="153" w:lineRule="exact"/>
        <w:rPr>
          <w:sz w:val="20"/>
          <w:szCs w:val="20"/>
          <w:color w:val="auto"/>
        </w:rPr>
      </w:pPr>
    </w:p>
    <w:p>
      <w:pPr>
        <w:ind w:left="1040" w:right="360" w:hanging="596"/>
        <w:spacing w:after="0" w:line="271" w:lineRule="auto"/>
        <w:tabs>
          <w:tab w:leader="none" w:pos="1020" w:val="left"/>
        </w:tabs>
        <w:rPr>
          <w:sz w:val="20"/>
          <w:szCs w:val="20"/>
          <w:color w:val="auto"/>
        </w:rPr>
      </w:pPr>
      <w:r>
        <w:rPr>
          <w:rFonts w:ascii="Arial" w:cs="Arial" w:eastAsia="Arial" w:hAnsi="Arial"/>
          <w:sz w:val="20"/>
          <w:szCs w:val="20"/>
          <w:color w:val="auto"/>
        </w:rPr>
        <w:t>7.3</w:t>
        <w:tab/>
        <w:t>Whether a Participant is employed in good standing as of the Payment Date shall be determined in the sole discretion of the Company.</w:t>
      </w:r>
    </w:p>
    <w:p>
      <w:pPr>
        <w:spacing w:after="0" w:line="14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8.</w:t>
        <w:tab/>
        <w:t>TERMINATION OF EMPLOYMENT.</w:t>
      </w:r>
    </w:p>
    <w:p>
      <w:pPr>
        <w:spacing w:after="0" w:line="212" w:lineRule="exact"/>
        <w:rPr>
          <w:sz w:val="20"/>
          <w:szCs w:val="20"/>
          <w:color w:val="auto"/>
        </w:rPr>
      </w:pPr>
    </w:p>
    <w:p>
      <w:pPr>
        <w:ind w:left="1040" w:hanging="596"/>
        <w:spacing w:after="0" w:line="269" w:lineRule="auto"/>
        <w:tabs>
          <w:tab w:leader="none" w:pos="10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u w:val="single" w:color="auto"/>
          <w:color w:val="auto"/>
        </w:rPr>
        <w:t>Termination of Employment for Reasons Other than Cause</w:t>
      </w:r>
      <w:r>
        <w:rPr>
          <w:rFonts w:ascii="Arial" w:cs="Arial" w:eastAsia="Arial" w:hAnsi="Arial"/>
          <w:sz w:val="19"/>
          <w:szCs w:val="19"/>
          <w:color w:val="auto"/>
        </w:rPr>
        <w:t>. Except as otherwise provided in</w:t>
      </w:r>
      <w:r>
        <w:rPr>
          <w:rFonts w:ascii="Arial" w:cs="Arial" w:eastAsia="Arial" w:hAnsi="Arial"/>
          <w:sz w:val="19"/>
          <w:szCs w:val="19"/>
          <w:u w:val="single" w:color="auto"/>
          <w:color w:val="auto"/>
        </w:rPr>
        <w:t xml:space="preserve"> Section 8.3</w:t>
      </w:r>
      <w:r>
        <w:rPr>
          <w:rFonts w:ascii="Arial" w:cs="Arial" w:eastAsia="Arial" w:hAnsi="Arial"/>
          <w:sz w:val="19"/>
          <w:szCs w:val="19"/>
          <w:color w:val="auto"/>
        </w:rPr>
        <w:t>, if a Participant’s</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employment terminates for any reason, the Participant shall cease to be eligible for any Award Payments not paid as of the date on which employment terminates,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event a Participant’s employment is terminated involuntarily as part of a reduction in force, the Committee, in its sole discretion, may authorize an Award Payment reflecting the Participant’s participation for the full Plan Year or Performance Cycle of which the Plan Year is part.</w:t>
      </w:r>
    </w:p>
    <w:p>
      <w:pPr>
        <w:spacing w:after="0" w:line="157" w:lineRule="exact"/>
        <w:rPr>
          <w:sz w:val="20"/>
          <w:szCs w:val="20"/>
          <w:color w:val="auto"/>
        </w:rPr>
      </w:pPr>
    </w:p>
    <w:p>
      <w:pPr>
        <w:ind w:left="1040" w:right="140" w:hanging="596"/>
        <w:spacing w:after="0" w:line="254" w:lineRule="auto"/>
        <w:tabs>
          <w:tab w:leader="none" w:pos="10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u w:val="single" w:color="auto"/>
          <w:color w:val="auto"/>
        </w:rPr>
        <w:t>Termination of Employment for Cause</w:t>
      </w:r>
      <w:r>
        <w:rPr>
          <w:rFonts w:ascii="Arial" w:cs="Arial" w:eastAsia="Arial" w:hAnsi="Arial"/>
          <w:sz w:val="20"/>
          <w:szCs w:val="20"/>
          <w:color w:val="auto"/>
        </w:rPr>
        <w:t>. If a Participant’s employment is terminated for Cause, the Participant shall cease to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eligible for any Award Payments not paid as of the date on which employment terminates. The Company may require repayment of any Award Payments previously paid to a Participant if it discovers facts that, if known earlier, would have constituted grounds for termination of employment for Cause prior to payment.</w:t>
      </w:r>
    </w:p>
    <w:p>
      <w:pPr>
        <w:spacing w:after="0" w:line="171"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u w:val="single" w:color="auto"/>
          <w:color w:val="auto"/>
        </w:rPr>
        <w:t>Termination of Employment Due to Death or Disability</w:t>
      </w:r>
      <w:r>
        <w:rPr>
          <w:rFonts w:ascii="Arial" w:cs="Arial" w:eastAsia="Arial" w:hAnsi="Arial"/>
          <w:sz w:val="18"/>
          <w:szCs w:val="18"/>
          <w:color w:val="auto"/>
        </w:rPr>
        <w:t>.</w:t>
      </w:r>
    </w:p>
    <w:p>
      <w:pPr>
        <w:spacing w:after="0" w:line="206" w:lineRule="exact"/>
        <w:rPr>
          <w:sz w:val="20"/>
          <w:szCs w:val="20"/>
          <w:color w:val="auto"/>
        </w:rPr>
      </w:pPr>
    </w:p>
    <w:p>
      <w:pPr>
        <w:ind w:left="1800" w:right="60" w:hanging="606"/>
        <w:spacing w:after="0" w:line="292" w:lineRule="auto"/>
        <w:tabs>
          <w:tab w:leader="none" w:pos="162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Unless otherwise expressly set forth in an employment agreement signed by the Company and a Participant, if a Participant’s employment is terminated by reason of the Participant’s death or Disability, the Administrator, in its sole discretion, may authorize a Pro-rated Award Payment to the Participant or the Participant’s beneficiary reflecting the Participant’s participation for a portion of the Plan Year or Cycle(s) in which employment terminated.</w:t>
      </w:r>
    </w:p>
    <w:p>
      <w:pPr>
        <w:spacing w:after="0" w:line="137" w:lineRule="exact"/>
        <w:rPr>
          <w:rFonts w:ascii="Arial" w:cs="Arial" w:eastAsia="Arial" w:hAnsi="Arial"/>
          <w:sz w:val="18"/>
          <w:szCs w:val="18"/>
          <w:color w:val="auto"/>
        </w:rPr>
      </w:pPr>
    </w:p>
    <w:p>
      <w:pPr>
        <w:ind w:left="1800" w:right="440" w:hanging="606"/>
        <w:spacing w:after="0" w:line="271" w:lineRule="auto"/>
        <w:tabs>
          <w:tab w:leader="none" w:pos="163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In the case of a Participant’s Disability, employment shall be deemed to have terminated on the date the Committee determines the Participant is Disabled.</w:t>
      </w:r>
    </w:p>
    <w:p>
      <w:pPr>
        <w:spacing w:after="0" w:line="153" w:lineRule="exact"/>
        <w:rPr>
          <w:sz w:val="20"/>
          <w:szCs w:val="20"/>
          <w:color w:val="auto"/>
        </w:rPr>
      </w:pPr>
    </w:p>
    <w:p>
      <w:pPr>
        <w:ind w:left="1040" w:hanging="596"/>
        <w:spacing w:after="0" w:line="271" w:lineRule="auto"/>
        <w:tabs>
          <w:tab w:leader="none" w:pos="10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u w:val="single" w:color="auto"/>
          <w:color w:val="auto"/>
        </w:rPr>
        <w:t>Pro-rated Award Payments</w:t>
      </w:r>
      <w:r>
        <w:rPr>
          <w:rFonts w:ascii="Arial" w:cs="Arial" w:eastAsia="Arial" w:hAnsi="Arial"/>
          <w:sz w:val="20"/>
          <w:szCs w:val="20"/>
          <w:color w:val="auto"/>
        </w:rPr>
        <w:t>. Any Pro-rated Award Payments paid pursuant to this</w:t>
      </w:r>
      <w:r>
        <w:rPr>
          <w:rFonts w:ascii="Arial" w:cs="Arial" w:eastAsia="Arial" w:hAnsi="Arial"/>
          <w:sz w:val="20"/>
          <w:szCs w:val="20"/>
          <w:u w:val="single" w:color="auto"/>
          <w:color w:val="auto"/>
        </w:rPr>
        <w:t xml:space="preserve"> Section 8 </w:t>
      </w:r>
      <w:r>
        <w:rPr>
          <w:rFonts w:ascii="Arial" w:cs="Arial" w:eastAsia="Arial" w:hAnsi="Arial"/>
          <w:sz w:val="20"/>
          <w:szCs w:val="20"/>
          <w:color w:val="auto"/>
        </w:rPr>
        <w:t>will be made at the same time and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same manner as Award Payments paid to other Participants.</w:t>
      </w:r>
    </w:p>
    <w:p>
      <w:pPr>
        <w:spacing w:after="0" w:line="153" w:lineRule="exact"/>
        <w:rPr>
          <w:sz w:val="20"/>
          <w:szCs w:val="20"/>
          <w:color w:val="auto"/>
        </w:rPr>
      </w:pPr>
    </w:p>
    <w:p>
      <w:pPr>
        <w:ind w:left="1040" w:right="180" w:hanging="596"/>
        <w:spacing w:after="0" w:line="327" w:lineRule="auto"/>
        <w:tabs>
          <w:tab w:leader="none" w:pos="102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8"/>
          <w:szCs w:val="18"/>
          <w:u w:val="single" w:color="auto"/>
          <w:color w:val="auto"/>
        </w:rPr>
        <w:t>Re-employment</w:t>
      </w:r>
      <w:r>
        <w:rPr>
          <w:rFonts w:ascii="Arial" w:cs="Arial" w:eastAsia="Arial" w:hAnsi="Arial"/>
          <w:sz w:val="18"/>
          <w:szCs w:val="18"/>
          <w:color w:val="auto"/>
        </w:rPr>
        <w:t>. If a Participant’s employment terminates and the Company re-employs the Participant at any time thereafter,</w:t>
      </w:r>
      <w:r>
        <w:rPr>
          <w:rFonts w:ascii="Arial" w:cs="Arial" w:eastAsia="Arial" w:hAnsi="Arial"/>
          <w:sz w:val="18"/>
          <w:szCs w:val="18"/>
          <w:u w:val="single" w:color="auto"/>
          <w:color w:val="auto"/>
        </w:rPr>
        <w:t xml:space="preserve"> </w:t>
      </w:r>
      <w:r>
        <w:rPr>
          <w:rFonts w:ascii="Arial" w:cs="Arial" w:eastAsia="Arial" w:hAnsi="Arial"/>
          <w:sz w:val="18"/>
          <w:szCs w:val="18"/>
          <w:color w:val="auto"/>
        </w:rPr>
        <w:t>whether in the same or different Plan Year or Performance Cycle, the Participant shall not automatically resume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27" w:right="339" w:bottom="1440" w:gutter="0" w:footer="0" w:header="0"/>
        </w:sectPr>
      </w:pPr>
    </w:p>
    <w:bookmarkStart w:id="324" w:name="page325"/>
    <w:bookmarkEnd w:id="324"/>
    <w:p>
      <w:pPr>
        <w:ind w:left="1200" w:right="80"/>
        <w:spacing w:after="0" w:line="271" w:lineRule="auto"/>
        <w:rPr>
          <w:sz w:val="20"/>
          <w:szCs w:val="20"/>
          <w:color w:val="auto"/>
        </w:rPr>
      </w:pPr>
      <w:r>
        <w:rPr>
          <w:rFonts w:ascii="Arial" w:cs="Arial" w:eastAsia="Arial" w:hAnsi="Arial"/>
          <w:sz w:val="20"/>
          <w:szCs w:val="20"/>
          <w:color w:val="auto"/>
        </w:rPr>
        <w:t>participation in the Plan. Any subsequent participation in the Plan will be subject to designation by the Administrator and the issuance of a new Target Award.</w:t>
      </w:r>
    </w:p>
    <w:p>
      <w:pPr>
        <w:spacing w:after="0" w:line="147" w:lineRule="exact"/>
        <w:rPr>
          <w:sz w:val="20"/>
          <w:szCs w:val="20"/>
          <w:color w:val="auto"/>
        </w:rPr>
      </w:pPr>
    </w:p>
    <w:p>
      <w:pPr>
        <w:ind w:left="340" w:hanging="340"/>
        <w:spacing w:after="0"/>
        <w:tabs>
          <w:tab w:leader="none" w:pos="340" w:val="left"/>
        </w:tabs>
        <w:numPr>
          <w:ilvl w:val="0"/>
          <w:numId w:val="209"/>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12" w:lineRule="exact"/>
        <w:rPr>
          <w:sz w:val="20"/>
          <w:szCs w:val="20"/>
          <w:color w:val="auto"/>
        </w:rPr>
      </w:pPr>
    </w:p>
    <w:p>
      <w:pPr>
        <w:jc w:val="center"/>
        <w:ind w:left="880" w:right="40"/>
        <w:spacing w:after="0" w:line="32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Compliance with Legal Requirements</w:t>
      </w:r>
      <w:r>
        <w:rPr>
          <w:rFonts w:ascii="Arial" w:cs="Arial" w:eastAsia="Arial" w:hAnsi="Arial"/>
          <w:sz w:val="18"/>
          <w:szCs w:val="18"/>
          <w:color w:val="auto"/>
        </w:rPr>
        <w:t>. The Plan and the issuance of Target Awards shall be subject to all applicable federal and state laws, rules and regulations, and to such approvals by any regulatory or governmental agency as may be required.</w:t>
      </w:r>
    </w:p>
    <w:p>
      <w:pPr>
        <w:spacing w:after="0" w:line="108" w:lineRule="exact"/>
        <w:rPr>
          <w:sz w:val="20"/>
          <w:szCs w:val="20"/>
          <w:color w:val="auto"/>
        </w:rPr>
      </w:pPr>
    </w:p>
    <w:p>
      <w:pPr>
        <w:ind w:left="1040" w:right="160" w:hanging="596"/>
        <w:spacing w:after="0" w:line="254" w:lineRule="auto"/>
        <w:tabs>
          <w:tab w:leader="none" w:pos="10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u w:val="single" w:color="auto"/>
          <w:color w:val="auto"/>
        </w:rPr>
        <w:t>Non-transferability</w:t>
      </w:r>
      <w:r>
        <w:rPr>
          <w:rFonts w:ascii="Arial" w:cs="Arial" w:eastAsia="Arial" w:hAnsi="Arial"/>
          <w:sz w:val="20"/>
          <w:szCs w:val="20"/>
          <w:color w:val="auto"/>
        </w:rPr>
        <w:t>. A Participant’s rights and interests under the Plan, including any Target Award previously made to such</w:t>
      </w:r>
      <w:r>
        <w:rPr>
          <w:rFonts w:ascii="Arial" w:cs="Arial" w:eastAsia="Arial" w:hAnsi="Arial"/>
          <w:sz w:val="20"/>
          <w:szCs w:val="20"/>
          <w:u w:val="single" w:color="auto"/>
          <w:color w:val="auto"/>
        </w:rPr>
        <w:t xml:space="preserve"> </w:t>
      </w:r>
      <w:r>
        <w:rPr>
          <w:rFonts w:ascii="Arial" w:cs="Arial" w:eastAsia="Arial" w:hAnsi="Arial"/>
          <w:sz w:val="20"/>
          <w:szCs w:val="20"/>
          <w:color w:val="auto"/>
        </w:rPr>
        <w:t>person or any amounts payable under the Plan, may not be assigned, pledged, or transferred, except in the event of the Participant’s death, to a designated beneficiary in accordance with the Plan, or in the absence of such designation, by will or the laws of descent or distribution.</w:t>
      </w:r>
    </w:p>
    <w:p>
      <w:pPr>
        <w:spacing w:after="0" w:line="171" w:lineRule="exact"/>
        <w:rPr>
          <w:sz w:val="20"/>
          <w:szCs w:val="20"/>
          <w:color w:val="auto"/>
        </w:rPr>
      </w:pPr>
    </w:p>
    <w:p>
      <w:pPr>
        <w:ind w:left="1040" w:right="160" w:hanging="596"/>
        <w:spacing w:after="0" w:line="258" w:lineRule="auto"/>
        <w:tabs>
          <w:tab w:leader="none" w:pos="10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u w:val="single" w:color="auto"/>
          <w:color w:val="auto"/>
        </w:rPr>
        <w:t>No Right to Employment</w:t>
      </w:r>
      <w:r>
        <w:rPr>
          <w:rFonts w:ascii="Arial" w:cs="Arial" w:eastAsia="Arial" w:hAnsi="Arial"/>
          <w:sz w:val="20"/>
          <w:szCs w:val="20"/>
          <w:color w:val="auto"/>
        </w:rPr>
        <w:t>. Nothing in the Plan or in any notice of Target Award shall confer upon any person the right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continue in the employment of the Company or any Affiliate or affect the right of the Company or any Affiliate to terminate the employment of any Participant.</w:t>
      </w:r>
    </w:p>
    <w:p>
      <w:pPr>
        <w:spacing w:after="0" w:line="167" w:lineRule="exact"/>
        <w:rPr>
          <w:sz w:val="20"/>
          <w:szCs w:val="20"/>
          <w:color w:val="auto"/>
        </w:rPr>
      </w:pPr>
    </w:p>
    <w:p>
      <w:pPr>
        <w:ind w:left="1040" w:right="40" w:hanging="596"/>
        <w:spacing w:after="0" w:line="254" w:lineRule="auto"/>
        <w:tabs>
          <w:tab w:leader="none" w:pos="10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u w:val="single" w:color="auto"/>
          <w:color w:val="auto"/>
        </w:rPr>
        <w:t>No Right to Target Award</w:t>
      </w:r>
      <w:r>
        <w:rPr>
          <w:rFonts w:ascii="Arial" w:cs="Arial" w:eastAsia="Arial" w:hAnsi="Arial"/>
          <w:sz w:val="20"/>
          <w:szCs w:val="20"/>
          <w:color w:val="auto"/>
        </w:rPr>
        <w:t>. Unless otherwise expressly set forth in an employment agreement signed by the Company and a</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Participant, a Participant shall not have any right to a Target Award under the Plan until such Target Award has been issued to such Participant. Participation in the Plan in one Plan Year or Performance Cycle does not connote or confer any right to participate in the Plan in any future Plan Year or Performance Cycle.</w:t>
      </w:r>
    </w:p>
    <w:p>
      <w:pPr>
        <w:spacing w:after="0" w:line="171" w:lineRule="exact"/>
        <w:rPr>
          <w:sz w:val="20"/>
          <w:szCs w:val="20"/>
          <w:color w:val="auto"/>
        </w:rPr>
      </w:pPr>
    </w:p>
    <w:p>
      <w:pPr>
        <w:jc w:val="both"/>
        <w:ind w:left="1040" w:right="220" w:hanging="596"/>
        <w:spacing w:after="0" w:line="258" w:lineRule="auto"/>
        <w:tabs>
          <w:tab w:leader="none" w:pos="10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u w:val="single" w:color="auto"/>
          <w:color w:val="auto"/>
        </w:rPr>
        <w:t>Target Award Confidentiality</w:t>
      </w:r>
      <w:r>
        <w:rPr>
          <w:rFonts w:ascii="Arial" w:cs="Arial" w:eastAsia="Arial" w:hAnsi="Arial"/>
          <w:sz w:val="20"/>
          <w:szCs w:val="20"/>
          <w:color w:val="auto"/>
        </w:rPr>
        <w:t>. Target Awards and Award Payments under the Plan are confidential. Failure by a Participant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keep Target Awards and Award Payments confidential may render the Participant ineligible for any future Target Awards or Award Payments under the Plan.</w:t>
      </w:r>
    </w:p>
    <w:p>
      <w:pPr>
        <w:spacing w:after="0" w:line="167" w:lineRule="exact"/>
        <w:rPr>
          <w:sz w:val="20"/>
          <w:szCs w:val="20"/>
          <w:color w:val="auto"/>
        </w:rPr>
      </w:pPr>
    </w:p>
    <w:p>
      <w:pPr>
        <w:ind w:left="1040" w:hanging="596"/>
        <w:spacing w:after="0" w:line="254" w:lineRule="auto"/>
        <w:tabs>
          <w:tab w:leader="none" w:pos="102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have the right to withhold from an Award Payment any federal, state or local income and/or</w:t>
      </w:r>
      <w:r>
        <w:rPr>
          <w:rFonts w:ascii="Arial" w:cs="Arial" w:eastAsia="Arial" w:hAnsi="Arial"/>
          <w:sz w:val="20"/>
          <w:szCs w:val="20"/>
          <w:u w:val="single" w:color="auto"/>
          <w:color w:val="auto"/>
        </w:rPr>
        <w:t xml:space="preserve"> </w:t>
      </w:r>
      <w:r>
        <w:rPr>
          <w:rFonts w:ascii="Arial" w:cs="Arial" w:eastAsia="Arial" w:hAnsi="Arial"/>
          <w:sz w:val="20"/>
          <w:szCs w:val="20"/>
          <w:color w:val="auto"/>
        </w:rPr>
        <w:t>payroll taxes required by law to be withheld, any other applicable withholdings or deductions, and to take such other action as the Company may deem advisable to enable the Company and Participants to satisfy obligations for the payment of withholding taxes and other obligations relating to an Award Payment.</w:t>
      </w:r>
    </w:p>
    <w:p>
      <w:pPr>
        <w:spacing w:after="0" w:line="171" w:lineRule="exact"/>
        <w:rPr>
          <w:sz w:val="20"/>
          <w:szCs w:val="20"/>
          <w:color w:val="auto"/>
        </w:rPr>
      </w:pPr>
    </w:p>
    <w:p>
      <w:pPr>
        <w:ind w:left="1200" w:right="80"/>
        <w:spacing w:after="0" w:line="258" w:lineRule="auto"/>
        <w:rPr>
          <w:sz w:val="20"/>
          <w:szCs w:val="20"/>
          <w:color w:val="auto"/>
        </w:rPr>
      </w:pPr>
      <w:r>
        <w:rPr>
          <w:rFonts w:ascii="Arial" w:cs="Arial" w:eastAsia="Arial" w:hAnsi="Arial"/>
          <w:sz w:val="20"/>
          <w:szCs w:val="20"/>
          <w:color w:val="auto"/>
        </w:rPr>
        <w:t>The Company shall also be entitled to withhold from an Award Payment any amounts owed by a Participant to the Company. Participants will only receive the net amount remaining after all applicable taxes, withholdings and deductions have been collected.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27" w:right="339" w:bottom="1440" w:gutter="0" w:footer="0" w:header="0"/>
        </w:sectPr>
      </w:pPr>
    </w:p>
    <w:bookmarkStart w:id="325" w:name="page326"/>
    <w:bookmarkEnd w:id="325"/>
    <w:p>
      <w:pPr>
        <w:ind w:right="160" w:hanging="596"/>
        <w:spacing w:after="0" w:line="271" w:lineRule="auto"/>
        <w:rPr>
          <w:sz w:val="20"/>
          <w:szCs w:val="20"/>
          <w:color w:val="auto"/>
        </w:rPr>
      </w:pPr>
      <w:r>
        <w:rPr>
          <w:rFonts w:ascii="Arial" w:cs="Arial" w:eastAsia="Arial" w:hAnsi="Arial"/>
          <w:sz w:val="20"/>
          <w:szCs w:val="20"/>
          <w:color w:val="auto"/>
        </w:rPr>
        <w:t>9.7</w:t>
      </w:r>
      <w:r>
        <w:rPr>
          <w:sz w:val="20"/>
          <w:szCs w:val="20"/>
          <w:color w:val="auto"/>
        </w:rPr>
        <w:t xml:space="preserve"> </w:t>
      </w:r>
      <w:r>
        <w:rPr>
          <w:rFonts w:ascii="Arial" w:cs="Arial" w:eastAsia="Arial" w:hAnsi="Arial"/>
          <w:sz w:val="20"/>
          <w:szCs w:val="20"/>
          <w:u w:val="single" w:color="auto"/>
          <w:color w:val="auto"/>
        </w:rPr>
        <w:t>Amendment or Termination of the Plan</w:t>
      </w:r>
      <w:r>
        <w:rPr>
          <w:rFonts w:ascii="Arial" w:cs="Arial" w:eastAsia="Arial" w:hAnsi="Arial"/>
          <w:sz w:val="20"/>
          <w:szCs w:val="20"/>
          <w:color w:val="auto"/>
        </w:rPr>
        <w:t>. The Board or the Committee, may amend, alter, cancel, suspend, modify or terminate</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Plan, in whole or in part, at any time and for any reason.</w:t>
      </w:r>
    </w:p>
    <w:p>
      <w:pPr>
        <w:spacing w:after="0" w:line="153" w:lineRule="exact"/>
        <w:rPr>
          <w:sz w:val="20"/>
          <w:szCs w:val="20"/>
          <w:color w:val="auto"/>
        </w:rPr>
      </w:pPr>
    </w:p>
    <w:p>
      <w:pPr>
        <w:ind w:right="120" w:hanging="596"/>
        <w:spacing w:after="0" w:line="283" w:lineRule="auto"/>
        <w:rPr>
          <w:sz w:val="20"/>
          <w:szCs w:val="20"/>
          <w:color w:val="auto"/>
        </w:rPr>
      </w:pPr>
      <w:r>
        <w:rPr>
          <w:rFonts w:ascii="Arial" w:cs="Arial" w:eastAsia="Arial" w:hAnsi="Arial"/>
          <w:sz w:val="20"/>
          <w:szCs w:val="20"/>
          <w:color w:val="auto"/>
        </w:rPr>
        <w:t>9.8</w:t>
      </w:r>
      <w:r>
        <w:rPr>
          <w:sz w:val="20"/>
          <w:szCs w:val="20"/>
          <w:color w:val="auto"/>
        </w:rPr>
        <w:t xml:space="preserve"> </w:t>
      </w:r>
      <w:r>
        <w:rPr>
          <w:rFonts w:ascii="Arial" w:cs="Arial" w:eastAsia="Arial" w:hAnsi="Arial"/>
          <w:sz w:val="18"/>
          <w:szCs w:val="18"/>
          <w:u w:val="single" w:color="auto"/>
          <w:color w:val="auto"/>
        </w:rPr>
        <w:t>Unfunded Status</w:t>
      </w:r>
      <w:r>
        <w:rPr>
          <w:rFonts w:ascii="Arial" w:cs="Arial" w:eastAsia="Arial" w:hAnsi="Arial"/>
          <w:sz w:val="18"/>
          <w:szCs w:val="18"/>
          <w:color w:val="auto"/>
        </w:rPr>
        <w:t>. Nothing contained in the Plan, and no action taken pursuant to its provisions, shall create or be construed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create a trust of any kind or a fiduciary relationship between the Company and any Participant, beneficiary or legal representative or any other person. To the extent that a person acquires a right to receive payments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The Plan is not intended to be subject to the Employee Retirement Income Security Act of 1974, as amended (ERISA).</w:t>
      </w:r>
    </w:p>
    <w:p>
      <w:pPr>
        <w:spacing w:after="0" w:line="146" w:lineRule="exact"/>
        <w:rPr>
          <w:sz w:val="20"/>
          <w:szCs w:val="20"/>
          <w:color w:val="auto"/>
        </w:rPr>
      </w:pPr>
    </w:p>
    <w:p>
      <w:pPr>
        <w:ind w:hanging="596"/>
        <w:spacing w:after="0" w:line="263" w:lineRule="auto"/>
        <w:rPr>
          <w:sz w:val="20"/>
          <w:szCs w:val="20"/>
          <w:color w:val="auto"/>
        </w:rPr>
      </w:pPr>
      <w:r>
        <w:rPr>
          <w:rFonts w:ascii="Arial" w:cs="Arial" w:eastAsia="Arial" w:hAnsi="Arial"/>
          <w:sz w:val="20"/>
          <w:szCs w:val="20"/>
          <w:color w:val="auto"/>
        </w:rPr>
        <w:t>9.9</w:t>
      </w:r>
      <w:r>
        <w:rPr>
          <w:sz w:val="20"/>
          <w:szCs w:val="20"/>
          <w:color w:val="auto"/>
        </w:rPr>
        <w:t xml:space="preserve"> </w:t>
      </w:r>
      <w:r>
        <w:rPr>
          <w:rFonts w:ascii="Arial" w:cs="Arial" w:eastAsia="Arial" w:hAnsi="Arial"/>
          <w:sz w:val="19"/>
          <w:szCs w:val="19"/>
          <w:u w:val="single" w:color="auto"/>
          <w:color w:val="auto"/>
        </w:rPr>
        <w:t>Governing Law, Jurisdiction, Venue</w:t>
      </w:r>
      <w:r>
        <w:rPr>
          <w:rFonts w:ascii="Arial" w:cs="Arial" w:eastAsia="Arial" w:hAnsi="Arial"/>
          <w:sz w:val="19"/>
          <w:szCs w:val="19"/>
          <w:color w:val="auto"/>
        </w:rPr>
        <w:t>. The laws of the Commonwealth of Virginia shall govern the interpretation, validity,</w:t>
      </w:r>
      <w:r>
        <w:rPr>
          <w:rFonts w:ascii="Arial" w:cs="Arial" w:eastAsia="Arial" w:hAnsi="Arial"/>
          <w:sz w:val="19"/>
          <w:szCs w:val="19"/>
          <w:u w:val="single" w:color="auto"/>
          <w:color w:val="auto"/>
        </w:rPr>
        <w:t xml:space="preserve"> </w:t>
      </w:r>
      <w:r>
        <w:rPr>
          <w:rFonts w:ascii="Arial" w:cs="Arial" w:eastAsia="Arial" w:hAnsi="Arial"/>
          <w:sz w:val="19"/>
          <w:szCs w:val="19"/>
          <w:color w:val="auto"/>
        </w:rPr>
        <w:t>administration, enforcement and performance of the terms of the Plan regardless of the law that might be applied under principles of conflicts of laws. The parties agree that any suit, action, or proceeding arising out of or relating to the Plan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the Plan shall for any reason be held invalid or unenforceable, it is the specific intent of the parties that such provisions shall be modified to the minimum extent necessary to make it or its application valid and enforceable.</w:t>
      </w:r>
    </w:p>
    <w:p>
      <w:pPr>
        <w:spacing w:after="0" w:line="169" w:lineRule="exact"/>
        <w:rPr>
          <w:sz w:val="20"/>
          <w:szCs w:val="20"/>
          <w:color w:val="auto"/>
        </w:rPr>
      </w:pPr>
    </w:p>
    <w:p>
      <w:pPr>
        <w:ind w:left="100" w:right="40" w:hanging="596"/>
        <w:spacing w:after="0" w:line="251" w:lineRule="auto"/>
        <w:tabs>
          <w:tab w:leader="none" w:pos="8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20"/>
          <w:szCs w:val="20"/>
          <w:u w:val="single" w:color="auto"/>
          <w:color w:val="auto"/>
        </w:rPr>
        <w:t xml:space="preserve">Section 409A of the Code. </w:t>
      </w:r>
      <w:r>
        <w:rPr>
          <w:rFonts w:ascii="Arial" w:cs="Arial" w:eastAsia="Arial" w:hAnsi="Arial"/>
          <w:sz w:val="20"/>
          <w:szCs w:val="20"/>
          <w:color w:val="auto"/>
        </w:rPr>
        <w:t>It is intended that payments under the Plan qualify as short-term deferrals exempt from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requirements of Section 409A of the Code. In the event that any Award Payment does not qualify for treatment as an exempt short-term deferral, it is intended that such amount will be paid in a manner that satisfies the requirements of Section 409A of the Code. The Board and the Committee will have full authority to give effect to the intent of the foregoing. To the extent necessary to give effect to this intent, in the case of any conflict or potential inconsistency between the Plan and a provision of any Target Award, the Plan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00"/>
          </w:cols>
          <w:pgMar w:left="1360" w:top="1327" w:right="339" w:bottom="1440" w:gutter="0" w:footer="0" w:header="0"/>
        </w:sectPr>
      </w:pPr>
    </w:p>
    <w:bookmarkStart w:id="326" w:name="page327"/>
    <w:bookmarkEnd w:id="326"/>
    <w:p>
      <w:pPr>
        <w:ind w:left="80" w:right="240"/>
        <w:spacing w:after="0" w:line="271" w:lineRule="auto"/>
        <w:rPr>
          <w:sz w:val="20"/>
          <w:szCs w:val="20"/>
          <w:color w:val="auto"/>
        </w:rPr>
      </w:pPr>
      <w:r>
        <w:rPr>
          <w:rFonts w:ascii="Arial" w:cs="Arial" w:eastAsia="Arial" w:hAnsi="Arial"/>
          <w:sz w:val="20"/>
          <w:szCs w:val="20"/>
          <w:color w:val="auto"/>
        </w:rPr>
        <w:t xml:space="preserve">Without limiting the generality of this </w:t>
      </w:r>
      <w:r>
        <w:rPr>
          <w:rFonts w:ascii="Arial" w:cs="Arial" w:eastAsia="Arial" w:hAnsi="Arial"/>
          <w:sz w:val="20"/>
          <w:szCs w:val="20"/>
          <w:u w:val="single" w:color="auto"/>
          <w:color w:val="auto"/>
        </w:rPr>
        <w:t>Section 9.10</w:t>
      </w:r>
      <w:r>
        <w:rPr>
          <w:rFonts w:ascii="Arial" w:cs="Arial" w:eastAsia="Arial" w:hAnsi="Arial"/>
          <w:sz w:val="20"/>
          <w:szCs w:val="20"/>
          <w:color w:val="auto"/>
        </w:rPr>
        <w:t>, with respect to any Target Award made under the Plan that is “deferred compensation” subject to Section 409A:</w:t>
      </w:r>
    </w:p>
    <w:p>
      <w:pPr>
        <w:spacing w:after="0" w:line="153" w:lineRule="exact"/>
        <w:rPr>
          <w:sz w:val="20"/>
          <w:szCs w:val="20"/>
          <w:color w:val="auto"/>
        </w:rPr>
      </w:pPr>
    </w:p>
    <w:p>
      <w:pPr>
        <w:ind w:left="680" w:right="240" w:hanging="606"/>
        <w:spacing w:after="0" w:line="271" w:lineRule="auto"/>
        <w:tabs>
          <w:tab w:leader="none" w:pos="50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any payment due upon a Participant’s termination of employment will be paid only upon such Participant’s separation from service from the Company within the meaning of Section 409A;</w:t>
      </w:r>
    </w:p>
    <w:p>
      <w:pPr>
        <w:spacing w:after="0" w:line="152" w:lineRule="exact"/>
        <w:rPr>
          <w:rFonts w:ascii="Arial" w:cs="Arial" w:eastAsia="Arial" w:hAnsi="Arial"/>
          <w:sz w:val="20"/>
          <w:szCs w:val="20"/>
          <w:color w:val="auto"/>
        </w:rPr>
      </w:pPr>
    </w:p>
    <w:p>
      <w:pPr>
        <w:ind w:left="680" w:right="120" w:hanging="606"/>
        <w:spacing w:after="0" w:line="272" w:lineRule="auto"/>
        <w:tabs>
          <w:tab w:leader="none" w:pos="514"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any payment to be made with respect to such Target Award in connection with the Participant’s separation from service from the Company within the meaning of Section 409A (and any other payment that would be subject to the limitations in Section 409A(a)(2)(B) of the Code) will be delayed until six months after the Participant’s separation from service (or earlier death) in accordance with the requirements of Section 409A;</w:t>
      </w:r>
    </w:p>
    <w:p>
      <w:pPr>
        <w:spacing w:after="0" w:line="154" w:lineRule="exact"/>
        <w:rPr>
          <w:rFonts w:ascii="Arial" w:cs="Arial" w:eastAsia="Arial" w:hAnsi="Arial"/>
          <w:sz w:val="19"/>
          <w:szCs w:val="19"/>
          <w:color w:val="auto"/>
        </w:rPr>
      </w:pPr>
    </w:p>
    <w:p>
      <w:pPr>
        <w:ind w:left="680" w:hanging="606"/>
        <w:spacing w:after="0" w:line="258" w:lineRule="auto"/>
        <w:tabs>
          <w:tab w:leader="none" w:pos="50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if the Target Award includes a “series of installment payments” (within the meaning of Section 1.409A-2(b)(2)(iii) of the Treasury Regulations), the Participant’s right to the series of installment payments will be treated as a right to a series of separate payments and not as a right to a single payment; and</w:t>
      </w:r>
    </w:p>
    <w:p>
      <w:pPr>
        <w:spacing w:after="0" w:line="166" w:lineRule="exact"/>
        <w:rPr>
          <w:rFonts w:ascii="Arial" w:cs="Arial" w:eastAsia="Arial" w:hAnsi="Arial"/>
          <w:sz w:val="20"/>
          <w:szCs w:val="20"/>
          <w:color w:val="auto"/>
        </w:rPr>
      </w:pPr>
    </w:p>
    <w:p>
      <w:pPr>
        <w:ind w:left="680" w:hanging="606"/>
        <w:spacing w:after="0" w:line="283" w:lineRule="auto"/>
        <w:tabs>
          <w:tab w:leader="none" w:pos="51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for purposes of determining whether the Participant has experienced a separation from service from the Company within the meaning of Section 409A, “subsidiary” will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 provided that the language “at least 20 percent” is used instead of “at least 80 percent” each place it appears in Section 1.414(c)-2(b)(2)(i) of the Treasury Regulations.</w:t>
      </w:r>
    </w:p>
    <w:p>
      <w:pPr>
        <w:spacing w:after="0" w:line="146" w:lineRule="exact"/>
        <w:rPr>
          <w:sz w:val="20"/>
          <w:szCs w:val="20"/>
          <w:color w:val="auto"/>
        </w:rPr>
      </w:pPr>
    </w:p>
    <w:p>
      <w:pPr>
        <w:ind w:left="20" w:right="480" w:hanging="596"/>
        <w:spacing w:after="0" w:line="271" w:lineRule="auto"/>
        <w:rPr>
          <w:sz w:val="20"/>
          <w:szCs w:val="20"/>
          <w:color w:val="auto"/>
        </w:rPr>
      </w:pPr>
      <w:r>
        <w:rPr>
          <w:rFonts w:ascii="Arial" w:cs="Arial" w:eastAsia="Arial" w:hAnsi="Arial"/>
          <w:sz w:val="20"/>
          <w:szCs w:val="20"/>
          <w:color w:val="auto"/>
        </w:rPr>
        <w:t>9.11</w:t>
      </w:r>
      <w:r>
        <w:rPr>
          <w:sz w:val="20"/>
          <w:szCs w:val="20"/>
          <w:color w:val="auto"/>
        </w:rPr>
        <w:t xml:space="preserve"> </w:t>
      </w:r>
      <w:r>
        <w:rPr>
          <w:rFonts w:ascii="Arial" w:cs="Arial" w:eastAsia="Arial" w:hAnsi="Arial"/>
          <w:sz w:val="20"/>
          <w:szCs w:val="20"/>
          <w:u w:val="single" w:color="auto"/>
          <w:color w:val="auto"/>
        </w:rPr>
        <w:t>Section Headings</w:t>
      </w:r>
      <w:r>
        <w:rPr>
          <w:rFonts w:ascii="Arial" w:cs="Arial" w:eastAsia="Arial" w:hAnsi="Arial"/>
          <w:sz w:val="20"/>
          <w:szCs w:val="20"/>
          <w:color w:val="auto"/>
        </w:rPr>
        <w:t>. The headings of the Plan have been inserted for convenience of reference only and in the event of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conflict, the text of the Plan, rather than such headings, shall control.</w:t>
      </w:r>
    </w:p>
    <w:p>
      <w:pPr>
        <w:spacing w:after="0" w:line="153" w:lineRule="exact"/>
        <w:rPr>
          <w:sz w:val="20"/>
          <w:szCs w:val="20"/>
          <w:color w:val="auto"/>
        </w:rPr>
      </w:pPr>
    </w:p>
    <w:p>
      <w:pPr>
        <w:ind w:left="20" w:right="120" w:hanging="596"/>
        <w:spacing w:after="0" w:line="258" w:lineRule="auto"/>
        <w:rPr>
          <w:sz w:val="20"/>
          <w:szCs w:val="20"/>
          <w:color w:val="auto"/>
        </w:rPr>
      </w:pPr>
      <w:r>
        <w:rPr>
          <w:rFonts w:ascii="Arial" w:cs="Arial" w:eastAsia="Arial" w:hAnsi="Arial"/>
          <w:sz w:val="20"/>
          <w:szCs w:val="20"/>
          <w:color w:val="auto"/>
        </w:rPr>
        <w:t>9.12</w:t>
      </w:r>
      <w:r>
        <w:rPr>
          <w:sz w:val="20"/>
          <w:szCs w:val="20"/>
          <w:color w:val="auto"/>
        </w:rPr>
        <w:t xml:space="preserve">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of the Plan shall be considered illegal or invalid for any reason, such illegality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invalidity shall not affect the remaining provisions of the Plan, but shall be fully severable, and the Plan shall be construed and enforced as if such illegal or invalid provision had never been contained therein.</w:t>
      </w:r>
    </w:p>
    <w:p>
      <w:pPr>
        <w:spacing w:after="0" w:line="167" w:lineRule="exact"/>
        <w:rPr>
          <w:sz w:val="20"/>
          <w:szCs w:val="20"/>
          <w:color w:val="auto"/>
        </w:rPr>
      </w:pPr>
    </w:p>
    <w:p>
      <w:pPr>
        <w:ind w:left="20" w:right="560" w:hanging="596"/>
        <w:spacing w:after="0" w:line="271" w:lineRule="auto"/>
        <w:rPr>
          <w:sz w:val="20"/>
          <w:szCs w:val="20"/>
          <w:color w:val="auto"/>
        </w:rPr>
      </w:pPr>
      <w:r>
        <w:rPr>
          <w:rFonts w:ascii="Arial" w:cs="Arial" w:eastAsia="Arial" w:hAnsi="Arial"/>
          <w:sz w:val="20"/>
          <w:szCs w:val="20"/>
          <w:color w:val="auto"/>
        </w:rPr>
        <w:t>9.13</w:t>
      </w:r>
      <w:r>
        <w:rPr>
          <w:sz w:val="20"/>
          <w:szCs w:val="20"/>
          <w:color w:val="auto"/>
        </w:rPr>
        <w:t xml:space="preserve"> </w:t>
      </w:r>
      <w:r>
        <w:rPr>
          <w:rFonts w:ascii="Arial" w:cs="Arial" w:eastAsia="Arial" w:hAnsi="Arial"/>
          <w:sz w:val="20"/>
          <w:szCs w:val="20"/>
          <w:u w:val="single" w:color="auto"/>
          <w:color w:val="auto"/>
        </w:rPr>
        <w:t>Non-exclusive</w:t>
      </w:r>
      <w:r>
        <w:rPr>
          <w:rFonts w:ascii="Arial" w:cs="Arial" w:eastAsia="Arial" w:hAnsi="Arial"/>
          <w:sz w:val="20"/>
          <w:szCs w:val="20"/>
          <w:color w:val="auto"/>
        </w:rPr>
        <w:t>. Nothing in the Plan shall limit the authority of the Company, the Board or the Committee to adopt other</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compensation arrangements for any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20"/>
          </w:cols>
          <w:pgMar w:left="1440" w:top="1327" w:right="339" w:bottom="1440" w:gutter="0" w:footer="0" w:header="0"/>
        </w:sectPr>
      </w:pPr>
    </w:p>
    <w:bookmarkStart w:id="327" w:name="page328"/>
    <w:bookmarkEnd w:id="327"/>
    <w:p>
      <w:pPr>
        <w:ind w:left="20" w:right="400" w:hanging="596"/>
        <w:spacing w:after="0" w:line="301" w:lineRule="auto"/>
        <w:rPr>
          <w:sz w:val="20"/>
          <w:szCs w:val="20"/>
          <w:color w:val="auto"/>
        </w:rPr>
      </w:pPr>
      <w:r>
        <w:rPr>
          <w:rFonts w:ascii="Arial" w:cs="Arial" w:eastAsia="Arial" w:hAnsi="Arial"/>
          <w:sz w:val="20"/>
          <w:szCs w:val="20"/>
          <w:color w:val="auto"/>
        </w:rPr>
        <w:t>9.14</w:t>
      </w:r>
      <w:r>
        <w:rPr>
          <w:sz w:val="20"/>
          <w:szCs w:val="20"/>
          <w:color w:val="auto"/>
        </w:rPr>
        <w:t xml:space="preserve">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w:t>
      </w:r>
      <w:r>
        <w:rPr>
          <w:rFonts w:ascii="Arial" w:cs="Arial" w:eastAsia="Arial" w:hAnsi="Arial"/>
          <w:sz w:val="18"/>
          <w:szCs w:val="18"/>
          <w:u w:val="single" w:color="auto"/>
          <w:color w:val="auto"/>
        </w:rPr>
        <w:t xml:space="preserve"> Section 9.7</w:t>
      </w:r>
      <w:r>
        <w:rPr>
          <w:rFonts w:ascii="Arial" w:cs="Arial" w:eastAsia="Arial" w:hAnsi="Arial"/>
          <w:sz w:val="18"/>
          <w:szCs w:val="18"/>
          <w:color w:val="auto"/>
        </w:rPr>
        <w:t>, all obligations of the Company under the Plan with respect to Target Awards granted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hereunder shall be binding upon any successor to the Company, whether the existence of such successor is the result of a direct or indirect purchase, merger, consolidation or otherwise, of all or substantially all of the assets of the Company.</w:t>
      </w:r>
    </w:p>
    <w:p>
      <w:pPr>
        <w:spacing w:after="0" w:line="130" w:lineRule="exact"/>
        <w:rPr>
          <w:sz w:val="20"/>
          <w:szCs w:val="20"/>
          <w:color w:val="auto"/>
        </w:rPr>
      </w:pPr>
    </w:p>
    <w:p>
      <w:pPr>
        <w:ind w:left="20" w:right="20" w:hanging="596"/>
        <w:spacing w:after="0" w:line="258" w:lineRule="auto"/>
        <w:rPr>
          <w:sz w:val="20"/>
          <w:szCs w:val="20"/>
          <w:color w:val="auto"/>
        </w:rPr>
      </w:pPr>
      <w:r>
        <w:rPr>
          <w:rFonts w:ascii="Arial" w:cs="Arial" w:eastAsia="Arial" w:hAnsi="Arial"/>
          <w:sz w:val="20"/>
          <w:szCs w:val="20"/>
          <w:color w:val="auto"/>
        </w:rPr>
        <w:t>9.15</w:t>
      </w:r>
      <w:r>
        <w:rPr>
          <w:sz w:val="20"/>
          <w:szCs w:val="20"/>
          <w:color w:val="auto"/>
        </w:rPr>
        <w:t xml:space="preserve"> </w:t>
      </w:r>
      <w:r>
        <w:rPr>
          <w:rFonts w:ascii="Arial" w:cs="Arial" w:eastAsia="Arial" w:hAnsi="Arial"/>
          <w:sz w:val="20"/>
          <w:szCs w:val="20"/>
          <w:u w:val="single" w:color="auto"/>
          <w:color w:val="auto"/>
        </w:rPr>
        <w:t>Effect on Other Benefits</w:t>
      </w:r>
      <w:r>
        <w:rPr>
          <w:rFonts w:ascii="Arial" w:cs="Arial" w:eastAsia="Arial" w:hAnsi="Arial"/>
          <w:sz w:val="20"/>
          <w:szCs w:val="20"/>
          <w:color w:val="auto"/>
        </w:rPr>
        <w:t>. Amounts paid or payable under the Plan may be taken into account in determining payments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benefits under any other compensation or benefit plan, but only to the extent provided for, or not explicitly prohibited by, any governing plan documents.</w:t>
      </w:r>
    </w:p>
    <w:p>
      <w:pPr>
        <w:spacing w:after="0" w:line="167" w:lineRule="exact"/>
        <w:rPr>
          <w:sz w:val="20"/>
          <w:szCs w:val="20"/>
          <w:color w:val="auto"/>
        </w:rPr>
      </w:pPr>
    </w:p>
    <w:p>
      <w:pPr>
        <w:ind w:left="20" w:right="40" w:hanging="596"/>
        <w:spacing w:after="0" w:line="264" w:lineRule="auto"/>
        <w:rPr>
          <w:sz w:val="20"/>
          <w:szCs w:val="20"/>
          <w:color w:val="auto"/>
        </w:rPr>
      </w:pPr>
      <w:r>
        <w:rPr>
          <w:rFonts w:ascii="Arial" w:cs="Arial" w:eastAsia="Arial" w:hAnsi="Arial"/>
          <w:sz w:val="20"/>
          <w:szCs w:val="20"/>
          <w:color w:val="auto"/>
        </w:rPr>
        <w:t>9.16</w:t>
      </w:r>
      <w:r>
        <w:rPr>
          <w:sz w:val="20"/>
          <w:szCs w:val="20"/>
          <w:color w:val="auto"/>
        </w:rPr>
        <w:t xml:space="preserve">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of Participant’s employment with the Company and for a period of twelve (12) months</w:t>
      </w:r>
      <w:r>
        <w:rPr>
          <w:rFonts w:ascii="Arial" w:cs="Arial" w:eastAsia="Arial" w:hAnsi="Arial"/>
          <w:sz w:val="19"/>
          <w:szCs w:val="19"/>
          <w:u w:val="single" w:color="auto"/>
          <w:color w:val="auto"/>
        </w:rPr>
        <w:t xml:space="preserve"> </w:t>
      </w:r>
      <w:r>
        <w:rPr>
          <w:rFonts w:ascii="Arial" w:cs="Arial" w:eastAsia="Arial" w:hAnsi="Arial"/>
          <w:sz w:val="19"/>
          <w:szCs w:val="19"/>
          <w:color w:val="auto"/>
        </w:rPr>
        <w:t>following termination of the Participant’s employment, the Participant will not, directly or indirectly, either on Participant’s own behalf or 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(collectively, “</w:t>
      </w:r>
      <w:r>
        <w:rPr>
          <w:rFonts w:ascii="Arial" w:cs="Arial" w:eastAsia="Arial" w:hAnsi="Arial"/>
          <w:sz w:val="19"/>
          <w:szCs w:val="19"/>
          <w:u w:val="single" w:color="auto"/>
          <w:color w:val="auto"/>
        </w:rPr>
        <w:t>Covered Employee</w:t>
      </w:r>
      <w:r>
        <w:rPr>
          <w:rFonts w:ascii="Arial" w:cs="Arial" w:eastAsia="Arial" w:hAnsi="Arial"/>
          <w:sz w:val="19"/>
          <w:szCs w:val="19"/>
          <w:color w:val="auto"/>
        </w:rPr>
        <w:t>”) to leave the employment of the Company or cease performing services for the Company; (ii) hire or engage or assist any third party in hiring or engaging, any Covered Employee; or (iii) Solicit, induce or assist any third party in Soliciting or inducing any other person or entity (including, without limitation, any third-party service provider or distributor) to terminate its relationship with the Company or otherwise interfere with such relationship.</w:t>
      </w:r>
    </w:p>
    <w:p>
      <w:pPr>
        <w:spacing w:after="0" w:line="164" w:lineRule="exact"/>
        <w:rPr>
          <w:sz w:val="20"/>
          <w:szCs w:val="20"/>
          <w:color w:val="auto"/>
        </w:rPr>
      </w:pPr>
    </w:p>
    <w:p>
      <w:pPr>
        <w:ind w:left="80"/>
        <w:spacing w:after="0" w:line="250" w:lineRule="auto"/>
        <w:rPr>
          <w:sz w:val="20"/>
          <w:szCs w:val="20"/>
          <w:color w:val="auto"/>
        </w:rPr>
      </w:pPr>
      <w:r>
        <w:rPr>
          <w:rFonts w:ascii="Arial" w:cs="Arial" w:eastAsia="Arial" w:hAnsi="Arial"/>
          <w:sz w:val="20"/>
          <w:szCs w:val="20"/>
          <w:color w:val="auto"/>
        </w:rPr>
        <w:t>This non-solicitation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and any other social media platform, whether or not in existence at the time of entering into the Plan. However, it will not be deemed a violation of this Section if the Participant merely updates the Participant’s LinkedIn profile or connects with a Covered Employee on Facebook, LinkedIn, or other social media platform without engaging in any other substantive communication, by social media or otherwise, that is prohibited by this Section.</w:t>
      </w:r>
    </w:p>
    <w:p>
      <w:pPr>
        <w:spacing w:after="0" w:line="177" w:lineRule="exact"/>
        <w:rPr>
          <w:sz w:val="20"/>
          <w:szCs w:val="20"/>
          <w:color w:val="auto"/>
        </w:rPr>
      </w:pPr>
    </w:p>
    <w:p>
      <w:pPr>
        <w:ind w:left="20" w:right="60" w:hanging="596"/>
        <w:spacing w:after="0" w:line="269" w:lineRule="auto"/>
        <w:rPr>
          <w:sz w:val="20"/>
          <w:szCs w:val="20"/>
          <w:color w:val="auto"/>
        </w:rPr>
      </w:pPr>
      <w:r>
        <w:rPr>
          <w:rFonts w:ascii="Arial" w:cs="Arial" w:eastAsia="Arial" w:hAnsi="Arial"/>
          <w:sz w:val="20"/>
          <w:szCs w:val="20"/>
          <w:color w:val="auto"/>
        </w:rPr>
        <w:t>9.17</w:t>
      </w:r>
      <w:r>
        <w:rPr>
          <w:sz w:val="20"/>
          <w:szCs w:val="20"/>
          <w:color w:val="auto"/>
        </w:rPr>
        <w:t xml:space="preserve"> </w:t>
      </w:r>
      <w:r>
        <w:rPr>
          <w:rFonts w:ascii="Arial" w:cs="Arial" w:eastAsia="Arial" w:hAnsi="Arial"/>
          <w:sz w:val="19"/>
          <w:szCs w:val="19"/>
          <w:u w:val="single" w:color="auto"/>
          <w:color w:val="auto"/>
        </w:rPr>
        <w:t>Forfeiture for Violation of Restrictive Covenants</w:t>
      </w:r>
      <w:r>
        <w:rPr>
          <w:rFonts w:ascii="Arial" w:cs="Arial" w:eastAsia="Arial" w:hAnsi="Arial"/>
          <w:sz w:val="19"/>
          <w:szCs w:val="19"/>
          <w:color w:val="auto"/>
        </w:rPr>
        <w:t>. The issuance of an Award Payment and Participant’s agreement to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Restrictive Covenants are intended to be mutually dependent promises and in the event Participant breaches or threatens to breach the Restrictive Covenants, then to the greatest extent permitted by applicable law: (i) any Award Payment that has not yet been paid shall cease to be payable and (ii) any Award Payment that has been paid to Participant during the twelve (12) months prior to Participant’s breach or threatened breach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080"/>
          </w:cols>
          <w:pgMar w:left="1440" w:top="1327" w:right="379" w:bottom="1440" w:gutter="0" w:footer="0" w:header="0"/>
        </w:sectPr>
      </w:pPr>
    </w:p>
    <w:bookmarkStart w:id="328" w:name="page329"/>
    <w:bookmarkEnd w:id="328"/>
    <w:p>
      <w:pPr>
        <w:ind w:left="600"/>
        <w:spacing w:after="0"/>
        <w:rPr>
          <w:sz w:val="20"/>
          <w:szCs w:val="20"/>
          <w:color w:val="auto"/>
        </w:rPr>
      </w:pPr>
      <w:r>
        <w:rPr>
          <w:rFonts w:ascii="Arial" w:cs="Arial" w:eastAsia="Arial" w:hAnsi="Arial"/>
          <w:sz w:val="20"/>
          <w:szCs w:val="20"/>
          <w:color w:val="auto"/>
        </w:rPr>
        <w:t>Restrictive Covenants that have not yet been paid to Participant shall be forfeited for no consideration.</w:t>
      </w:r>
    </w:p>
    <w:p>
      <w:pPr>
        <w:spacing w:after="0" w:line="206" w:lineRule="exact"/>
        <w:rPr>
          <w:sz w:val="20"/>
          <w:szCs w:val="20"/>
          <w:color w:val="auto"/>
        </w:rPr>
      </w:pPr>
    </w:p>
    <w:p>
      <w:pPr>
        <w:ind w:left="540" w:right="40" w:hanging="596"/>
        <w:spacing w:after="0" w:line="262" w:lineRule="auto"/>
        <w:tabs>
          <w:tab w:leader="none" w:pos="520" w:val="left"/>
        </w:tabs>
        <w:rPr>
          <w:sz w:val="20"/>
          <w:szCs w:val="20"/>
          <w:color w:val="auto"/>
        </w:rPr>
      </w:pPr>
      <w:r>
        <w:rPr>
          <w:rFonts w:ascii="Arial" w:cs="Arial" w:eastAsia="Arial" w:hAnsi="Arial"/>
          <w:sz w:val="20"/>
          <w:szCs w:val="20"/>
          <w:color w:val="auto"/>
        </w:rPr>
        <w:t>9.18</w:t>
      </w:r>
      <w:r>
        <w:rPr>
          <w:sz w:val="20"/>
          <w:szCs w:val="20"/>
          <w:color w:val="auto"/>
        </w:rPr>
        <w:tab/>
      </w:r>
      <w:r>
        <w:rPr>
          <w:rFonts w:ascii="Arial" w:cs="Arial" w:eastAsia="Arial" w:hAnsi="Arial"/>
          <w:sz w:val="19"/>
          <w:szCs w:val="19"/>
          <w:u w:val="single" w:color="auto"/>
          <w:color w:val="auto"/>
        </w:rPr>
        <w:t>Clawback</w:t>
      </w:r>
      <w:r>
        <w:rPr>
          <w:rFonts w:ascii="Arial" w:cs="Arial" w:eastAsia="Arial" w:hAnsi="Arial"/>
          <w:sz w:val="19"/>
          <w:szCs w:val="19"/>
          <w:color w:val="auto"/>
        </w:rPr>
        <w:t>. In the event of a restatement of the Company’s financial results (other than a restatement caused by a change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applicable accounting rules or interpretations), the result of which is that an Award Payment paid pursuant to the Plan would have been a lower amount had it been calculated based on such restated results, the Committee shall review such Award Payment. If the Committee determines: (i) the amount of any such Award Payment actually paid to a Participant (the “Awarded Compensation”) would have been a lower amount had it been calculated based on such restated financial statements (the “Actual Compensation”), and (ii) such restatement is the result of negligence, misconduct, deception, non-disclosure, policy violation or fraud by a Participant, the Committee, in its sole discretion, may, to the extent permitted by applicable law, require repayment of a portion or all of any Award Payment from any Participants knowledgeable of, responsible for, or contributing to, the negligence, misconduct, deception, non-disclosure, policy violation or fraud resulting in the restatement (such difference, the “Excess Compensation”). If the Committee determines to seek repayment for the Excess Compensation, it shall issue a written demand for repayment from the Participant and, if the Participant does not within a reasonable period thereafter tender repayment in response to such demand, and the Committee determines the Participant is unlikely to do so, the Committee may authorize the Company to seek a court order against the Participant for such repayment.</w:t>
      </w:r>
    </w:p>
    <w:p>
      <w:pPr>
        <w:spacing w:after="0" w:line="170" w:lineRule="exact"/>
        <w:rPr>
          <w:sz w:val="20"/>
          <w:szCs w:val="20"/>
          <w:color w:val="auto"/>
        </w:rPr>
      </w:pPr>
    </w:p>
    <w:p>
      <w:pPr>
        <w:ind w:left="600" w:right="180"/>
        <w:spacing w:after="0" w:line="271" w:lineRule="auto"/>
        <w:rPr>
          <w:sz w:val="20"/>
          <w:szCs w:val="20"/>
          <w:color w:val="auto"/>
        </w:rPr>
      </w:pPr>
      <w:r>
        <w:rPr>
          <w:rFonts w:ascii="Arial" w:cs="Arial" w:eastAsia="Arial" w:hAnsi="Arial"/>
          <w:sz w:val="20"/>
          <w:szCs w:val="20"/>
          <w:color w:val="auto"/>
        </w:rPr>
        <w:t>The Company shall not be required to pay Participants any additional amounts in the event restated financial results would have otherwise resulted in a higher Award Payment.</w:t>
      </w:r>
    </w:p>
    <w:p>
      <w:pPr>
        <w:spacing w:after="0" w:line="153" w:lineRule="exact"/>
        <w:rPr>
          <w:sz w:val="20"/>
          <w:szCs w:val="20"/>
          <w:color w:val="auto"/>
        </w:rPr>
      </w:pPr>
    </w:p>
    <w:p>
      <w:pPr>
        <w:jc w:val="both"/>
        <w:ind w:left="600" w:right="40"/>
        <w:spacing w:after="0" w:line="258" w:lineRule="auto"/>
        <w:rPr>
          <w:sz w:val="20"/>
          <w:szCs w:val="20"/>
          <w:color w:val="auto"/>
        </w:rPr>
      </w:pPr>
      <w:r>
        <w:rPr>
          <w:rFonts w:ascii="Arial" w:cs="Arial" w:eastAsia="Arial" w:hAnsi="Arial"/>
          <w:sz w:val="20"/>
          <w:szCs w:val="20"/>
          <w:color w:val="auto"/>
        </w:rPr>
        <w:t xml:space="preserve">The actions permitted to be taken under this </w:t>
      </w:r>
      <w:r>
        <w:rPr>
          <w:rFonts w:ascii="Arial" w:cs="Arial" w:eastAsia="Arial" w:hAnsi="Arial"/>
          <w:sz w:val="20"/>
          <w:szCs w:val="20"/>
          <w:u w:val="single" w:color="auto"/>
          <w:color w:val="auto"/>
        </w:rPr>
        <w:t>Section 9.18</w:t>
      </w:r>
      <w:r>
        <w:rPr>
          <w:rFonts w:ascii="Arial" w:cs="Arial" w:eastAsia="Arial" w:hAnsi="Arial"/>
          <w:sz w:val="20"/>
          <w:szCs w:val="20"/>
          <w:color w:val="auto"/>
        </w:rPr>
        <w:t xml:space="preserve"> are in addition to, and not in lieu of, any and all other rights of the Board, the Committee and/or the Company under applicable law and shall apply notwithstanding anything to the contrary in the Plan.</w:t>
      </w:r>
    </w:p>
    <w:p>
      <w:pPr>
        <w:spacing w:after="0" w:line="167" w:lineRule="exact"/>
        <w:rPr>
          <w:sz w:val="20"/>
          <w:szCs w:val="20"/>
          <w:color w:val="auto"/>
        </w:rPr>
      </w:pPr>
    </w:p>
    <w:p>
      <w:pPr>
        <w:ind w:left="540" w:hanging="596"/>
        <w:spacing w:after="0" w:line="269" w:lineRule="auto"/>
        <w:tabs>
          <w:tab w:leader="none" w:pos="520" w:val="left"/>
        </w:tabs>
        <w:rPr>
          <w:sz w:val="20"/>
          <w:szCs w:val="20"/>
          <w:color w:val="auto"/>
        </w:rPr>
      </w:pPr>
      <w:r>
        <w:rPr>
          <w:rFonts w:ascii="Arial" w:cs="Arial" w:eastAsia="Arial" w:hAnsi="Arial"/>
          <w:sz w:val="20"/>
          <w:szCs w:val="20"/>
          <w:color w:val="auto"/>
        </w:rPr>
        <w:t>9.19</w:t>
      </w:r>
      <w:r>
        <w:rPr>
          <w:sz w:val="20"/>
          <w:szCs w:val="20"/>
          <w:color w:val="auto"/>
        </w:rPr>
        <w:tab/>
      </w:r>
      <w:r>
        <w:rPr>
          <w:rFonts w:ascii="Arial" w:cs="Arial" w:eastAsia="Arial" w:hAnsi="Arial"/>
          <w:sz w:val="19"/>
          <w:szCs w:val="19"/>
          <w:u w:val="single" w:color="auto"/>
          <w:color w:val="auto"/>
        </w:rPr>
        <w:t>Shortened Statute of Limitations</w:t>
      </w:r>
      <w:r>
        <w:rPr>
          <w:rFonts w:ascii="Arial" w:cs="Arial" w:eastAsia="Arial" w:hAnsi="Arial"/>
          <w:sz w:val="19"/>
          <w:szCs w:val="19"/>
          <w:color w:val="auto"/>
        </w:rPr>
        <w:t>. Each Participant agrees to shorten the applicable statute of limitations and agrees that no</w:t>
      </w:r>
      <w:r>
        <w:rPr>
          <w:rFonts w:ascii="Arial" w:cs="Arial" w:eastAsia="Arial" w:hAnsi="Arial"/>
          <w:sz w:val="19"/>
          <w:szCs w:val="19"/>
          <w:u w:val="single" w:color="auto"/>
          <w:color w:val="auto"/>
        </w:rPr>
        <w:t xml:space="preserve"> </w:t>
      </w:r>
      <w:r>
        <w:rPr>
          <w:rFonts w:ascii="Arial" w:cs="Arial" w:eastAsia="Arial" w:hAnsi="Arial"/>
          <w:sz w:val="19"/>
          <w:szCs w:val="19"/>
          <w:color w:val="auto"/>
        </w:rPr>
        <w:t>claims or causes of actions may be brought against the Company or any its subsidiaries or Affiliates or any of their directors, officers, employees, controlling persons, agents or representatives based upon, directly or indirectly, any claim that arises under the Plan more than twelve (12) months after the date of the action that is the subject of the claim or lawsuit. Each Participant agrees to waive any statute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540"/>
          </w:cols>
          <w:pgMar w:left="920" w:top="1327" w:right="4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7"/>
          <w:szCs w:val="17"/>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LEONARDO DRS,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EXECUTIVE SEVERANCE PLAN</w:t>
      </w:r>
    </w:p>
    <w:p>
      <w:pPr>
        <w:spacing w:after="0" w:line="206" w:lineRule="exact"/>
        <w:rPr>
          <w:sz w:val="20"/>
          <w:szCs w:val="20"/>
          <w:color w:val="auto"/>
        </w:rPr>
      </w:pPr>
    </w:p>
    <w:p>
      <w:pPr>
        <w:ind w:right="60" w:firstLine="597"/>
        <w:spacing w:after="0" w:line="280" w:lineRule="auto"/>
        <w:rPr>
          <w:sz w:val="20"/>
          <w:szCs w:val="20"/>
          <w:color w:val="auto"/>
        </w:rPr>
      </w:pPr>
      <w:r>
        <w:rPr>
          <w:rFonts w:ascii="Arial" w:cs="Arial" w:eastAsia="Arial" w:hAnsi="Arial"/>
          <w:sz w:val="18"/>
          <w:szCs w:val="18"/>
          <w:color w:val="auto"/>
        </w:rPr>
        <w:t>The Company hereby adopts, as of the Effective Date, the Leonardo DRS, Inc. Executive Severance Plan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for the benefit of certain employees of the Company and its subsidiaries, on the terms and conditions stated herein. The Plan replaces the Company’s existing amended and restated change in control plan, dated as of September 12, 2016. All capitalized terms used herein are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The Plan, as set forth herein, is intended to help retain qualified employees, maintain a stable work environment and provide economic security to certain key employees of the Company in the event of a Qualifying Non-CIC Termination or a Qualifying CIC Termination (each, as defined below). The Plan, as a “severance pay arrangement” within the meaning of section 3(2)(B)(i) of ERISA,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§2510.3-2(b).</w:t>
      </w:r>
    </w:p>
    <w:p>
      <w:pPr>
        <w:spacing w:after="0" w:line="148" w:lineRule="exact"/>
        <w:rPr>
          <w:sz w:val="20"/>
          <w:szCs w:val="20"/>
          <w:color w:val="auto"/>
        </w:rPr>
      </w:pPr>
    </w:p>
    <w:p>
      <w:pPr>
        <w:ind w:left="600" w:hanging="600"/>
        <w:spacing w:after="0"/>
        <w:tabs>
          <w:tab w:leader="none" w:pos="600" w:val="left"/>
        </w:tabs>
        <w:numPr>
          <w:ilvl w:val="0"/>
          <w:numId w:val="2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As used herein:</w:t>
      </w:r>
    </w:p>
    <w:p>
      <w:pPr>
        <w:spacing w:after="0" w:line="206" w:lineRule="exact"/>
        <w:rPr>
          <w:sz w:val="20"/>
          <w:szCs w:val="20"/>
          <w:color w:val="auto"/>
        </w:rPr>
      </w:pPr>
    </w:p>
    <w:p>
      <w:pPr>
        <w:ind w:right="160" w:firstLine="597"/>
        <w:spacing w:after="0" w:line="277" w:lineRule="auto"/>
        <w:rPr>
          <w:sz w:val="20"/>
          <w:szCs w:val="20"/>
          <w:color w:val="auto"/>
        </w:rPr>
      </w:pPr>
      <w:r>
        <w:rPr>
          <w:rFonts w:ascii="Arial" w:cs="Arial" w:eastAsia="Arial" w:hAnsi="Arial"/>
          <w:sz w:val="20"/>
          <w:szCs w:val="20"/>
          <w:b w:val="1"/>
          <w:bCs w:val="1"/>
          <w:color w:val="010000"/>
        </w:rPr>
        <w:t xml:space="preserve">1.1 </w:t>
      </w:r>
      <w:r>
        <w:rPr>
          <w:rFonts w:ascii="Arial" w:cs="Arial" w:eastAsia="Arial" w:hAnsi="Arial"/>
          <w:sz w:val="20"/>
          <w:szCs w:val="20"/>
          <w:color w:val="000000"/>
        </w:rPr>
        <w:t>“</w:t>
      </w:r>
      <w:r>
        <w:rPr>
          <w:rFonts w:ascii="Arial" w:cs="Arial" w:eastAsia="Arial" w:hAnsi="Arial"/>
          <w:sz w:val="20"/>
          <w:szCs w:val="20"/>
          <w:u w:val="single" w:color="auto"/>
          <w:color w:val="000000"/>
        </w:rPr>
        <w:t>Auditor</w:t>
      </w:r>
      <w:r>
        <w:rPr>
          <w:rFonts w:ascii="Arial" w:cs="Arial" w:eastAsia="Arial" w:hAnsi="Arial"/>
          <w:sz w:val="20"/>
          <w:szCs w:val="20"/>
          <w:color w:val="000000"/>
        </w:rPr>
        <w:t>” means the Company’s independent registered public accounting firm or other valuation expert as determined by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Company.</w:t>
      </w:r>
    </w:p>
    <w:p>
      <w:pPr>
        <w:spacing w:after="0" w:line="141"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b w:val="1"/>
          <w:bCs w:val="1"/>
          <w:color w:val="010000"/>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from time to time.</w:t>
      </w:r>
    </w:p>
    <w:p>
      <w:pPr>
        <w:spacing w:after="0" w:line="206" w:lineRule="exact"/>
        <w:rPr>
          <w:sz w:val="20"/>
          <w:szCs w:val="20"/>
          <w:color w:val="auto"/>
        </w:rPr>
      </w:pPr>
    </w:p>
    <w:p>
      <w:pPr>
        <w:ind w:firstLine="597"/>
        <w:spacing w:after="0" w:line="281" w:lineRule="auto"/>
        <w:rPr>
          <w:sz w:val="20"/>
          <w:szCs w:val="20"/>
          <w:color w:val="auto"/>
        </w:rPr>
      </w:pPr>
      <w:r>
        <w:rPr>
          <w:rFonts w:ascii="Arial" w:cs="Arial" w:eastAsia="Arial" w:hAnsi="Arial"/>
          <w:sz w:val="18"/>
          <w:szCs w:val="18"/>
          <w:b w:val="1"/>
          <w:bCs w:val="1"/>
          <w:color w:val="010000"/>
        </w:rPr>
        <w:t xml:space="preserve">1.3 </w:t>
      </w:r>
      <w:r>
        <w:rPr>
          <w:rFonts w:ascii="Arial" w:cs="Arial" w:eastAsia="Arial" w:hAnsi="Arial"/>
          <w:sz w:val="18"/>
          <w:szCs w:val="18"/>
          <w:color w:val="000000"/>
        </w:rPr>
        <w:t>“</w:t>
      </w:r>
      <w:r>
        <w:rPr>
          <w:rFonts w:ascii="Arial" w:cs="Arial" w:eastAsia="Arial" w:hAnsi="Arial"/>
          <w:sz w:val="18"/>
          <w:szCs w:val="18"/>
          <w:u w:val="single" w:color="auto"/>
          <w:color w:val="000000"/>
        </w:rPr>
        <w:t>Cause</w:t>
      </w:r>
      <w:r>
        <w:rPr>
          <w:rFonts w:ascii="Arial" w:cs="Arial" w:eastAsia="Arial" w:hAnsi="Arial"/>
          <w:sz w:val="18"/>
          <w:szCs w:val="18"/>
          <w:color w:val="000000"/>
        </w:rPr>
        <w:t>” means (a) with respect to an Eligible Employee employed pursuant to a written employment agreement which</w:t>
      </w:r>
      <w:r>
        <w:rPr>
          <w:rFonts w:ascii="Arial" w:cs="Arial" w:eastAsia="Arial" w:hAnsi="Arial"/>
          <w:sz w:val="18"/>
          <w:szCs w:val="18"/>
          <w:b w:val="1"/>
          <w:bCs w:val="1"/>
          <w:color w:val="010000"/>
        </w:rPr>
        <w:t xml:space="preserve"> </w:t>
      </w:r>
      <w:r>
        <w:rPr>
          <w:rFonts w:ascii="Arial" w:cs="Arial" w:eastAsia="Arial" w:hAnsi="Arial"/>
          <w:sz w:val="18"/>
          <w:szCs w:val="18"/>
          <w:color w:val="000000"/>
        </w:rPr>
        <w:t>agreement includes a definition of “Cause,” “Cause” as defined in that agreement or (b) with respect to any other Eligible Employee, the occurrence of any of the following: (i) the Eligible Employee’s repeated or continued failure to perform his or her duties to the Company’s satisfaction (other than any such failure resulting from incapacity due to physical or mental illness), as determined in the Company’s sole discretion; (ii) the Eligible Employee’s engagement in dishonesty, illegal conduct or misconduct; (iii) the Eligible Employee’s embezzlement, misappropriation or fraud, whether or not related to the Eligible Employee’s employment with the Company; (iv) the Eligible Employee’s conviction of, or plea of guilty or nolo contendere to, a crime that constitutes a felony (or state law equivalent) or crime that constitutes a misdemeanor involving moral turpitude; or (v) the Eligible Employee’s violation of the Company’s code of ethics and business conduct or any other policies referenced therein, as amended from time to time, as determined in the Company’s sole discretion.</w:t>
      </w:r>
    </w:p>
    <w:p>
      <w:pPr>
        <w:spacing w:after="0" w:line="146" w:lineRule="exact"/>
        <w:rPr>
          <w:sz w:val="20"/>
          <w:szCs w:val="20"/>
          <w:color w:val="auto"/>
        </w:rPr>
      </w:pPr>
    </w:p>
    <w:p>
      <w:pPr>
        <w:ind w:right="140" w:firstLine="597"/>
        <w:spacing w:after="0" w:line="277" w:lineRule="auto"/>
        <w:rPr>
          <w:sz w:val="20"/>
          <w:szCs w:val="20"/>
          <w:color w:val="auto"/>
        </w:rPr>
      </w:pPr>
      <w:r>
        <w:rPr>
          <w:rFonts w:ascii="Arial" w:cs="Arial" w:eastAsia="Arial" w:hAnsi="Arial"/>
          <w:sz w:val="20"/>
          <w:szCs w:val="20"/>
          <w:b w:val="1"/>
          <w:bCs w:val="1"/>
          <w:color w:val="010000"/>
        </w:rPr>
        <w:t xml:space="preserve">1.4 </w:t>
      </w:r>
      <w:r>
        <w:rPr>
          <w:rFonts w:ascii="Arial" w:cs="Arial" w:eastAsia="Arial" w:hAnsi="Arial"/>
          <w:sz w:val="20"/>
          <w:szCs w:val="20"/>
          <w:color w:val="000000"/>
        </w:rPr>
        <w:t>“</w:t>
      </w:r>
      <w:r>
        <w:rPr>
          <w:rFonts w:ascii="Arial" w:cs="Arial" w:eastAsia="Arial" w:hAnsi="Arial"/>
          <w:sz w:val="20"/>
          <w:szCs w:val="20"/>
          <w:u w:val="single" w:color="auto"/>
          <w:color w:val="000000"/>
        </w:rPr>
        <w:t>Change in Control</w:t>
      </w:r>
      <w:r>
        <w:rPr>
          <w:rFonts w:ascii="Arial" w:cs="Arial" w:eastAsia="Arial" w:hAnsi="Arial"/>
          <w:sz w:val="20"/>
          <w:szCs w:val="20"/>
          <w:color w:val="000000"/>
        </w:rPr>
        <w:t>” means, except in connection with any initial public offering of the Common Stock, the occurrence of any</w:t>
      </w:r>
      <w:r>
        <w:rPr>
          <w:rFonts w:ascii="Arial" w:cs="Arial" w:eastAsia="Arial" w:hAnsi="Arial"/>
          <w:sz w:val="20"/>
          <w:szCs w:val="20"/>
          <w:b w:val="1"/>
          <w:bCs w:val="1"/>
          <w:color w:val="010000"/>
        </w:rPr>
        <w:t xml:space="preserve"> </w:t>
      </w:r>
      <w:r>
        <w:rPr>
          <w:rFonts w:ascii="Arial" w:cs="Arial" w:eastAsia="Arial" w:hAnsi="Arial"/>
          <w:sz w:val="20"/>
          <w:szCs w:val="20"/>
          <w:color w:val="000000"/>
        </w:rPr>
        <w:t>of the following events after the completion of the initial public offering of the Company:</w:t>
      </w:r>
    </w:p>
    <w:p>
      <w:pPr>
        <w:spacing w:after="0" w:line="147" w:lineRule="exact"/>
        <w:rPr>
          <w:sz w:val="20"/>
          <w:szCs w:val="20"/>
          <w:color w:val="auto"/>
        </w:rPr>
      </w:pPr>
    </w:p>
    <w:p>
      <w:pPr>
        <w:ind w:right="120" w:firstLine="1194"/>
        <w:spacing w:after="0" w:line="271" w:lineRule="auto"/>
        <w:tabs>
          <w:tab w:leader="none" w:pos="1615" w:val="left"/>
        </w:tabs>
        <w:numPr>
          <w:ilvl w:val="0"/>
          <w:numId w:val="212"/>
        </w:numPr>
        <w:rPr>
          <w:rFonts w:ascii="Arial" w:cs="Arial" w:eastAsia="Arial" w:hAnsi="Arial"/>
          <w:sz w:val="20"/>
          <w:szCs w:val="20"/>
          <w:color w:val="010000"/>
        </w:rPr>
      </w:pPr>
      <w:r>
        <w:rPr>
          <w:rFonts w:ascii="Arial" w:cs="Arial" w:eastAsia="Arial" w:hAnsi="Arial"/>
          <w:sz w:val="20"/>
          <w:szCs w:val="20"/>
          <w:color w:val="auto"/>
        </w:rPr>
        <w:t>during any period of 12 months, individuals who constitute the Board as of the date hereof (the “</w:t>
      </w:r>
      <w:r>
        <w:rPr>
          <w:rFonts w:ascii="Arial" w:cs="Arial" w:eastAsia="Arial" w:hAnsi="Arial"/>
          <w:sz w:val="20"/>
          <w:szCs w:val="20"/>
          <w:u w:val="single" w:color="auto"/>
          <w:color w:val="auto"/>
        </w:rPr>
        <w:t>Incumbent Directors</w:t>
      </w:r>
      <w:r>
        <w:rPr>
          <w:rFonts w:ascii="Arial" w:cs="Arial" w:eastAsia="Arial" w:hAnsi="Arial"/>
          <w:sz w:val="20"/>
          <w:szCs w:val="20"/>
          <w:color w:val="auto"/>
        </w:rPr>
        <w:t>”) cease for any reason to constitute at least a</w:t>
      </w:r>
    </w:p>
    <w:p>
      <w:pPr>
        <w:sectPr>
          <w:pgSz w:w="11900" w:h="16838" w:orient="portrait"/>
          <w:cols w:equalWidth="0" w:num="1">
            <w:col w:w="11240"/>
          </w:cols>
          <w:pgMar w:left="320" w:top="123" w:right="339" w:bottom="1440" w:gutter="0" w:footer="0" w:header="0"/>
        </w:sectPr>
      </w:pPr>
    </w:p>
    <w:bookmarkStart w:id="330" w:name="page331"/>
    <w:bookmarkEnd w:id="330"/>
    <w:p>
      <w:pPr>
        <w:ind w:right="60"/>
        <w:spacing w:after="0" w:line="281" w:lineRule="auto"/>
        <w:rPr>
          <w:sz w:val="20"/>
          <w:szCs w:val="20"/>
          <w:color w:val="auto"/>
        </w:rPr>
      </w:pPr>
      <w:r>
        <w:rPr>
          <w:rFonts w:ascii="Arial" w:cs="Arial" w:eastAsia="Arial" w:hAnsi="Arial"/>
          <w:sz w:val="18"/>
          <w:szCs w:val="18"/>
          <w:color w:val="auto"/>
        </w:rPr>
        <w:t xml:space="preserve">majority of the Board,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person becoming a director subsequent to the beginning of such period,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will be an Incumbent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this Section 1.4(a) shall not be in effect until there are no Leonardo S.p.A “Proxy Holders” (as defined in the Proxy Agreement between Leonardo S.p.A, the Company and other parties thereto, dated as of October 26, 2017) on the Board;</w:t>
      </w:r>
    </w:p>
    <w:p>
      <w:pPr>
        <w:spacing w:after="0" w:line="152" w:lineRule="exact"/>
        <w:rPr>
          <w:sz w:val="20"/>
          <w:szCs w:val="20"/>
          <w:color w:val="auto"/>
        </w:rPr>
      </w:pPr>
    </w:p>
    <w:p>
      <w:pPr>
        <w:ind w:left="1620" w:hanging="426"/>
        <w:spacing w:after="0"/>
        <w:tabs>
          <w:tab w:leader="none" w:pos="1620"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any “person” (as such term is defined in Section 3(a)(9) of the Exchange Act and as used in Sections 13(d)(3) and 14(d)</w:t>
      </w:r>
    </w:p>
    <w:p>
      <w:pPr>
        <w:spacing w:after="0" w:line="45" w:lineRule="exact"/>
        <w:rPr>
          <w:rFonts w:ascii="Arial" w:cs="Arial" w:eastAsia="Arial" w:hAnsi="Arial"/>
          <w:sz w:val="18"/>
          <w:szCs w:val="18"/>
          <w:color w:val="010000"/>
        </w:rPr>
      </w:pPr>
    </w:p>
    <w:p>
      <w:pPr>
        <w:ind w:right="40"/>
        <w:spacing w:after="0" w:line="274" w:lineRule="auto"/>
        <w:tabs>
          <w:tab w:leader="none" w:pos="28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of the Exchange Act), becomes a “beneficial owner” (as defined in Rule 13d-3 under the Exchange Act), directly or indirectly, of securities of the Company representing 30% or more of the combined voting power of the Company’s then-outstanding securities eligible to vote for the election of the Board (“</w:t>
      </w:r>
      <w:r>
        <w:rPr>
          <w:rFonts w:ascii="Arial" w:cs="Arial" w:eastAsia="Arial" w:hAnsi="Arial"/>
          <w:sz w:val="18"/>
          <w:szCs w:val="18"/>
          <w:u w:val="single" w:color="auto"/>
          <w:color w:val="auto"/>
        </w:rPr>
        <w:t>Company Voting 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event described in this paragraph (b) will not be deemed to be a Change in Control by virtue of the ownership, or acquisition, of Company Voting Securities: (A) by the Company, (B) by any employee benefit plan (or related trust) sponsored or maintained by the Company, (C) by any underwriter temporarily holding securities pursuant to an offering of such securities or (D) pursuant to a Non-Qualifying Transaction (as defined in paragraph (c) of this definition); or</w:t>
      </w:r>
    </w:p>
    <w:p>
      <w:pPr>
        <w:spacing w:after="0"/>
        <w:rPr>
          <w:rFonts w:ascii="Arial" w:cs="Arial" w:eastAsia="Arial" w:hAnsi="Arial"/>
          <w:sz w:val="18"/>
          <w:szCs w:val="18"/>
          <w:color w:val="auto"/>
        </w:rPr>
      </w:pPr>
      <w:r>
        <w:rPr>
          <w:rFonts w:ascii="Arial" w:cs="Arial" w:eastAsia="Arial" w:hAnsi="Arial"/>
          <w:sz w:val="20"/>
          <w:szCs w:val="20"/>
          <w:color w:val="auto"/>
        </w:rPr>
        <w:t>(E) by Leonardo S.p.A or any of its direct or indirect Subsidiaries;</w:t>
      </w:r>
    </w:p>
    <w:p>
      <w:pPr>
        <w:spacing w:after="0" w:line="189" w:lineRule="exact"/>
        <w:rPr>
          <w:rFonts w:ascii="Arial" w:cs="Arial" w:eastAsia="Arial" w:hAnsi="Arial"/>
          <w:sz w:val="18"/>
          <w:szCs w:val="18"/>
          <w:color w:val="auto"/>
        </w:rPr>
      </w:pPr>
    </w:p>
    <w:p>
      <w:pPr>
        <w:ind w:firstLine="1194"/>
        <w:spacing w:after="0" w:line="278" w:lineRule="auto"/>
        <w:tabs>
          <w:tab w:leader="none" w:pos="1615" w:val="left"/>
        </w:tabs>
        <w:numPr>
          <w:ilvl w:val="1"/>
          <w:numId w:val="214"/>
        </w:numPr>
        <w:rPr>
          <w:rFonts w:ascii="Arial" w:cs="Arial" w:eastAsia="Arial" w:hAnsi="Arial"/>
          <w:sz w:val="18"/>
          <w:szCs w:val="18"/>
          <w:color w:val="010000"/>
        </w:rPr>
      </w:pPr>
      <w:r>
        <w:rPr>
          <w:rFonts w:ascii="Arial" w:cs="Arial" w:eastAsia="Arial" w:hAnsi="Arial"/>
          <w:sz w:val="18"/>
          <w:szCs w:val="18"/>
          <w:color w:val="auto"/>
        </w:rPr>
        <w:t>the consummation of a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excluding such a Business Combination with Leonardo S.p.A or any of its direct or indirect subsidiaries, unless immediately following such Business Combination: (A) more than 60% of the total voting power of (x) the entity resulting from such Business Combination (the “</w:t>
      </w:r>
      <w:r>
        <w:rPr>
          <w:rFonts w:ascii="Arial" w:cs="Arial" w:eastAsia="Arial" w:hAnsi="Arial"/>
          <w:sz w:val="18"/>
          <w:szCs w:val="18"/>
          <w:u w:val="single" w:color="auto"/>
          <w:color w:val="auto"/>
        </w:rPr>
        <w:t>Surviving Entity</w:t>
      </w:r>
      <w:r>
        <w:rPr>
          <w:rFonts w:ascii="Arial" w:cs="Arial" w:eastAsia="Arial" w:hAnsi="Arial"/>
          <w:sz w:val="18"/>
          <w:szCs w:val="18"/>
          <w:color w:val="auto"/>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becomes the beneficial owner, directly or indirectly, of 30%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27" w:right="339" w:bottom="1440" w:gutter="0" w:footer="0" w:header="0"/>
        </w:sectPr>
      </w:pPr>
    </w:p>
    <w:bookmarkStart w:id="331" w:name="page332"/>
    <w:bookmarkEnd w:id="331"/>
    <w:p>
      <w:pPr>
        <w:ind w:right="440"/>
        <w:spacing w:after="0" w:line="258" w:lineRule="auto"/>
        <w:rPr>
          <w:sz w:val="20"/>
          <w:szCs w:val="20"/>
          <w:color w:val="auto"/>
        </w:rPr>
      </w:pPr>
      <w:r>
        <w:rPr>
          <w:rFonts w:ascii="Arial" w:cs="Arial" w:eastAsia="Arial" w:hAnsi="Arial"/>
          <w:sz w:val="20"/>
          <w:szCs w:val="20"/>
          <w:color w:val="auto"/>
        </w:rPr>
        <w:t>Directors at the time of the Board’s approval of the execution of the initial agreement providing for such Business Combination (any Business Combination which satisfies all of the criteria specified in (A), (B) and (C) of this paragraph (c) will be deemed to be a “</w:t>
      </w:r>
      <w:r>
        <w:rPr>
          <w:rFonts w:ascii="Arial" w:cs="Arial" w:eastAsia="Arial" w:hAnsi="Arial"/>
          <w:sz w:val="20"/>
          <w:szCs w:val="20"/>
          <w:u w:val="single" w:color="auto"/>
          <w:color w:val="auto"/>
        </w:rPr>
        <w:t>Non-Qualifying Transaction</w:t>
      </w:r>
      <w:r>
        <w:rPr>
          <w:rFonts w:ascii="Arial" w:cs="Arial" w:eastAsia="Arial" w:hAnsi="Arial"/>
          <w:sz w:val="20"/>
          <w:szCs w:val="20"/>
          <w:color w:val="auto"/>
        </w:rPr>
        <w:t>”); or</w:t>
      </w:r>
    </w:p>
    <w:p>
      <w:pPr>
        <w:spacing w:after="0" w:line="167" w:lineRule="exact"/>
        <w:rPr>
          <w:sz w:val="20"/>
          <w:szCs w:val="20"/>
          <w:color w:val="auto"/>
        </w:rPr>
      </w:pPr>
    </w:p>
    <w:p>
      <w:pPr>
        <w:ind w:firstLine="1194"/>
        <w:spacing w:after="0" w:line="271" w:lineRule="auto"/>
        <w:tabs>
          <w:tab w:leader="none" w:pos="1626" w:val="left"/>
        </w:tabs>
        <w:numPr>
          <w:ilvl w:val="0"/>
          <w:numId w:val="215"/>
        </w:numPr>
        <w:rPr>
          <w:rFonts w:ascii="Arial" w:cs="Arial" w:eastAsia="Arial" w:hAnsi="Arial"/>
          <w:sz w:val="20"/>
          <w:szCs w:val="20"/>
          <w:color w:val="010000"/>
        </w:rPr>
      </w:pPr>
      <w:r>
        <w:rPr>
          <w:rFonts w:ascii="Arial" w:cs="Arial" w:eastAsia="Arial" w:hAnsi="Arial"/>
          <w:sz w:val="20"/>
          <w:szCs w:val="20"/>
          <w:color w:val="auto"/>
        </w:rPr>
        <w:t>the consummation of a sale of all or substantially all of the Company’s assets (other than to Leonardo S.p.A or any of its direct or indirect Subsidiaries or an affiliate of the Company); or</w:t>
      </w:r>
    </w:p>
    <w:p>
      <w:pPr>
        <w:spacing w:after="0" w:line="152" w:lineRule="exact"/>
        <w:rPr>
          <w:rFonts w:ascii="Arial" w:cs="Arial" w:eastAsia="Arial" w:hAnsi="Arial"/>
          <w:sz w:val="20"/>
          <w:szCs w:val="20"/>
          <w:color w:val="010000"/>
        </w:rPr>
      </w:pPr>
    </w:p>
    <w:p>
      <w:pPr>
        <w:ind w:left="1620" w:hanging="426"/>
        <w:spacing w:after="0"/>
        <w:tabs>
          <w:tab w:leader="none" w:pos="1620" w:val="left"/>
        </w:tabs>
        <w:numPr>
          <w:ilvl w:val="0"/>
          <w:numId w:val="215"/>
        </w:numPr>
        <w:rPr>
          <w:rFonts w:ascii="Arial" w:cs="Arial" w:eastAsia="Arial" w:hAnsi="Arial"/>
          <w:sz w:val="20"/>
          <w:szCs w:val="20"/>
          <w:color w:val="010000"/>
        </w:rPr>
      </w:pPr>
      <w:r>
        <w:rPr>
          <w:rFonts w:ascii="Arial" w:cs="Arial" w:eastAsia="Arial" w:hAnsi="Arial"/>
          <w:sz w:val="20"/>
          <w:szCs w:val="20"/>
          <w:color w:val="auto"/>
        </w:rPr>
        <w:t>the Company’s stockholders approve a plan of complete liquidation or dissolution of the Company.</w:t>
      </w:r>
    </w:p>
    <w:p>
      <w:pPr>
        <w:spacing w:after="0" w:line="206" w:lineRule="exact"/>
        <w:rPr>
          <w:sz w:val="20"/>
          <w:szCs w:val="20"/>
          <w:color w:val="auto"/>
        </w:rPr>
      </w:pPr>
    </w:p>
    <w:p>
      <w:pPr>
        <w:ind w:right="60" w:firstLine="597"/>
        <w:spacing w:after="0" w:line="251" w:lineRule="auto"/>
        <w:rPr>
          <w:sz w:val="20"/>
          <w:szCs w:val="20"/>
          <w:color w:val="auto"/>
        </w:rPr>
      </w:pPr>
      <w:r>
        <w:rPr>
          <w:rFonts w:ascii="Arial" w:cs="Arial" w:eastAsia="Arial" w:hAnsi="Arial"/>
          <w:sz w:val="20"/>
          <w:szCs w:val="20"/>
          <w:color w:val="auto"/>
        </w:rPr>
        <w:t xml:space="preserve">Notwithstanding the foregoing, a Change in Control will not be deemed to occur solely because any person acquires beneficial ownership of more than 30% of the Company Voting Securities as a result of the acquisition of Company Voting Securities by the Company which reduces the number of Company Voting Securities outstanding;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if after such acquisition by the Company such person (other than Leonardo S.p.A or any of its direct or indirect Subsidiaries) becomes the beneficial owner of additional Company Voting Securities that increases the percentage of outstanding Company Voting Securities beneficially owned by such person, a Change in Control will then occur.</w:t>
      </w:r>
    </w:p>
    <w:p>
      <w:pPr>
        <w:spacing w:after="0" w:line="169"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b w:val="1"/>
          <w:bCs w:val="1"/>
          <w:color w:val="010000"/>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CIC Severed Employee</w:t>
      </w:r>
      <w:r>
        <w:rPr>
          <w:rFonts w:ascii="Arial" w:cs="Arial" w:eastAsia="Arial" w:hAnsi="Arial"/>
          <w:sz w:val="18"/>
          <w:szCs w:val="18"/>
          <w:color w:val="auto"/>
        </w:rPr>
        <w:t>” is an Eligible Employee who incurs a Qualifying CIC Termination.</w:t>
      </w:r>
    </w:p>
    <w:p>
      <w:pPr>
        <w:spacing w:after="0" w:line="206" w:lineRule="exact"/>
        <w:rPr>
          <w:sz w:val="20"/>
          <w:szCs w:val="20"/>
          <w:color w:val="auto"/>
        </w:rPr>
      </w:pPr>
    </w:p>
    <w:p>
      <w:pPr>
        <w:ind w:right="80" w:firstLine="597"/>
        <w:spacing w:after="0" w:line="256" w:lineRule="auto"/>
        <w:rPr>
          <w:sz w:val="20"/>
          <w:szCs w:val="20"/>
          <w:color w:val="auto"/>
        </w:rPr>
      </w:pPr>
      <w:r>
        <w:rPr>
          <w:rFonts w:ascii="Arial" w:cs="Arial" w:eastAsia="Arial" w:hAnsi="Arial"/>
          <w:sz w:val="20"/>
          <w:szCs w:val="20"/>
          <w:b w:val="1"/>
          <w:bCs w:val="1"/>
          <w:color w:val="010000"/>
        </w:rPr>
        <w:t xml:space="preserve">1.6 </w:t>
      </w:r>
      <w:r>
        <w:rPr>
          <w:rFonts w:ascii="Arial" w:cs="Arial" w:eastAsia="Arial" w:hAnsi="Arial"/>
          <w:sz w:val="20"/>
          <w:szCs w:val="20"/>
          <w:color w:val="000000"/>
        </w:rPr>
        <w:t>“</w:t>
      </w:r>
      <w:r>
        <w:rPr>
          <w:rFonts w:ascii="Arial" w:cs="Arial" w:eastAsia="Arial" w:hAnsi="Arial"/>
          <w:sz w:val="20"/>
          <w:szCs w:val="20"/>
          <w:u w:val="single" w:color="auto"/>
          <w:color w:val="000000"/>
        </w:rPr>
        <w:t>Client</w:t>
      </w:r>
      <w:r>
        <w:rPr>
          <w:rFonts w:ascii="Arial" w:cs="Arial" w:eastAsia="Arial" w:hAnsi="Arial"/>
          <w:sz w:val="20"/>
          <w:szCs w:val="20"/>
          <w:color w:val="000000"/>
        </w:rPr>
        <w:t>” means, in the past twenty-four (24) months, any client or prospective client of the Company to whom Eligible</w:t>
      </w:r>
      <w:r>
        <w:rPr>
          <w:rFonts w:ascii="Arial" w:cs="Arial" w:eastAsia="Arial" w:hAnsi="Arial"/>
          <w:sz w:val="20"/>
          <w:szCs w:val="20"/>
          <w:b w:val="1"/>
          <w:bCs w:val="1"/>
          <w:color w:val="010000"/>
        </w:rPr>
        <w:t xml:space="preserve"> </w:t>
      </w:r>
      <w:r>
        <w:rPr>
          <w:rFonts w:ascii="Arial" w:cs="Arial" w:eastAsia="Arial" w:hAnsi="Arial"/>
          <w:sz w:val="20"/>
          <w:szCs w:val="20"/>
          <w:color w:val="000000"/>
        </w:rPr>
        <w:t>Employee provided services, or for whom Eligible Employee transacted business, or whose identity became known to Eligible Employee in connection with Eligible Employee’s relationship with or employment by the Company with which the Company wanted or intended to do business with.</w:t>
      </w:r>
    </w:p>
    <w:p>
      <w:pPr>
        <w:spacing w:after="0" w:line="164"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b w:val="1"/>
          <w:bCs w:val="1"/>
          <w:color w:val="010000"/>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it may be amended from time to time.</w:t>
      </w:r>
    </w:p>
    <w:p>
      <w:pPr>
        <w:spacing w:after="0" w:line="206"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b w:val="1"/>
          <w:bCs w:val="1"/>
          <w:color w:val="010000"/>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as constituted from time to time.</w:t>
      </w:r>
    </w:p>
    <w:p>
      <w:pPr>
        <w:spacing w:after="0" w:line="206"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b w:val="1"/>
          <w:bCs w:val="1"/>
          <w:color w:val="010000"/>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Leonardo DRS, Inc. (collectively with its subsidiaries) or any successors thereto.</w:t>
      </w:r>
    </w:p>
    <w:p>
      <w:pPr>
        <w:spacing w:after="0" w:line="206" w:lineRule="exact"/>
        <w:rPr>
          <w:sz w:val="20"/>
          <w:szCs w:val="20"/>
          <w:color w:val="auto"/>
        </w:rPr>
      </w:pPr>
    </w:p>
    <w:p>
      <w:pPr>
        <w:ind w:right="40" w:firstLine="597"/>
        <w:spacing w:after="0" w:line="316" w:lineRule="auto"/>
        <w:rPr>
          <w:sz w:val="20"/>
          <w:szCs w:val="20"/>
          <w:color w:val="auto"/>
        </w:rPr>
      </w:pPr>
      <w:r>
        <w:rPr>
          <w:rFonts w:ascii="Arial" w:cs="Arial" w:eastAsia="Arial" w:hAnsi="Arial"/>
          <w:sz w:val="17"/>
          <w:szCs w:val="17"/>
          <w:b w:val="1"/>
          <w:bCs w:val="1"/>
          <w:color w:val="010000"/>
        </w:rPr>
        <w:t xml:space="preserve">1.10 </w:t>
      </w:r>
      <w:r>
        <w:rPr>
          <w:rFonts w:ascii="Arial" w:cs="Arial" w:eastAsia="Arial" w:hAnsi="Arial"/>
          <w:sz w:val="17"/>
          <w:szCs w:val="17"/>
          <w:color w:val="000000"/>
        </w:rPr>
        <w:t>“</w:t>
      </w:r>
      <w:r>
        <w:rPr>
          <w:rFonts w:ascii="Arial" w:cs="Arial" w:eastAsia="Arial" w:hAnsi="Arial"/>
          <w:sz w:val="17"/>
          <w:szCs w:val="17"/>
          <w:u w:val="single" w:color="auto"/>
          <w:color w:val="000000"/>
        </w:rPr>
        <w:t>Company Property</w:t>
      </w:r>
      <w:r>
        <w:rPr>
          <w:rFonts w:ascii="Arial" w:cs="Arial" w:eastAsia="Arial" w:hAnsi="Arial"/>
          <w:sz w:val="17"/>
          <w:szCs w:val="17"/>
          <w:color w:val="000000"/>
        </w:rPr>
        <w:t>” means any and all documents, computer and computer-related hardware and software items, disks,</w:t>
      </w:r>
      <w:r>
        <w:rPr>
          <w:rFonts w:ascii="Arial" w:cs="Arial" w:eastAsia="Arial" w:hAnsi="Arial"/>
          <w:sz w:val="17"/>
          <w:szCs w:val="17"/>
          <w:b w:val="1"/>
          <w:bCs w:val="1"/>
          <w:color w:val="010000"/>
        </w:rPr>
        <w:t xml:space="preserve"> </w:t>
      </w:r>
      <w:r>
        <w:rPr>
          <w:rFonts w:ascii="Arial" w:cs="Arial" w:eastAsia="Arial" w:hAnsi="Arial"/>
          <w:sz w:val="17"/>
          <w:szCs w:val="17"/>
          <w:color w:val="000000"/>
        </w:rPr>
        <w:t>telephones, customer and prospect lists, marketing, planning, financial and business strategy materials and all other materials or other things in your possession, custody or control that were produced by, received by or otherwise submitted to you by anyone during your employment by the Company relating to the Company’s business or a customer of the Company or that otherwise are the property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327" w:right="359" w:bottom="1440" w:gutter="0" w:footer="0" w:header="0"/>
        </w:sectPr>
      </w:pPr>
    </w:p>
    <w:bookmarkStart w:id="332" w:name="page333"/>
    <w:bookmarkEnd w:id="332"/>
    <w:p>
      <w:pPr>
        <w:ind w:right="40" w:firstLine="597"/>
        <w:spacing w:after="0" w:line="277" w:lineRule="auto"/>
        <w:rPr>
          <w:sz w:val="20"/>
          <w:szCs w:val="20"/>
          <w:color w:val="auto"/>
        </w:rPr>
      </w:pPr>
      <w:r>
        <w:rPr>
          <w:rFonts w:ascii="Arial" w:cs="Arial" w:eastAsia="Arial" w:hAnsi="Arial"/>
          <w:sz w:val="20"/>
          <w:szCs w:val="20"/>
          <w:b w:val="1"/>
          <w:bCs w:val="1"/>
          <w:color w:val="010000"/>
        </w:rPr>
        <w:t xml:space="preserve">1.11 </w:t>
      </w:r>
      <w:r>
        <w:rPr>
          <w:rFonts w:ascii="Arial" w:cs="Arial" w:eastAsia="Arial" w:hAnsi="Arial"/>
          <w:sz w:val="20"/>
          <w:szCs w:val="20"/>
          <w:color w:val="000000"/>
        </w:rPr>
        <w:t>“</w:t>
      </w:r>
      <w:r>
        <w:rPr>
          <w:rFonts w:ascii="Arial" w:cs="Arial" w:eastAsia="Arial" w:hAnsi="Arial"/>
          <w:sz w:val="20"/>
          <w:szCs w:val="20"/>
          <w:u w:val="single" w:color="auto"/>
          <w:color w:val="000000"/>
        </w:rPr>
        <w:t>Competitive Enterprise</w:t>
      </w:r>
      <w:r>
        <w:rPr>
          <w:rFonts w:ascii="Arial" w:cs="Arial" w:eastAsia="Arial" w:hAnsi="Arial"/>
          <w:sz w:val="20"/>
          <w:szCs w:val="20"/>
          <w:color w:val="000000"/>
        </w:rPr>
        <w:t>” means any business enterprise that engages in any activity that competes anywhere with any activity</w:t>
      </w:r>
      <w:r>
        <w:rPr>
          <w:rFonts w:ascii="Arial" w:cs="Arial" w:eastAsia="Arial" w:hAnsi="Arial"/>
          <w:sz w:val="20"/>
          <w:szCs w:val="20"/>
          <w:b w:val="1"/>
          <w:bCs w:val="1"/>
          <w:color w:val="010000"/>
        </w:rPr>
        <w:t xml:space="preserve"> </w:t>
      </w:r>
      <w:r>
        <w:rPr>
          <w:rFonts w:ascii="Arial" w:cs="Arial" w:eastAsia="Arial" w:hAnsi="Arial"/>
          <w:sz w:val="20"/>
          <w:szCs w:val="20"/>
          <w:color w:val="000000"/>
        </w:rPr>
        <w:t>in which the Company is engaged.</w:t>
      </w:r>
    </w:p>
    <w:p>
      <w:pPr>
        <w:spacing w:after="0" w:line="141" w:lineRule="exact"/>
        <w:rPr>
          <w:sz w:val="20"/>
          <w:szCs w:val="20"/>
          <w:color w:val="auto"/>
        </w:rPr>
      </w:pPr>
    </w:p>
    <w:p>
      <w:pPr>
        <w:ind w:firstLine="597"/>
        <w:spacing w:after="0" w:line="268" w:lineRule="auto"/>
        <w:rPr>
          <w:sz w:val="20"/>
          <w:szCs w:val="20"/>
          <w:color w:val="auto"/>
        </w:rPr>
      </w:pPr>
      <w:r>
        <w:rPr>
          <w:rFonts w:ascii="Arial" w:cs="Arial" w:eastAsia="Arial" w:hAnsi="Arial"/>
          <w:sz w:val="19"/>
          <w:szCs w:val="19"/>
          <w:b w:val="1"/>
          <w:bCs w:val="1"/>
          <w:color w:val="010000"/>
        </w:rPr>
        <w:t xml:space="preserve">1.12 </w:t>
      </w:r>
      <w:r>
        <w:rPr>
          <w:rFonts w:ascii="Arial" w:cs="Arial" w:eastAsia="Arial" w:hAnsi="Arial"/>
          <w:sz w:val="19"/>
          <w:szCs w:val="19"/>
          <w:color w:val="000000"/>
        </w:rPr>
        <w:t>“</w:t>
      </w:r>
      <w:r>
        <w:rPr>
          <w:rFonts w:ascii="Arial" w:cs="Arial" w:eastAsia="Arial" w:hAnsi="Arial"/>
          <w:sz w:val="19"/>
          <w:szCs w:val="19"/>
          <w:u w:val="single" w:color="auto"/>
          <w:color w:val="000000"/>
        </w:rPr>
        <w:t>Confidential Information</w:t>
      </w:r>
      <w:r>
        <w:rPr>
          <w:rFonts w:ascii="Arial" w:cs="Arial" w:eastAsia="Arial" w:hAnsi="Arial"/>
          <w:sz w:val="19"/>
          <w:szCs w:val="19"/>
          <w:color w:val="000000"/>
        </w:rPr>
        <w:t>” means all non-public information of the Company’s business and its customers and affiliates of</w:t>
      </w:r>
      <w:r>
        <w:rPr>
          <w:rFonts w:ascii="Arial" w:cs="Arial" w:eastAsia="Arial" w:hAnsi="Arial"/>
          <w:sz w:val="19"/>
          <w:szCs w:val="19"/>
          <w:b w:val="1"/>
          <w:bCs w:val="1"/>
          <w:color w:val="010000"/>
        </w:rPr>
        <w:t xml:space="preserve"> </w:t>
      </w:r>
      <w:r>
        <w:rPr>
          <w:rFonts w:ascii="Arial" w:cs="Arial" w:eastAsia="Arial" w:hAnsi="Arial"/>
          <w:sz w:val="19"/>
          <w:szCs w:val="19"/>
          <w:color w:val="000000"/>
        </w:rPr>
        <w:t>such customers, including but not limited to, the pendency or contemplation of certain transactions, the identity of the Company’s customers, the kinds of services provided by the Company to customers and offered to be performed for potential customers, computer software applications and other programs, personnel information and other trade secrets. “Confidential Information” does not include information which (i) is or becomes available to the public generally (other than as a result of the Eligible Employee’s disclosure) or (ii) becomes available to the Eligible Employee on a non-confidential basis from a source other than the Company.</w:t>
      </w:r>
    </w:p>
    <w:p>
      <w:pPr>
        <w:spacing w:after="0" w:line="154" w:lineRule="exact"/>
        <w:rPr>
          <w:sz w:val="20"/>
          <w:szCs w:val="20"/>
          <w:color w:val="auto"/>
        </w:rPr>
      </w:pPr>
    </w:p>
    <w:p>
      <w:pPr>
        <w:ind w:right="100" w:firstLine="597"/>
        <w:spacing w:after="0" w:line="262" w:lineRule="auto"/>
        <w:rPr>
          <w:sz w:val="20"/>
          <w:szCs w:val="20"/>
          <w:color w:val="auto"/>
        </w:rPr>
      </w:pPr>
      <w:r>
        <w:rPr>
          <w:rFonts w:ascii="Arial" w:cs="Arial" w:eastAsia="Arial" w:hAnsi="Arial"/>
          <w:sz w:val="20"/>
          <w:szCs w:val="20"/>
          <w:b w:val="1"/>
          <w:bCs w:val="1"/>
          <w:color w:val="010000"/>
        </w:rPr>
        <w:t xml:space="preserve">1.13 </w:t>
      </w:r>
      <w:r>
        <w:rPr>
          <w:rFonts w:ascii="Arial" w:cs="Arial" w:eastAsia="Arial" w:hAnsi="Arial"/>
          <w:sz w:val="20"/>
          <w:szCs w:val="20"/>
          <w:color w:val="000000"/>
        </w:rPr>
        <w:t>“</w:t>
      </w:r>
      <w:r>
        <w:rPr>
          <w:rFonts w:ascii="Arial" w:cs="Arial" w:eastAsia="Arial" w:hAnsi="Arial"/>
          <w:sz w:val="20"/>
          <w:szCs w:val="20"/>
          <w:u w:val="single" w:color="auto"/>
          <w:color w:val="000000"/>
        </w:rPr>
        <w:t>Disability</w:t>
      </w:r>
      <w:r>
        <w:rPr>
          <w:rFonts w:ascii="Arial" w:cs="Arial" w:eastAsia="Arial" w:hAnsi="Arial"/>
          <w:sz w:val="20"/>
          <w:szCs w:val="20"/>
          <w:color w:val="000000"/>
        </w:rPr>
        <w:t>” means, unless otherwise defined in an employment agreement between the Eligible Employee and the Company,</w:t>
      </w:r>
      <w:r>
        <w:rPr>
          <w:rFonts w:ascii="Arial" w:cs="Arial" w:eastAsia="Arial" w:hAnsi="Arial"/>
          <w:sz w:val="20"/>
          <w:szCs w:val="20"/>
          <w:b w:val="1"/>
          <w:bCs w:val="1"/>
          <w:color w:val="010000"/>
        </w:rPr>
        <w:t xml:space="preserve"> </w:t>
      </w:r>
      <w:r>
        <w:rPr>
          <w:rFonts w:ascii="Arial" w:cs="Arial" w:eastAsia="Arial" w:hAnsi="Arial"/>
          <w:sz w:val="20"/>
          <w:szCs w:val="20"/>
          <w:color w:val="000000"/>
        </w:rPr>
        <w:t>a Eligible Employee’s inability to perform the duties of his or her employment on a full-time basis for six (6) consecutive months, as determined by the Committee.</w:t>
      </w:r>
    </w:p>
    <w:p>
      <w:pPr>
        <w:spacing w:after="0" w:line="155"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February 24, 2021.</w:t>
      </w:r>
    </w:p>
    <w:p>
      <w:pPr>
        <w:spacing w:after="0" w:line="206" w:lineRule="exact"/>
        <w:rPr>
          <w:sz w:val="20"/>
          <w:szCs w:val="20"/>
          <w:color w:val="auto"/>
        </w:rPr>
      </w:pPr>
    </w:p>
    <w:p>
      <w:pPr>
        <w:ind w:right="180" w:firstLine="597"/>
        <w:spacing w:after="0" w:line="262" w:lineRule="auto"/>
        <w:rPr>
          <w:sz w:val="20"/>
          <w:szCs w:val="20"/>
          <w:color w:val="auto"/>
        </w:rPr>
      </w:pPr>
      <w:r>
        <w:rPr>
          <w:rFonts w:ascii="Arial" w:cs="Arial" w:eastAsia="Arial" w:hAnsi="Arial"/>
          <w:sz w:val="20"/>
          <w:szCs w:val="20"/>
          <w:b w:val="1"/>
          <w:bCs w:val="1"/>
          <w:color w:val="010000"/>
        </w:rPr>
        <w:t xml:space="preserve">1.15 </w:t>
      </w:r>
      <w:r>
        <w:rPr>
          <w:rFonts w:ascii="Arial" w:cs="Arial" w:eastAsia="Arial" w:hAnsi="Arial"/>
          <w:sz w:val="20"/>
          <w:szCs w:val="20"/>
          <w:color w:val="000000"/>
        </w:rPr>
        <w:t>“</w:t>
      </w:r>
      <w:r>
        <w:rPr>
          <w:rFonts w:ascii="Arial" w:cs="Arial" w:eastAsia="Arial" w:hAnsi="Arial"/>
          <w:sz w:val="20"/>
          <w:szCs w:val="20"/>
          <w:u w:val="single" w:color="auto"/>
          <w:color w:val="000000"/>
        </w:rPr>
        <w:t>Eligible Employee</w:t>
      </w:r>
      <w:r>
        <w:rPr>
          <w:rFonts w:ascii="Arial" w:cs="Arial" w:eastAsia="Arial" w:hAnsi="Arial"/>
          <w:sz w:val="20"/>
          <w:szCs w:val="20"/>
          <w:color w:val="000000"/>
        </w:rPr>
        <w:t>” means any Level 1 Employee or Level 2 Employee, as designated by the Plan Administrator from time</w:t>
      </w:r>
      <w:r>
        <w:rPr>
          <w:rFonts w:ascii="Arial" w:cs="Arial" w:eastAsia="Arial" w:hAnsi="Arial"/>
          <w:sz w:val="20"/>
          <w:szCs w:val="20"/>
          <w:b w:val="1"/>
          <w:bCs w:val="1"/>
          <w:color w:val="010000"/>
        </w:rPr>
        <w:t xml:space="preserve"> </w:t>
      </w:r>
      <w:r>
        <w:rPr>
          <w:rFonts w:ascii="Arial" w:cs="Arial" w:eastAsia="Arial" w:hAnsi="Arial"/>
          <w:sz w:val="20"/>
          <w:szCs w:val="20"/>
          <w:color w:val="000000"/>
        </w:rPr>
        <w:t xml:space="preserve">to time; provided such Level 1 Employee or Level 2 Employee has signed an acknowledgement of the terms and conditions of the Plan including, without limitation, the Restrictive Covenants contained in </w:t>
      </w:r>
      <w:r>
        <w:rPr>
          <w:rFonts w:ascii="Arial" w:cs="Arial" w:eastAsia="Arial" w:hAnsi="Arial"/>
          <w:sz w:val="20"/>
          <w:szCs w:val="20"/>
          <w:u w:val="single" w:color="auto"/>
          <w:color w:val="000000"/>
        </w:rPr>
        <w:t>Section 5</w:t>
      </w:r>
      <w:r>
        <w:rPr>
          <w:rFonts w:ascii="Arial" w:cs="Arial" w:eastAsia="Arial" w:hAnsi="Arial"/>
          <w:sz w:val="20"/>
          <w:szCs w:val="20"/>
          <w:color w:val="000000"/>
        </w:rPr>
        <w:t xml:space="preserve"> hereof.</w:t>
      </w:r>
    </w:p>
    <w:p>
      <w:pPr>
        <w:spacing w:after="0" w:line="155"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it may be amended from time to time.</w:t>
      </w:r>
    </w:p>
    <w:p>
      <w:pPr>
        <w:spacing w:after="0" w:line="206"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Excise Tax</w:t>
      </w:r>
      <w:r>
        <w:rPr>
          <w:rFonts w:ascii="Arial" w:cs="Arial" w:eastAsia="Arial" w:hAnsi="Arial"/>
          <w:sz w:val="17"/>
          <w:szCs w:val="17"/>
          <w:color w:val="auto"/>
        </w:rPr>
        <w:t>” means any excise tax imposed under section 4999 of the Code.</w:t>
      </w:r>
    </w:p>
    <w:p>
      <w:pPr>
        <w:spacing w:after="0" w:line="206" w:lineRule="exact"/>
        <w:rPr>
          <w:sz w:val="20"/>
          <w:szCs w:val="20"/>
          <w:color w:val="auto"/>
        </w:rPr>
      </w:pPr>
    </w:p>
    <w:p>
      <w:pPr>
        <w:ind w:firstLine="597"/>
        <w:spacing w:after="0" w:line="264" w:lineRule="auto"/>
        <w:rPr>
          <w:sz w:val="20"/>
          <w:szCs w:val="20"/>
          <w:color w:val="auto"/>
        </w:rPr>
      </w:pPr>
      <w:r>
        <w:rPr>
          <w:rFonts w:ascii="Arial" w:cs="Arial" w:eastAsia="Arial" w:hAnsi="Arial"/>
          <w:sz w:val="19"/>
          <w:szCs w:val="19"/>
          <w:b w:val="1"/>
          <w:bCs w:val="1"/>
          <w:color w:val="010000"/>
        </w:rPr>
        <w:t xml:space="preserve">1.18 </w:t>
      </w:r>
      <w:r>
        <w:rPr>
          <w:rFonts w:ascii="Arial" w:cs="Arial" w:eastAsia="Arial" w:hAnsi="Arial"/>
          <w:sz w:val="19"/>
          <w:szCs w:val="19"/>
          <w:color w:val="000000"/>
        </w:rPr>
        <w:t>“</w:t>
      </w:r>
      <w:r>
        <w:rPr>
          <w:rFonts w:ascii="Arial" w:cs="Arial" w:eastAsia="Arial" w:hAnsi="Arial"/>
          <w:sz w:val="19"/>
          <w:szCs w:val="19"/>
          <w:u w:val="single" w:color="auto"/>
          <w:color w:val="000000"/>
        </w:rPr>
        <w:t>Good Reason</w:t>
      </w:r>
      <w:r>
        <w:rPr>
          <w:rFonts w:ascii="Arial" w:cs="Arial" w:eastAsia="Arial" w:hAnsi="Arial"/>
          <w:sz w:val="19"/>
          <w:szCs w:val="19"/>
          <w:color w:val="000000"/>
        </w:rPr>
        <w:t>” means, following a Change in Control, (a) with respect to an Eligible Employee employed pursuant to a</w:t>
      </w:r>
      <w:r>
        <w:rPr>
          <w:rFonts w:ascii="Arial" w:cs="Arial" w:eastAsia="Arial" w:hAnsi="Arial"/>
          <w:sz w:val="19"/>
          <w:szCs w:val="19"/>
          <w:b w:val="1"/>
          <w:bCs w:val="1"/>
          <w:color w:val="010000"/>
        </w:rPr>
        <w:t xml:space="preserve"> </w:t>
      </w:r>
      <w:r>
        <w:rPr>
          <w:rFonts w:ascii="Arial" w:cs="Arial" w:eastAsia="Arial" w:hAnsi="Arial"/>
          <w:sz w:val="19"/>
          <w:szCs w:val="19"/>
          <w:color w:val="000000"/>
        </w:rPr>
        <w:t>written employment agreement which agreement includes a definition of “Good Reason,” “Good Reason” as defined in that agreement or (b) with respect to any other Eligible Employee, the occurrence of any of the following in the absence of the Eligible Employee’s written consent: (i) a material diminution in the Eligible Employee’s authority, duties, or responsibilities (other than temporarily while the Eligible Employee is physical or mentally incapacitated or as required by law), (ii) a material diminution in the Eligible Employee’s base salary (iii) the relocation of the Eligible Employee’s principal place of employment to a location more than fifty (50) miles from the Eligible Employee’s existing principal place of employment, which constitutes a material adverse change in the geographic location with respect to such Eligible Employee or (iv) the Company’s material breach of any employment agreement to which the Company and the Eligible Employee are party at the time of such breach; provided that in any case such event is not cured by the Company (if susceptible to cure by the Company) within thirty (30) days after the Company has received written notice from the affected Eligible Employee within ninety (90) days of the initial existence of the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21" w:right="339" w:bottom="1440" w:gutter="0" w:footer="0" w:header="0"/>
        </w:sectPr>
      </w:pPr>
    </w:p>
    <w:bookmarkStart w:id="333" w:name="page334"/>
    <w:bookmarkEnd w:id="333"/>
    <w:p>
      <w:pPr>
        <w:spacing w:after="0"/>
        <w:rPr>
          <w:sz w:val="20"/>
          <w:szCs w:val="20"/>
          <w:color w:val="auto"/>
        </w:rPr>
      </w:pPr>
      <w:r>
        <w:rPr>
          <w:rFonts w:ascii="Arial" w:cs="Arial" w:eastAsia="Arial" w:hAnsi="Arial"/>
          <w:sz w:val="20"/>
          <w:szCs w:val="20"/>
          <w:color w:val="auto"/>
        </w:rPr>
        <w:t>condition constituting Good Reason specifying the particular events or conditions which constitute Good Reason.</w:t>
      </w:r>
    </w:p>
    <w:p>
      <w:pPr>
        <w:spacing w:after="0" w:line="200" w:lineRule="exact"/>
        <w:rPr>
          <w:sz w:val="20"/>
          <w:szCs w:val="20"/>
          <w:color w:val="auto"/>
        </w:rPr>
      </w:pPr>
    </w:p>
    <w:p>
      <w:pPr>
        <w:ind w:right="780" w:firstLine="597"/>
        <w:spacing w:after="0" w:line="334" w:lineRule="auto"/>
        <w:rPr>
          <w:sz w:val="20"/>
          <w:szCs w:val="20"/>
          <w:color w:val="auto"/>
        </w:rPr>
      </w:pPr>
      <w:r>
        <w:rPr>
          <w:rFonts w:ascii="Arial" w:cs="Arial" w:eastAsia="Arial" w:hAnsi="Arial"/>
          <w:sz w:val="18"/>
          <w:szCs w:val="18"/>
          <w:b w:val="1"/>
          <w:bCs w:val="1"/>
          <w:color w:val="010000"/>
        </w:rPr>
        <w:t xml:space="preserve">1.19 </w:t>
      </w:r>
      <w:r>
        <w:rPr>
          <w:rFonts w:ascii="Arial" w:cs="Arial" w:eastAsia="Arial" w:hAnsi="Arial"/>
          <w:sz w:val="18"/>
          <w:szCs w:val="18"/>
          <w:color w:val="000000"/>
        </w:rPr>
        <w:t>“</w:t>
      </w:r>
      <w:r>
        <w:rPr>
          <w:rFonts w:ascii="Arial" w:cs="Arial" w:eastAsia="Arial" w:hAnsi="Arial"/>
          <w:sz w:val="18"/>
          <w:szCs w:val="18"/>
          <w:u w:val="single" w:color="auto"/>
          <w:color w:val="000000"/>
        </w:rPr>
        <w:t>Level 1 Employee</w:t>
      </w:r>
      <w:r>
        <w:rPr>
          <w:rFonts w:ascii="Arial" w:cs="Arial" w:eastAsia="Arial" w:hAnsi="Arial"/>
          <w:sz w:val="18"/>
          <w:szCs w:val="18"/>
          <w:color w:val="000000"/>
        </w:rPr>
        <w:t>” shall mean each individual designated by the Plan Administrator from time to time as a Level 1</w:t>
      </w:r>
      <w:r>
        <w:rPr>
          <w:rFonts w:ascii="Arial" w:cs="Arial" w:eastAsia="Arial" w:hAnsi="Arial"/>
          <w:sz w:val="18"/>
          <w:szCs w:val="18"/>
          <w:b w:val="1"/>
          <w:bCs w:val="1"/>
          <w:color w:val="010000"/>
        </w:rPr>
        <w:t xml:space="preserve"> </w:t>
      </w:r>
      <w:r>
        <w:rPr>
          <w:rFonts w:ascii="Arial" w:cs="Arial" w:eastAsia="Arial" w:hAnsi="Arial"/>
          <w:sz w:val="18"/>
          <w:szCs w:val="18"/>
          <w:color w:val="000000"/>
        </w:rPr>
        <w:t>Employee. The Plan Administrator has designated the individuals set forth in Attachment 1 hereto as Level 1 Employees.</w:t>
      </w:r>
    </w:p>
    <w:p>
      <w:pPr>
        <w:spacing w:after="0" w:line="96" w:lineRule="exact"/>
        <w:rPr>
          <w:sz w:val="20"/>
          <w:szCs w:val="20"/>
          <w:color w:val="auto"/>
        </w:rPr>
      </w:pPr>
    </w:p>
    <w:p>
      <w:pPr>
        <w:ind w:right="780" w:firstLine="597"/>
        <w:spacing w:after="0" w:line="334" w:lineRule="auto"/>
        <w:rPr>
          <w:sz w:val="20"/>
          <w:szCs w:val="20"/>
          <w:color w:val="auto"/>
        </w:rPr>
      </w:pPr>
      <w:r>
        <w:rPr>
          <w:rFonts w:ascii="Arial" w:cs="Arial" w:eastAsia="Arial" w:hAnsi="Arial"/>
          <w:sz w:val="18"/>
          <w:szCs w:val="18"/>
          <w:b w:val="1"/>
          <w:bCs w:val="1"/>
          <w:color w:val="010000"/>
        </w:rPr>
        <w:t xml:space="preserve">1.20 </w:t>
      </w:r>
      <w:r>
        <w:rPr>
          <w:rFonts w:ascii="Arial" w:cs="Arial" w:eastAsia="Arial" w:hAnsi="Arial"/>
          <w:sz w:val="18"/>
          <w:szCs w:val="18"/>
          <w:color w:val="000000"/>
        </w:rPr>
        <w:t>“</w:t>
      </w:r>
      <w:r>
        <w:rPr>
          <w:rFonts w:ascii="Arial" w:cs="Arial" w:eastAsia="Arial" w:hAnsi="Arial"/>
          <w:sz w:val="18"/>
          <w:szCs w:val="18"/>
          <w:u w:val="single" w:color="auto"/>
          <w:color w:val="000000"/>
        </w:rPr>
        <w:t>Level 2 Employee</w:t>
      </w:r>
      <w:r>
        <w:rPr>
          <w:rFonts w:ascii="Arial" w:cs="Arial" w:eastAsia="Arial" w:hAnsi="Arial"/>
          <w:sz w:val="18"/>
          <w:szCs w:val="18"/>
          <w:color w:val="000000"/>
        </w:rPr>
        <w:t>” shall mean each individual designated by the Plan Administrator from time to time as a Level 2</w:t>
      </w:r>
      <w:r>
        <w:rPr>
          <w:rFonts w:ascii="Arial" w:cs="Arial" w:eastAsia="Arial" w:hAnsi="Arial"/>
          <w:sz w:val="18"/>
          <w:szCs w:val="18"/>
          <w:b w:val="1"/>
          <w:bCs w:val="1"/>
          <w:color w:val="010000"/>
        </w:rPr>
        <w:t xml:space="preserve"> </w:t>
      </w:r>
      <w:r>
        <w:rPr>
          <w:rFonts w:ascii="Arial" w:cs="Arial" w:eastAsia="Arial" w:hAnsi="Arial"/>
          <w:sz w:val="18"/>
          <w:szCs w:val="18"/>
          <w:color w:val="000000"/>
        </w:rPr>
        <w:t>Employee. The Plan Administrator has designated the individuals set forth in Attachment 2 hereto as Level 2 Employees.</w:t>
      </w:r>
    </w:p>
    <w:p>
      <w:pPr>
        <w:spacing w:after="0" w:line="96"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Non-CIC Severed Employee</w:t>
      </w:r>
      <w:r>
        <w:rPr>
          <w:rFonts w:ascii="Arial" w:cs="Arial" w:eastAsia="Arial" w:hAnsi="Arial"/>
          <w:sz w:val="18"/>
          <w:szCs w:val="18"/>
          <w:color w:val="auto"/>
        </w:rPr>
        <w:t>” is an Eligible Employee who incurs a Qualifying Non-CIC Termination.</w:t>
      </w:r>
    </w:p>
    <w:p>
      <w:pPr>
        <w:spacing w:after="0" w:line="206"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Leonardo DRS, Inc. Executive Severance Plan, as set forth herein, as it may be amended from time to time.</w:t>
      </w:r>
    </w:p>
    <w:p>
      <w:pPr>
        <w:spacing w:after="0" w:line="206"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Plan Administrator</w:t>
      </w:r>
      <w:r>
        <w:rPr>
          <w:rFonts w:ascii="Arial" w:cs="Arial" w:eastAsia="Arial" w:hAnsi="Arial"/>
          <w:sz w:val="18"/>
          <w:szCs w:val="18"/>
          <w:color w:val="auto"/>
        </w:rPr>
        <w:t>” means the Committee or its designee.</w:t>
      </w:r>
    </w:p>
    <w:p>
      <w:pPr>
        <w:spacing w:after="0" w:line="206" w:lineRule="exact"/>
        <w:rPr>
          <w:sz w:val="20"/>
          <w:szCs w:val="20"/>
          <w:color w:val="auto"/>
        </w:rPr>
      </w:pPr>
    </w:p>
    <w:p>
      <w:pPr>
        <w:ind w:firstLine="597"/>
        <w:spacing w:after="0" w:line="262" w:lineRule="auto"/>
        <w:rPr>
          <w:sz w:val="20"/>
          <w:szCs w:val="20"/>
          <w:color w:val="auto"/>
        </w:rPr>
      </w:pPr>
      <w:r>
        <w:rPr>
          <w:rFonts w:ascii="Arial" w:cs="Arial" w:eastAsia="Arial" w:hAnsi="Arial"/>
          <w:sz w:val="20"/>
          <w:szCs w:val="20"/>
          <w:b w:val="1"/>
          <w:bCs w:val="1"/>
          <w:color w:val="010000"/>
        </w:rPr>
        <w:t xml:space="preserve">1.24 </w:t>
      </w:r>
      <w:r>
        <w:rPr>
          <w:rFonts w:ascii="Arial" w:cs="Arial" w:eastAsia="Arial" w:hAnsi="Arial"/>
          <w:sz w:val="20"/>
          <w:szCs w:val="20"/>
          <w:color w:val="000000"/>
        </w:rPr>
        <w:t>“</w:t>
      </w:r>
      <w:r>
        <w:rPr>
          <w:rFonts w:ascii="Arial" w:cs="Arial" w:eastAsia="Arial" w:hAnsi="Arial"/>
          <w:sz w:val="20"/>
          <w:szCs w:val="20"/>
          <w:u w:val="single" w:color="auto"/>
          <w:color w:val="000000"/>
        </w:rPr>
        <w:t>Pro Rata Bonus</w:t>
      </w:r>
      <w:r>
        <w:rPr>
          <w:rFonts w:ascii="Arial" w:cs="Arial" w:eastAsia="Arial" w:hAnsi="Arial"/>
          <w:sz w:val="20"/>
          <w:szCs w:val="20"/>
          <w:color w:val="000000"/>
        </w:rPr>
        <w:t>” shall mean an amount equal to the Eligible Employee’s target annual cash bonus for the fiscal year in which</w:t>
      </w:r>
      <w:r>
        <w:rPr>
          <w:rFonts w:ascii="Arial" w:cs="Arial" w:eastAsia="Arial" w:hAnsi="Arial"/>
          <w:sz w:val="20"/>
          <w:szCs w:val="20"/>
          <w:b w:val="1"/>
          <w:bCs w:val="1"/>
          <w:color w:val="010000"/>
        </w:rPr>
        <w:t xml:space="preserve"> </w:t>
      </w:r>
      <w:r>
        <w:rPr>
          <w:rFonts w:ascii="Arial" w:cs="Arial" w:eastAsia="Arial" w:hAnsi="Arial"/>
          <w:sz w:val="20"/>
          <w:szCs w:val="20"/>
          <w:color w:val="000000"/>
        </w:rPr>
        <w:t>the Severance Date occurs, pro-rated for the period of the Eligible Employee’s employment with the Company during the fiscal year in which the Severance Date occurs.</w:t>
      </w:r>
    </w:p>
    <w:p>
      <w:pPr>
        <w:spacing w:after="0" w:line="155"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means a Qualifying Non-CIC Termination or a Qualifying CIC Termination.</w:t>
      </w:r>
    </w:p>
    <w:p>
      <w:pPr>
        <w:spacing w:after="0" w:line="206" w:lineRule="exact"/>
        <w:rPr>
          <w:sz w:val="20"/>
          <w:szCs w:val="20"/>
          <w:color w:val="auto"/>
        </w:rPr>
      </w:pPr>
    </w:p>
    <w:p>
      <w:pPr>
        <w:ind w:right="80" w:firstLine="597"/>
        <w:spacing w:after="0" w:line="280" w:lineRule="auto"/>
        <w:rPr>
          <w:sz w:val="20"/>
          <w:szCs w:val="20"/>
          <w:color w:val="auto"/>
        </w:rPr>
      </w:pPr>
      <w:r>
        <w:rPr>
          <w:rFonts w:ascii="Arial" w:cs="Arial" w:eastAsia="Arial" w:hAnsi="Arial"/>
          <w:sz w:val="18"/>
          <w:szCs w:val="18"/>
          <w:b w:val="1"/>
          <w:bCs w:val="1"/>
          <w:color w:val="010000"/>
        </w:rPr>
        <w:t xml:space="preserve">1.26 </w:t>
      </w:r>
      <w:r>
        <w:rPr>
          <w:rFonts w:ascii="Arial" w:cs="Arial" w:eastAsia="Arial" w:hAnsi="Arial"/>
          <w:sz w:val="18"/>
          <w:szCs w:val="18"/>
          <w:color w:val="000000"/>
        </w:rPr>
        <w:t>“</w:t>
      </w:r>
      <w:r>
        <w:rPr>
          <w:rFonts w:ascii="Arial" w:cs="Arial" w:eastAsia="Arial" w:hAnsi="Arial"/>
          <w:sz w:val="18"/>
          <w:szCs w:val="18"/>
          <w:u w:val="single" w:color="auto"/>
          <w:color w:val="000000"/>
        </w:rPr>
        <w:t>Qualifying CIC Termination</w:t>
      </w:r>
      <w:r>
        <w:rPr>
          <w:rFonts w:ascii="Arial" w:cs="Arial" w:eastAsia="Arial" w:hAnsi="Arial"/>
          <w:sz w:val="18"/>
          <w:szCs w:val="18"/>
          <w:color w:val="000000"/>
        </w:rPr>
        <w:t>” means the termination of an Eligible Employee’s employment with the Company on or within</w:t>
      </w:r>
      <w:r>
        <w:rPr>
          <w:rFonts w:ascii="Arial" w:cs="Arial" w:eastAsia="Arial" w:hAnsi="Arial"/>
          <w:sz w:val="18"/>
          <w:szCs w:val="18"/>
          <w:b w:val="1"/>
          <w:bCs w:val="1"/>
          <w:color w:val="010000"/>
        </w:rPr>
        <w:t xml:space="preserve"> </w:t>
      </w:r>
      <w:r>
        <w:rPr>
          <w:rFonts w:ascii="Arial" w:cs="Arial" w:eastAsia="Arial" w:hAnsi="Arial"/>
          <w:sz w:val="18"/>
          <w:szCs w:val="18"/>
          <w:color w:val="000000"/>
        </w:rPr>
        <w:t>two (2) years following the date of a Change in Control (i) by the Company or its successor other than for Cause or (ii) by the Eligible Employee for Good Reason; provided that a Qualifying CIC Termination shall occur only if such termination of employment constitutes a “separation from service” within the meaning of section 409A of the Code and the applicable regulations issued thereunder</w:t>
      </w:r>
    </w:p>
    <w:p>
      <w:pPr>
        <w:spacing w:after="0" w:line="2"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 xml:space="preserve">(“Section 409A”). Notwithstanding the foregoing, an Eligible Employee will not be considered to have incurred a Qualifying CIC Termination (a) if his or her employment is discontinued by reason of the Eligible Employee’s death or Disability (other than in each case with respect to payments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hereof as set forth herein) or (b) by reason of the divestiture of a facility or other assets of the Company, sale of a business or business unit, or the outsourcing of a business activity with which the Eligible Employee is affiliated if the Eligible Employee is offered comparable employment by the successor company and the successor company assumes the Company’s responsibilities under the Plan with respect to such Eligible Employee.</w:t>
      </w:r>
    </w:p>
    <w:p>
      <w:pPr>
        <w:spacing w:after="0" w:line="159" w:lineRule="exact"/>
        <w:rPr>
          <w:sz w:val="20"/>
          <w:szCs w:val="20"/>
          <w:color w:val="auto"/>
        </w:rPr>
      </w:pPr>
    </w:p>
    <w:p>
      <w:pPr>
        <w:jc w:val="both"/>
        <w:ind w:right="120" w:firstLine="597"/>
        <w:spacing w:after="0" w:line="262" w:lineRule="auto"/>
        <w:rPr>
          <w:sz w:val="20"/>
          <w:szCs w:val="20"/>
          <w:color w:val="auto"/>
        </w:rPr>
      </w:pPr>
      <w:r>
        <w:rPr>
          <w:rFonts w:ascii="Arial" w:cs="Arial" w:eastAsia="Arial" w:hAnsi="Arial"/>
          <w:sz w:val="20"/>
          <w:szCs w:val="20"/>
          <w:b w:val="1"/>
          <w:bCs w:val="1"/>
          <w:color w:val="010000"/>
        </w:rPr>
        <w:t xml:space="preserve">1.27 </w:t>
      </w:r>
      <w:r>
        <w:rPr>
          <w:rFonts w:ascii="Arial" w:cs="Arial" w:eastAsia="Arial" w:hAnsi="Arial"/>
          <w:sz w:val="20"/>
          <w:szCs w:val="20"/>
          <w:color w:val="000000"/>
        </w:rPr>
        <w:t>“</w:t>
      </w:r>
      <w:r>
        <w:rPr>
          <w:rFonts w:ascii="Arial" w:cs="Arial" w:eastAsia="Arial" w:hAnsi="Arial"/>
          <w:sz w:val="20"/>
          <w:szCs w:val="20"/>
          <w:u w:val="single" w:color="auto"/>
          <w:color w:val="000000"/>
        </w:rPr>
        <w:t>Qualifying Non-CIC Termination</w:t>
      </w:r>
      <w:r>
        <w:rPr>
          <w:rFonts w:ascii="Arial" w:cs="Arial" w:eastAsia="Arial" w:hAnsi="Arial"/>
          <w:sz w:val="20"/>
          <w:szCs w:val="20"/>
          <w:color w:val="000000"/>
        </w:rPr>
        <w:t>” means the termination of an Eligible Employee’s employment with the Company, that is</w:t>
      </w:r>
      <w:r>
        <w:rPr>
          <w:rFonts w:ascii="Arial" w:cs="Arial" w:eastAsia="Arial" w:hAnsi="Arial"/>
          <w:sz w:val="20"/>
          <w:szCs w:val="20"/>
          <w:b w:val="1"/>
          <w:bCs w:val="1"/>
          <w:color w:val="010000"/>
        </w:rPr>
        <w:t xml:space="preserve"> </w:t>
      </w:r>
      <w:r>
        <w:rPr>
          <w:rFonts w:ascii="Arial" w:cs="Arial" w:eastAsia="Arial" w:hAnsi="Arial"/>
          <w:sz w:val="20"/>
          <w:szCs w:val="20"/>
          <w:color w:val="000000"/>
        </w:rPr>
        <w:t>not a Qualifying CIC Termination, by the Company or its successor other than for Cause; provided that a Qualifying Non-CIC Termination shall occur only if such termination of employment constitutes a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00"/>
          </w:cols>
          <w:pgMar w:left="320" w:top="1327" w:right="379" w:bottom="1440" w:gutter="0" w:footer="0" w:header="0"/>
        </w:sectPr>
      </w:pPr>
    </w:p>
    <w:bookmarkStart w:id="334" w:name="page335"/>
    <w:bookmarkEnd w:id="334"/>
    <w:p>
      <w:pPr>
        <w:ind w:right="160"/>
        <w:spacing w:after="0" w:line="284" w:lineRule="auto"/>
        <w:rPr>
          <w:sz w:val="20"/>
          <w:szCs w:val="20"/>
          <w:color w:val="auto"/>
        </w:rPr>
      </w:pPr>
      <w:r>
        <w:rPr>
          <w:rFonts w:ascii="Arial" w:cs="Arial" w:eastAsia="Arial" w:hAnsi="Arial"/>
          <w:sz w:val="18"/>
          <w:szCs w:val="18"/>
          <w:color w:val="auto"/>
        </w:rPr>
        <w:t xml:space="preserve">within the meaning of Section 409A. Notwithstanding the foregoing, an Eligible Employee will not be considered to have incurred a Qualifying Non-CIC Termination (a) if his or her employment is discontinued by reason of the Eligible Employee’s death or Disability (other than in each case with respect to payments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as set forth herein) or (b) by reason of the divestiture of a facility or other assets of the Company, sale of a business or business unit, or the outsourcing of a business activity with which the Eligible Employee is affiliated if the Eligible Employee is offered comparable employment by the successor company and the successor company assumes the Company’s responsibilities under the Plan with respect to such Eligible Employee.</w:t>
      </w:r>
    </w:p>
    <w:p>
      <w:pPr>
        <w:spacing w:after="0" w:line="142" w:lineRule="exact"/>
        <w:rPr>
          <w:sz w:val="20"/>
          <w:szCs w:val="20"/>
          <w:color w:val="auto"/>
        </w:rPr>
      </w:pPr>
    </w:p>
    <w:p>
      <w:pPr>
        <w:ind w:right="100" w:firstLine="597"/>
        <w:spacing w:after="0" w:line="256" w:lineRule="auto"/>
        <w:rPr>
          <w:sz w:val="20"/>
          <w:szCs w:val="20"/>
          <w:color w:val="auto"/>
        </w:rPr>
      </w:pPr>
      <w:r>
        <w:rPr>
          <w:rFonts w:ascii="Arial" w:cs="Arial" w:eastAsia="Arial" w:hAnsi="Arial"/>
          <w:sz w:val="20"/>
          <w:szCs w:val="20"/>
          <w:b w:val="1"/>
          <w:bCs w:val="1"/>
          <w:color w:val="010000"/>
        </w:rPr>
        <w:t xml:space="preserve">1.28 </w:t>
      </w:r>
      <w:r>
        <w:rPr>
          <w:rFonts w:ascii="Arial" w:cs="Arial" w:eastAsia="Arial" w:hAnsi="Arial"/>
          <w:sz w:val="20"/>
          <w:szCs w:val="20"/>
          <w:color w:val="000000"/>
        </w:rPr>
        <w:t>“</w:t>
      </w:r>
      <w:r>
        <w:rPr>
          <w:rFonts w:ascii="Arial" w:cs="Arial" w:eastAsia="Arial" w:hAnsi="Arial"/>
          <w:sz w:val="20"/>
          <w:szCs w:val="20"/>
          <w:u w:val="single" w:color="auto"/>
          <w:color w:val="000000"/>
        </w:rPr>
        <w:t>Restrictive Covenants</w:t>
      </w:r>
      <w:r>
        <w:rPr>
          <w:rFonts w:ascii="Arial" w:cs="Arial" w:eastAsia="Arial" w:hAnsi="Arial"/>
          <w:sz w:val="20"/>
          <w:szCs w:val="20"/>
          <w:color w:val="000000"/>
        </w:rPr>
        <w:t>” means the restrictions set forth in</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Section 5</w:t>
      </w:r>
      <w:r>
        <w:rPr>
          <w:rFonts w:ascii="Arial" w:cs="Arial" w:eastAsia="Arial" w:hAnsi="Arial"/>
          <w:sz w:val="20"/>
          <w:szCs w:val="20"/>
          <w:b w:val="1"/>
          <w:bCs w:val="1"/>
          <w:color w:val="010000"/>
        </w:rPr>
        <w:t xml:space="preserve"> </w:t>
      </w:r>
      <w:r>
        <w:rPr>
          <w:rFonts w:ascii="Arial" w:cs="Arial" w:eastAsia="Arial" w:hAnsi="Arial"/>
          <w:sz w:val="20"/>
          <w:szCs w:val="20"/>
          <w:color w:val="000000"/>
        </w:rPr>
        <w:t>and, if Eligible Employee is a party to, or participant in,</w:t>
      </w:r>
      <w:r>
        <w:rPr>
          <w:rFonts w:ascii="Arial" w:cs="Arial" w:eastAsia="Arial" w:hAnsi="Arial"/>
          <w:sz w:val="20"/>
          <w:szCs w:val="20"/>
          <w:b w:val="1"/>
          <w:bCs w:val="1"/>
          <w:color w:val="010000"/>
        </w:rPr>
        <w:t xml:space="preserve"> </w:t>
      </w:r>
      <w:r>
        <w:rPr>
          <w:rFonts w:ascii="Arial" w:cs="Arial" w:eastAsia="Arial" w:hAnsi="Arial"/>
          <w:sz w:val="20"/>
          <w:szCs w:val="20"/>
          <w:color w:val="000000"/>
        </w:rPr>
        <w:t>an employment agreement, severance agreement or other agreement or plan with the Company, which agreement sets forth provisions regarding Confidential Information, non-solicitation or non-competition, the provisions set forth in such employment agreement, severance agreement or other agreement or plan.</w:t>
      </w:r>
    </w:p>
    <w:p>
      <w:pPr>
        <w:spacing w:after="0" w:line="164"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twelve (12) months immediately following the Severance Date.</w:t>
      </w:r>
    </w:p>
    <w:p>
      <w:pPr>
        <w:spacing w:after="0" w:line="206"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Severance Date</w:t>
      </w:r>
      <w:r>
        <w:rPr>
          <w:rFonts w:ascii="Arial" w:cs="Arial" w:eastAsia="Arial" w:hAnsi="Arial"/>
          <w:sz w:val="18"/>
          <w:szCs w:val="18"/>
          <w:color w:val="auto"/>
        </w:rPr>
        <w:t>” means a date on which an Eligible Employee incurs a Qualifying Termination.</w:t>
      </w:r>
    </w:p>
    <w:p>
      <w:pPr>
        <w:spacing w:after="0" w:line="206" w:lineRule="exact"/>
        <w:rPr>
          <w:sz w:val="20"/>
          <w:szCs w:val="20"/>
          <w:color w:val="auto"/>
        </w:rPr>
      </w:pPr>
    </w:p>
    <w:p>
      <w:pPr>
        <w:ind w:firstLine="597"/>
        <w:spacing w:after="0" w:line="277" w:lineRule="auto"/>
        <w:rPr>
          <w:sz w:val="20"/>
          <w:szCs w:val="20"/>
          <w:color w:val="auto"/>
        </w:rPr>
      </w:pPr>
      <w:r>
        <w:rPr>
          <w:rFonts w:ascii="Arial" w:cs="Arial" w:eastAsia="Arial" w:hAnsi="Arial"/>
          <w:sz w:val="20"/>
          <w:szCs w:val="20"/>
          <w:b w:val="1"/>
          <w:bCs w:val="1"/>
          <w:color w:val="010000"/>
        </w:rPr>
        <w:t xml:space="preserve">1.31 </w:t>
      </w:r>
      <w:r>
        <w:rPr>
          <w:rFonts w:ascii="Arial" w:cs="Arial" w:eastAsia="Arial" w:hAnsi="Arial"/>
          <w:sz w:val="20"/>
          <w:szCs w:val="20"/>
          <w:color w:val="000000"/>
        </w:rPr>
        <w:t>“</w:t>
      </w:r>
      <w:r>
        <w:rPr>
          <w:rFonts w:ascii="Arial" w:cs="Arial" w:eastAsia="Arial" w:hAnsi="Arial"/>
          <w:sz w:val="20"/>
          <w:szCs w:val="20"/>
          <w:u w:val="single" w:color="auto"/>
          <w:color w:val="000000"/>
        </w:rPr>
        <w:t>Severance Multiplier</w:t>
      </w:r>
      <w:r>
        <w:rPr>
          <w:rFonts w:ascii="Arial" w:cs="Arial" w:eastAsia="Arial" w:hAnsi="Arial"/>
          <w:sz w:val="20"/>
          <w:szCs w:val="20"/>
          <w:color w:val="000000"/>
        </w:rPr>
        <w:t>” means (i) in the event of a Qualifying CIC Termination (a) with respect to each Level 1 Employee, 2.5</w:t>
      </w:r>
      <w:r>
        <w:rPr>
          <w:rFonts w:ascii="Arial" w:cs="Arial" w:eastAsia="Arial" w:hAnsi="Arial"/>
          <w:sz w:val="20"/>
          <w:szCs w:val="20"/>
          <w:b w:val="1"/>
          <w:bCs w:val="1"/>
          <w:color w:val="010000"/>
        </w:rPr>
        <w:t xml:space="preserve"> </w:t>
      </w:r>
      <w:r>
        <w:rPr>
          <w:rFonts w:ascii="Arial" w:cs="Arial" w:eastAsia="Arial" w:hAnsi="Arial"/>
          <w:sz w:val="20"/>
          <w:szCs w:val="20"/>
          <w:color w:val="000000"/>
        </w:rPr>
        <w:t>and (b) with respect to each Level 2 Employee, 2.</w:t>
      </w:r>
    </w:p>
    <w:p>
      <w:pPr>
        <w:spacing w:after="0" w:line="141"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Severance Pay</w:t>
      </w:r>
      <w:r>
        <w:rPr>
          <w:rFonts w:ascii="Arial" w:cs="Arial" w:eastAsia="Arial" w:hAnsi="Arial"/>
          <w:sz w:val="17"/>
          <w:szCs w:val="17"/>
          <w:color w:val="auto"/>
        </w:rPr>
        <w:t xml:space="preserve">” means the payments determined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w:t>
      </w:r>
    </w:p>
    <w:p>
      <w:pPr>
        <w:spacing w:after="0" w:line="206" w:lineRule="exact"/>
        <w:rPr>
          <w:sz w:val="20"/>
          <w:szCs w:val="20"/>
          <w:color w:val="auto"/>
        </w:rPr>
      </w:pPr>
    </w:p>
    <w:p>
      <w:pPr>
        <w:ind w:right="60" w:firstLine="597"/>
        <w:spacing w:after="0" w:line="252" w:lineRule="auto"/>
        <w:rPr>
          <w:sz w:val="20"/>
          <w:szCs w:val="20"/>
          <w:color w:val="auto"/>
        </w:rPr>
      </w:pPr>
      <w:r>
        <w:rPr>
          <w:rFonts w:ascii="Arial" w:cs="Arial" w:eastAsia="Arial" w:hAnsi="Arial"/>
          <w:sz w:val="20"/>
          <w:szCs w:val="20"/>
          <w:b w:val="1"/>
          <w:bCs w:val="1"/>
          <w:color w:val="010000"/>
        </w:rPr>
        <w:t xml:space="preserve">1.33 </w:t>
      </w:r>
      <w:r>
        <w:rPr>
          <w:rFonts w:ascii="Arial" w:cs="Arial" w:eastAsia="Arial" w:hAnsi="Arial"/>
          <w:sz w:val="20"/>
          <w:szCs w:val="20"/>
          <w:color w:val="000000"/>
        </w:rPr>
        <w:t>“</w:t>
      </w:r>
      <w:r>
        <w:rPr>
          <w:rFonts w:ascii="Arial" w:cs="Arial" w:eastAsia="Arial" w:hAnsi="Arial"/>
          <w:sz w:val="20"/>
          <w:szCs w:val="20"/>
          <w:u w:val="single" w:color="auto"/>
          <w:color w:val="000000"/>
        </w:rPr>
        <w:t>Severance Period</w:t>
      </w:r>
      <w:r>
        <w:rPr>
          <w:rFonts w:ascii="Arial" w:cs="Arial" w:eastAsia="Arial" w:hAnsi="Arial"/>
          <w:sz w:val="20"/>
          <w:szCs w:val="20"/>
          <w:color w:val="000000"/>
        </w:rPr>
        <w:t>” means (i) in the event of a Qualifying CIC Termination, (a) with respect to each Level 1 Employee,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shorter of (x) thirty (30) months immediately following the Severance Date and (y) the period ending on the last day of the second calendar year following the calendar year in which the Severance Date occurs; and (b) with respect to each Level 2 Employee, twenty-four (24) months immediately following the Severance Date and (ii) in the event of a Qualifying Non-CIC Termination (a) with respect to each Level 1 Employee, eighteen (18) months immediately following the Severance Date; and (b) with respect to each Level 2 Employee, twelve (12) months immediately following the Severance Date.</w:t>
      </w:r>
    </w:p>
    <w:p>
      <w:pPr>
        <w:spacing w:after="0" w:line="169"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Severed Employee</w:t>
      </w:r>
      <w:r>
        <w:rPr>
          <w:rFonts w:ascii="Arial" w:cs="Arial" w:eastAsia="Arial" w:hAnsi="Arial"/>
          <w:sz w:val="18"/>
          <w:szCs w:val="18"/>
          <w:color w:val="auto"/>
        </w:rPr>
        <w:t>” is a CIC Severed Employee or a Non-CIC Severed Employee.</w:t>
      </w:r>
    </w:p>
    <w:p>
      <w:pPr>
        <w:spacing w:after="0" w:line="206" w:lineRule="exact"/>
        <w:rPr>
          <w:sz w:val="20"/>
          <w:szCs w:val="20"/>
          <w:color w:val="auto"/>
        </w:rPr>
      </w:pPr>
    </w:p>
    <w:p>
      <w:pPr>
        <w:ind w:right="540" w:firstLine="597"/>
        <w:spacing w:after="0" w:line="277" w:lineRule="auto"/>
        <w:rPr>
          <w:sz w:val="20"/>
          <w:szCs w:val="20"/>
          <w:color w:val="auto"/>
        </w:rPr>
      </w:pPr>
      <w:r>
        <w:rPr>
          <w:rFonts w:ascii="Arial" w:cs="Arial" w:eastAsia="Arial" w:hAnsi="Arial"/>
          <w:sz w:val="20"/>
          <w:szCs w:val="20"/>
          <w:b w:val="1"/>
          <w:bCs w:val="1"/>
          <w:color w:val="010000"/>
        </w:rPr>
        <w:t xml:space="preserve">1.35 </w:t>
      </w:r>
      <w:r>
        <w:rPr>
          <w:rFonts w:ascii="Arial" w:cs="Arial" w:eastAsia="Arial" w:hAnsi="Arial"/>
          <w:sz w:val="20"/>
          <w:szCs w:val="20"/>
          <w:color w:val="000000"/>
        </w:rPr>
        <w:t>“</w:t>
      </w:r>
      <w:r>
        <w:rPr>
          <w:rFonts w:ascii="Arial" w:cs="Arial" w:eastAsia="Arial" w:hAnsi="Arial"/>
          <w:sz w:val="20"/>
          <w:szCs w:val="20"/>
          <w:u w:val="single" w:color="auto"/>
          <w:color w:val="000000"/>
        </w:rPr>
        <w:t>Solicit</w:t>
      </w:r>
      <w:r>
        <w:rPr>
          <w:rFonts w:ascii="Arial" w:cs="Arial" w:eastAsia="Arial" w:hAnsi="Arial"/>
          <w:sz w:val="20"/>
          <w:szCs w:val="20"/>
          <w:color w:val="000000"/>
        </w:rPr>
        <w:t>” means any direct or indirect communication of any kind, regardless of who initiates it, that in any way invites,</w:t>
      </w:r>
      <w:r>
        <w:rPr>
          <w:rFonts w:ascii="Arial" w:cs="Arial" w:eastAsia="Arial" w:hAnsi="Arial"/>
          <w:sz w:val="20"/>
          <w:szCs w:val="20"/>
          <w:b w:val="1"/>
          <w:bCs w:val="1"/>
          <w:color w:val="010000"/>
        </w:rPr>
        <w:t xml:space="preserve"> </w:t>
      </w:r>
      <w:r>
        <w:rPr>
          <w:rFonts w:ascii="Arial" w:cs="Arial" w:eastAsia="Arial" w:hAnsi="Arial"/>
          <w:sz w:val="20"/>
          <w:szCs w:val="20"/>
          <w:color w:val="000000"/>
        </w:rPr>
        <w:t>advises, encourages or requests any person to take or refrain from taking any action.</w:t>
      </w:r>
    </w:p>
    <w:p>
      <w:pPr>
        <w:spacing w:after="0" w:line="141"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b w:val="1"/>
          <w:bCs w:val="1"/>
          <w:color w:val="010000"/>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Specified Employee</w:t>
      </w:r>
      <w:r>
        <w:rPr>
          <w:rFonts w:ascii="Arial" w:cs="Arial" w:eastAsia="Arial" w:hAnsi="Arial"/>
          <w:sz w:val="18"/>
          <w:szCs w:val="18"/>
          <w:color w:val="auto"/>
        </w:rPr>
        <w:t>” means any Eligible Employee described in section 409A(a)(2)(B)(i)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327" w:right="379" w:bottom="1440" w:gutter="0" w:footer="0" w:header="0"/>
        </w:sectPr>
      </w:pPr>
    </w:p>
    <w:bookmarkStart w:id="335" w:name="page336"/>
    <w:bookmarkEnd w:id="335"/>
    <w:p>
      <w:pPr>
        <w:ind w:firstLine="597"/>
        <w:spacing w:after="0" w:line="277" w:lineRule="auto"/>
        <w:rPr>
          <w:sz w:val="20"/>
          <w:szCs w:val="20"/>
          <w:color w:val="auto"/>
        </w:rPr>
      </w:pPr>
      <w:r>
        <w:rPr>
          <w:rFonts w:ascii="Arial" w:cs="Arial" w:eastAsia="Arial" w:hAnsi="Arial"/>
          <w:sz w:val="20"/>
          <w:szCs w:val="20"/>
          <w:b w:val="1"/>
          <w:bCs w:val="1"/>
          <w:color w:val="010000"/>
        </w:rPr>
        <w:t xml:space="preserve">1.37 </w:t>
      </w:r>
      <w:r>
        <w:rPr>
          <w:rFonts w:ascii="Arial" w:cs="Arial" w:eastAsia="Arial" w:hAnsi="Arial"/>
          <w:sz w:val="20"/>
          <w:szCs w:val="20"/>
          <w:color w:val="000000"/>
        </w:rPr>
        <w:t>“</w:t>
      </w:r>
      <w:r>
        <w:rPr>
          <w:rFonts w:ascii="Arial" w:cs="Arial" w:eastAsia="Arial" w:hAnsi="Arial"/>
          <w:sz w:val="20"/>
          <w:szCs w:val="20"/>
          <w:u w:val="single" w:color="auto"/>
          <w:color w:val="000000"/>
        </w:rPr>
        <w:t>Tax Counsel</w:t>
      </w:r>
      <w:r>
        <w:rPr>
          <w:rFonts w:ascii="Arial" w:cs="Arial" w:eastAsia="Arial" w:hAnsi="Arial"/>
          <w:sz w:val="20"/>
          <w:szCs w:val="20"/>
          <w:color w:val="000000"/>
        </w:rPr>
        <w:t>” means tax counsel selected by the Company (which Tax Counsel may be the Company’s general counsel or tax</w:t>
      </w:r>
      <w:r>
        <w:rPr>
          <w:rFonts w:ascii="Arial" w:cs="Arial" w:eastAsia="Arial" w:hAnsi="Arial"/>
          <w:sz w:val="20"/>
          <w:szCs w:val="20"/>
          <w:b w:val="1"/>
          <w:bCs w:val="1"/>
          <w:color w:val="010000"/>
        </w:rPr>
        <w:t xml:space="preserve"> </w:t>
      </w:r>
      <w:r>
        <w:rPr>
          <w:rFonts w:ascii="Arial" w:cs="Arial" w:eastAsia="Arial" w:hAnsi="Arial"/>
          <w:sz w:val="20"/>
          <w:szCs w:val="20"/>
          <w:color w:val="000000"/>
        </w:rPr>
        <w:t>advisors).</w:t>
      </w:r>
    </w:p>
    <w:p>
      <w:pPr>
        <w:spacing w:after="0" w:line="141" w:lineRule="exact"/>
        <w:rPr>
          <w:sz w:val="20"/>
          <w:szCs w:val="20"/>
          <w:color w:val="auto"/>
        </w:rPr>
      </w:pPr>
    </w:p>
    <w:p>
      <w:pPr>
        <w:ind w:right="260" w:firstLine="597"/>
        <w:spacing w:after="0" w:line="304" w:lineRule="auto"/>
        <w:rPr>
          <w:sz w:val="20"/>
          <w:szCs w:val="20"/>
          <w:color w:val="auto"/>
        </w:rPr>
      </w:pPr>
      <w:r>
        <w:rPr>
          <w:rFonts w:ascii="Arial" w:cs="Arial" w:eastAsia="Arial" w:hAnsi="Arial"/>
          <w:sz w:val="19"/>
          <w:szCs w:val="19"/>
          <w:b w:val="1"/>
          <w:bCs w:val="1"/>
          <w:color w:val="010000"/>
        </w:rPr>
        <w:t xml:space="preserve">1.38 </w:t>
      </w:r>
      <w:r>
        <w:rPr>
          <w:rFonts w:ascii="Arial" w:cs="Arial" w:eastAsia="Arial" w:hAnsi="Arial"/>
          <w:sz w:val="19"/>
          <w:szCs w:val="19"/>
          <w:color w:val="000000"/>
        </w:rPr>
        <w:t>“</w:t>
      </w:r>
      <w:r>
        <w:rPr>
          <w:rFonts w:ascii="Arial" w:cs="Arial" w:eastAsia="Arial" w:hAnsi="Arial"/>
          <w:sz w:val="19"/>
          <w:szCs w:val="19"/>
          <w:u w:val="single" w:color="auto"/>
          <w:color w:val="000000"/>
        </w:rPr>
        <w:t>Total Payments</w:t>
      </w:r>
      <w:r>
        <w:rPr>
          <w:rFonts w:ascii="Arial" w:cs="Arial" w:eastAsia="Arial" w:hAnsi="Arial"/>
          <w:sz w:val="19"/>
          <w:szCs w:val="19"/>
          <w:color w:val="000000"/>
        </w:rPr>
        <w:t>” means all payments or benefits received in connection with a Change in Control or the termination of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Severed Employee’s employment, whether pursuant to the terms of the Plan or any other plan, arrangement or agreement.</w:t>
      </w:r>
    </w:p>
    <w:p>
      <w:pPr>
        <w:spacing w:after="0" w:line="118" w:lineRule="exact"/>
        <w:rPr>
          <w:sz w:val="20"/>
          <w:szCs w:val="20"/>
          <w:color w:val="auto"/>
        </w:rPr>
      </w:pPr>
    </w:p>
    <w:p>
      <w:pPr>
        <w:jc w:val="both"/>
        <w:ind w:right="120" w:firstLine="597"/>
        <w:spacing w:after="0" w:line="334" w:lineRule="auto"/>
        <w:rPr>
          <w:sz w:val="20"/>
          <w:szCs w:val="20"/>
          <w:color w:val="auto"/>
        </w:rPr>
      </w:pPr>
      <w:r>
        <w:rPr>
          <w:rFonts w:ascii="Arial" w:cs="Arial" w:eastAsia="Arial" w:hAnsi="Arial"/>
          <w:sz w:val="18"/>
          <w:szCs w:val="18"/>
          <w:b w:val="1"/>
          <w:bCs w:val="1"/>
          <w:color w:val="010000"/>
        </w:rPr>
        <w:t xml:space="preserve">1.39 </w:t>
      </w:r>
      <w:r>
        <w:rPr>
          <w:rFonts w:ascii="Arial" w:cs="Arial" w:eastAsia="Arial" w:hAnsi="Arial"/>
          <w:sz w:val="18"/>
          <w:szCs w:val="18"/>
          <w:color w:val="000000"/>
        </w:rPr>
        <w:t>“</w:t>
      </w:r>
      <w:r>
        <w:rPr>
          <w:rFonts w:ascii="Arial" w:cs="Arial" w:eastAsia="Arial" w:hAnsi="Arial"/>
          <w:sz w:val="18"/>
          <w:szCs w:val="18"/>
          <w:u w:val="single" w:color="auto"/>
          <w:color w:val="000000"/>
        </w:rPr>
        <w:t>Unpaid Prior Year Bonus</w:t>
      </w:r>
      <w:r>
        <w:rPr>
          <w:rFonts w:ascii="Arial" w:cs="Arial" w:eastAsia="Arial" w:hAnsi="Arial"/>
          <w:sz w:val="18"/>
          <w:szCs w:val="18"/>
          <w:color w:val="000000"/>
        </w:rPr>
        <w:t>” shall be any unpaid cash incentive compensation bonus earned by the Eligible Employee for the</w:t>
      </w:r>
      <w:r>
        <w:rPr>
          <w:rFonts w:ascii="Arial" w:cs="Arial" w:eastAsia="Arial" w:hAnsi="Arial"/>
          <w:sz w:val="18"/>
          <w:szCs w:val="18"/>
          <w:b w:val="1"/>
          <w:bCs w:val="1"/>
          <w:color w:val="010000"/>
        </w:rPr>
        <w:t xml:space="preserve"> </w:t>
      </w:r>
      <w:r>
        <w:rPr>
          <w:rFonts w:ascii="Arial" w:cs="Arial" w:eastAsia="Arial" w:hAnsi="Arial"/>
          <w:sz w:val="18"/>
          <w:szCs w:val="18"/>
          <w:color w:val="000000"/>
        </w:rPr>
        <w:t>last full fiscal year prior to the Severance Date (disregarding for purposes of this definition any active employment eligibility requirement).</w:t>
      </w:r>
    </w:p>
    <w:p>
      <w:pPr>
        <w:spacing w:after="0" w:line="96" w:lineRule="exact"/>
        <w:rPr>
          <w:sz w:val="20"/>
          <w:szCs w:val="20"/>
          <w:color w:val="auto"/>
        </w:rPr>
      </w:pPr>
    </w:p>
    <w:p>
      <w:pPr>
        <w:ind w:left="600" w:hanging="600"/>
        <w:spacing w:after="0"/>
        <w:tabs>
          <w:tab w:leader="none" w:pos="600"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BENEFITS.</w:t>
      </w:r>
    </w:p>
    <w:p>
      <w:pPr>
        <w:spacing w:after="0" w:line="205" w:lineRule="exact"/>
        <w:rPr>
          <w:rFonts w:ascii="Arial" w:cs="Arial" w:eastAsia="Arial" w:hAnsi="Arial"/>
          <w:sz w:val="20"/>
          <w:szCs w:val="20"/>
          <w:b w:val="1"/>
          <w:bCs w:val="1"/>
          <w:color w:val="auto"/>
        </w:rPr>
      </w:pPr>
    </w:p>
    <w:p>
      <w:pPr>
        <w:ind w:left="600"/>
        <w:spacing w:after="0"/>
        <w:rPr>
          <w:rFonts w:ascii="Arial" w:cs="Arial" w:eastAsia="Arial" w:hAnsi="Arial"/>
          <w:sz w:val="20"/>
          <w:szCs w:val="20"/>
          <w:b w:val="1"/>
          <w:bCs w:val="1"/>
          <w:color w:val="auto"/>
        </w:rPr>
      </w:pPr>
      <w:r>
        <w:rPr>
          <w:rFonts w:ascii="Arial" w:cs="Arial" w:eastAsia="Arial" w:hAnsi="Arial"/>
          <w:sz w:val="20"/>
          <w:szCs w:val="20"/>
          <w:b w:val="1"/>
          <w:bCs w:val="1"/>
          <w:color w:val="010000"/>
        </w:rPr>
        <w:t xml:space="preserve">2.1  </w:t>
      </w:r>
      <w:r>
        <w:rPr>
          <w:rFonts w:ascii="Arial" w:cs="Arial" w:eastAsia="Arial" w:hAnsi="Arial"/>
          <w:sz w:val="20"/>
          <w:szCs w:val="20"/>
          <w:color w:val="000000"/>
        </w:rPr>
        <w:t>Severance Entitlement.</w:t>
      </w:r>
    </w:p>
    <w:p>
      <w:pPr>
        <w:spacing w:after="0" w:line="211" w:lineRule="exact"/>
        <w:rPr>
          <w:rFonts w:ascii="Arial" w:cs="Arial" w:eastAsia="Arial" w:hAnsi="Arial"/>
          <w:sz w:val="20"/>
          <w:szCs w:val="20"/>
          <w:b w:val="1"/>
          <w:bCs w:val="1"/>
          <w:color w:val="auto"/>
        </w:rPr>
      </w:pPr>
    </w:p>
    <w:p>
      <w:pPr>
        <w:ind w:right="20" w:firstLine="1194"/>
        <w:spacing w:after="0" w:line="254" w:lineRule="auto"/>
        <w:tabs>
          <w:tab w:leader="none" w:pos="1615"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 xml:space="preserve">Each CIC Severed Employee shall be entitled, subject to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hereof, to receive Severance Pay in an amount equal to the sum of (i) his or her annual base salary and ICP target award under the Company’s Incentive Compensation Plan (“</w:t>
      </w:r>
      <w:r>
        <w:rPr>
          <w:rFonts w:ascii="Arial" w:cs="Arial" w:eastAsia="Arial" w:hAnsi="Arial"/>
          <w:sz w:val="20"/>
          <w:szCs w:val="20"/>
          <w:u w:val="single" w:color="auto"/>
          <w:color w:val="auto"/>
        </w:rPr>
        <w:t>ICP</w:t>
      </w:r>
      <w:r>
        <w:rPr>
          <w:rFonts w:ascii="Arial" w:cs="Arial" w:eastAsia="Arial" w:hAnsi="Arial"/>
          <w:sz w:val="20"/>
          <w:szCs w:val="20"/>
          <w:color w:val="auto"/>
        </w:rPr>
        <w:t>”) for the fiscal year in which the Severance Date occurs, multiplied by the applicable Severance Multiplier; (ii) his or her Unpaid Prior Year Bonus, if any; and (iii) the Pro Rata Bonus.</w:t>
      </w:r>
    </w:p>
    <w:p>
      <w:pPr>
        <w:spacing w:after="0" w:line="171" w:lineRule="exact"/>
        <w:rPr>
          <w:rFonts w:ascii="Arial" w:cs="Arial" w:eastAsia="Arial" w:hAnsi="Arial"/>
          <w:sz w:val="20"/>
          <w:szCs w:val="20"/>
          <w:color w:val="010000"/>
        </w:rPr>
      </w:pPr>
    </w:p>
    <w:p>
      <w:pPr>
        <w:ind w:firstLine="1194"/>
        <w:spacing w:after="0" w:line="278" w:lineRule="auto"/>
        <w:tabs>
          <w:tab w:leader="none" w:pos="1626" w:val="left"/>
        </w:tabs>
        <w:numPr>
          <w:ilvl w:val="1"/>
          <w:numId w:val="216"/>
        </w:numPr>
        <w:rPr>
          <w:rFonts w:ascii="Arial" w:cs="Arial" w:eastAsia="Arial" w:hAnsi="Arial"/>
          <w:sz w:val="19"/>
          <w:szCs w:val="19"/>
          <w:color w:val="010000"/>
        </w:rPr>
      </w:pPr>
      <w:r>
        <w:rPr>
          <w:rFonts w:ascii="Arial" w:cs="Arial" w:eastAsia="Arial" w:hAnsi="Arial"/>
          <w:sz w:val="19"/>
          <w:szCs w:val="19"/>
          <w:color w:val="auto"/>
        </w:rPr>
        <w:t xml:space="preserve">Each Non-CIC Severed Employee shall be entitled, subject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hereof, to receive Severance Pay in an amount equal to the sum of (i)(A) for any Level 1 Employee, 18 months of his or her annual base salary and (B) for any Level 2 Employee, 12 months of his or her annual base salary; (ii) his or her Unpaid Prior Year Bonus, if any; and (iii) the Pro Rata Bonus.</w:t>
      </w:r>
    </w:p>
    <w:p>
      <w:pPr>
        <w:spacing w:after="0" w:line="149" w:lineRule="exact"/>
        <w:rPr>
          <w:rFonts w:ascii="Arial" w:cs="Arial" w:eastAsia="Arial" w:hAnsi="Arial"/>
          <w:sz w:val="19"/>
          <w:szCs w:val="19"/>
          <w:color w:val="010000"/>
        </w:rPr>
      </w:pPr>
    </w:p>
    <w:p>
      <w:pPr>
        <w:jc w:val="both"/>
        <w:ind w:right="260" w:firstLine="1194"/>
        <w:spacing w:after="0" w:line="258" w:lineRule="auto"/>
        <w:tabs>
          <w:tab w:leader="none" w:pos="1615"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2.1</w:t>
      </w:r>
      <w:r>
        <w:rPr>
          <w:rFonts w:ascii="Arial" w:cs="Arial" w:eastAsia="Arial" w:hAnsi="Arial"/>
          <w:sz w:val="20"/>
          <w:szCs w:val="20"/>
          <w:color w:val="auto"/>
        </w:rPr>
        <w:t>, “annual base salary” shall be the Severed Employee’s annual base salary (excluding bonuses, commissions, premium pay, and similar compensation) as of immediately prior to the Qualifying Termination (without regard to any reduction therein which constitutes Good Reason).</w:t>
      </w:r>
    </w:p>
    <w:p>
      <w:pPr>
        <w:spacing w:after="0" w:line="166" w:lineRule="exact"/>
        <w:rPr>
          <w:rFonts w:ascii="Arial" w:cs="Arial" w:eastAsia="Arial" w:hAnsi="Arial"/>
          <w:sz w:val="20"/>
          <w:szCs w:val="20"/>
          <w:color w:val="010000"/>
        </w:rPr>
      </w:pPr>
    </w:p>
    <w:p>
      <w:pPr>
        <w:ind w:right="20" w:firstLine="1194"/>
        <w:spacing w:after="0" w:line="284" w:lineRule="auto"/>
        <w:tabs>
          <w:tab w:leader="none" w:pos="1626" w:val="left"/>
        </w:tabs>
        <w:numPr>
          <w:ilvl w:val="1"/>
          <w:numId w:val="216"/>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Severance Pay under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shall be paid to an eligible Severed Employee in a cash lump sum, within three (3) days following the Release Effective Date, described in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hereof provided, that, if the period between the Severance Date and the latest possible Release Effective Date spans two calendar years, the Severance Pay shall be paid in the second calendar year. In the case of any Severed Employee that is a Specified Employee, such Severance Pay shall be paid as soon as practicable following the date that is six months after the Severance Date; provided, that the foregoing shall only apply to the extent the Company determines such delay is required to avoid accelerated taxation or penalties under Section 409A.</w:t>
      </w:r>
    </w:p>
    <w:p>
      <w:pPr>
        <w:spacing w:after="0" w:line="148" w:lineRule="exact"/>
        <w:rPr>
          <w:rFonts w:ascii="Arial" w:cs="Arial" w:eastAsia="Arial" w:hAnsi="Arial"/>
          <w:sz w:val="18"/>
          <w:szCs w:val="18"/>
          <w:color w:val="010000"/>
        </w:rPr>
      </w:pPr>
    </w:p>
    <w:p>
      <w:pPr>
        <w:ind w:right="520" w:firstLine="1194"/>
        <w:spacing w:after="0" w:line="271" w:lineRule="auto"/>
        <w:tabs>
          <w:tab w:leader="none" w:pos="1615"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Severance Pay under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shall be paid to an eligible Severed Employee over the Severance Period in equal installment in accordance with the Company’s normal pay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1321" w:right="359" w:bottom="1440" w:gutter="0" w:footer="0" w:header="0"/>
        </w:sectPr>
      </w:pPr>
    </w:p>
    <w:bookmarkStart w:id="336" w:name="page337"/>
    <w:bookmarkEnd w:id="336"/>
    <w:p>
      <w:pPr>
        <w:ind w:firstLine="597"/>
        <w:spacing w:after="0" w:line="277" w:lineRule="auto"/>
        <w:rPr>
          <w:sz w:val="20"/>
          <w:szCs w:val="20"/>
          <w:color w:val="auto"/>
        </w:rPr>
      </w:pPr>
      <w:r>
        <w:rPr>
          <w:rFonts w:ascii="Arial" w:cs="Arial" w:eastAsia="Arial" w:hAnsi="Arial"/>
          <w:sz w:val="18"/>
          <w:szCs w:val="18"/>
          <w:b w:val="1"/>
          <w:bCs w:val="1"/>
          <w:color w:val="010000"/>
        </w:rPr>
        <w:t xml:space="preserve">2.2 </w:t>
      </w:r>
      <w:r>
        <w:rPr>
          <w:rFonts w:ascii="Arial" w:cs="Arial" w:eastAsia="Arial" w:hAnsi="Arial"/>
          <w:sz w:val="18"/>
          <w:szCs w:val="18"/>
          <w:color w:val="000000"/>
        </w:rPr>
        <w:t>Subject to</w:t>
      </w:r>
      <w:r>
        <w:rPr>
          <w:rFonts w:ascii="Arial" w:cs="Arial" w:eastAsia="Arial" w:hAnsi="Arial"/>
          <w:sz w:val="18"/>
          <w:szCs w:val="18"/>
          <w:b w:val="1"/>
          <w:bCs w:val="1"/>
          <w:color w:val="010000"/>
        </w:rPr>
        <w:t xml:space="preserve"> </w:t>
      </w:r>
      <w:r>
        <w:rPr>
          <w:rFonts w:ascii="Arial" w:cs="Arial" w:eastAsia="Arial" w:hAnsi="Arial"/>
          <w:sz w:val="18"/>
          <w:szCs w:val="18"/>
          <w:u w:val="single" w:color="auto"/>
          <w:color w:val="000000"/>
        </w:rPr>
        <w:t>Section 2.7</w:t>
      </w:r>
      <w:r>
        <w:rPr>
          <w:rFonts w:ascii="Arial" w:cs="Arial" w:eastAsia="Arial" w:hAnsi="Arial"/>
          <w:sz w:val="18"/>
          <w:szCs w:val="18"/>
          <w:b w:val="1"/>
          <w:bCs w:val="1"/>
          <w:color w:val="010000"/>
        </w:rPr>
        <w:t xml:space="preserve"> </w:t>
      </w:r>
      <w:r>
        <w:rPr>
          <w:rFonts w:ascii="Arial" w:cs="Arial" w:eastAsia="Arial" w:hAnsi="Arial"/>
          <w:sz w:val="18"/>
          <w:szCs w:val="18"/>
          <w:color w:val="000000"/>
        </w:rPr>
        <w:t>and</w:t>
      </w:r>
      <w:r>
        <w:rPr>
          <w:rFonts w:ascii="Arial" w:cs="Arial" w:eastAsia="Arial" w:hAnsi="Arial"/>
          <w:sz w:val="18"/>
          <w:szCs w:val="18"/>
          <w:b w:val="1"/>
          <w:bCs w:val="1"/>
          <w:color w:val="010000"/>
        </w:rPr>
        <w:t xml:space="preserve"> </w:t>
      </w:r>
      <w:r>
        <w:rPr>
          <w:rFonts w:ascii="Arial" w:cs="Arial" w:eastAsia="Arial" w:hAnsi="Arial"/>
          <w:sz w:val="18"/>
          <w:szCs w:val="18"/>
          <w:u w:val="single" w:color="auto"/>
          <w:color w:val="000000"/>
        </w:rPr>
        <w:t>Section 7.2</w:t>
      </w:r>
      <w:r>
        <w:rPr>
          <w:rFonts w:ascii="Arial" w:cs="Arial" w:eastAsia="Arial" w:hAnsi="Arial"/>
          <w:sz w:val="18"/>
          <w:szCs w:val="18"/>
          <w:b w:val="1"/>
          <w:bCs w:val="1"/>
          <w:color w:val="010000"/>
        </w:rPr>
        <w:t xml:space="preserve"> </w:t>
      </w:r>
      <w:r>
        <w:rPr>
          <w:rFonts w:ascii="Arial" w:cs="Arial" w:eastAsia="Arial" w:hAnsi="Arial"/>
          <w:sz w:val="18"/>
          <w:szCs w:val="18"/>
          <w:color w:val="000000"/>
        </w:rPr>
        <w:t>hereof, provided the Severed Employee elects to receive continued medical and/or dental</w:t>
      </w:r>
      <w:r>
        <w:rPr>
          <w:rFonts w:ascii="Arial" w:cs="Arial" w:eastAsia="Arial" w:hAnsi="Arial"/>
          <w:sz w:val="18"/>
          <w:szCs w:val="18"/>
          <w:b w:val="1"/>
          <w:bCs w:val="1"/>
          <w:color w:val="010000"/>
        </w:rPr>
        <w:t xml:space="preserve"> </w:t>
      </w:r>
      <w:r>
        <w:rPr>
          <w:rFonts w:ascii="Arial" w:cs="Arial" w:eastAsia="Arial" w:hAnsi="Arial"/>
          <w:sz w:val="18"/>
          <w:szCs w:val="18"/>
          <w:color w:val="000000"/>
        </w:rPr>
        <w:t>coverage under one or more of the Company’s group healthcare plans pursuant to the Consolidated Omnibus Budget Reconciliation Act of 1985, as amended (“</w:t>
      </w:r>
      <w:r>
        <w:rPr>
          <w:rFonts w:ascii="Arial" w:cs="Arial" w:eastAsia="Arial" w:hAnsi="Arial"/>
          <w:sz w:val="18"/>
          <w:szCs w:val="18"/>
          <w:u w:val="single" w:color="auto"/>
          <w:color w:val="000000"/>
        </w:rPr>
        <w:t>COBRA</w:t>
      </w:r>
      <w:r>
        <w:rPr>
          <w:rFonts w:ascii="Arial" w:cs="Arial" w:eastAsia="Arial" w:hAnsi="Arial"/>
          <w:sz w:val="18"/>
          <w:szCs w:val="18"/>
          <w:color w:val="000000"/>
        </w:rPr>
        <w:t>”), (x) the Company shall reimburse the Severed Employee monthly for an amount, at no greater after tax cost to the Severed Employee than the after tax cost to the Severed Employee as of immediately prior to the Severance Date (or, if more favorable to the Severed Employee, as of immediately prior to the first occurrence of an event or circumstance constituting Good Reason), equal to the monthly COBRA premiums for the Severed Employee and the Severed Employee’s covered dependents under such plans (the “</w:t>
      </w:r>
      <w:r>
        <w:rPr>
          <w:rFonts w:ascii="Arial" w:cs="Arial" w:eastAsia="Arial" w:hAnsi="Arial"/>
          <w:sz w:val="18"/>
          <w:szCs w:val="18"/>
          <w:u w:val="single" w:color="auto"/>
          <w:color w:val="000000"/>
        </w:rPr>
        <w:t>Benefit Reimbursement Payments</w:t>
      </w:r>
      <w:r>
        <w:rPr>
          <w:rFonts w:ascii="Arial" w:cs="Arial" w:eastAsia="Arial" w:hAnsi="Arial"/>
          <w:sz w:val="18"/>
          <w:szCs w:val="18"/>
          <w:color w:val="000000"/>
        </w:rPr>
        <w:t>”), and (y) the Company shall pay the Severed Employee an additional monthly amount equal to the Company’s cost as of immediately prior to the Severance Date (or, if more favorable to the Severed Employee, as of immediately prior to the first occurrence of an event or circumstance constituting Good Reason) of the Severed Employee’s coverage under the Company’s disability, accident and life insurance for the Severed Employee and the Severed Employee’s covered dependents (the “</w:t>
      </w:r>
      <w:r>
        <w:rPr>
          <w:rFonts w:ascii="Arial" w:cs="Arial" w:eastAsia="Arial" w:hAnsi="Arial"/>
          <w:sz w:val="18"/>
          <w:szCs w:val="18"/>
          <w:u w:val="single" w:color="auto"/>
          <w:color w:val="000000"/>
        </w:rPr>
        <w:t>Insurance Benefit Payments</w:t>
      </w:r>
      <w:r>
        <w:rPr>
          <w:rFonts w:ascii="Arial" w:cs="Arial" w:eastAsia="Arial" w:hAnsi="Arial"/>
          <w:sz w:val="18"/>
          <w:szCs w:val="18"/>
          <w:color w:val="000000"/>
        </w:rPr>
        <w:t>,” and together with the Benefit Reimbursement Payments, the “</w:t>
      </w:r>
      <w:r>
        <w:rPr>
          <w:rFonts w:ascii="Arial" w:cs="Arial" w:eastAsia="Arial" w:hAnsi="Arial"/>
          <w:sz w:val="18"/>
          <w:szCs w:val="18"/>
          <w:u w:val="single" w:color="auto"/>
          <w:color w:val="000000"/>
        </w:rPr>
        <w:t>Benefit Payments</w:t>
      </w:r>
      <w:r>
        <w:rPr>
          <w:rFonts w:ascii="Arial" w:cs="Arial" w:eastAsia="Arial" w:hAnsi="Arial"/>
          <w:sz w:val="18"/>
          <w:szCs w:val="18"/>
          <w:color w:val="000000"/>
        </w:rPr>
        <w:t>”), in each case of clause (x) and (y) during the period commencing on the Severance Date and ending upon the earlier of (A) the last day of the Severed Employee’s Severance Period, and (B) the date the Severed Employee becomes eligible to receive healthcare coverage or other insurance coverage, as applicable, from a subsequent employer (the “</w:t>
      </w:r>
      <w:r>
        <w:rPr>
          <w:rFonts w:ascii="Arial" w:cs="Arial" w:eastAsia="Arial" w:hAnsi="Arial"/>
          <w:sz w:val="18"/>
          <w:szCs w:val="18"/>
          <w:u w:val="single" w:color="auto"/>
          <w:color w:val="000000"/>
        </w:rPr>
        <w:t>Benefit Continuation Period</w:t>
      </w:r>
      <w:r>
        <w:rPr>
          <w:rFonts w:ascii="Arial" w:cs="Arial" w:eastAsia="Arial" w:hAnsi="Arial"/>
          <w:sz w:val="18"/>
          <w:szCs w:val="18"/>
          <w:color w:val="000000"/>
        </w:rPr>
        <w:t xml:space="preserve">”). The Severed Employee will promptly notify the Company in writing of such subsequent employment. The Benefit Payments shall be paid to the Severed Employee in equal installments on a monthly basis during the applicable Benefit Continuation Period no later than the date of each month that the COBRA premiums are due to the insurance carrier or COBRA administrator (as applicable). Notwithstanding the foregoing, if the Company’s provision of benefits under this </w:t>
      </w:r>
      <w:r>
        <w:rPr>
          <w:rFonts w:ascii="Arial" w:cs="Arial" w:eastAsia="Arial" w:hAnsi="Arial"/>
          <w:sz w:val="18"/>
          <w:szCs w:val="18"/>
          <w:u w:val="single" w:color="auto"/>
          <w:color w:val="000000"/>
        </w:rPr>
        <w:t>Section 2.2</w:t>
      </w:r>
      <w:r>
        <w:rPr>
          <w:rFonts w:ascii="Arial" w:cs="Arial" w:eastAsia="Arial" w:hAnsi="Arial"/>
          <w:sz w:val="18"/>
          <w:szCs w:val="18"/>
          <w:color w:val="000000"/>
        </w:rPr>
        <w:t xml:space="preserve"> would violate the nondiscrimination rules under applicable law, or result in the imposition of penalties under applicable law, the Company shall reform this </w:t>
      </w:r>
      <w:r>
        <w:rPr>
          <w:rFonts w:ascii="Arial" w:cs="Arial" w:eastAsia="Arial" w:hAnsi="Arial"/>
          <w:sz w:val="18"/>
          <w:szCs w:val="18"/>
          <w:u w:val="single" w:color="auto"/>
          <w:color w:val="000000"/>
        </w:rPr>
        <w:t>Section 2.2</w:t>
      </w:r>
      <w:r>
        <w:rPr>
          <w:rFonts w:ascii="Arial" w:cs="Arial" w:eastAsia="Arial" w:hAnsi="Arial"/>
          <w:sz w:val="18"/>
          <w:szCs w:val="18"/>
          <w:color w:val="000000"/>
        </w:rPr>
        <w:t xml:space="preserve"> in a manner as is necessary to comply with applicable law, without reduction in the value of benefits.</w:t>
      </w:r>
    </w:p>
    <w:p>
      <w:pPr>
        <w:spacing w:after="0" w:line="15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b w:val="1"/>
          <w:bCs w:val="1"/>
          <w:color w:val="010000"/>
        </w:rPr>
        <w:t>2.3</w:t>
      </w:r>
      <w:r>
        <w:rPr>
          <w:sz w:val="20"/>
          <w:szCs w:val="20"/>
          <w:color w:val="auto"/>
        </w:rPr>
        <w:tab/>
      </w:r>
      <w:r>
        <w:rPr>
          <w:rFonts w:ascii="Arial" w:cs="Arial" w:eastAsia="Arial" w:hAnsi="Arial"/>
          <w:sz w:val="18"/>
          <w:szCs w:val="18"/>
          <w:color w:val="auto"/>
        </w:rPr>
        <w:t>LTIP Award Payments.</w:t>
      </w:r>
    </w:p>
    <w:p>
      <w:pPr>
        <w:spacing w:after="0" w:line="212" w:lineRule="exact"/>
        <w:rPr>
          <w:sz w:val="20"/>
          <w:szCs w:val="20"/>
          <w:color w:val="auto"/>
        </w:rPr>
      </w:pPr>
    </w:p>
    <w:p>
      <w:pPr>
        <w:ind w:right="120" w:firstLine="1194"/>
        <w:spacing w:after="0" w:line="280" w:lineRule="auto"/>
        <w:tabs>
          <w:tab w:leader="none" w:pos="1614" w:val="left"/>
        </w:tabs>
        <w:numPr>
          <w:ilvl w:val="0"/>
          <w:numId w:val="217"/>
        </w:numPr>
        <w:rPr>
          <w:rFonts w:ascii="Arial" w:cs="Arial" w:eastAsia="Arial" w:hAnsi="Arial"/>
          <w:sz w:val="18"/>
          <w:szCs w:val="18"/>
          <w:color w:val="010000"/>
        </w:rPr>
      </w:pPr>
      <w:r>
        <w:rPr>
          <w:rFonts w:ascii="Arial" w:cs="Arial" w:eastAsia="Arial" w:hAnsi="Arial"/>
          <w:sz w:val="18"/>
          <w:szCs w:val="18"/>
          <w:color w:val="auto"/>
        </w:rPr>
        <w:t xml:space="preserve">In the event of a Qualifying CIC Termination,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w:t>
      </w:r>
      <w:r>
        <w:rPr>
          <w:rFonts w:ascii="Arial" w:cs="Arial" w:eastAsia="Arial" w:hAnsi="Arial"/>
          <w:sz w:val="18"/>
          <w:szCs w:val="18"/>
          <w:color w:val="auto"/>
        </w:rPr>
        <w:t>, any awards granted to a CIC Severed Employee under the Company’s Long Term Incentive Plan (“</w:t>
      </w:r>
      <w:r>
        <w:rPr>
          <w:rFonts w:ascii="Arial" w:cs="Arial" w:eastAsia="Arial" w:hAnsi="Arial"/>
          <w:sz w:val="18"/>
          <w:szCs w:val="18"/>
          <w:u w:val="single" w:color="auto"/>
          <w:color w:val="auto"/>
        </w:rPr>
        <w:t>LTIP</w:t>
      </w:r>
      <w:r>
        <w:rPr>
          <w:rFonts w:ascii="Arial" w:cs="Arial" w:eastAsia="Arial" w:hAnsi="Arial"/>
          <w:sz w:val="18"/>
          <w:szCs w:val="18"/>
          <w:color w:val="auto"/>
        </w:rPr>
        <w:t>”) shall be deemed to be immediately vested and payable to the CIC Severed Employee, notwithstanding any provision of the LTIP to the contrary (such vested and payable LTIP Award amount, the “</w:t>
      </w:r>
      <w:r>
        <w:rPr>
          <w:rFonts w:ascii="Arial" w:cs="Arial" w:eastAsia="Arial" w:hAnsi="Arial"/>
          <w:sz w:val="18"/>
          <w:szCs w:val="18"/>
          <w:u w:val="single" w:color="auto"/>
          <w:color w:val="auto"/>
        </w:rPr>
        <w:t>CIC</w:t>
      </w:r>
      <w:r>
        <w:rPr>
          <w:rFonts w:ascii="Arial" w:cs="Arial" w:eastAsia="Arial" w:hAnsi="Arial"/>
          <w:sz w:val="18"/>
          <w:szCs w:val="18"/>
          <w:color w:val="auto"/>
        </w:rPr>
        <w:t xml:space="preserve"> </w:t>
      </w:r>
      <w:r>
        <w:rPr>
          <w:rFonts w:ascii="Arial" w:cs="Arial" w:eastAsia="Arial" w:hAnsi="Arial"/>
          <w:sz w:val="18"/>
          <w:szCs w:val="18"/>
          <w:u w:val="single" w:color="auto"/>
          <w:color w:val="auto"/>
        </w:rPr>
        <w:t>LTIP Amount</w:t>
      </w:r>
      <w:r>
        <w:rPr>
          <w:rFonts w:ascii="Arial" w:cs="Arial" w:eastAsia="Arial" w:hAnsi="Arial"/>
          <w:sz w:val="18"/>
          <w:szCs w:val="18"/>
          <w:color w:val="auto"/>
        </w:rPr>
        <w:t xml:space="preserve">”). Any payments under this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shall be paid at the same time as the Severance Pay, subject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and the final sentence of this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Notwithstanding any provisions of this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to the contrary, if prior to a Change in Control, a CIC Severed Employee has a legally binding right within the meaning of Section 409A to a Pro-rated Award Payment under the LTIP, the portion of the CIC LTIP Amount equal to the Pro-rated Award Payment shall, to the extent necessary to comply with Section 409A, be paid at such time or times as set forth in the LTIP; provided, that, in no event shall the aggregate amount paid to such CIC Severed Employee under the LTIP and this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be less than the amount payable in respect of the LTIP awards under this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21" w:right="339" w:bottom="1440" w:gutter="0" w:footer="0" w:header="0"/>
        </w:sectPr>
      </w:pPr>
    </w:p>
    <w:bookmarkStart w:id="337" w:name="page338"/>
    <w:bookmarkEnd w:id="337"/>
    <w:p>
      <w:pPr>
        <w:ind w:right="60" w:firstLine="1194"/>
        <w:spacing w:after="0" w:line="258" w:lineRule="auto"/>
        <w:tabs>
          <w:tab w:leader="none" w:pos="1626" w:val="left"/>
        </w:tabs>
        <w:numPr>
          <w:ilvl w:val="0"/>
          <w:numId w:val="218"/>
        </w:numPr>
        <w:rPr>
          <w:rFonts w:ascii="Arial" w:cs="Arial" w:eastAsia="Arial" w:hAnsi="Arial"/>
          <w:sz w:val="20"/>
          <w:szCs w:val="20"/>
          <w:color w:val="010000"/>
        </w:rPr>
      </w:pPr>
      <w:r>
        <w:rPr>
          <w:rFonts w:ascii="Arial" w:cs="Arial" w:eastAsia="Arial" w:hAnsi="Arial"/>
          <w:sz w:val="20"/>
          <w:szCs w:val="20"/>
          <w:color w:val="auto"/>
        </w:rPr>
        <w:t xml:space="preserve">In the event of a Qualifying Non-CIC Termination, subject to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7.2</w:t>
      </w:r>
      <w:r>
        <w:rPr>
          <w:rFonts w:ascii="Arial" w:cs="Arial" w:eastAsia="Arial" w:hAnsi="Arial"/>
          <w:sz w:val="20"/>
          <w:szCs w:val="20"/>
          <w:color w:val="auto"/>
        </w:rPr>
        <w:t>, any awards granted to a Non-CIC Severed Employee under the LTIP shall be deemed to be treated in accordance with Section 8 of the LTIP (such amounts payable, the “</w:t>
      </w:r>
      <w:r>
        <w:rPr>
          <w:rFonts w:ascii="Arial" w:cs="Arial" w:eastAsia="Arial" w:hAnsi="Arial"/>
          <w:sz w:val="20"/>
          <w:szCs w:val="20"/>
          <w:u w:val="single" w:color="auto"/>
          <w:color w:val="auto"/>
        </w:rPr>
        <w:t>LTIP Amount</w:t>
      </w:r>
      <w:r>
        <w:rPr>
          <w:rFonts w:ascii="Arial" w:cs="Arial" w:eastAsia="Arial" w:hAnsi="Arial"/>
          <w:sz w:val="20"/>
          <w:szCs w:val="20"/>
          <w:color w:val="auto"/>
        </w:rPr>
        <w:t>”).</w:t>
      </w:r>
    </w:p>
    <w:p>
      <w:pPr>
        <w:spacing w:after="0" w:line="161" w:lineRule="exact"/>
        <w:rPr>
          <w:sz w:val="20"/>
          <w:szCs w:val="20"/>
          <w:color w:val="auto"/>
        </w:rPr>
      </w:pPr>
    </w:p>
    <w:p>
      <w:pPr>
        <w:jc w:val="both"/>
        <w:ind w:right="500" w:firstLine="597"/>
        <w:spacing w:after="0" w:line="262" w:lineRule="auto"/>
        <w:rPr>
          <w:sz w:val="20"/>
          <w:szCs w:val="20"/>
          <w:color w:val="auto"/>
        </w:rPr>
      </w:pPr>
      <w:r>
        <w:rPr>
          <w:rFonts w:ascii="Arial" w:cs="Arial" w:eastAsia="Arial" w:hAnsi="Arial"/>
          <w:sz w:val="20"/>
          <w:szCs w:val="20"/>
          <w:b w:val="1"/>
          <w:bCs w:val="1"/>
          <w:color w:val="010000"/>
        </w:rPr>
        <w:t xml:space="preserve">2.4 </w:t>
      </w:r>
      <w:r>
        <w:rPr>
          <w:rFonts w:ascii="Arial" w:cs="Arial" w:eastAsia="Arial" w:hAnsi="Arial"/>
          <w:sz w:val="20"/>
          <w:szCs w:val="20"/>
          <w:color w:val="000000"/>
        </w:rPr>
        <w:t>Any outstanding awards granted to a Severed Employee under the Company’s 2021 Omnibus Equity Compensation Plan</w:t>
      </w:r>
      <w:r>
        <w:rPr>
          <w:rFonts w:ascii="Arial" w:cs="Arial" w:eastAsia="Arial" w:hAnsi="Arial"/>
          <w:sz w:val="20"/>
          <w:szCs w:val="20"/>
          <w:b w:val="1"/>
          <w:bCs w:val="1"/>
          <w:color w:val="010000"/>
        </w:rPr>
        <w:t xml:space="preserve"> </w:t>
      </w:r>
      <w:r>
        <w:rPr>
          <w:rFonts w:ascii="Arial" w:cs="Arial" w:eastAsia="Arial" w:hAnsi="Arial"/>
          <w:sz w:val="20"/>
          <w:szCs w:val="20"/>
          <w:color w:val="000000"/>
        </w:rPr>
        <w:t>(“</w:t>
      </w:r>
      <w:r>
        <w:rPr>
          <w:rFonts w:ascii="Arial" w:cs="Arial" w:eastAsia="Arial" w:hAnsi="Arial"/>
          <w:sz w:val="20"/>
          <w:szCs w:val="20"/>
          <w:u w:val="single" w:color="auto"/>
          <w:color w:val="000000"/>
        </w:rPr>
        <w:t>Omnibus Plan</w:t>
      </w:r>
      <w:r>
        <w:rPr>
          <w:rFonts w:ascii="Arial" w:cs="Arial" w:eastAsia="Arial" w:hAnsi="Arial"/>
          <w:sz w:val="20"/>
          <w:szCs w:val="20"/>
          <w:color w:val="000000"/>
        </w:rPr>
        <w:t>”) shall be treated in accordance with the terms of the Omnibus Plan (or any successor plan) and the award agreements thereunder.</w:t>
      </w:r>
    </w:p>
    <w:p>
      <w:pPr>
        <w:spacing w:after="0" w:line="155" w:lineRule="exact"/>
        <w:rPr>
          <w:sz w:val="20"/>
          <w:szCs w:val="20"/>
          <w:color w:val="auto"/>
        </w:rPr>
      </w:pPr>
    </w:p>
    <w:p>
      <w:pPr>
        <w:ind w:firstLine="597"/>
        <w:spacing w:after="0" w:line="277" w:lineRule="auto"/>
        <w:rPr>
          <w:sz w:val="20"/>
          <w:szCs w:val="20"/>
          <w:color w:val="auto"/>
        </w:rPr>
      </w:pPr>
      <w:r>
        <w:rPr>
          <w:rFonts w:ascii="Arial" w:cs="Arial" w:eastAsia="Arial" w:hAnsi="Arial"/>
          <w:sz w:val="18"/>
          <w:szCs w:val="18"/>
          <w:b w:val="1"/>
          <w:bCs w:val="1"/>
          <w:color w:val="010000"/>
        </w:rPr>
        <w:t xml:space="preserve">2.5 </w:t>
      </w:r>
      <w:r>
        <w:rPr>
          <w:rFonts w:ascii="Arial" w:cs="Arial" w:eastAsia="Arial" w:hAnsi="Arial"/>
          <w:sz w:val="18"/>
          <w:szCs w:val="18"/>
          <w:color w:val="000000"/>
        </w:rPr>
        <w:t>In the event of a claim by a Severed Employee as to the amount or timing of any payment or benefit, such Severed Employee</w:t>
      </w:r>
      <w:r>
        <w:rPr>
          <w:rFonts w:ascii="Arial" w:cs="Arial" w:eastAsia="Arial" w:hAnsi="Arial"/>
          <w:sz w:val="18"/>
          <w:szCs w:val="18"/>
          <w:b w:val="1"/>
          <w:bCs w:val="1"/>
          <w:color w:val="010000"/>
        </w:rPr>
        <w:t xml:space="preserve"> </w:t>
      </w:r>
      <w:r>
        <w:rPr>
          <w:rFonts w:ascii="Arial" w:cs="Arial" w:eastAsia="Arial" w:hAnsi="Arial"/>
          <w:sz w:val="18"/>
          <w:szCs w:val="18"/>
          <w:color w:val="000000"/>
        </w:rPr>
        <w:t>shall present the reason for his or her claim in writing to the Plan Administrator. The Plan Administrator shall, within sixty (60) days after receipt of such written claim, send a written notification to the Severed Employee as to its disposition. In the event the claim is wholly or partially denied, such written notification shall (i) state the specific reason or reasons for the denial, (ii) make specific reference to pertinent Plan provisions on which the denial is based, (iii) provide a description of any additional material or information necessary for the Severed Employee to perfect the claim and an explanation of why such material or information is necessary, and (iv) set forth the procedure by which the Severed Employee may appeal the denial of the claim. In the event a Severed Employee wishes to appeal the denial of his or her claim, the Eligible Employee may request a review of such denial by making application in writing to the Plan Administrator within sixty (60) days after receipt of the initial denial. Such Severed Employee (or his or her duly authorized legal representative) may, upon written request to the Plan Administrator, (a) review any documents pertinent to his claim, (b) review any Plan documents relevant to his claim and (c) submit in writing issues and comments in support of his position. Within sixty (60) days after receipt of a written appeal (unless special circumstances, such as the need to hold a hearing, require an extension of time, but in no event more than one hundred twenty (120) days after such receipt and provided that the Plan Administrator notifies the claimant of the delay), the Plan Administrator shall provide a written ruling to the Severed Employee of the final decision. The final decision shall be in writing and shall include specific reasons for the decision, written in a manner calculated to be understood by the claimant, and specific references to the pertinent Plan provisions on which the decision is based. If the Plan Administrator does not provide the Severed Employee with written notice within sixty (60) days after receipt of the request for review, the Severed Employee’s claim will be deemed denied.</w:t>
      </w:r>
    </w:p>
    <w:p>
      <w:pPr>
        <w:spacing w:after="0" w:line="157" w:lineRule="exact"/>
        <w:rPr>
          <w:sz w:val="20"/>
          <w:szCs w:val="20"/>
          <w:color w:val="auto"/>
        </w:rPr>
      </w:pPr>
    </w:p>
    <w:p>
      <w:pPr>
        <w:ind w:right="100" w:firstLine="597"/>
        <w:spacing w:after="0" w:line="239" w:lineRule="auto"/>
        <w:rPr>
          <w:sz w:val="20"/>
          <w:szCs w:val="20"/>
          <w:color w:val="auto"/>
        </w:rPr>
      </w:pPr>
      <w:r>
        <w:rPr>
          <w:rFonts w:ascii="Arial" w:cs="Arial" w:eastAsia="Arial" w:hAnsi="Arial"/>
          <w:sz w:val="20"/>
          <w:szCs w:val="20"/>
          <w:b w:val="1"/>
          <w:bCs w:val="1"/>
          <w:color w:val="010000"/>
        </w:rPr>
        <w:t xml:space="preserve">2.6 </w:t>
      </w:r>
      <w:r>
        <w:rPr>
          <w:rFonts w:ascii="Arial" w:cs="Arial" w:eastAsia="Arial" w:hAnsi="Arial"/>
          <w:sz w:val="20"/>
          <w:szCs w:val="20"/>
          <w:color w:val="000000"/>
        </w:rPr>
        <w:t>Regardless of whether employment terminates due to a Qualifying CIC Termination or a Qualifying Non-CIC Termination, no</w:t>
      </w:r>
      <w:r>
        <w:rPr>
          <w:rFonts w:ascii="Arial" w:cs="Arial" w:eastAsia="Arial" w:hAnsi="Arial"/>
          <w:sz w:val="20"/>
          <w:szCs w:val="20"/>
          <w:b w:val="1"/>
          <w:bCs w:val="1"/>
          <w:color w:val="010000"/>
        </w:rPr>
        <w:t xml:space="preserve"> </w:t>
      </w:r>
      <w:r>
        <w:rPr>
          <w:rFonts w:ascii="Arial" w:cs="Arial" w:eastAsia="Arial" w:hAnsi="Arial"/>
          <w:sz w:val="20"/>
          <w:szCs w:val="20"/>
          <w:color w:val="000000"/>
        </w:rPr>
        <w:t>Severed Employee shall be eligible to receive Severance Pay or other benefits under the Plan unless he or she (i) first executes a written release (a “</w:t>
      </w:r>
      <w:r>
        <w:rPr>
          <w:rFonts w:ascii="Arial" w:cs="Arial" w:eastAsia="Arial" w:hAnsi="Arial"/>
          <w:sz w:val="20"/>
          <w:szCs w:val="20"/>
          <w:u w:val="single" w:color="auto"/>
          <w:color w:val="000000"/>
        </w:rPr>
        <w:t>Release</w:t>
      </w:r>
      <w:r>
        <w:rPr>
          <w:rFonts w:ascii="Arial" w:cs="Arial" w:eastAsia="Arial" w:hAnsi="Arial"/>
          <w:sz w:val="20"/>
          <w:szCs w:val="20"/>
          <w:color w:val="000000"/>
        </w:rPr>
        <w:t>”) following such Severed Employee’s Severance Date and such Release becomes effective and has not been revoked by the Severed Employee by the seventy-second (72</w:t>
      </w:r>
      <w:r>
        <w:rPr>
          <w:rFonts w:ascii="Arial" w:cs="Arial" w:eastAsia="Arial" w:hAnsi="Arial"/>
          <w:sz w:val="25"/>
          <w:szCs w:val="25"/>
          <w:color w:val="000000"/>
          <w:vertAlign w:val="superscript"/>
        </w:rPr>
        <w:t>nd</w:t>
      </w:r>
      <w:r>
        <w:rPr>
          <w:rFonts w:ascii="Arial" w:cs="Arial" w:eastAsia="Arial" w:hAnsi="Arial"/>
          <w:sz w:val="20"/>
          <w:szCs w:val="20"/>
          <w:color w:val="000000"/>
        </w:rPr>
        <w:t xml:space="preserve">) day following the Severance Date (the “Release Effective Date”) and (ii) complies with the Restrictive Covenants set forth in </w:t>
      </w:r>
      <w:r>
        <w:rPr>
          <w:rFonts w:ascii="Arial" w:cs="Arial" w:eastAsia="Arial" w:hAnsi="Arial"/>
          <w:sz w:val="20"/>
          <w:szCs w:val="20"/>
          <w:u w:val="single" w:color="auto"/>
          <w:color w:val="000000"/>
        </w:rPr>
        <w:t>Section 5</w:t>
      </w:r>
      <w:r>
        <w:rPr>
          <w:rFonts w:ascii="Arial" w:cs="Arial" w:eastAsia="Arial" w:hAnsi="Arial"/>
          <w:sz w:val="20"/>
          <w:szCs w:val="20"/>
          <w:color w:val="000000"/>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327" w:right="339" w:bottom="1440" w:gutter="0" w:footer="0" w:header="0"/>
        </w:sectPr>
      </w:pPr>
    </w:p>
    <w:bookmarkStart w:id="338" w:name="page339"/>
    <w:bookmarkEnd w:id="338"/>
    <w:p>
      <w:pPr>
        <w:ind w:right="260" w:firstLine="597"/>
        <w:spacing w:after="0" w:line="277" w:lineRule="auto"/>
        <w:rPr>
          <w:sz w:val="20"/>
          <w:szCs w:val="20"/>
          <w:color w:val="auto"/>
        </w:rPr>
      </w:pPr>
      <w:r>
        <w:rPr>
          <w:rFonts w:ascii="Arial" w:cs="Arial" w:eastAsia="Arial" w:hAnsi="Arial"/>
          <w:sz w:val="20"/>
          <w:szCs w:val="20"/>
          <w:b w:val="1"/>
          <w:bCs w:val="1"/>
          <w:color w:val="010000"/>
        </w:rPr>
        <w:t xml:space="preserve">2.7 </w:t>
      </w:r>
      <w:r>
        <w:rPr>
          <w:rFonts w:ascii="Arial" w:cs="Arial" w:eastAsia="Arial" w:hAnsi="Arial"/>
          <w:sz w:val="20"/>
          <w:szCs w:val="20"/>
          <w:color w:val="000000"/>
        </w:rPr>
        <w:t>The Company shall be entitled to withhold from amounts to be paid to the Severed Employee hereunder any federal, state or</w:t>
      </w:r>
      <w:r>
        <w:rPr>
          <w:rFonts w:ascii="Arial" w:cs="Arial" w:eastAsia="Arial" w:hAnsi="Arial"/>
          <w:sz w:val="20"/>
          <w:szCs w:val="20"/>
          <w:b w:val="1"/>
          <w:bCs w:val="1"/>
          <w:color w:val="010000"/>
        </w:rPr>
        <w:t xml:space="preserve"> </w:t>
      </w:r>
      <w:r>
        <w:rPr>
          <w:rFonts w:ascii="Arial" w:cs="Arial" w:eastAsia="Arial" w:hAnsi="Arial"/>
          <w:sz w:val="20"/>
          <w:szCs w:val="20"/>
          <w:color w:val="000000"/>
        </w:rPr>
        <w:t>local withholding or other taxes which it is from time to time required by law to withhold.</w:t>
      </w:r>
    </w:p>
    <w:p>
      <w:pPr>
        <w:spacing w:after="0" w:line="141" w:lineRule="exact"/>
        <w:rPr>
          <w:sz w:val="20"/>
          <w:szCs w:val="20"/>
          <w:color w:val="auto"/>
        </w:rPr>
      </w:pPr>
    </w:p>
    <w:p>
      <w:pPr>
        <w:ind w:firstLine="597"/>
        <w:spacing w:after="0" w:line="282" w:lineRule="auto"/>
        <w:rPr>
          <w:sz w:val="20"/>
          <w:szCs w:val="20"/>
          <w:color w:val="auto"/>
        </w:rPr>
      </w:pPr>
      <w:r>
        <w:rPr>
          <w:rFonts w:ascii="Arial" w:cs="Arial" w:eastAsia="Arial" w:hAnsi="Arial"/>
          <w:sz w:val="18"/>
          <w:szCs w:val="18"/>
          <w:b w:val="1"/>
          <w:bCs w:val="1"/>
          <w:color w:val="010000"/>
        </w:rPr>
        <w:t xml:space="preserve">2.8 </w:t>
      </w:r>
      <w:r>
        <w:rPr>
          <w:rFonts w:ascii="Arial" w:cs="Arial" w:eastAsia="Arial" w:hAnsi="Arial"/>
          <w:sz w:val="18"/>
          <w:szCs w:val="18"/>
          <w:color w:val="000000"/>
        </w:rPr>
        <w:t>The Plan is intended to comply with the requirements of Section 409A. For purposes of Section 409A, each payment made</w:t>
      </w:r>
      <w:r>
        <w:rPr>
          <w:rFonts w:ascii="Arial" w:cs="Arial" w:eastAsia="Arial" w:hAnsi="Arial"/>
          <w:sz w:val="18"/>
          <w:szCs w:val="18"/>
          <w:b w:val="1"/>
          <w:bCs w:val="1"/>
          <w:color w:val="010000"/>
        </w:rPr>
        <w:t xml:space="preserve"> </w:t>
      </w:r>
      <w:r>
        <w:rPr>
          <w:rFonts w:ascii="Arial" w:cs="Arial" w:eastAsia="Arial" w:hAnsi="Arial"/>
          <w:sz w:val="18"/>
          <w:szCs w:val="18"/>
          <w:color w:val="000000"/>
        </w:rPr>
        <w:t>under the Plan will be treated as a separate payment. In no event may the Severed Employee, directly or indirectly, designate the calendar year of payment. Notwithstanding any provision of the Plan to the contrary, if necessary to comply with the restriction in Section 409A(a)(2)</w:t>
      </w:r>
    </w:p>
    <w:p>
      <w:pPr>
        <w:spacing w:after="0" w:line="2" w:lineRule="exact"/>
        <w:rPr>
          <w:sz w:val="20"/>
          <w:szCs w:val="20"/>
          <w:color w:val="auto"/>
        </w:rPr>
      </w:pPr>
    </w:p>
    <w:p>
      <w:pPr>
        <w:ind w:right="20"/>
        <w:spacing w:after="0" w:line="278" w:lineRule="auto"/>
        <w:tabs>
          <w:tab w:leader="none" w:pos="31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of the Code concerning payments to Specified Employees, any payment on account of such Severed Employee’s separation from service that would otherwise be due hereunder within six months after such separation will nonetheless be delayed until the first business day of the seventh month following Severed Employee’s Severance Date and the first such payment will include the cumulative amount of any payments that would have been paid prior to such date if not for such restriction, together with interest on such cumulative amount during the period of such restriction at a rate, per annum, equal to the applicable federal short-term rate (compounded monthly) in effect under Section 1274(d) of the Code on the Severance Date. Notwithstanding anything contained herein to the contrary, the Severed Employee will not be considered to have terminated employment with the Company 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unless he would be considered to have incurred a “separation from service” from the Company within the meaning of Section 409A. Any tax liability incurred by a Severed Employee under Section 409A of the Code will be solely the responsibility of the Severed Employee.</w:t>
      </w:r>
    </w:p>
    <w:p>
      <w:pPr>
        <w:spacing w:after="0" w:line="147" w:lineRule="exact"/>
        <w:rPr>
          <w:sz w:val="20"/>
          <w:szCs w:val="20"/>
          <w:color w:val="auto"/>
        </w:rPr>
      </w:pPr>
    </w:p>
    <w:p>
      <w:pPr>
        <w:ind w:left="600" w:hanging="600"/>
        <w:spacing w:after="0"/>
        <w:tabs>
          <w:tab w:leader="none" w:pos="600" w:val="left"/>
        </w:tabs>
        <w:numPr>
          <w:ilvl w:val="0"/>
          <w:numId w:val="220"/>
        </w:numPr>
        <w:rPr>
          <w:rFonts w:ascii="Arial" w:cs="Arial" w:eastAsia="Arial" w:hAnsi="Arial"/>
          <w:sz w:val="20"/>
          <w:szCs w:val="20"/>
          <w:b w:val="1"/>
          <w:bCs w:val="1"/>
          <w:color w:val="auto"/>
        </w:rPr>
      </w:pPr>
      <w:r>
        <w:rPr>
          <w:rFonts w:ascii="Arial" w:cs="Arial" w:eastAsia="Arial" w:hAnsi="Arial"/>
          <w:sz w:val="20"/>
          <w:szCs w:val="20"/>
          <w:b w:val="1"/>
          <w:bCs w:val="1"/>
          <w:color w:val="auto"/>
        </w:rPr>
        <w:t>EXCISE TAXES.</w:t>
      </w:r>
    </w:p>
    <w:p>
      <w:pPr>
        <w:spacing w:after="0" w:line="206" w:lineRule="exact"/>
        <w:rPr>
          <w:sz w:val="20"/>
          <w:szCs w:val="20"/>
          <w:color w:val="auto"/>
        </w:rPr>
      </w:pPr>
    </w:p>
    <w:p>
      <w:pPr>
        <w:ind w:right="20" w:firstLine="597"/>
        <w:spacing w:after="0" w:line="280" w:lineRule="auto"/>
        <w:rPr>
          <w:sz w:val="20"/>
          <w:szCs w:val="20"/>
          <w:color w:val="auto"/>
        </w:rPr>
      </w:pPr>
      <w:r>
        <w:rPr>
          <w:rFonts w:ascii="Arial" w:cs="Arial" w:eastAsia="Arial" w:hAnsi="Arial"/>
          <w:sz w:val="18"/>
          <w:szCs w:val="18"/>
          <w:b w:val="1"/>
          <w:bCs w:val="1"/>
          <w:color w:val="010000"/>
        </w:rPr>
        <w:t xml:space="preserve">3.1 </w:t>
      </w:r>
      <w:r>
        <w:rPr>
          <w:rFonts w:ascii="Arial" w:cs="Arial" w:eastAsia="Arial" w:hAnsi="Arial"/>
          <w:sz w:val="18"/>
          <w:szCs w:val="18"/>
          <w:color w:val="000000"/>
        </w:rPr>
        <w:t>Notwithstanding any other provision of the Plan, in the event that any portion or all of the Total Payments received or to be</w:t>
      </w:r>
      <w:r>
        <w:rPr>
          <w:rFonts w:ascii="Arial" w:cs="Arial" w:eastAsia="Arial" w:hAnsi="Arial"/>
          <w:sz w:val="18"/>
          <w:szCs w:val="18"/>
          <w:b w:val="1"/>
          <w:bCs w:val="1"/>
          <w:color w:val="010000"/>
        </w:rPr>
        <w:t xml:space="preserve"> </w:t>
      </w:r>
      <w:r>
        <w:rPr>
          <w:rFonts w:ascii="Arial" w:cs="Arial" w:eastAsia="Arial" w:hAnsi="Arial"/>
          <w:sz w:val="18"/>
          <w:szCs w:val="18"/>
          <w:color w:val="000000"/>
        </w:rPr>
        <w:t>received by a Severed Employee would be subject (in whole or part), to the Excise Tax, then, after taking into account any reduction in the Total Payments provided in such other plan, arrangement or agreement due to the applicability of section 280G of the Code, the Severance Pay shall first be reduced, and the other benefits under the Plan shall thereafter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Severed Employee would be subject in respect of such unreduced Total Payments and after taking into account the phase out of itemized deductions and personal exemptions attributable to such unreduced Total Payments).</w:t>
      </w:r>
    </w:p>
    <w:p>
      <w:pPr>
        <w:spacing w:after="0" w:line="149" w:lineRule="exact"/>
        <w:rPr>
          <w:sz w:val="20"/>
          <w:szCs w:val="20"/>
          <w:color w:val="auto"/>
        </w:rPr>
      </w:pPr>
    </w:p>
    <w:p>
      <w:pPr>
        <w:ind w:right="220" w:firstLine="597"/>
        <w:spacing w:after="0" w:line="282" w:lineRule="auto"/>
        <w:rPr>
          <w:sz w:val="20"/>
          <w:szCs w:val="20"/>
          <w:color w:val="auto"/>
        </w:rPr>
      </w:pPr>
      <w:r>
        <w:rPr>
          <w:rFonts w:ascii="Arial" w:cs="Arial" w:eastAsia="Arial" w:hAnsi="Arial"/>
          <w:sz w:val="19"/>
          <w:szCs w:val="19"/>
          <w:b w:val="1"/>
          <w:bCs w:val="1"/>
          <w:color w:val="010000"/>
        </w:rPr>
        <w:t xml:space="preserve">3.2 </w:t>
      </w:r>
      <w:r>
        <w:rPr>
          <w:rFonts w:ascii="Arial" w:cs="Arial" w:eastAsia="Arial" w:hAnsi="Arial"/>
          <w:sz w:val="19"/>
          <w:szCs w:val="19"/>
          <w:color w:val="000000"/>
        </w:rPr>
        <w:t>For purposes of determining whether and the extent to which the Total Payments will be subject to the Excise Tax, (i) ) no</w:t>
      </w:r>
      <w:r>
        <w:rPr>
          <w:rFonts w:ascii="Arial" w:cs="Arial" w:eastAsia="Arial" w:hAnsi="Arial"/>
          <w:sz w:val="19"/>
          <w:szCs w:val="19"/>
          <w:b w:val="1"/>
          <w:bCs w:val="1"/>
          <w:color w:val="010000"/>
        </w:rPr>
        <w:t xml:space="preserve"> </w:t>
      </w:r>
      <w:r>
        <w:rPr>
          <w:rFonts w:ascii="Arial" w:cs="Arial" w:eastAsia="Arial" w:hAnsi="Arial"/>
          <w:sz w:val="19"/>
          <w:szCs w:val="19"/>
          <w:color w:val="000000"/>
        </w:rPr>
        <w:t>portion of the Total Payments shall be taken into account which, in the opinion of Tax Counsel, does not constitute a “parachute payment” within the meaning of section 280G(b)(2) of the Code (including by reason of section 280G(b)(4)(A)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0"/>
          </w:cols>
          <w:pgMar w:left="320" w:top="1321" w:right="359" w:bottom="1440" w:gutter="0" w:footer="0" w:header="0"/>
        </w:sectPr>
      </w:pPr>
    </w:p>
    <w:bookmarkStart w:id="339" w:name="page340"/>
    <w:bookmarkEnd w:id="339"/>
    <w:p>
      <w:pPr>
        <w:ind w:right="180"/>
        <w:spacing w:after="0" w:line="252" w:lineRule="auto"/>
        <w:rPr>
          <w:sz w:val="20"/>
          <w:szCs w:val="20"/>
          <w:color w:val="auto"/>
        </w:rPr>
      </w:pPr>
      <w:r>
        <w:rPr>
          <w:rFonts w:ascii="Arial" w:cs="Arial" w:eastAsia="Arial" w:hAnsi="Arial"/>
          <w:sz w:val="20"/>
          <w:szCs w:val="20"/>
          <w:color w:val="auto"/>
        </w:rPr>
        <w:t>the Code) and, in calculating the Excise Tax, no portion of such Total Payments shall be taken into account which, in the opinion of Tax Counsel, constitutes reasonable compensation for services actually rendered, within the meaning of section 280G(b)(4)(B) of the Code, in excess of the Base Amount (as defined in section 280G(b)(3) of the Code) allocable to such reasonable compensation, and (ii) the value of any non-cash benefit or any deferred payment or benefit included in the Total Payments shall be determined by the Auditor in accordance with the principles of sections 280G(d)(3) and (4) of the Code.</w:t>
      </w:r>
    </w:p>
    <w:p>
      <w:pPr>
        <w:spacing w:after="0" w:line="168" w:lineRule="exact"/>
        <w:rPr>
          <w:sz w:val="20"/>
          <w:szCs w:val="20"/>
          <w:color w:val="auto"/>
        </w:rPr>
      </w:pPr>
    </w:p>
    <w:p>
      <w:pPr>
        <w:ind w:left="600" w:hanging="600"/>
        <w:spacing w:after="0"/>
        <w:tabs>
          <w:tab w:leader="none" w:pos="600" w:val="left"/>
        </w:tabs>
        <w:numPr>
          <w:ilvl w:val="0"/>
          <w:numId w:val="221"/>
        </w:numPr>
        <w:rPr>
          <w:rFonts w:ascii="Arial" w:cs="Arial" w:eastAsia="Arial" w:hAnsi="Arial"/>
          <w:sz w:val="20"/>
          <w:szCs w:val="20"/>
          <w:b w:val="1"/>
          <w:bCs w:val="1"/>
          <w:color w:val="auto"/>
        </w:rPr>
      </w:pPr>
      <w:r>
        <w:rPr>
          <w:rFonts w:ascii="Arial" w:cs="Arial" w:eastAsia="Arial" w:hAnsi="Arial"/>
          <w:sz w:val="20"/>
          <w:szCs w:val="20"/>
          <w:b w:val="1"/>
          <w:bCs w:val="1"/>
          <w:color w:val="auto"/>
        </w:rPr>
        <w:t>PLAN ADMINISTRATION.</w:t>
      </w:r>
    </w:p>
    <w:p>
      <w:pPr>
        <w:spacing w:after="0" w:line="206" w:lineRule="exact"/>
        <w:rPr>
          <w:sz w:val="20"/>
          <w:szCs w:val="20"/>
          <w:color w:val="auto"/>
        </w:rPr>
      </w:pPr>
    </w:p>
    <w:p>
      <w:pPr>
        <w:ind w:right="40" w:firstLine="597"/>
        <w:spacing w:after="0" w:line="304" w:lineRule="auto"/>
        <w:rPr>
          <w:sz w:val="20"/>
          <w:szCs w:val="20"/>
          <w:color w:val="auto"/>
        </w:rPr>
      </w:pPr>
      <w:r>
        <w:rPr>
          <w:rFonts w:ascii="Arial" w:cs="Arial" w:eastAsia="Arial" w:hAnsi="Arial"/>
          <w:sz w:val="18"/>
          <w:szCs w:val="18"/>
          <w:b w:val="1"/>
          <w:bCs w:val="1"/>
          <w:color w:val="010000"/>
        </w:rPr>
        <w:t xml:space="preserve">4.1 </w:t>
      </w:r>
      <w:r>
        <w:rPr>
          <w:rFonts w:ascii="Arial" w:cs="Arial" w:eastAsia="Arial" w:hAnsi="Arial"/>
          <w:sz w:val="18"/>
          <w:szCs w:val="18"/>
          <w:color w:val="000000"/>
        </w:rPr>
        <w:t>The Plan shall be interpreted, administered and operated by the Plan Administrator, who shall have complete authority, in its</w:t>
      </w:r>
      <w:r>
        <w:rPr>
          <w:rFonts w:ascii="Arial" w:cs="Arial" w:eastAsia="Arial" w:hAnsi="Arial"/>
          <w:sz w:val="18"/>
          <w:szCs w:val="18"/>
          <w:b w:val="1"/>
          <w:bCs w:val="1"/>
          <w:color w:val="010000"/>
        </w:rPr>
        <w:t xml:space="preserve"> </w:t>
      </w:r>
      <w:r>
        <w:rPr>
          <w:rFonts w:ascii="Arial" w:cs="Arial" w:eastAsia="Arial" w:hAnsi="Arial"/>
          <w:sz w:val="18"/>
          <w:szCs w:val="18"/>
          <w:color w:val="000000"/>
        </w:rPr>
        <w:t>sole discretion subject to the express provisions of the Plan, to interpret the Plan, to prescribe, amend and rescind rules and regulations relating to it, to designate Eligible Employees and to make all other determinations necessary or advisable for the administration of the Plan.</w:t>
      </w:r>
    </w:p>
    <w:p>
      <w:pPr>
        <w:spacing w:after="0" w:line="122" w:lineRule="exact"/>
        <w:rPr>
          <w:sz w:val="20"/>
          <w:szCs w:val="20"/>
          <w:color w:val="auto"/>
        </w:rPr>
      </w:pPr>
    </w:p>
    <w:p>
      <w:pPr>
        <w:ind w:right="80" w:firstLine="597"/>
        <w:spacing w:after="0" w:line="274" w:lineRule="auto"/>
        <w:rPr>
          <w:sz w:val="20"/>
          <w:szCs w:val="20"/>
          <w:color w:val="auto"/>
        </w:rPr>
      </w:pPr>
      <w:r>
        <w:rPr>
          <w:rFonts w:ascii="Arial" w:cs="Arial" w:eastAsia="Arial" w:hAnsi="Arial"/>
          <w:sz w:val="19"/>
          <w:szCs w:val="19"/>
          <w:b w:val="1"/>
          <w:bCs w:val="1"/>
          <w:color w:val="010000"/>
        </w:rPr>
        <w:t xml:space="preserve">4.2 </w:t>
      </w:r>
      <w:r>
        <w:rPr>
          <w:rFonts w:ascii="Arial" w:cs="Arial" w:eastAsia="Arial" w:hAnsi="Arial"/>
          <w:sz w:val="19"/>
          <w:szCs w:val="19"/>
          <w:color w:val="000000"/>
        </w:rPr>
        <w:t>All questions of any character whatsoever arising in connection with the interpretation of the Plan or its administration or</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operation shall be submitted to and settled and determined by the Plan Administrator in an equitable and fair manner in accordance with the procedure for claims and appeals described in </w:t>
      </w:r>
      <w:r>
        <w:rPr>
          <w:rFonts w:ascii="Arial" w:cs="Arial" w:eastAsia="Arial" w:hAnsi="Arial"/>
          <w:sz w:val="19"/>
          <w:szCs w:val="19"/>
          <w:u w:val="single" w:color="auto"/>
          <w:color w:val="000000"/>
        </w:rPr>
        <w:t>Section 2.5</w:t>
      </w:r>
      <w:r>
        <w:rPr>
          <w:rFonts w:ascii="Arial" w:cs="Arial" w:eastAsia="Arial" w:hAnsi="Arial"/>
          <w:sz w:val="19"/>
          <w:szCs w:val="19"/>
          <w:color w:val="000000"/>
        </w:rPr>
        <w:t xml:space="preserve"> hereof. Any such settlement and determination shall be final and conclusive, and shall bind and may be relied upon by the Company, each of the Severed Employees and all other parties in interest.</w:t>
      </w:r>
    </w:p>
    <w:p>
      <w:pPr>
        <w:spacing w:after="0" w:line="147" w:lineRule="exact"/>
        <w:rPr>
          <w:sz w:val="20"/>
          <w:szCs w:val="20"/>
          <w:color w:val="auto"/>
        </w:rPr>
      </w:pPr>
    </w:p>
    <w:p>
      <w:pPr>
        <w:ind w:right="740" w:firstLine="597"/>
        <w:spacing w:after="0" w:line="277" w:lineRule="auto"/>
        <w:rPr>
          <w:sz w:val="20"/>
          <w:szCs w:val="20"/>
          <w:color w:val="auto"/>
        </w:rPr>
      </w:pPr>
      <w:r>
        <w:rPr>
          <w:rFonts w:ascii="Arial" w:cs="Arial" w:eastAsia="Arial" w:hAnsi="Arial"/>
          <w:sz w:val="20"/>
          <w:szCs w:val="20"/>
          <w:b w:val="1"/>
          <w:bCs w:val="1"/>
          <w:color w:val="010000"/>
        </w:rPr>
        <w:t xml:space="preserve">4.3 </w:t>
      </w:r>
      <w:r>
        <w:rPr>
          <w:rFonts w:ascii="Arial" w:cs="Arial" w:eastAsia="Arial" w:hAnsi="Arial"/>
          <w:sz w:val="20"/>
          <w:szCs w:val="20"/>
          <w:color w:val="000000"/>
        </w:rPr>
        <w:t>The Plan Administrator may delegate any of its duties hereunder to such person or persons from time to time as it may</w:t>
      </w:r>
      <w:r>
        <w:rPr>
          <w:rFonts w:ascii="Arial" w:cs="Arial" w:eastAsia="Arial" w:hAnsi="Arial"/>
          <w:sz w:val="20"/>
          <w:szCs w:val="20"/>
          <w:b w:val="1"/>
          <w:bCs w:val="1"/>
          <w:color w:val="010000"/>
        </w:rPr>
        <w:t xml:space="preserve"> </w:t>
      </w:r>
      <w:r>
        <w:rPr>
          <w:rFonts w:ascii="Arial" w:cs="Arial" w:eastAsia="Arial" w:hAnsi="Arial"/>
          <w:sz w:val="20"/>
          <w:szCs w:val="20"/>
          <w:color w:val="000000"/>
        </w:rPr>
        <w:t>designate.</w:t>
      </w:r>
    </w:p>
    <w:p>
      <w:pPr>
        <w:spacing w:after="0" w:line="141" w:lineRule="exact"/>
        <w:rPr>
          <w:sz w:val="20"/>
          <w:szCs w:val="20"/>
          <w:color w:val="auto"/>
        </w:rPr>
      </w:pPr>
    </w:p>
    <w:p>
      <w:pPr>
        <w:ind w:firstLine="597"/>
        <w:spacing w:after="0" w:line="252" w:lineRule="auto"/>
        <w:rPr>
          <w:sz w:val="20"/>
          <w:szCs w:val="20"/>
          <w:color w:val="auto"/>
        </w:rPr>
      </w:pPr>
      <w:r>
        <w:rPr>
          <w:rFonts w:ascii="Arial" w:cs="Arial" w:eastAsia="Arial" w:hAnsi="Arial"/>
          <w:sz w:val="20"/>
          <w:szCs w:val="20"/>
          <w:b w:val="1"/>
          <w:bCs w:val="1"/>
          <w:color w:val="010000"/>
        </w:rPr>
        <w:t xml:space="preserve">4.4 </w:t>
      </w:r>
      <w:r>
        <w:rPr>
          <w:rFonts w:ascii="Arial" w:cs="Arial" w:eastAsia="Arial" w:hAnsi="Arial"/>
          <w:sz w:val="20"/>
          <w:szCs w:val="20"/>
          <w:color w:val="000000"/>
        </w:rPr>
        <w:t>The Plan Administrator is empowered, on behalf of the Plan, to engage accountants, legal counsel (which may be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Company’s General Counsel) and such other personnel as it deems necessary or advisable to assist it in the performance of its duties under the Plan. The functions of any such persons engaged by the Plan Administrator shall be limited to the specified services and duties for which they are engaged, and such persons shall have no other duties, obligations or responsibilities under the Plan. Such persons shall exercise no discretionary authority or discretionary control respecting the management of the Plan. All reasonable expenses thereof shall be borne by the Company.</w:t>
      </w:r>
    </w:p>
    <w:p>
      <w:pPr>
        <w:spacing w:after="0" w:line="169" w:lineRule="exact"/>
        <w:rPr>
          <w:sz w:val="20"/>
          <w:szCs w:val="20"/>
          <w:color w:val="auto"/>
        </w:rPr>
      </w:pPr>
    </w:p>
    <w:p>
      <w:pPr>
        <w:ind w:left="600" w:hanging="600"/>
        <w:spacing w:after="0"/>
        <w:tabs>
          <w:tab w:leader="none" w:pos="600" w:val="left"/>
        </w:tabs>
        <w:numPr>
          <w:ilvl w:val="0"/>
          <w:numId w:val="222"/>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p>
    <w:p>
      <w:pPr>
        <w:spacing w:after="0" w:line="206" w:lineRule="exact"/>
        <w:rPr>
          <w:sz w:val="20"/>
          <w:szCs w:val="20"/>
          <w:color w:val="auto"/>
        </w:rPr>
      </w:pPr>
    </w:p>
    <w:p>
      <w:pPr>
        <w:ind w:right="100" w:firstLine="597"/>
        <w:spacing w:after="0" w:line="251" w:lineRule="auto"/>
        <w:rPr>
          <w:sz w:val="20"/>
          <w:szCs w:val="20"/>
          <w:color w:val="auto"/>
        </w:rPr>
      </w:pPr>
      <w:r>
        <w:rPr>
          <w:rFonts w:ascii="Arial" w:cs="Arial" w:eastAsia="Arial" w:hAnsi="Arial"/>
          <w:sz w:val="20"/>
          <w:szCs w:val="20"/>
          <w:b w:val="1"/>
          <w:bCs w:val="1"/>
          <w:color w:val="010000"/>
        </w:rPr>
        <w:t xml:space="preserve">5.1 </w:t>
      </w:r>
      <w:r>
        <w:rPr>
          <w:rFonts w:ascii="Arial" w:cs="Arial" w:eastAsia="Arial" w:hAnsi="Arial"/>
          <w:sz w:val="20"/>
          <w:szCs w:val="20"/>
          <w:color w:val="000000"/>
        </w:rPr>
        <w:t>Eligible Employee acknowledges that, to assist Eligible Employee in the performance of Eligible Employee’s duties,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Company agrees to provide and shall provide and has provided Eligible Employee with Confidential Information and materials. Due to the sensitive nature of this Confidential Information, Eligible Employee acknowledges that the Company has legitimate business and competitive interests and legal rights to require non-disclosure of the Confidential Information to other companies and/or individuals and to require that the Confidential Information be used only for the benefit of the Company. Therefore, in order to protect the Company’s Confidential Information and the Company’s business goodwill and competitive position, and in exchange for the Company providing Eligible Employee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20"/>
          </w:cols>
          <w:pgMar w:left="320" w:top="1327" w:right="359" w:bottom="1440" w:gutter="0" w:footer="0" w:header="0"/>
        </w:sectPr>
      </w:pPr>
    </w:p>
    <w:bookmarkStart w:id="340" w:name="page341"/>
    <w:bookmarkEnd w:id="340"/>
    <w:p>
      <w:pPr>
        <w:ind w:right="80"/>
        <w:spacing w:after="0" w:line="271" w:lineRule="auto"/>
        <w:rPr>
          <w:sz w:val="20"/>
          <w:szCs w:val="20"/>
          <w:color w:val="auto"/>
        </w:rPr>
      </w:pPr>
      <w:r>
        <w:rPr>
          <w:rFonts w:ascii="Arial" w:cs="Arial" w:eastAsia="Arial" w:hAnsi="Arial"/>
          <w:sz w:val="20"/>
          <w:szCs w:val="20"/>
          <w:color w:val="auto"/>
        </w:rPr>
        <w:t>consideration set forth herein, and in order to protect the value of the equity-based compensation provided to Eligible Employee in the Plan, Eligible Employee agrees:</w:t>
      </w:r>
    </w:p>
    <w:p>
      <w:pPr>
        <w:spacing w:after="0" w:line="153" w:lineRule="exact"/>
        <w:rPr>
          <w:sz w:val="20"/>
          <w:szCs w:val="20"/>
          <w:color w:val="auto"/>
        </w:rPr>
      </w:pPr>
    </w:p>
    <w:p>
      <w:pPr>
        <w:ind w:right="40" w:firstLine="1194"/>
        <w:spacing w:after="0" w:line="272" w:lineRule="auto"/>
        <w:tabs>
          <w:tab w:leader="none" w:pos="1614" w:val="left"/>
        </w:tabs>
        <w:numPr>
          <w:ilvl w:val="0"/>
          <w:numId w:val="223"/>
        </w:numPr>
        <w:rPr>
          <w:rFonts w:ascii="Arial" w:cs="Arial" w:eastAsia="Arial" w:hAnsi="Arial"/>
          <w:sz w:val="19"/>
          <w:szCs w:val="19"/>
          <w:color w:val="010000"/>
        </w:rPr>
      </w:pPr>
      <w:r>
        <w:rPr>
          <w:rFonts w:ascii="Arial" w:cs="Arial" w:eastAsia="Arial" w:hAnsi="Arial"/>
          <w:sz w:val="19"/>
          <w:szCs w:val="19"/>
          <w:color w:val="auto"/>
        </w:rPr>
        <w:t>At any time during the term of Eligible Employee’s service to the Company and thereafter for so long as such Confidential Information remains confidential, other than by reason of its wrongful disclosure (whether directly or indirectly) by Eligible Employee, Eligible Employee will not use, disclose or allow to be disclosed to any person, firm, or corporation, the Company’s Confidential Information, unless previously authorized by the Company for use in the pursuit of Company business.</w:t>
      </w:r>
    </w:p>
    <w:p>
      <w:pPr>
        <w:spacing w:after="0" w:line="154" w:lineRule="exact"/>
        <w:rPr>
          <w:rFonts w:ascii="Arial" w:cs="Arial" w:eastAsia="Arial" w:hAnsi="Arial"/>
          <w:sz w:val="19"/>
          <w:szCs w:val="19"/>
          <w:color w:val="010000"/>
        </w:rPr>
      </w:pPr>
    </w:p>
    <w:p>
      <w:pPr>
        <w:ind w:firstLine="1194"/>
        <w:spacing w:after="0" w:line="262" w:lineRule="auto"/>
        <w:tabs>
          <w:tab w:leader="none" w:pos="1626" w:val="left"/>
        </w:tabs>
        <w:numPr>
          <w:ilvl w:val="0"/>
          <w:numId w:val="223"/>
        </w:numPr>
        <w:rPr>
          <w:rFonts w:ascii="Arial" w:cs="Arial" w:eastAsia="Arial" w:hAnsi="Arial"/>
          <w:sz w:val="19"/>
          <w:szCs w:val="19"/>
          <w:color w:val="010000"/>
        </w:rPr>
      </w:pPr>
      <w:r>
        <w:rPr>
          <w:rFonts w:ascii="Arial" w:cs="Arial" w:eastAsia="Arial" w:hAnsi="Arial"/>
          <w:sz w:val="19"/>
          <w:szCs w:val="19"/>
          <w:color w:val="auto"/>
        </w:rPr>
        <w:t>During the term of Eligible Employee’s service to the Company and for a period of twelve (12) months following the Eligible Employee’s termination of employment, the Eligible Employee will not, directly or indirectly, either on Eligible Employee’s own behalf or 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(collectively, “</w:t>
      </w:r>
      <w:r>
        <w:rPr>
          <w:rFonts w:ascii="Arial" w:cs="Arial" w:eastAsia="Arial" w:hAnsi="Arial"/>
          <w:sz w:val="19"/>
          <w:szCs w:val="19"/>
          <w:u w:val="single" w:color="auto"/>
          <w:color w:val="auto"/>
        </w:rPr>
        <w:t>Covered Employee</w:t>
      </w:r>
      <w:r>
        <w:rPr>
          <w:rFonts w:ascii="Arial" w:cs="Arial" w:eastAsia="Arial" w:hAnsi="Arial"/>
          <w:sz w:val="19"/>
          <w:szCs w:val="19"/>
          <w:color w:val="auto"/>
        </w:rPr>
        <w:t>”) to leave the employment of the Company or cease performing services for the Company; (ii) hire or engage or assist any Covered Employee; or (iii) Solicit, induce or assist any third party in Soliciting or inducing any other person or entity (including, without limitation, any third-party service provider or distributor) to terminate its relationship with the Company or otherwise interfere with such relationship. This non-solicitation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and any other social media platform, whether or not in existence at the time of entering into the Plan. However, it will not be deemed a violation of this section if the Eligible Employee merely updates the Eligible Employee’s LinkedIn profile or connects with a Covered Employee on Facebook, LinkedIn, or other social media platform without engaging in any other substantive communication, by social media or otherwise, that is prohibited by this Section.</w:t>
      </w:r>
    </w:p>
    <w:p>
      <w:pPr>
        <w:spacing w:after="0" w:line="169" w:lineRule="exact"/>
        <w:rPr>
          <w:rFonts w:ascii="Arial" w:cs="Arial" w:eastAsia="Arial" w:hAnsi="Arial"/>
          <w:sz w:val="19"/>
          <w:szCs w:val="19"/>
          <w:color w:val="010000"/>
        </w:rPr>
      </w:pPr>
    </w:p>
    <w:p>
      <w:pPr>
        <w:ind w:right="100" w:firstLine="1194"/>
        <w:spacing w:after="0" w:line="269" w:lineRule="auto"/>
        <w:tabs>
          <w:tab w:leader="none" w:pos="1614" w:val="left"/>
        </w:tabs>
        <w:numPr>
          <w:ilvl w:val="0"/>
          <w:numId w:val="223"/>
        </w:numPr>
        <w:rPr>
          <w:rFonts w:ascii="Arial" w:cs="Arial" w:eastAsia="Arial" w:hAnsi="Arial"/>
          <w:sz w:val="19"/>
          <w:szCs w:val="19"/>
          <w:color w:val="010000"/>
        </w:rPr>
      </w:pPr>
      <w:r>
        <w:rPr>
          <w:rFonts w:ascii="Arial" w:cs="Arial" w:eastAsia="Arial" w:hAnsi="Arial"/>
          <w:sz w:val="19"/>
          <w:szCs w:val="19"/>
          <w:color w:val="auto"/>
        </w:rPr>
        <w:t>During the term of Eligible Employee’s service to the Company and for a period of twelve (12) months following the Eligible Employee’s termination of employment, the Eligible Employee will not, directly or indirectly, either on Eligible Employee’s own behalf or on behalf of any other individual or commercial enterprise (i) Solicit any Client to transact business with a Competitive Enterprise or to reduce or refrain from doing any business with the Company; (ii) transact business with any Client that would cause you to be a Competitive Enterprise or (iii) interfere with or damage any relationship between the Company and a Client.</w:t>
      </w:r>
    </w:p>
    <w:p>
      <w:pPr>
        <w:spacing w:after="0" w:line="156" w:lineRule="exact"/>
        <w:rPr>
          <w:rFonts w:ascii="Arial" w:cs="Arial" w:eastAsia="Arial" w:hAnsi="Arial"/>
          <w:sz w:val="19"/>
          <w:szCs w:val="19"/>
          <w:color w:val="010000"/>
        </w:rPr>
      </w:pPr>
    </w:p>
    <w:p>
      <w:pPr>
        <w:ind w:right="200" w:firstLine="1194"/>
        <w:spacing w:after="0" w:line="252" w:lineRule="auto"/>
        <w:tabs>
          <w:tab w:leader="none" w:pos="1626" w:val="left"/>
        </w:tabs>
        <w:numPr>
          <w:ilvl w:val="0"/>
          <w:numId w:val="223"/>
        </w:numPr>
        <w:rPr>
          <w:rFonts w:ascii="Arial" w:cs="Arial" w:eastAsia="Arial" w:hAnsi="Arial"/>
          <w:sz w:val="20"/>
          <w:szCs w:val="20"/>
          <w:color w:val="010000"/>
        </w:rPr>
      </w:pPr>
      <w:r>
        <w:rPr>
          <w:rFonts w:ascii="Arial" w:cs="Arial" w:eastAsia="Arial" w:hAnsi="Arial"/>
          <w:sz w:val="20"/>
          <w:szCs w:val="20"/>
          <w:color w:val="auto"/>
        </w:rPr>
        <w:t>The grant of the Severance Pay provided herein and Eligible Employee’s agreement to the Restrictive Covenants are intended to be mutually dependent promises and in the event Eligible Employee breaches or threatens to breach the Restrictive Covenants, then to the greatest extent permitted by applicable law: (i) Severance Pay that has not yet been paid shall cease to be payable and (ii) any Severance Pay that has been paid to Eligible Employee during the twelve (12) months prior to Eligible Employee’s breach or threatened breach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327" w:right="339" w:bottom="1440" w:gutter="0" w:footer="0" w:header="0"/>
        </w:sectPr>
      </w:pPr>
    </w:p>
    <w:bookmarkStart w:id="341" w:name="page342"/>
    <w:bookmarkEnd w:id="341"/>
    <w:p>
      <w:pPr>
        <w:spacing w:after="0"/>
        <w:rPr>
          <w:sz w:val="20"/>
          <w:szCs w:val="20"/>
          <w:color w:val="auto"/>
        </w:rPr>
      </w:pPr>
      <w:r>
        <w:rPr>
          <w:rFonts w:ascii="Arial" w:cs="Arial" w:eastAsia="Arial" w:hAnsi="Arial"/>
          <w:sz w:val="20"/>
          <w:szCs w:val="20"/>
          <w:color w:val="auto"/>
        </w:rPr>
        <w:t>Restrictive Covenants that have not yet been paid to Eligible Employee shall be forfeited for no consideration.</w:t>
      </w:r>
    </w:p>
    <w:p>
      <w:pPr>
        <w:spacing w:after="0" w:line="200" w:lineRule="exact"/>
        <w:rPr>
          <w:sz w:val="20"/>
          <w:szCs w:val="20"/>
          <w:color w:val="auto"/>
        </w:rPr>
      </w:pPr>
    </w:p>
    <w:p>
      <w:pPr>
        <w:ind w:right="60" w:firstLine="597"/>
        <w:spacing w:after="0" w:line="256" w:lineRule="auto"/>
        <w:rPr>
          <w:sz w:val="20"/>
          <w:szCs w:val="20"/>
          <w:color w:val="auto"/>
        </w:rPr>
      </w:pPr>
      <w:r>
        <w:rPr>
          <w:rFonts w:ascii="Arial" w:cs="Arial" w:eastAsia="Arial" w:hAnsi="Arial"/>
          <w:sz w:val="20"/>
          <w:szCs w:val="20"/>
          <w:b w:val="1"/>
          <w:bCs w:val="1"/>
          <w:color w:val="010000"/>
        </w:rPr>
        <w:t xml:space="preserve">5.2 </w:t>
      </w:r>
      <w:r>
        <w:rPr>
          <w:rFonts w:ascii="Arial" w:cs="Arial" w:eastAsia="Arial" w:hAnsi="Arial"/>
          <w:sz w:val="20"/>
          <w:szCs w:val="20"/>
          <w:color w:val="000000"/>
        </w:rPr>
        <w:t>Immediately upon the Eligible Employee’s termination of employment for any reason, or upon Company’s request at any other</w:t>
      </w:r>
      <w:r>
        <w:rPr>
          <w:rFonts w:ascii="Arial" w:cs="Arial" w:eastAsia="Arial" w:hAnsi="Arial"/>
          <w:sz w:val="20"/>
          <w:szCs w:val="20"/>
          <w:b w:val="1"/>
          <w:bCs w:val="1"/>
          <w:color w:val="010000"/>
        </w:rPr>
        <w:t xml:space="preserve"> </w:t>
      </w:r>
      <w:r>
        <w:rPr>
          <w:rFonts w:ascii="Arial" w:cs="Arial" w:eastAsia="Arial" w:hAnsi="Arial"/>
          <w:sz w:val="20"/>
          <w:szCs w:val="20"/>
          <w:color w:val="000000"/>
        </w:rPr>
        <w:t>time, Eligible Employee will deliver to Company all Company Property. Following Eligible Employee’s termination of employment, Eligible Employee shall not retain, copy, or remove (either physically or electronically) any Company Property from Company premises, computers, or other electronic equipment or storage devices.</w:t>
      </w:r>
    </w:p>
    <w:p>
      <w:pPr>
        <w:spacing w:after="0" w:line="164" w:lineRule="exact"/>
        <w:rPr>
          <w:sz w:val="20"/>
          <w:szCs w:val="20"/>
          <w:color w:val="auto"/>
        </w:rPr>
      </w:pPr>
    </w:p>
    <w:p>
      <w:pPr>
        <w:ind w:right="40" w:firstLine="597"/>
        <w:spacing w:after="0" w:line="254" w:lineRule="auto"/>
        <w:rPr>
          <w:sz w:val="20"/>
          <w:szCs w:val="20"/>
          <w:color w:val="auto"/>
        </w:rPr>
      </w:pPr>
      <w:r>
        <w:rPr>
          <w:rFonts w:ascii="Arial" w:cs="Arial" w:eastAsia="Arial" w:hAnsi="Arial"/>
          <w:sz w:val="20"/>
          <w:szCs w:val="20"/>
          <w:b w:val="1"/>
          <w:bCs w:val="1"/>
          <w:color w:val="010000"/>
        </w:rPr>
        <w:t xml:space="preserve">5.3 </w:t>
      </w:r>
      <w:r>
        <w:rPr>
          <w:rFonts w:ascii="Arial" w:cs="Arial" w:eastAsia="Arial" w:hAnsi="Arial"/>
          <w:sz w:val="20"/>
          <w:szCs w:val="20"/>
          <w:color w:val="000000"/>
        </w:rPr>
        <w:t>By participating in the Plan, each Eligible Employee agrees and acknowledges that Eligible Employee has carefully read and</w:t>
      </w:r>
      <w:r>
        <w:rPr>
          <w:rFonts w:ascii="Arial" w:cs="Arial" w:eastAsia="Arial" w:hAnsi="Arial"/>
          <w:sz w:val="20"/>
          <w:szCs w:val="20"/>
          <w:b w:val="1"/>
          <w:bCs w:val="1"/>
          <w:color w:val="010000"/>
        </w:rPr>
        <w:t xml:space="preserve"> </w:t>
      </w:r>
      <w:r>
        <w:rPr>
          <w:rFonts w:ascii="Arial" w:cs="Arial" w:eastAsia="Arial" w:hAnsi="Arial"/>
          <w:sz w:val="20"/>
          <w:szCs w:val="20"/>
          <w:color w:val="000000"/>
        </w:rPr>
        <w:t>considered the Restrictive Covenants, and, having done so, agrees and acknowledges that the Restrictive Covenants limit Eligible Employee’s ability to engage in competition during the period provided for above. Eligible Employee expressly warrants and represents that these restrictions with respect to time and scope of activity are reasonable and necessary to protect the Confidential Information and the Company’s business goodwill and competitive position.</w:t>
      </w:r>
    </w:p>
    <w:p>
      <w:pPr>
        <w:spacing w:after="0" w:line="164" w:lineRule="exact"/>
        <w:rPr>
          <w:sz w:val="20"/>
          <w:szCs w:val="20"/>
          <w:color w:val="auto"/>
        </w:rPr>
      </w:pPr>
    </w:p>
    <w:p>
      <w:pPr>
        <w:ind w:left="600" w:hanging="600"/>
        <w:spacing w:after="0"/>
        <w:tabs>
          <w:tab w:leader="none" w:pos="600" w:val="left"/>
        </w:tabs>
        <w:numPr>
          <w:ilvl w:val="0"/>
          <w:numId w:val="224"/>
        </w:numPr>
        <w:rPr>
          <w:rFonts w:ascii="Arial" w:cs="Arial" w:eastAsia="Arial" w:hAnsi="Arial"/>
          <w:sz w:val="20"/>
          <w:szCs w:val="20"/>
          <w:b w:val="1"/>
          <w:bCs w:val="1"/>
          <w:color w:val="auto"/>
        </w:rPr>
      </w:pPr>
      <w:r>
        <w:rPr>
          <w:rFonts w:ascii="Arial" w:cs="Arial" w:eastAsia="Arial" w:hAnsi="Arial"/>
          <w:sz w:val="20"/>
          <w:szCs w:val="20"/>
          <w:b w:val="1"/>
          <w:bCs w:val="1"/>
          <w:color w:val="auto"/>
        </w:rPr>
        <w:t>PLAN MODIFICATION OR TERMINATION.</w:t>
      </w:r>
    </w:p>
    <w:p>
      <w:pPr>
        <w:spacing w:after="0" w:line="212" w:lineRule="exact"/>
        <w:rPr>
          <w:sz w:val="20"/>
          <w:szCs w:val="20"/>
          <w:color w:val="auto"/>
        </w:rPr>
      </w:pPr>
    </w:p>
    <w:p>
      <w:pPr>
        <w:ind w:right="20" w:firstLine="597"/>
        <w:spacing w:after="0" w:line="287" w:lineRule="auto"/>
        <w:rPr>
          <w:sz w:val="20"/>
          <w:szCs w:val="20"/>
          <w:color w:val="auto"/>
        </w:rPr>
      </w:pPr>
      <w:r>
        <w:rPr>
          <w:rFonts w:ascii="Arial" w:cs="Arial" w:eastAsia="Arial" w:hAnsi="Arial"/>
          <w:sz w:val="18"/>
          <w:szCs w:val="18"/>
          <w:color w:val="auto"/>
        </w:rPr>
        <w:t>The Plan may be amended or terminated by the Board at any time; provided, however, that except as required by law, the Plan may not be amended or terminated in anticipation of a Change of Control or within two (2) years immediately following a Change in Control in a manner that would adversely affect the rights of Eligible Employees under the Plan without the express written consent of each Eligible Employee so affected. Following an Eligible Employee’s Qualifying Termination, no Plan termination or amendment shall adversely affect the rights of such Severed Employee under the Plan without such Severed Employee’s written consent.</w:t>
      </w:r>
    </w:p>
    <w:p>
      <w:pPr>
        <w:spacing w:after="0" w:line="138" w:lineRule="exact"/>
        <w:rPr>
          <w:sz w:val="20"/>
          <w:szCs w:val="20"/>
          <w:color w:val="auto"/>
        </w:rPr>
      </w:pPr>
    </w:p>
    <w:p>
      <w:pPr>
        <w:ind w:left="600" w:hanging="600"/>
        <w:spacing w:after="0"/>
        <w:tabs>
          <w:tab w:leader="none" w:pos="600" w:val="left"/>
        </w:tabs>
        <w:numPr>
          <w:ilvl w:val="0"/>
          <w:numId w:val="225"/>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06" w:lineRule="exact"/>
        <w:rPr>
          <w:sz w:val="20"/>
          <w:szCs w:val="20"/>
          <w:color w:val="auto"/>
        </w:rPr>
      </w:pPr>
    </w:p>
    <w:p>
      <w:pPr>
        <w:ind w:firstLine="597"/>
        <w:spacing w:after="0" w:line="252" w:lineRule="auto"/>
        <w:rPr>
          <w:sz w:val="20"/>
          <w:szCs w:val="20"/>
          <w:color w:val="auto"/>
        </w:rPr>
      </w:pPr>
      <w:r>
        <w:rPr>
          <w:rFonts w:ascii="Arial" w:cs="Arial" w:eastAsia="Arial" w:hAnsi="Arial"/>
          <w:sz w:val="20"/>
          <w:szCs w:val="20"/>
          <w:b w:val="1"/>
          <w:bCs w:val="1"/>
          <w:color w:val="010000"/>
        </w:rPr>
        <w:t xml:space="preserve">7.1 </w:t>
      </w:r>
      <w:r>
        <w:rPr>
          <w:rFonts w:ascii="Arial" w:cs="Arial" w:eastAsia="Arial" w:hAnsi="Arial"/>
          <w:sz w:val="20"/>
          <w:szCs w:val="20"/>
          <w:color w:val="000000"/>
        </w:rPr>
        <w:t>Except as otherwise provided herein or by law, no right or interest of any Eligible Employee under the Plan shall be assignable</w:t>
      </w:r>
      <w:r>
        <w:rPr>
          <w:rFonts w:ascii="Arial" w:cs="Arial" w:eastAsia="Arial" w:hAnsi="Arial"/>
          <w:sz w:val="20"/>
          <w:szCs w:val="20"/>
          <w:b w:val="1"/>
          <w:bCs w:val="1"/>
          <w:color w:val="010000"/>
        </w:rPr>
        <w:t xml:space="preserve"> </w:t>
      </w:r>
      <w:r>
        <w:rPr>
          <w:rFonts w:ascii="Arial" w:cs="Arial" w:eastAsia="Arial" w:hAnsi="Arial"/>
          <w:sz w:val="20"/>
          <w:szCs w:val="20"/>
          <w:color w:val="000000"/>
        </w:rPr>
        <w:t>or transferable, in whole or in part, either directly or by operation of law or otherwise, including without limitation, by execution, levy, garnishment, attachment, pledge or in any manner; no attempted assignment or transfer thereof shall be effective; and no right or interest of any Eligible Employee under the Plan shall be subject to any obligation or liability of such Eligible Employee. When a payment is due under the Plan to a Severed Employee who is unable to care for his affairs, payment may be made directly to his legal guardian or personal representative.</w:t>
      </w:r>
    </w:p>
    <w:p>
      <w:pPr>
        <w:spacing w:after="0" w:line="169" w:lineRule="exact"/>
        <w:rPr>
          <w:sz w:val="20"/>
          <w:szCs w:val="20"/>
          <w:color w:val="auto"/>
        </w:rPr>
      </w:pPr>
    </w:p>
    <w:p>
      <w:pPr>
        <w:ind w:right="360" w:firstLine="597"/>
        <w:spacing w:after="0" w:line="254" w:lineRule="auto"/>
        <w:rPr>
          <w:sz w:val="20"/>
          <w:szCs w:val="20"/>
          <w:color w:val="auto"/>
        </w:rPr>
      </w:pPr>
      <w:r>
        <w:rPr>
          <w:rFonts w:ascii="Arial" w:cs="Arial" w:eastAsia="Arial" w:hAnsi="Arial"/>
          <w:sz w:val="20"/>
          <w:szCs w:val="20"/>
          <w:b w:val="1"/>
          <w:bCs w:val="1"/>
          <w:color w:val="010000"/>
        </w:rPr>
        <w:t xml:space="preserve">7.2 </w:t>
      </w:r>
      <w:r>
        <w:rPr>
          <w:rFonts w:ascii="Arial" w:cs="Arial" w:eastAsia="Arial" w:hAnsi="Arial"/>
          <w:sz w:val="20"/>
          <w:szCs w:val="20"/>
          <w:color w:val="000000"/>
        </w:rPr>
        <w:t>If the Company is obligated by law or by contract (including an outstanding executive employment agreement) to pay</w:t>
      </w:r>
      <w:r>
        <w:rPr>
          <w:rFonts w:ascii="Arial" w:cs="Arial" w:eastAsia="Arial" w:hAnsi="Arial"/>
          <w:sz w:val="20"/>
          <w:szCs w:val="20"/>
          <w:b w:val="1"/>
          <w:bCs w:val="1"/>
          <w:color w:val="010000"/>
        </w:rPr>
        <w:t xml:space="preserve"> </w:t>
      </w:r>
      <w:r>
        <w:rPr>
          <w:rFonts w:ascii="Arial" w:cs="Arial" w:eastAsia="Arial" w:hAnsi="Arial"/>
          <w:sz w:val="20"/>
          <w:szCs w:val="20"/>
          <w:color w:val="000000"/>
        </w:rPr>
        <w:t>severance pay, a termination indemnity, notice pay, or the like, or if the Company is obligated by law to provide advance notice of separation, then any Severance Pay paid to a Severed Employee hereunder shall be reduced by the amount of any such severance pay, termination indemnity, notice pay or the like, as applicable, and by the amount of any salary received by the Severed Employee after the Company provided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20" w:top="1327" w:right="359" w:bottom="1440" w:gutter="0" w:footer="0" w:header="0"/>
        </w:sectPr>
      </w:pPr>
    </w:p>
    <w:bookmarkStart w:id="342" w:name="page343"/>
    <w:bookmarkEnd w:id="342"/>
    <w:p>
      <w:pPr>
        <w:ind w:right="260"/>
        <w:spacing w:after="0" w:line="284" w:lineRule="auto"/>
        <w:rPr>
          <w:sz w:val="20"/>
          <w:szCs w:val="20"/>
          <w:color w:val="auto"/>
        </w:rPr>
      </w:pPr>
      <w:r>
        <w:rPr>
          <w:rFonts w:ascii="Arial" w:cs="Arial" w:eastAsia="Arial" w:hAnsi="Arial"/>
          <w:sz w:val="18"/>
          <w:szCs w:val="18"/>
          <w:color w:val="auto"/>
        </w:rPr>
        <w:t xml:space="preserve">separation according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For the avoidance of doubt, a Severed Employee who is party to an executive employment agreement shall (notwithstanding anything to the contrary in such employment agreement) receive the greater of (i) any amounts payable hereunder or (ii) any amounts payable under such employment agreement arising from termination. If an Eligible Employee is party to an employment agreement with the Company, with regard to any amounts payable under such employment agreement upon a termination of employment, notwithstanding any provisions of the Plan to the contrary, the time and form of payment provided under the employment agreement shall apply instead of the time and form of payment under the Plan to the extent necessary to comply with Section 409A.</w:t>
      </w:r>
    </w:p>
    <w:p>
      <w:pPr>
        <w:spacing w:after="0" w:line="142" w:lineRule="exact"/>
        <w:rPr>
          <w:sz w:val="20"/>
          <w:szCs w:val="20"/>
          <w:color w:val="auto"/>
        </w:rPr>
      </w:pPr>
    </w:p>
    <w:p>
      <w:pPr>
        <w:ind w:firstLine="597"/>
        <w:spacing w:after="0" w:line="289" w:lineRule="auto"/>
        <w:rPr>
          <w:sz w:val="20"/>
          <w:szCs w:val="20"/>
          <w:color w:val="auto"/>
        </w:rPr>
      </w:pPr>
      <w:r>
        <w:rPr>
          <w:rFonts w:ascii="Arial" w:cs="Arial" w:eastAsia="Arial" w:hAnsi="Arial"/>
          <w:sz w:val="18"/>
          <w:szCs w:val="18"/>
          <w:b w:val="1"/>
          <w:bCs w:val="1"/>
          <w:color w:val="010000"/>
        </w:rPr>
        <w:t xml:space="preserve">7.3 </w:t>
      </w:r>
      <w:r>
        <w:rPr>
          <w:rFonts w:ascii="Arial" w:cs="Arial" w:eastAsia="Arial" w:hAnsi="Arial"/>
          <w:sz w:val="18"/>
          <w:szCs w:val="18"/>
          <w:color w:val="000000"/>
        </w:rPr>
        <w:t>All notices or other communications hereunder shall be in writing and shall be deemed to have been duly given (a) when</w:t>
      </w:r>
      <w:r>
        <w:rPr>
          <w:rFonts w:ascii="Arial" w:cs="Arial" w:eastAsia="Arial" w:hAnsi="Arial"/>
          <w:sz w:val="18"/>
          <w:szCs w:val="18"/>
          <w:b w:val="1"/>
          <w:bCs w:val="1"/>
          <w:color w:val="010000"/>
        </w:rPr>
        <w:t xml:space="preserve"> </w:t>
      </w:r>
      <w:r>
        <w:rPr>
          <w:rFonts w:ascii="Arial" w:cs="Arial" w:eastAsia="Arial" w:hAnsi="Arial"/>
          <w:sz w:val="18"/>
          <w:szCs w:val="18"/>
          <w:color w:val="000000"/>
        </w:rPr>
        <w:t>delivered personally, (b) upon confirmation of receipt when such notice or other communication is sent by facsimile or electronic mail, (c) one day after timely delivery to an overnight delivery courier, or (d) on the fifth day following the date of deposit in the United States mail if sent first class, postage prepaid, by registered or certified mail. The address for the Company shall be as follows: Leonardo DRS, Inc., 2345 Crystal Drive, Suite 1000, Arlington, Virginia 22202. The address for each Eligible Employee shall be the address on file with the Company.</w:t>
      </w:r>
    </w:p>
    <w:p>
      <w:pPr>
        <w:spacing w:after="0" w:line="135" w:lineRule="exact"/>
        <w:rPr>
          <w:sz w:val="20"/>
          <w:szCs w:val="20"/>
          <w:color w:val="auto"/>
        </w:rPr>
      </w:pPr>
    </w:p>
    <w:p>
      <w:pPr>
        <w:jc w:val="both"/>
        <w:ind w:right="520" w:firstLine="597"/>
        <w:spacing w:after="0" w:line="256" w:lineRule="auto"/>
        <w:rPr>
          <w:sz w:val="20"/>
          <w:szCs w:val="20"/>
          <w:color w:val="auto"/>
        </w:rPr>
      </w:pPr>
      <w:r>
        <w:rPr>
          <w:rFonts w:ascii="Arial" w:cs="Arial" w:eastAsia="Arial" w:hAnsi="Arial"/>
          <w:sz w:val="20"/>
          <w:szCs w:val="20"/>
          <w:b w:val="1"/>
          <w:bCs w:val="1"/>
          <w:color w:val="010000"/>
        </w:rPr>
        <w:t xml:space="preserve">7.4 </w:t>
      </w:r>
      <w:r>
        <w:rPr>
          <w:rFonts w:ascii="Arial" w:cs="Arial" w:eastAsia="Arial" w:hAnsi="Arial"/>
          <w:sz w:val="20"/>
          <w:szCs w:val="20"/>
          <w:color w:val="000000"/>
        </w:rPr>
        <w:t>Neither the establishment of the Plan, nor any modification thereof, nor the creation of any fund, trust or account, nor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payment of any benefits shall be construed as giving any Eligible Employee, or any person whomsoever, the right to be retained in the service of the Company, and all Eligible Employees shall remain subject to discharge to the same extent as if the Plan had never been adopted.</w:t>
      </w:r>
    </w:p>
    <w:p>
      <w:pPr>
        <w:spacing w:after="0" w:line="164" w:lineRule="exact"/>
        <w:rPr>
          <w:sz w:val="20"/>
          <w:szCs w:val="20"/>
          <w:color w:val="auto"/>
        </w:rPr>
      </w:pPr>
    </w:p>
    <w:p>
      <w:pPr>
        <w:ind w:right="60" w:firstLine="597"/>
        <w:spacing w:after="0" w:line="277" w:lineRule="auto"/>
        <w:rPr>
          <w:sz w:val="20"/>
          <w:szCs w:val="20"/>
          <w:color w:val="auto"/>
        </w:rPr>
      </w:pPr>
      <w:r>
        <w:rPr>
          <w:rFonts w:ascii="Arial" w:cs="Arial" w:eastAsia="Arial" w:hAnsi="Arial"/>
          <w:sz w:val="20"/>
          <w:szCs w:val="20"/>
          <w:b w:val="1"/>
          <w:bCs w:val="1"/>
          <w:color w:val="010000"/>
        </w:rPr>
        <w:t xml:space="preserve">7.5 </w:t>
      </w:r>
      <w:r>
        <w:rPr>
          <w:rFonts w:ascii="Arial" w:cs="Arial" w:eastAsia="Arial" w:hAnsi="Arial"/>
          <w:sz w:val="20"/>
          <w:szCs w:val="20"/>
          <w:color w:val="000000"/>
        </w:rPr>
        <w:t>If any provision of the Plan shall be held invalid or unenforceable, such invalidity or unenforceability shall not affect any other</w:t>
      </w:r>
      <w:r>
        <w:rPr>
          <w:rFonts w:ascii="Arial" w:cs="Arial" w:eastAsia="Arial" w:hAnsi="Arial"/>
          <w:sz w:val="20"/>
          <w:szCs w:val="20"/>
          <w:b w:val="1"/>
          <w:bCs w:val="1"/>
          <w:color w:val="010000"/>
        </w:rPr>
        <w:t xml:space="preserve"> </w:t>
      </w:r>
      <w:r>
        <w:rPr>
          <w:rFonts w:ascii="Arial" w:cs="Arial" w:eastAsia="Arial" w:hAnsi="Arial"/>
          <w:sz w:val="20"/>
          <w:szCs w:val="20"/>
          <w:color w:val="000000"/>
        </w:rPr>
        <w:t>provisions herein, and the Plan shall be construed and enforced as if such provisions had not been included.</w:t>
      </w:r>
    </w:p>
    <w:p>
      <w:pPr>
        <w:spacing w:after="0" w:line="141" w:lineRule="exact"/>
        <w:rPr>
          <w:sz w:val="20"/>
          <w:szCs w:val="20"/>
          <w:color w:val="auto"/>
        </w:rPr>
      </w:pPr>
    </w:p>
    <w:p>
      <w:pPr>
        <w:ind w:right="80" w:firstLine="597"/>
        <w:spacing w:after="0" w:line="270" w:lineRule="auto"/>
        <w:rPr>
          <w:sz w:val="20"/>
          <w:szCs w:val="20"/>
          <w:color w:val="auto"/>
        </w:rPr>
      </w:pPr>
      <w:r>
        <w:rPr>
          <w:rFonts w:ascii="Arial" w:cs="Arial" w:eastAsia="Arial" w:hAnsi="Arial"/>
          <w:sz w:val="19"/>
          <w:szCs w:val="19"/>
          <w:b w:val="1"/>
          <w:bCs w:val="1"/>
          <w:color w:val="010000"/>
        </w:rPr>
        <w:t xml:space="preserve">7.6 </w:t>
      </w:r>
      <w:r>
        <w:rPr>
          <w:rFonts w:ascii="Arial" w:cs="Arial" w:eastAsia="Arial" w:hAnsi="Arial"/>
          <w:sz w:val="19"/>
          <w:szCs w:val="19"/>
          <w:color w:val="000000"/>
        </w:rPr>
        <w:t>The Plan shall be binding upon the heirs, executors, administrators, successors and assigns of the parties, including each</w:t>
      </w:r>
      <w:r>
        <w:rPr>
          <w:rFonts w:ascii="Arial" w:cs="Arial" w:eastAsia="Arial" w:hAnsi="Arial"/>
          <w:sz w:val="19"/>
          <w:szCs w:val="19"/>
          <w:b w:val="1"/>
          <w:bCs w:val="1"/>
          <w:color w:val="010000"/>
        </w:rPr>
        <w:t xml:space="preserve"> </w:t>
      </w:r>
      <w:r>
        <w:rPr>
          <w:rFonts w:ascii="Arial" w:cs="Arial" w:eastAsia="Arial" w:hAnsi="Arial"/>
          <w:sz w:val="19"/>
          <w:szCs w:val="19"/>
          <w:color w:val="000000"/>
        </w:rPr>
        <w:t>Eligible Employee, present and future, and any successor to the Company. In the case of any transaction in which the Company’s successor would not by operation of law be bound by the Plan, the Company shall require such successor to the Company to expressly and unconditionally assume the Plan in writing and honor the obligations of the Company hereunder, in the same manner and to the same extent that the Company would be required to perform if no succession had taken place.</w:t>
      </w:r>
    </w:p>
    <w:p>
      <w:pPr>
        <w:spacing w:after="0" w:line="152" w:lineRule="exact"/>
        <w:rPr>
          <w:sz w:val="20"/>
          <w:szCs w:val="20"/>
          <w:color w:val="auto"/>
        </w:rPr>
      </w:pPr>
    </w:p>
    <w:p>
      <w:pPr>
        <w:ind w:firstLine="597"/>
        <w:spacing w:after="0" w:line="294" w:lineRule="auto"/>
        <w:rPr>
          <w:sz w:val="20"/>
          <w:szCs w:val="20"/>
          <w:color w:val="auto"/>
        </w:rPr>
      </w:pPr>
      <w:r>
        <w:rPr>
          <w:rFonts w:ascii="Arial" w:cs="Arial" w:eastAsia="Arial" w:hAnsi="Arial"/>
          <w:sz w:val="18"/>
          <w:szCs w:val="18"/>
          <w:b w:val="1"/>
          <w:bCs w:val="1"/>
          <w:color w:val="010000"/>
        </w:rPr>
        <w:t xml:space="preserve">7.7 </w:t>
      </w:r>
      <w:r>
        <w:rPr>
          <w:rFonts w:ascii="Arial" w:cs="Arial" w:eastAsia="Arial" w:hAnsi="Arial"/>
          <w:sz w:val="18"/>
          <w:szCs w:val="18"/>
          <w:color w:val="000000"/>
        </w:rPr>
        <w:t>The headings and captions herein are provided for reference and convenience only, shall not be considered part of the Plan, and</w:t>
      </w:r>
      <w:r>
        <w:rPr>
          <w:rFonts w:ascii="Arial" w:cs="Arial" w:eastAsia="Arial" w:hAnsi="Arial"/>
          <w:sz w:val="18"/>
          <w:szCs w:val="18"/>
          <w:b w:val="1"/>
          <w:bCs w:val="1"/>
          <w:color w:val="010000"/>
        </w:rPr>
        <w:t xml:space="preserve"> </w:t>
      </w:r>
      <w:r>
        <w:rPr>
          <w:rFonts w:ascii="Arial" w:cs="Arial" w:eastAsia="Arial" w:hAnsi="Arial"/>
          <w:sz w:val="18"/>
          <w:szCs w:val="18"/>
          <w:color w:val="000000"/>
        </w:rPr>
        <w:t>shall not be employed in the construction of the Plan. Whenever any words are used herein in the masculine gender, they shall be construed as though they were also used in the feminine gender in all cases where they would so apply, and, whenever any words are used herein in the singular form, they shall be construed as though they were also used in the plural form in all cases where they would so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20" w:top="1327" w:right="359" w:bottom="1440" w:gutter="0" w:footer="0" w:header="0"/>
        </w:sectPr>
      </w:pPr>
    </w:p>
    <w:bookmarkStart w:id="343" w:name="page344"/>
    <w:bookmarkEnd w:id="343"/>
    <w:p>
      <w:pPr>
        <w:ind w:right="200" w:firstLine="597"/>
        <w:spacing w:after="0" w:line="277" w:lineRule="auto"/>
        <w:rPr>
          <w:sz w:val="20"/>
          <w:szCs w:val="20"/>
          <w:color w:val="auto"/>
        </w:rPr>
      </w:pPr>
      <w:r>
        <w:rPr>
          <w:rFonts w:ascii="Arial" w:cs="Arial" w:eastAsia="Arial" w:hAnsi="Arial"/>
          <w:sz w:val="20"/>
          <w:szCs w:val="20"/>
          <w:b w:val="1"/>
          <w:bCs w:val="1"/>
          <w:color w:val="010000"/>
        </w:rPr>
        <w:t xml:space="preserve">7.8 </w:t>
      </w:r>
      <w:r>
        <w:rPr>
          <w:rFonts w:ascii="Arial" w:cs="Arial" w:eastAsia="Arial" w:hAnsi="Arial"/>
          <w:sz w:val="20"/>
          <w:szCs w:val="20"/>
          <w:color w:val="000000"/>
        </w:rPr>
        <w:t>The Plan shall not be funded. No Eligible Employee shall have any right to, or interest in, any assets of any Company which</w:t>
      </w:r>
      <w:r>
        <w:rPr>
          <w:rFonts w:ascii="Arial" w:cs="Arial" w:eastAsia="Arial" w:hAnsi="Arial"/>
          <w:sz w:val="20"/>
          <w:szCs w:val="20"/>
          <w:b w:val="1"/>
          <w:bCs w:val="1"/>
          <w:color w:val="010000"/>
        </w:rPr>
        <w:t xml:space="preserve"> </w:t>
      </w:r>
      <w:r>
        <w:rPr>
          <w:rFonts w:ascii="Arial" w:cs="Arial" w:eastAsia="Arial" w:hAnsi="Arial"/>
          <w:sz w:val="20"/>
          <w:szCs w:val="20"/>
          <w:color w:val="000000"/>
        </w:rPr>
        <w:t>may be applied by the Company to the payment of benefits or other rights under the Plan.</w:t>
      </w:r>
    </w:p>
    <w:p>
      <w:pPr>
        <w:spacing w:after="0" w:line="141" w:lineRule="exact"/>
        <w:rPr>
          <w:sz w:val="20"/>
          <w:szCs w:val="20"/>
          <w:color w:val="auto"/>
        </w:rPr>
      </w:pPr>
    </w:p>
    <w:p>
      <w:pPr>
        <w:ind w:firstLine="597"/>
        <w:spacing w:after="0" w:line="265" w:lineRule="auto"/>
        <w:rPr>
          <w:sz w:val="20"/>
          <w:szCs w:val="20"/>
          <w:color w:val="auto"/>
        </w:rPr>
      </w:pPr>
      <w:r>
        <w:rPr>
          <w:rFonts w:ascii="Arial" w:cs="Arial" w:eastAsia="Arial" w:hAnsi="Arial"/>
          <w:sz w:val="19"/>
          <w:szCs w:val="19"/>
          <w:b w:val="1"/>
          <w:bCs w:val="1"/>
          <w:color w:val="010000"/>
        </w:rPr>
        <w:t xml:space="preserve">7.9 </w:t>
      </w:r>
      <w:r>
        <w:rPr>
          <w:rFonts w:ascii="Arial" w:cs="Arial" w:eastAsia="Arial" w:hAnsi="Arial"/>
          <w:sz w:val="19"/>
          <w:szCs w:val="19"/>
          <w:color w:val="000000"/>
        </w:rPr>
        <w:t>The laws of the Commonwealth of Virginia shall govern the interpretation, validity, administration, enforcement and</w:t>
      </w:r>
      <w:r>
        <w:rPr>
          <w:rFonts w:ascii="Arial" w:cs="Arial" w:eastAsia="Arial" w:hAnsi="Arial"/>
          <w:sz w:val="19"/>
          <w:szCs w:val="19"/>
          <w:b w:val="1"/>
          <w:bCs w:val="1"/>
          <w:color w:val="010000"/>
        </w:rPr>
        <w:t xml:space="preserve"> </w:t>
      </w:r>
      <w:r>
        <w:rPr>
          <w:rFonts w:ascii="Arial" w:cs="Arial" w:eastAsia="Arial" w:hAnsi="Arial"/>
          <w:sz w:val="19"/>
          <w:szCs w:val="19"/>
          <w:color w:val="000000"/>
        </w:rPr>
        <w:t>performance of the terms of the Plan regardless of the law that might be applied under principles of conflicts of laws. The parties agree that any suit, action, or proceeding arising out of or relating to the Plan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the Plan shall for any reason be held invalid or unenforceable, it is the specific intent of the parties that such provisions shall be modified to the minimum extent necessary to make it or its application valid and enforceable.</w:t>
      </w:r>
    </w:p>
    <w:p>
      <w:pPr>
        <w:spacing w:after="0" w:line="156" w:lineRule="exact"/>
        <w:rPr>
          <w:sz w:val="20"/>
          <w:szCs w:val="20"/>
          <w:color w:val="auto"/>
        </w:rPr>
      </w:pPr>
    </w:p>
    <w:p>
      <w:pPr>
        <w:ind w:right="20" w:firstLine="597"/>
        <w:spacing w:after="0" w:line="316" w:lineRule="auto"/>
        <w:rPr>
          <w:sz w:val="20"/>
          <w:szCs w:val="20"/>
          <w:color w:val="auto"/>
        </w:rPr>
      </w:pPr>
      <w:r>
        <w:rPr>
          <w:rFonts w:ascii="Arial" w:cs="Arial" w:eastAsia="Arial" w:hAnsi="Arial"/>
          <w:sz w:val="17"/>
          <w:szCs w:val="17"/>
          <w:b w:val="1"/>
          <w:bCs w:val="1"/>
          <w:color w:val="010000"/>
        </w:rPr>
        <w:t xml:space="preserve">7.10 </w:t>
      </w:r>
      <w:r>
        <w:rPr>
          <w:rFonts w:ascii="Arial" w:cs="Arial" w:eastAsia="Arial" w:hAnsi="Arial"/>
          <w:sz w:val="17"/>
          <w:szCs w:val="17"/>
          <w:color w:val="000000"/>
        </w:rPr>
        <w:t>Each Eligible Employee agrees to shorten the applicable statute of limitations and agrees that no claims or causes of actions</w:t>
      </w:r>
      <w:r>
        <w:rPr>
          <w:rFonts w:ascii="Arial" w:cs="Arial" w:eastAsia="Arial" w:hAnsi="Arial"/>
          <w:sz w:val="17"/>
          <w:szCs w:val="17"/>
          <w:b w:val="1"/>
          <w:bCs w:val="1"/>
          <w:color w:val="010000"/>
        </w:rPr>
        <w:t xml:space="preserve"> </w:t>
      </w:r>
      <w:r>
        <w:rPr>
          <w:rFonts w:ascii="Arial" w:cs="Arial" w:eastAsia="Arial" w:hAnsi="Arial"/>
          <w:sz w:val="17"/>
          <w:szCs w:val="17"/>
          <w:color w:val="000000"/>
        </w:rPr>
        <w:t>may be brought against the Company or any its subsidiaries or affiliates or any of their directors, officers, employees, controlling persons, agents or representatives based upon, directly or indirectly, any claim that arises under the Plan more than twelve (12) months after the date of the action that is the subject of the claim or lawsuit. Each Eligible Employee agrees to waive any statute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140"/>
          </w:cols>
          <w:pgMar w:left="320" w:top="1321" w:right="4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7"/>
          <w:szCs w:val="17"/>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Leonardo DRS,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OMNIBUS EQUITY COMPENSATION PLAN</w:t>
      </w:r>
    </w:p>
    <w:p>
      <w:pPr>
        <w:spacing w:after="0" w:line="184"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I</w:t>
      </w:r>
    </w:p>
    <w:p>
      <w:pPr>
        <w:spacing w:after="0" w:line="28"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7"/>
          <w:szCs w:val="17"/>
          <w:b w:val="1"/>
          <w:bCs w:val="1"/>
          <w:color w:val="auto"/>
        </w:rPr>
        <w:t>Purpose</w:t>
      </w:r>
    </w:p>
    <w:p>
      <w:pPr>
        <w:spacing w:after="0" w:line="212"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The purpose of the Leonardo DRS, Inc. 2021 Omnibus Equity Compensation Plan (as amended from time to time, the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is to help the Company (as hereinafter defined): (1) attract, retain and motivate key employees (including prospective employees),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consultants and non-employee directors of Leonardo DRS,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(2) align the interests of such</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persons with the Company’s stockholders; and (3) promote ownership of the Company’s equity.</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Definitions of Certain Terms</w:t>
      </w:r>
    </w:p>
    <w:p>
      <w:pPr>
        <w:spacing w:after="0" w:line="21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For purposes of this Plan, the following terms have the meanings set forth below:</w:t>
      </w:r>
    </w:p>
    <w:p>
      <w:pPr>
        <w:spacing w:after="0" w:line="200"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Acquisition Awards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1.6.1</w:t>
      </w:r>
      <w:r>
        <w:rPr>
          <w:rFonts w:ascii="Arial" w:cs="Arial" w:eastAsia="Arial" w:hAnsi="Arial"/>
          <w:sz w:val="18"/>
          <w:szCs w:val="18"/>
          <w:color w:val="auto"/>
        </w:rPr>
        <w:t>.</w:t>
      </w:r>
    </w:p>
    <w:p>
      <w:pPr>
        <w:spacing w:after="0" w:line="206"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shall have the meaning set forth in Rule 12b-2 promulgated under section 12 of the Exchange Act.</w:t>
      </w:r>
    </w:p>
    <w:p>
      <w:pPr>
        <w:spacing w:after="0" w:line="206"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Award</w:t>
      </w:r>
      <w:r>
        <w:rPr>
          <w:rFonts w:ascii="Arial" w:cs="Arial" w:eastAsia="Arial" w:hAnsi="Arial"/>
          <w:sz w:val="17"/>
          <w:szCs w:val="17"/>
          <w:color w:val="auto"/>
        </w:rPr>
        <w:t>” means an award made pursuant to the Plan.</w:t>
      </w:r>
    </w:p>
    <w:p>
      <w:pPr>
        <w:spacing w:after="0" w:line="206" w:lineRule="exact"/>
        <w:rPr>
          <w:sz w:val="20"/>
          <w:szCs w:val="20"/>
          <w:color w:val="auto"/>
        </w:rPr>
      </w:pPr>
    </w:p>
    <w:p>
      <w:pPr>
        <w:ind w:right="240" w:firstLine="597"/>
        <w:spacing w:after="0" w:line="254" w:lineRule="auto"/>
        <w:rPr>
          <w:sz w:val="20"/>
          <w:szCs w:val="20"/>
          <w:color w:val="auto"/>
        </w:rPr>
      </w:pPr>
      <w:r>
        <w:rPr>
          <w:rFonts w:ascii="Arial" w:cs="Arial" w:eastAsia="Arial" w:hAnsi="Arial"/>
          <w:sz w:val="20"/>
          <w:szCs w:val="20"/>
          <w:color w:val="auto"/>
        </w:rPr>
        <w:t>1.2.4 “</w:t>
      </w:r>
      <w:r>
        <w:rPr>
          <w:rFonts w:ascii="Arial" w:cs="Arial" w:eastAsia="Arial" w:hAnsi="Arial"/>
          <w:sz w:val="20"/>
          <w:szCs w:val="20"/>
          <w:b w:val="1"/>
          <w:bCs w:val="1"/>
          <w:u w:val="single" w:color="auto"/>
          <w:color w:val="auto"/>
        </w:rPr>
        <w:t>Award Agreement</w:t>
      </w:r>
      <w:r>
        <w:rPr>
          <w:rFonts w:ascii="Arial" w:cs="Arial" w:eastAsia="Arial" w:hAnsi="Arial"/>
          <w:sz w:val="20"/>
          <w:szCs w:val="20"/>
          <w:color w:val="auto"/>
        </w:rPr>
        <w:t>” means the written document by which each Award is evidenced, and which may, but need not be (as determined by the Committee) executed or acknowledged (including any electronic acceptance or acknowledgement) by a Participant as a condition to receiving an Award, and which sets forth the terms and provisions applicable to Awards granted under the Plan to such Participant. Any reference herein to an agreement in writing will be deemed to include an electronic writing to the extent permitted by applicable law.</w:t>
      </w:r>
    </w:p>
    <w:p>
      <w:pPr>
        <w:spacing w:after="0" w:line="164"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06"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Business Combination</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1.2.9(c)</w:t>
      </w:r>
      <w:r>
        <w:rPr>
          <w:rFonts w:ascii="Arial" w:cs="Arial" w:eastAsia="Arial" w:hAnsi="Arial"/>
          <w:sz w:val="17"/>
          <w:szCs w:val="17"/>
          <w:color w:val="auto"/>
        </w:rPr>
        <w:t>.</w:t>
      </w:r>
    </w:p>
    <w:p>
      <w:pPr>
        <w:spacing w:after="0" w:line="206" w:lineRule="exact"/>
        <w:rPr>
          <w:sz w:val="20"/>
          <w:szCs w:val="20"/>
          <w:color w:val="auto"/>
        </w:rPr>
      </w:pPr>
    </w:p>
    <w:p>
      <w:pPr>
        <w:ind w:right="20" w:firstLine="597"/>
        <w:spacing w:after="0" w:line="284"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means (a) with respect to a Participant employed pursuant to a written employment agreement which agreement includes a definition of “Cause,” “Cause” as defined in that agreement or (b) with respect to any other Participant, the occurrence of any of the following: (i) the Participant’s repeated or continued failure to perform his or her duties to the Company’s satisfaction (other than any such failure resulting from incapacity due to physical or mental illness), as determined in the Company’s sole discretion; (ii) the Participant’s engagement in dishonesty, illegal conduct or misconduct; (iii) the Participant’s embezzlement, misappropriation or fraud, whether or not related to the Participant’s employment with the Company; (iv) the Participant’s conviction of, or plea of guilty or nolo contendere to, a crime that constitutes a felony (or state law equivalent) or crime that constitutes a misdemeanor</w:t>
      </w:r>
    </w:p>
    <w:p>
      <w:pPr>
        <w:sectPr>
          <w:pgSz w:w="11900" w:h="16838" w:orient="portrait"/>
          <w:cols w:equalWidth="0" w:num="1">
            <w:col w:w="11240"/>
          </w:cols>
          <w:pgMar w:left="320" w:top="122" w:right="339" w:bottom="1440" w:gutter="0" w:footer="0" w:header="0"/>
        </w:sectPr>
      </w:pPr>
    </w:p>
    <w:bookmarkStart w:id="345" w:name="page346"/>
    <w:bookmarkEnd w:id="345"/>
    <w:p>
      <w:pPr>
        <w:ind w:right="20"/>
        <w:spacing w:after="0" w:line="271" w:lineRule="auto"/>
        <w:rPr>
          <w:sz w:val="20"/>
          <w:szCs w:val="20"/>
          <w:color w:val="auto"/>
        </w:rPr>
      </w:pPr>
      <w:r>
        <w:rPr>
          <w:rFonts w:ascii="Arial" w:cs="Arial" w:eastAsia="Arial" w:hAnsi="Arial"/>
          <w:sz w:val="20"/>
          <w:szCs w:val="20"/>
          <w:color w:val="auto"/>
        </w:rPr>
        <w:t>involving moral turpitude; or (v) the Participant’s violations of the Company’s code of ethics and business conduct, as amended from time to time, as determined in the Company’s sole discretion.</w:t>
      </w:r>
    </w:p>
    <w:p>
      <w:pPr>
        <w:spacing w:after="0" w:line="14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Certificate</w:t>
      </w:r>
      <w:r>
        <w:rPr>
          <w:rFonts w:ascii="Arial" w:cs="Arial" w:eastAsia="Arial" w:hAnsi="Arial"/>
          <w:sz w:val="18"/>
          <w:szCs w:val="18"/>
          <w:color w:val="auto"/>
        </w:rPr>
        <w:t>” means a stock certificate (or other appropriate document or evidence of ownership) representing Shares.</w:t>
      </w:r>
    </w:p>
    <w:p>
      <w:pPr>
        <w:spacing w:after="0" w:line="206" w:lineRule="exact"/>
        <w:rPr>
          <w:sz w:val="20"/>
          <w:szCs w:val="20"/>
          <w:color w:val="auto"/>
        </w:rPr>
      </w:pPr>
    </w:p>
    <w:p>
      <w:pPr>
        <w:ind w:right="220" w:firstLine="597"/>
        <w:spacing w:after="0" w:line="277" w:lineRule="auto"/>
        <w:rPr>
          <w:sz w:val="20"/>
          <w:szCs w:val="20"/>
          <w:color w:val="auto"/>
        </w:rPr>
      </w:pPr>
      <w:r>
        <w:rPr>
          <w:rFonts w:ascii="Arial" w:cs="Arial" w:eastAsia="Arial" w:hAnsi="Arial"/>
          <w:sz w:val="20"/>
          <w:szCs w:val="20"/>
          <w:color w:val="auto"/>
        </w:rPr>
        <w:t>1.2.9 “</w:t>
      </w: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means, except in connection with any initial public offering of the Common Stock, the occurrence of any of the following events after the completion of the initial public offering of the Company:</w:t>
      </w:r>
    </w:p>
    <w:p>
      <w:pPr>
        <w:spacing w:after="0" w:line="141" w:lineRule="exact"/>
        <w:rPr>
          <w:sz w:val="20"/>
          <w:szCs w:val="20"/>
          <w:color w:val="auto"/>
        </w:rPr>
      </w:pPr>
    </w:p>
    <w:p>
      <w:pPr>
        <w:ind w:firstLine="1194"/>
        <w:spacing w:after="0" w:line="264" w:lineRule="auto"/>
        <w:tabs>
          <w:tab w:leader="none" w:pos="1615" w:val="left"/>
        </w:tabs>
        <w:numPr>
          <w:ilvl w:val="1"/>
          <w:numId w:val="226"/>
        </w:numPr>
        <w:rPr>
          <w:rFonts w:ascii="Arial" w:cs="Arial" w:eastAsia="Arial" w:hAnsi="Arial"/>
          <w:sz w:val="19"/>
          <w:szCs w:val="19"/>
          <w:color w:val="auto"/>
        </w:rPr>
      </w:pPr>
      <w:r>
        <w:rPr>
          <w:rFonts w:ascii="Arial" w:cs="Arial" w:eastAsia="Arial" w:hAnsi="Arial"/>
          <w:sz w:val="19"/>
          <w:szCs w:val="19"/>
          <w:color w:val="auto"/>
        </w:rPr>
        <w:t>during any period of 12 months, individuals who constitute the Board as of the date hereof (the “</w:t>
      </w:r>
      <w:r>
        <w:rPr>
          <w:rFonts w:ascii="Arial" w:cs="Arial" w:eastAsia="Arial" w:hAnsi="Arial"/>
          <w:sz w:val="19"/>
          <w:szCs w:val="19"/>
          <w:b w:val="1"/>
          <w:bCs w:val="1"/>
          <w:u w:val="single" w:color="auto"/>
          <w:color w:val="auto"/>
        </w:rPr>
        <w:t>Incumbent Directors</w:t>
      </w:r>
      <w:r>
        <w:rPr>
          <w:rFonts w:ascii="Arial" w:cs="Arial" w:eastAsia="Arial" w:hAnsi="Arial"/>
          <w:sz w:val="19"/>
          <w:szCs w:val="19"/>
          <w:color w:val="auto"/>
        </w:rPr>
        <w:t xml:space="preserve">”) cease for any reason to constitute at least a majority of the Board,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person becoming a director subsequent to the beginning of such period,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will be an Incumbent Director;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this Section 1.2.9(a) shall not be in effect until there are no Leonardo S.p.A “Proxy Holders” (as defined in the Proxy Agreement between Leonardo S.p.A, the Company and other parties thereto, dated as of October 26, 2017) on the Board;</w:t>
      </w:r>
    </w:p>
    <w:p>
      <w:pPr>
        <w:spacing w:after="0" w:line="165" w:lineRule="exact"/>
        <w:rPr>
          <w:rFonts w:ascii="Arial" w:cs="Arial" w:eastAsia="Arial" w:hAnsi="Arial"/>
          <w:sz w:val="19"/>
          <w:szCs w:val="19"/>
          <w:color w:val="auto"/>
        </w:rPr>
      </w:pPr>
    </w:p>
    <w:p>
      <w:pPr>
        <w:ind w:left="1620" w:hanging="426"/>
        <w:spacing w:after="0"/>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“person” (as such term is defined in Section 3(a)(9) of the Exchange Act and as used in Sections 13(d)(3) and 14(d)</w:t>
      </w:r>
    </w:p>
    <w:p>
      <w:pPr>
        <w:spacing w:after="0" w:line="45" w:lineRule="exact"/>
        <w:rPr>
          <w:rFonts w:ascii="Arial" w:cs="Arial" w:eastAsia="Arial" w:hAnsi="Arial"/>
          <w:sz w:val="18"/>
          <w:szCs w:val="18"/>
          <w:color w:val="auto"/>
        </w:rPr>
      </w:pPr>
    </w:p>
    <w:p>
      <w:pPr>
        <w:spacing w:after="0" w:line="274" w:lineRule="auto"/>
        <w:tabs>
          <w:tab w:leader="none" w:pos="28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of the Exchange Act), becomes a “beneficial owner” (as defined in Rule 13d-3 under the Exchange Act), directly or indirectly, of securities of the Company representing 30% or more of the combined voting power of the Company’s then-outstanding securities eligible to vote for the election of the Board (“</w:t>
      </w:r>
      <w:r>
        <w:rPr>
          <w:rFonts w:ascii="Arial" w:cs="Arial" w:eastAsia="Arial" w:hAnsi="Arial"/>
          <w:sz w:val="18"/>
          <w:szCs w:val="18"/>
          <w:b w:val="1"/>
          <w:bCs w:val="1"/>
          <w:u w:val="single" w:color="auto"/>
          <w:color w:val="auto"/>
        </w:rPr>
        <w:t>Company Voting 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event described in this paragraph (b) will not be deemed to be a Change in Control by virtue of the ownership, or acquisition, of Company Voting Securities: (A) by the Company, (B) by any employee benefit plan (or related trust) sponsored or maintained by the Company, (C) by any underwriter temporarily holding securities pursuant to an offering of such securities, (D) pursuant to a Non-Qualifying Transaction (as defined in paragraph (c) of this definition), or</w:t>
      </w:r>
    </w:p>
    <w:p>
      <w:pPr>
        <w:spacing w:after="0"/>
        <w:rPr>
          <w:rFonts w:ascii="Arial" w:cs="Arial" w:eastAsia="Arial" w:hAnsi="Arial"/>
          <w:sz w:val="18"/>
          <w:szCs w:val="18"/>
          <w:color w:val="auto"/>
        </w:rPr>
      </w:pPr>
      <w:r>
        <w:rPr>
          <w:rFonts w:ascii="Arial" w:cs="Arial" w:eastAsia="Arial" w:hAnsi="Arial"/>
          <w:sz w:val="20"/>
          <w:szCs w:val="20"/>
          <w:color w:val="auto"/>
        </w:rPr>
        <w:t>(E) by Leonardo S.p.A or any of its direct or indirect Subsidiaries;</w:t>
      </w:r>
    </w:p>
    <w:p>
      <w:pPr>
        <w:spacing w:after="0" w:line="189" w:lineRule="exact"/>
        <w:rPr>
          <w:rFonts w:ascii="Arial" w:cs="Arial" w:eastAsia="Arial" w:hAnsi="Arial"/>
          <w:sz w:val="18"/>
          <w:szCs w:val="18"/>
          <w:color w:val="auto"/>
        </w:rPr>
      </w:pPr>
    </w:p>
    <w:p>
      <w:pPr>
        <w:ind w:right="80" w:firstLine="1194"/>
        <w:spacing w:after="0" w:line="251" w:lineRule="auto"/>
        <w:tabs>
          <w:tab w:leader="none" w:pos="1615" w:val="left"/>
        </w:tabs>
        <w:numPr>
          <w:ilvl w:val="1"/>
          <w:numId w:val="227"/>
        </w:numPr>
        <w:rPr>
          <w:rFonts w:ascii="Arial" w:cs="Arial" w:eastAsia="Arial" w:hAnsi="Arial"/>
          <w:sz w:val="20"/>
          <w:szCs w:val="20"/>
          <w:color w:val="auto"/>
        </w:rPr>
      </w:pPr>
      <w:r>
        <w:rPr>
          <w:rFonts w:ascii="Arial" w:cs="Arial" w:eastAsia="Arial" w:hAnsi="Arial"/>
          <w:sz w:val="20"/>
          <w:szCs w:val="20"/>
          <w:color w:val="auto"/>
        </w:rPr>
        <w:t>the consummation of a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20"/>
          <w:szCs w:val="20"/>
          <w:b w:val="1"/>
          <w:bCs w:val="1"/>
          <w:u w:val="single" w:color="auto"/>
          <w:color w:val="auto"/>
        </w:rPr>
        <w:t>Business Combination</w:t>
      </w:r>
      <w:r>
        <w:rPr>
          <w:rFonts w:ascii="Arial" w:cs="Arial" w:eastAsia="Arial" w:hAnsi="Arial"/>
          <w:sz w:val="20"/>
          <w:szCs w:val="20"/>
          <w:color w:val="auto"/>
        </w:rPr>
        <w:t>”), excluding such a Business Combination with Leonardo S.p.A or any of its direct or indirect subsidiaries, unless immediately following such Business Combination: (A) more than 60% of the total voting power of (x) the entity resulting from such Business Combination (the “</w:t>
      </w:r>
      <w:r>
        <w:rPr>
          <w:rFonts w:ascii="Arial" w:cs="Arial" w:eastAsia="Arial" w:hAnsi="Arial"/>
          <w:sz w:val="20"/>
          <w:szCs w:val="20"/>
          <w:b w:val="1"/>
          <w:bCs w:val="1"/>
          <w:u w:val="single" w:color="auto"/>
          <w:color w:val="auto"/>
        </w:rPr>
        <w:t>Surviving Entity</w:t>
      </w:r>
      <w:r>
        <w:rPr>
          <w:rFonts w:ascii="Arial" w:cs="Arial" w:eastAsia="Arial" w:hAnsi="Arial"/>
          <w:sz w:val="20"/>
          <w:szCs w:val="20"/>
          <w:color w:val="auto"/>
        </w:rPr>
        <w:t>”), or (y) if applicable, the ultimate parent corporation that directly or indirectly has beneficial ownership of at least 95% of the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27" w:right="339" w:bottom="1440" w:gutter="0" w:footer="0" w:header="0"/>
        </w:sectPr>
      </w:pPr>
    </w:p>
    <w:bookmarkStart w:id="346" w:name="page347"/>
    <w:bookmarkEnd w:id="346"/>
    <w:p>
      <w:pPr>
        <w:spacing w:after="0" w:line="280" w:lineRule="auto"/>
        <w:rPr>
          <w:sz w:val="20"/>
          <w:szCs w:val="20"/>
          <w:color w:val="auto"/>
        </w:rPr>
      </w:pPr>
      <w:r>
        <w:rPr>
          <w:rFonts w:ascii="Arial" w:cs="Arial" w:eastAsia="Arial" w:hAnsi="Arial"/>
          <w:sz w:val="18"/>
          <w:szCs w:val="18"/>
          <w:color w:val="auto"/>
        </w:rPr>
        <w:t>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Leonardo S.p.A or any employee benefit plan (or related trust) sponsored or maintained by the Surviving Entity or the parent), becomes the beneficial owner, directly or indirectly, of 30%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paragraph (c) will be deemed to be a “</w:t>
      </w:r>
      <w:r>
        <w:rPr>
          <w:rFonts w:ascii="Arial" w:cs="Arial" w:eastAsia="Arial" w:hAnsi="Arial"/>
          <w:sz w:val="18"/>
          <w:szCs w:val="18"/>
          <w:b w:val="1"/>
          <w:bCs w:val="1"/>
          <w:u w:val="single" w:color="auto"/>
          <w:color w:val="auto"/>
        </w:rPr>
        <w:t>Non-Qualifying Transaction</w:t>
      </w:r>
      <w:r>
        <w:rPr>
          <w:rFonts w:ascii="Arial" w:cs="Arial" w:eastAsia="Arial" w:hAnsi="Arial"/>
          <w:sz w:val="18"/>
          <w:szCs w:val="18"/>
          <w:color w:val="auto"/>
        </w:rPr>
        <w:t>”); or</w:t>
      </w:r>
    </w:p>
    <w:p>
      <w:pPr>
        <w:spacing w:after="0" w:line="149" w:lineRule="exact"/>
        <w:rPr>
          <w:sz w:val="20"/>
          <w:szCs w:val="20"/>
          <w:color w:val="auto"/>
        </w:rPr>
      </w:pPr>
    </w:p>
    <w:p>
      <w:pPr>
        <w:ind w:right="20" w:firstLine="1194"/>
        <w:spacing w:after="0" w:line="271" w:lineRule="auto"/>
        <w:tabs>
          <w:tab w:leader="none" w:pos="1626"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consummation of a sale of all or substantially all of the Company’s assets (other than to Leonardo S.p.A or any of its direct or indirect Subsidiaries or an Affiliate of the Company); or</w:t>
      </w:r>
    </w:p>
    <w:p>
      <w:pPr>
        <w:spacing w:after="0" w:line="152" w:lineRule="exact"/>
        <w:rPr>
          <w:rFonts w:ascii="Arial" w:cs="Arial" w:eastAsia="Arial" w:hAnsi="Arial"/>
          <w:sz w:val="20"/>
          <w:szCs w:val="20"/>
          <w:color w:val="auto"/>
        </w:rPr>
      </w:pPr>
    </w:p>
    <w:p>
      <w:pPr>
        <w:ind w:left="1620" w:hanging="426"/>
        <w:spacing w:after="0"/>
        <w:tabs>
          <w:tab w:leader="none" w:pos="162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Company’s stockholders approve a plan of complete liquidation or dissolution of the Company.</w:t>
      </w:r>
    </w:p>
    <w:p>
      <w:pPr>
        <w:spacing w:after="0" w:line="206" w:lineRule="exact"/>
        <w:rPr>
          <w:sz w:val="20"/>
          <w:szCs w:val="20"/>
          <w:color w:val="auto"/>
        </w:rPr>
      </w:pPr>
    </w:p>
    <w:p>
      <w:pPr>
        <w:ind w:right="80" w:firstLine="597"/>
        <w:spacing w:after="0" w:line="251" w:lineRule="auto"/>
        <w:rPr>
          <w:sz w:val="20"/>
          <w:szCs w:val="20"/>
          <w:color w:val="auto"/>
        </w:rPr>
      </w:pPr>
      <w:r>
        <w:rPr>
          <w:rFonts w:ascii="Arial" w:cs="Arial" w:eastAsia="Arial" w:hAnsi="Arial"/>
          <w:sz w:val="20"/>
          <w:szCs w:val="20"/>
          <w:color w:val="auto"/>
        </w:rPr>
        <w:t xml:space="preserve">Notwithstanding the foregoing, a Change in Control will not be deemed to occur solely because any person acquires beneficial ownership of more than 30% of the Company Voting Securities as a result of the acquisition of Company Voting Securities by the Company which reduces the number of Company Voting Securities outstanding;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if after such acquisition by the Company such person (other than Leonardo S.p.A or any of its direct or indirect Subsidiaries) becomes the beneficial owner of additional Company Voting Securities that increases the percentage of outstanding Company Voting Securities beneficially owned by such person, a Change in Control will then occur.</w:t>
      </w:r>
    </w:p>
    <w:p>
      <w:pPr>
        <w:spacing w:after="0" w:line="169" w:lineRule="exact"/>
        <w:rPr>
          <w:sz w:val="20"/>
          <w:szCs w:val="20"/>
          <w:color w:val="auto"/>
        </w:rPr>
      </w:pPr>
    </w:p>
    <w:p>
      <w:pPr>
        <w:ind w:right="740" w:firstLine="597"/>
        <w:spacing w:after="0" w:line="277" w:lineRule="auto"/>
        <w:rPr>
          <w:sz w:val="20"/>
          <w:szCs w:val="20"/>
          <w:color w:val="auto"/>
        </w:rPr>
      </w:pPr>
      <w:r>
        <w:rPr>
          <w:rFonts w:ascii="Arial" w:cs="Arial" w:eastAsia="Arial" w:hAnsi="Arial"/>
          <w:sz w:val="20"/>
          <w:szCs w:val="20"/>
          <w:color w:val="auto"/>
        </w:rPr>
        <w:t>1.2.10 “</w:t>
      </w: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means the Internal Revenue Code of 1986, as amended from time to time, or any successor thereto, and the applicable rulings and regulations thereunder.</w:t>
      </w:r>
    </w:p>
    <w:p>
      <w:pPr>
        <w:spacing w:after="0" w:line="141" w:lineRule="exact"/>
        <w:rPr>
          <w:sz w:val="20"/>
          <w:szCs w:val="20"/>
          <w:color w:val="auto"/>
        </w:rPr>
      </w:pPr>
    </w:p>
    <w:p>
      <w:pPr>
        <w:ind w:left="600"/>
        <w:spacing w:after="0"/>
        <w:tabs>
          <w:tab w:leader="none" w:pos="1260" w:val="left"/>
        </w:tabs>
        <w:rPr>
          <w:sz w:val="20"/>
          <w:szCs w:val="20"/>
          <w:color w:val="auto"/>
        </w:rPr>
      </w:pPr>
      <w:r>
        <w:rPr>
          <w:rFonts w:ascii="Arial" w:cs="Arial" w:eastAsia="Arial" w:hAnsi="Arial"/>
          <w:sz w:val="20"/>
          <w:szCs w:val="20"/>
          <w:color w:val="auto"/>
        </w:rPr>
        <w:t>1.2.11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06" w:lineRule="exact"/>
        <w:rPr>
          <w:sz w:val="20"/>
          <w:szCs w:val="20"/>
          <w:color w:val="auto"/>
        </w:rPr>
      </w:pPr>
    </w:p>
    <w:p>
      <w:pPr>
        <w:ind w:right="40" w:firstLine="597"/>
        <w:spacing w:after="0" w:line="277" w:lineRule="auto"/>
        <w:rPr>
          <w:sz w:val="20"/>
          <w:szCs w:val="20"/>
          <w:color w:val="auto"/>
        </w:rPr>
      </w:pPr>
      <w:r>
        <w:rPr>
          <w:rFonts w:ascii="Arial" w:cs="Arial" w:eastAsia="Arial" w:hAnsi="Arial"/>
          <w:sz w:val="20"/>
          <w:szCs w:val="20"/>
          <w:color w:val="auto"/>
        </w:rPr>
        <w:t>1.2.12 “</w:t>
      </w:r>
      <w:r>
        <w:rPr>
          <w:rFonts w:ascii="Arial" w:cs="Arial" w:eastAsia="Arial" w:hAnsi="Arial"/>
          <w:sz w:val="20"/>
          <w:szCs w:val="20"/>
          <w:b w:val="1"/>
          <w:bCs w:val="1"/>
          <w:u w:val="single" w:color="auto"/>
          <w:color w:val="auto"/>
        </w:rPr>
        <w:t>Common Stock</w:t>
      </w:r>
      <w:r>
        <w:rPr>
          <w:rFonts w:ascii="Arial" w:cs="Arial" w:eastAsia="Arial" w:hAnsi="Arial"/>
          <w:sz w:val="20"/>
          <w:szCs w:val="20"/>
          <w:color w:val="auto"/>
        </w:rPr>
        <w:t xml:space="preserve">” means the common stock of the Company, par value $0.01 per share, and any other securities or property issued in exchange therefor or in lieu thereof pursuant to </w:t>
      </w:r>
      <w:r>
        <w:rPr>
          <w:rFonts w:ascii="Arial" w:cs="Arial" w:eastAsia="Arial" w:hAnsi="Arial"/>
          <w:sz w:val="20"/>
          <w:szCs w:val="20"/>
          <w:u w:val="single" w:color="auto"/>
          <w:color w:val="auto"/>
        </w:rPr>
        <w:t>Section 1.6.3</w:t>
      </w:r>
      <w:r>
        <w:rPr>
          <w:rFonts w:ascii="Arial" w:cs="Arial" w:eastAsia="Arial" w:hAnsi="Arial"/>
          <w:sz w:val="20"/>
          <w:szCs w:val="20"/>
          <w:color w:val="auto"/>
        </w:rPr>
        <w:t>.</w:t>
      </w:r>
    </w:p>
    <w:p>
      <w:pPr>
        <w:spacing w:after="0" w:line="141"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means Leonardo DRS, Inc., and any successor entity thereto.</w:t>
      </w:r>
    </w:p>
    <w:p>
      <w:pPr>
        <w:spacing w:after="0" w:line="206"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Voting Securities</w:t>
      </w:r>
      <w:r>
        <w:rPr>
          <w:rFonts w:ascii="Arial" w:cs="Arial" w:eastAsia="Arial" w:hAnsi="Arial"/>
          <w:sz w:val="18"/>
          <w:szCs w:val="18"/>
          <w:color w:val="auto"/>
        </w:rPr>
        <w:t>” has the meaning provided in the definition of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27" w:right="339" w:bottom="1440" w:gutter="0" w:footer="0" w:header="0"/>
        </w:sectPr>
      </w:pPr>
    </w:p>
    <w:bookmarkStart w:id="347" w:name="page348"/>
    <w:bookmarkEnd w:id="347"/>
    <w:p>
      <w:pPr>
        <w:ind w:left="600"/>
        <w:spacing w:after="0"/>
        <w:tabs>
          <w:tab w:leader="none" w:pos="1280" w:val="left"/>
        </w:tabs>
        <w:rPr>
          <w:sz w:val="20"/>
          <w:szCs w:val="20"/>
          <w:color w:val="auto"/>
        </w:rPr>
      </w:pPr>
      <w:r>
        <w:rPr>
          <w:rFonts w:ascii="Arial" w:cs="Arial" w:eastAsia="Arial" w:hAnsi="Arial"/>
          <w:sz w:val="20"/>
          <w:szCs w:val="20"/>
          <w:color w:val="auto"/>
        </w:rPr>
        <w:t>1.2.15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Consent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3.3.2</w:t>
      </w:r>
      <w:r>
        <w:rPr>
          <w:rFonts w:ascii="Arial" w:cs="Arial" w:eastAsia="Arial" w:hAnsi="Arial"/>
          <w:sz w:val="17"/>
          <w:szCs w:val="17"/>
          <w:color w:val="auto"/>
        </w:rPr>
        <w:t>.</w:t>
      </w:r>
    </w:p>
    <w:p>
      <w:pPr>
        <w:spacing w:after="0" w:line="206" w:lineRule="exact"/>
        <w:rPr>
          <w:sz w:val="20"/>
          <w:szCs w:val="20"/>
          <w:color w:val="auto"/>
        </w:rPr>
      </w:pPr>
    </w:p>
    <w:p>
      <w:pPr>
        <w:ind w:right="760" w:firstLine="597"/>
        <w:spacing w:after="0" w:line="277" w:lineRule="auto"/>
        <w:rPr>
          <w:sz w:val="20"/>
          <w:szCs w:val="20"/>
          <w:color w:val="auto"/>
        </w:rPr>
      </w:pPr>
      <w:r>
        <w:rPr>
          <w:rFonts w:ascii="Arial" w:cs="Arial" w:eastAsia="Arial" w:hAnsi="Arial"/>
          <w:sz w:val="20"/>
          <w:szCs w:val="20"/>
          <w:color w:val="auto"/>
        </w:rPr>
        <w:t>1.2.16 “</w:t>
      </w:r>
      <w:r>
        <w:rPr>
          <w:rFonts w:ascii="Arial" w:cs="Arial" w:eastAsia="Arial" w:hAnsi="Arial"/>
          <w:sz w:val="20"/>
          <w:szCs w:val="20"/>
          <w:b w:val="1"/>
          <w:bCs w:val="1"/>
          <w:u w:val="single" w:color="auto"/>
          <w:color w:val="auto"/>
        </w:rPr>
        <w:t>Consultant</w:t>
      </w:r>
      <w:r>
        <w:rPr>
          <w:rFonts w:ascii="Arial" w:cs="Arial" w:eastAsia="Arial" w:hAnsi="Arial"/>
          <w:sz w:val="20"/>
          <w:szCs w:val="20"/>
          <w:color w:val="auto"/>
        </w:rPr>
        <w:t>” means any individual (other than a non-employee director), corporation, partnership, limited liability company or other entity that provides bona fide consulting or advisory services to the Company.</w:t>
      </w:r>
    </w:p>
    <w:p>
      <w:pPr>
        <w:spacing w:after="0" w:line="141"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Covered Person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1.3.4</w:t>
      </w:r>
      <w:r>
        <w:rPr>
          <w:rFonts w:ascii="Arial" w:cs="Arial" w:eastAsia="Arial" w:hAnsi="Arial"/>
          <w:sz w:val="17"/>
          <w:szCs w:val="17"/>
          <w:color w:val="auto"/>
        </w:rPr>
        <w:t>.</w:t>
      </w:r>
    </w:p>
    <w:p>
      <w:pPr>
        <w:spacing w:after="0" w:line="206"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 means a member of the Board.</w:t>
      </w:r>
    </w:p>
    <w:p>
      <w:pPr>
        <w:spacing w:after="0" w:line="206" w:lineRule="exact"/>
        <w:rPr>
          <w:sz w:val="20"/>
          <w:szCs w:val="20"/>
          <w:color w:val="auto"/>
        </w:rPr>
      </w:pPr>
    </w:p>
    <w:p>
      <w:pPr>
        <w:ind w:right="240" w:firstLine="597"/>
        <w:spacing w:after="0" w:line="262" w:lineRule="auto"/>
        <w:rPr>
          <w:sz w:val="20"/>
          <w:szCs w:val="20"/>
          <w:color w:val="auto"/>
        </w:rPr>
      </w:pPr>
      <w:r>
        <w:rPr>
          <w:rFonts w:ascii="Arial" w:cs="Arial" w:eastAsia="Arial" w:hAnsi="Arial"/>
          <w:sz w:val="20"/>
          <w:szCs w:val="20"/>
          <w:color w:val="auto"/>
        </w:rPr>
        <w:t>1.2.19 “</w:t>
      </w:r>
      <w:r>
        <w:rPr>
          <w:rFonts w:ascii="Arial" w:cs="Arial" w:eastAsia="Arial" w:hAnsi="Arial"/>
          <w:sz w:val="20"/>
          <w:szCs w:val="20"/>
          <w:b w:val="1"/>
          <w:bCs w:val="1"/>
          <w:u w:val="single" w:color="auto"/>
          <w:color w:val="auto"/>
        </w:rPr>
        <w:t>Disability</w:t>
      </w:r>
      <w:r>
        <w:rPr>
          <w:rFonts w:ascii="Arial" w:cs="Arial" w:eastAsia="Arial" w:hAnsi="Arial"/>
          <w:sz w:val="20"/>
          <w:szCs w:val="20"/>
          <w:color w:val="auto"/>
        </w:rPr>
        <w:t>” means, unless otherwise defined in an employment agreement between the Participant and the Company, a Participant’s inability to perform the duties of his or her employment on a full-time basis for six (6) consecutive months, as determined by the Committee.</w:t>
      </w:r>
    </w:p>
    <w:p>
      <w:pPr>
        <w:spacing w:after="0" w:line="155"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3.25</w:t>
      </w:r>
      <w:r>
        <w:rPr>
          <w:rFonts w:ascii="Arial" w:cs="Arial" w:eastAsia="Arial" w:hAnsi="Arial"/>
          <w:sz w:val="18"/>
          <w:szCs w:val="18"/>
          <w:color w:val="auto"/>
        </w:rPr>
        <w:t>.</w:t>
      </w:r>
    </w:p>
    <w:p>
      <w:pPr>
        <w:spacing w:after="0" w:line="206" w:lineRule="exact"/>
        <w:rPr>
          <w:sz w:val="20"/>
          <w:szCs w:val="20"/>
          <w:color w:val="auto"/>
        </w:rPr>
      </w:pPr>
    </w:p>
    <w:p>
      <w:pPr>
        <w:ind w:right="760" w:firstLine="597"/>
        <w:spacing w:after="0" w:line="277" w:lineRule="auto"/>
        <w:rPr>
          <w:sz w:val="20"/>
          <w:szCs w:val="20"/>
          <w:color w:val="auto"/>
        </w:rPr>
      </w:pPr>
      <w:r>
        <w:rPr>
          <w:rFonts w:ascii="Arial" w:cs="Arial" w:eastAsia="Arial" w:hAnsi="Arial"/>
          <w:sz w:val="20"/>
          <w:szCs w:val="20"/>
          <w:color w:val="auto"/>
        </w:rPr>
        <w:t>1.2.21 “</w:t>
      </w:r>
      <w:r>
        <w:rPr>
          <w:rFonts w:ascii="Arial" w:cs="Arial" w:eastAsia="Arial" w:hAnsi="Arial"/>
          <w:sz w:val="20"/>
          <w:szCs w:val="20"/>
          <w:b w:val="1"/>
          <w:bCs w:val="1"/>
          <w:u w:val="single" w:color="auto"/>
          <w:color w:val="auto"/>
        </w:rPr>
        <w:t>Employee</w:t>
      </w:r>
      <w:r>
        <w:rPr>
          <w:rFonts w:ascii="Arial" w:cs="Arial" w:eastAsia="Arial" w:hAnsi="Arial"/>
          <w:sz w:val="20"/>
          <w:szCs w:val="20"/>
          <w:color w:val="auto"/>
        </w:rPr>
        <w:t>” means a regular, active employee or a prospective employee of the Company, but not including a non-employee director.</w:t>
      </w:r>
    </w:p>
    <w:p>
      <w:pPr>
        <w:spacing w:after="0" w:line="141" w:lineRule="exact"/>
        <w:rPr>
          <w:sz w:val="20"/>
          <w:szCs w:val="20"/>
          <w:color w:val="auto"/>
        </w:rPr>
      </w:pPr>
    </w:p>
    <w:p>
      <w:pPr>
        <w:ind w:firstLine="597"/>
        <w:spacing w:after="0" w:line="268" w:lineRule="auto"/>
        <w:rPr>
          <w:sz w:val="20"/>
          <w:szCs w:val="20"/>
          <w:color w:val="auto"/>
        </w:rPr>
      </w:pPr>
      <w:r>
        <w:rPr>
          <w:rFonts w:ascii="Arial" w:cs="Arial" w:eastAsia="Arial" w:hAnsi="Arial"/>
          <w:sz w:val="19"/>
          <w:szCs w:val="19"/>
          <w:color w:val="auto"/>
        </w:rPr>
        <w:t>1.2.22 “</w:t>
      </w:r>
      <w:r>
        <w:rPr>
          <w:rFonts w:ascii="Arial" w:cs="Arial" w:eastAsia="Arial" w:hAnsi="Arial"/>
          <w:sz w:val="19"/>
          <w:szCs w:val="19"/>
          <w:b w:val="1"/>
          <w:bCs w:val="1"/>
          <w:u w:val="single" w:color="auto"/>
          <w:color w:val="auto"/>
        </w:rPr>
        <w:t>Employment</w:t>
      </w:r>
      <w:r>
        <w:rPr>
          <w:rFonts w:ascii="Arial" w:cs="Arial" w:eastAsia="Arial" w:hAnsi="Arial"/>
          <w:sz w:val="19"/>
          <w:szCs w:val="19"/>
          <w:color w:val="auto"/>
        </w:rPr>
        <w:t>” means a Participant’s performance of services for the Company, as determined by the Committee. The terms “employ” and “employed” will have their correlative meanings. The Committee in its sole discretion may determine (a) whether and when a Participant’s leave of absence results in a termination of Employment, (b) whether and when a change in a Participant’s association with the Company results in a termination of Employment and (c) the impact, if any, of any such leave of absence or change in association on outstanding Awards. Unless expressly provided otherwise, any references in the Plan or any Award Agreement to a Participant’s Employment being terminated will include both voluntary and involuntary terminations.</w:t>
      </w:r>
    </w:p>
    <w:p>
      <w:pPr>
        <w:spacing w:after="0" w:line="154" w:lineRule="exact"/>
        <w:rPr>
          <w:sz w:val="20"/>
          <w:szCs w:val="20"/>
          <w:color w:val="auto"/>
        </w:rPr>
      </w:pPr>
    </w:p>
    <w:p>
      <w:pPr>
        <w:ind w:right="180" w:firstLine="597"/>
        <w:spacing w:after="0" w:line="277" w:lineRule="auto"/>
        <w:rPr>
          <w:sz w:val="20"/>
          <w:szCs w:val="20"/>
          <w:color w:val="auto"/>
        </w:rPr>
      </w:pPr>
      <w:r>
        <w:rPr>
          <w:rFonts w:ascii="Arial" w:cs="Arial" w:eastAsia="Arial" w:hAnsi="Arial"/>
          <w:sz w:val="20"/>
          <w:szCs w:val="20"/>
          <w:color w:val="auto"/>
        </w:rPr>
        <w:t>1.2.23 “</w:t>
      </w:r>
      <w:r>
        <w:rPr>
          <w:rFonts w:ascii="Arial" w:cs="Arial" w:eastAsia="Arial" w:hAnsi="Arial"/>
          <w:sz w:val="20"/>
          <w:szCs w:val="20"/>
          <w:b w:val="1"/>
          <w:bCs w:val="1"/>
          <w:u w:val="single" w:color="auto"/>
          <w:color w:val="auto"/>
        </w:rPr>
        <w:t>Exchange Act</w:t>
      </w:r>
      <w:r>
        <w:rPr>
          <w:rFonts w:ascii="Arial" w:cs="Arial" w:eastAsia="Arial" w:hAnsi="Arial"/>
          <w:sz w:val="20"/>
          <w:szCs w:val="20"/>
          <w:color w:val="auto"/>
        </w:rPr>
        <w:t>” means the Securities Exchange Act of 1934, as amended from time to time, or any successor thereto, and the applicable rules and regulations thereunder.</w:t>
      </w:r>
    </w:p>
    <w:p>
      <w:pPr>
        <w:spacing w:after="0" w:line="141" w:lineRule="exact"/>
        <w:rPr>
          <w:sz w:val="20"/>
          <w:szCs w:val="20"/>
          <w:color w:val="auto"/>
        </w:rPr>
      </w:pPr>
    </w:p>
    <w:p>
      <w:pPr>
        <w:ind w:right="80" w:firstLine="597"/>
        <w:spacing w:after="0" w:line="251" w:lineRule="auto"/>
        <w:rPr>
          <w:sz w:val="20"/>
          <w:szCs w:val="20"/>
          <w:color w:val="auto"/>
        </w:rPr>
      </w:pPr>
      <w:r>
        <w:rPr>
          <w:rFonts w:ascii="Arial" w:cs="Arial" w:eastAsia="Arial" w:hAnsi="Arial"/>
          <w:sz w:val="20"/>
          <w:szCs w:val="20"/>
          <w:color w:val="auto"/>
        </w:rPr>
        <w:t>1.2.24 “</w:t>
      </w:r>
      <w:r>
        <w:rPr>
          <w:rFonts w:ascii="Arial" w:cs="Arial" w:eastAsia="Arial" w:hAnsi="Arial"/>
          <w:sz w:val="20"/>
          <w:szCs w:val="20"/>
          <w:b w:val="1"/>
          <w:bCs w:val="1"/>
          <w:u w:val="single" w:color="auto"/>
          <w:color w:val="auto"/>
        </w:rPr>
        <w:t>Fair Market Value</w:t>
      </w:r>
      <w:r>
        <w:rPr>
          <w:rFonts w:ascii="Arial" w:cs="Arial" w:eastAsia="Arial" w:hAnsi="Arial"/>
          <w:sz w:val="20"/>
          <w:szCs w:val="20"/>
          <w:color w:val="auto"/>
        </w:rPr>
        <w:t>” means, with respect to a Share, the closing price reported for the Common Stock on the applicable date as reported on the New York Stock Exchange or, if not so reported, as determined in accordance with a valuation methodology approved by the Committee, unless determined as otherwise specified herein.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w:t>
      </w:r>
    </w:p>
    <w:p>
      <w:pPr>
        <w:spacing w:after="0" w:line="170" w:lineRule="exact"/>
        <w:rPr>
          <w:sz w:val="20"/>
          <w:szCs w:val="20"/>
          <w:color w:val="auto"/>
        </w:rPr>
      </w:pPr>
    </w:p>
    <w:p>
      <w:pPr>
        <w:ind w:right="200" w:firstLine="597"/>
        <w:spacing w:after="0" w:line="262" w:lineRule="auto"/>
        <w:rPr>
          <w:sz w:val="20"/>
          <w:szCs w:val="20"/>
          <w:color w:val="auto"/>
        </w:rPr>
      </w:pPr>
      <w:r>
        <w:rPr>
          <w:rFonts w:ascii="Arial" w:cs="Arial" w:eastAsia="Arial" w:hAnsi="Arial"/>
          <w:sz w:val="20"/>
          <w:szCs w:val="20"/>
          <w:color w:val="auto"/>
        </w:rPr>
        <w:t>1.2.25 “</w:t>
      </w:r>
      <w:r>
        <w:rPr>
          <w:rFonts w:ascii="Arial" w:cs="Arial" w:eastAsia="Arial" w:hAnsi="Arial"/>
          <w:sz w:val="20"/>
          <w:szCs w:val="20"/>
          <w:b w:val="1"/>
          <w:bCs w:val="1"/>
          <w:u w:val="single" w:color="auto"/>
          <w:color w:val="auto"/>
        </w:rPr>
        <w:t>Good Reason</w:t>
      </w:r>
      <w:r>
        <w:rPr>
          <w:rFonts w:ascii="Arial" w:cs="Arial" w:eastAsia="Arial" w:hAnsi="Arial"/>
          <w:sz w:val="20"/>
          <w:szCs w:val="20"/>
          <w:color w:val="auto"/>
        </w:rPr>
        <w:t>” means, following a Change in Control, (a) with respect to a Participant employed pursuant to a written employment agreement which agreement includes a definition of “Good Reason,” “Good Reason” as defined in that agreement or (b)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21" w:right="339" w:bottom="1440" w:gutter="0" w:footer="0" w:header="0"/>
        </w:sectPr>
      </w:pPr>
    </w:p>
    <w:bookmarkStart w:id="348" w:name="page349"/>
    <w:bookmarkEnd w:id="348"/>
    <w:p>
      <w:pPr>
        <w:spacing w:after="0" w:line="280" w:lineRule="auto"/>
        <w:rPr>
          <w:sz w:val="20"/>
          <w:szCs w:val="20"/>
          <w:color w:val="auto"/>
        </w:rPr>
      </w:pPr>
      <w:r>
        <w:rPr>
          <w:rFonts w:ascii="Arial" w:cs="Arial" w:eastAsia="Arial" w:hAnsi="Arial"/>
          <w:sz w:val="18"/>
          <w:szCs w:val="18"/>
          <w:color w:val="auto"/>
        </w:rPr>
        <w:t>any other Participant, the occurrence of any of the following in the absence of the Participant’s written consent: (i) a material diminution in the Participant’s authority, duties, or responsibilities (other than temporarily while the Participant is physically or mentally incapacitated or as required by law), (ii) a material diminution in the Participant’s base salary, (iii) the relocation of the Participant’s principal place of employment to a location more than fifty (50) miles from the Participant’s principal place of employment immediately prior to the Change in Control, which constitutes a material adverse change in the geographic location with respect to such Participant or (iv) the Company’s material breach of any employment agreement to which the Company and the Participant are party at the time of such breach; provided that in any case such event is not cured by the Company (if susceptible to cure by the Company) within thirty (30) days after the Company has received written notice from the affected Participant within ninety (90) days of the initial existence of the event or condition constituting Good Reason specifying the particular events or conditions which constitute Good Reason.</w:t>
      </w:r>
    </w:p>
    <w:p>
      <w:pPr>
        <w:spacing w:after="0" w:line="148" w:lineRule="exact"/>
        <w:rPr>
          <w:sz w:val="20"/>
          <w:szCs w:val="20"/>
          <w:color w:val="auto"/>
        </w:rPr>
      </w:pPr>
    </w:p>
    <w:p>
      <w:pPr>
        <w:ind w:right="60" w:firstLine="597"/>
        <w:spacing w:after="0" w:line="262" w:lineRule="auto"/>
        <w:rPr>
          <w:sz w:val="20"/>
          <w:szCs w:val="20"/>
          <w:color w:val="auto"/>
        </w:rPr>
      </w:pPr>
      <w:r>
        <w:rPr>
          <w:rFonts w:ascii="Arial" w:cs="Arial" w:eastAsia="Arial" w:hAnsi="Arial"/>
          <w:sz w:val="20"/>
          <w:szCs w:val="20"/>
          <w:color w:val="auto"/>
        </w:rPr>
        <w:t>1.2.26 “</w:t>
      </w:r>
      <w:r>
        <w:rPr>
          <w:rFonts w:ascii="Arial" w:cs="Arial" w:eastAsia="Arial" w:hAnsi="Arial"/>
          <w:sz w:val="20"/>
          <w:szCs w:val="20"/>
          <w:b w:val="1"/>
          <w:bCs w:val="1"/>
          <w:u w:val="single" w:color="auto"/>
          <w:color w:val="auto"/>
        </w:rPr>
        <w:t>Incentive Stock Option</w:t>
      </w:r>
      <w:r>
        <w:rPr>
          <w:rFonts w:ascii="Arial" w:cs="Arial" w:eastAsia="Arial" w:hAnsi="Arial"/>
          <w:sz w:val="20"/>
          <w:szCs w:val="20"/>
          <w:color w:val="auto"/>
        </w:rPr>
        <w:t>” means a stock option to purchase Shares that is intended to be an “incentive stock option” within the meaning of Sections 421 and 422 of the Code, as now constituted or subsequently amended, or pursuant to a successor provision of the Code, and which is designated as an Incentive Stock Option in the applicable Award Agreement.</w:t>
      </w:r>
    </w:p>
    <w:p>
      <w:pPr>
        <w:spacing w:after="0" w:line="155"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Incumbent Directors</w:t>
      </w:r>
      <w:r>
        <w:rPr>
          <w:rFonts w:ascii="Arial" w:cs="Arial" w:eastAsia="Arial" w:hAnsi="Arial"/>
          <w:sz w:val="18"/>
          <w:szCs w:val="18"/>
          <w:color w:val="auto"/>
        </w:rPr>
        <w:t>” has the meaning provided in the definition of Change in Control.</w:t>
      </w:r>
    </w:p>
    <w:p>
      <w:pPr>
        <w:spacing w:after="0" w:line="206"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Non-Qualifying Transaction</w:t>
      </w:r>
      <w:r>
        <w:rPr>
          <w:rFonts w:ascii="Arial" w:cs="Arial" w:eastAsia="Arial" w:hAnsi="Arial"/>
          <w:sz w:val="18"/>
          <w:szCs w:val="18"/>
          <w:color w:val="auto"/>
        </w:rPr>
        <w:t>” has the meaning provided in the definition of Change in Control.</w:t>
      </w:r>
    </w:p>
    <w:p>
      <w:pPr>
        <w:spacing w:after="0" w:line="206"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Other Stock-Based or Cash-Based Awards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2.8.1</w:t>
      </w:r>
      <w:r>
        <w:rPr>
          <w:rFonts w:ascii="Arial" w:cs="Arial" w:eastAsia="Arial" w:hAnsi="Arial"/>
          <w:sz w:val="17"/>
          <w:szCs w:val="17"/>
          <w:color w:val="auto"/>
        </w:rPr>
        <w:t>.</w:t>
      </w:r>
    </w:p>
    <w:p>
      <w:pPr>
        <w:spacing w:after="0" w:line="206"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an Employee, Consultant or non-employee director who receives an Award.</w:t>
      </w:r>
    </w:p>
    <w:p>
      <w:pPr>
        <w:spacing w:after="0" w:line="206"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1.2.31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Performance-Based Awards</w:t>
      </w:r>
      <w:r>
        <w:rPr>
          <w:rFonts w:ascii="Arial" w:cs="Arial" w:eastAsia="Arial" w:hAnsi="Arial"/>
          <w:sz w:val="17"/>
          <w:szCs w:val="17"/>
          <w:color w:val="auto"/>
        </w:rPr>
        <w:t xml:space="preserve">” means certain Other Stock-Based or Cash-Based Awards granted pursuant to </w:t>
      </w:r>
      <w:r>
        <w:rPr>
          <w:rFonts w:ascii="Arial" w:cs="Arial" w:eastAsia="Arial" w:hAnsi="Arial"/>
          <w:sz w:val="17"/>
          <w:szCs w:val="17"/>
          <w:u w:val="single" w:color="auto"/>
          <w:color w:val="auto"/>
        </w:rPr>
        <w:t>Section 2.8.2</w:t>
      </w:r>
      <w:r>
        <w:rPr>
          <w:rFonts w:ascii="Arial" w:cs="Arial" w:eastAsia="Arial" w:hAnsi="Arial"/>
          <w:sz w:val="17"/>
          <w:szCs w:val="17"/>
          <w:color w:val="auto"/>
        </w:rPr>
        <w:t>.</w:t>
      </w:r>
    </w:p>
    <w:p>
      <w:pPr>
        <w:spacing w:after="0" w:line="206"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Performance Criteria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2.8.2</w:t>
      </w:r>
      <w:r>
        <w:rPr>
          <w:rFonts w:ascii="Arial" w:cs="Arial" w:eastAsia="Arial" w:hAnsi="Arial"/>
          <w:sz w:val="18"/>
          <w:szCs w:val="18"/>
          <w:color w:val="auto"/>
        </w:rPr>
        <w:t>.</w:t>
      </w:r>
    </w:p>
    <w:p>
      <w:pPr>
        <w:spacing w:after="0" w:line="206" w:lineRule="exact"/>
        <w:rPr>
          <w:sz w:val="20"/>
          <w:szCs w:val="20"/>
          <w:color w:val="auto"/>
        </w:rPr>
      </w:pPr>
    </w:p>
    <w:p>
      <w:pPr>
        <w:ind w:right="140" w:firstLine="597"/>
        <w:spacing w:after="0" w:line="277" w:lineRule="auto"/>
        <w:rPr>
          <w:sz w:val="20"/>
          <w:szCs w:val="20"/>
          <w:color w:val="auto"/>
        </w:rPr>
      </w:pPr>
      <w:r>
        <w:rPr>
          <w:rFonts w:ascii="Arial" w:cs="Arial" w:eastAsia="Arial" w:hAnsi="Arial"/>
          <w:sz w:val="20"/>
          <w:szCs w:val="20"/>
          <w:color w:val="auto"/>
        </w:rPr>
        <w:t>1.2.33 “</w:t>
      </w:r>
      <w:r>
        <w:rPr>
          <w:rFonts w:ascii="Arial" w:cs="Arial" w:eastAsia="Arial" w:hAnsi="Arial"/>
          <w:sz w:val="20"/>
          <w:szCs w:val="20"/>
          <w:b w:val="1"/>
          <w:bCs w:val="1"/>
          <w:u w:val="single" w:color="auto"/>
          <w:color w:val="auto"/>
        </w:rPr>
        <w:t>Performance Goals</w:t>
      </w:r>
      <w:r>
        <w:rPr>
          <w:rFonts w:ascii="Arial" w:cs="Arial" w:eastAsia="Arial" w:hAnsi="Arial"/>
          <w:sz w:val="20"/>
          <w:szCs w:val="20"/>
          <w:color w:val="auto"/>
        </w:rPr>
        <w:t>” means the performance goals established by the Committee in connection with the grant of Awards, which may or may not be based on Performance Criteria.</w:t>
      </w:r>
    </w:p>
    <w:p>
      <w:pPr>
        <w:spacing w:after="0" w:line="141"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06"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3.3.1</w:t>
      </w:r>
      <w:r>
        <w:rPr>
          <w:rFonts w:ascii="Arial" w:cs="Arial" w:eastAsia="Arial" w:hAnsi="Arial"/>
          <w:sz w:val="18"/>
          <w:szCs w:val="18"/>
          <w:color w:val="auto"/>
        </w:rPr>
        <w:t>.</w:t>
      </w:r>
    </w:p>
    <w:p>
      <w:pPr>
        <w:spacing w:after="0" w:line="206" w:lineRule="exact"/>
        <w:rPr>
          <w:sz w:val="20"/>
          <w:szCs w:val="20"/>
          <w:color w:val="auto"/>
        </w:rPr>
      </w:pPr>
    </w:p>
    <w:p>
      <w:pPr>
        <w:ind w:right="220" w:firstLine="597"/>
        <w:spacing w:after="0" w:line="277" w:lineRule="auto"/>
        <w:rPr>
          <w:sz w:val="20"/>
          <w:szCs w:val="20"/>
          <w:color w:val="auto"/>
        </w:rPr>
      </w:pPr>
      <w:r>
        <w:rPr>
          <w:rFonts w:ascii="Arial" w:cs="Arial" w:eastAsia="Arial" w:hAnsi="Arial"/>
          <w:sz w:val="20"/>
          <w:szCs w:val="20"/>
          <w:color w:val="auto"/>
        </w:rPr>
        <w:t>1.2.36 “</w:t>
      </w: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means Section 409A of the Code, including any amendments or successor provisions to that section, and any regulations and other administrative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27" w:right="339" w:bottom="1440" w:gutter="0" w:footer="0" w:header="0"/>
        </w:sectPr>
      </w:pPr>
    </w:p>
    <w:bookmarkStart w:id="349" w:name="page350"/>
    <w:bookmarkEnd w:id="349"/>
    <w:p>
      <w:pPr>
        <w:spacing w:after="0"/>
        <w:rPr>
          <w:sz w:val="20"/>
          <w:szCs w:val="20"/>
          <w:color w:val="auto"/>
        </w:rPr>
      </w:pPr>
      <w:r>
        <w:rPr>
          <w:rFonts w:ascii="Arial" w:cs="Arial" w:eastAsia="Arial" w:hAnsi="Arial"/>
          <w:sz w:val="20"/>
          <w:szCs w:val="20"/>
          <w:color w:val="auto"/>
        </w:rPr>
        <w:t>thereunder, in each case as they may be from time to time amended or interpreted through further administrative guidance.</w:t>
      </w:r>
    </w:p>
    <w:p>
      <w:pPr>
        <w:spacing w:after="0" w:line="200" w:lineRule="exact"/>
        <w:rPr>
          <w:sz w:val="20"/>
          <w:szCs w:val="20"/>
          <w:color w:val="auto"/>
        </w:rPr>
      </w:pPr>
    </w:p>
    <w:p>
      <w:pPr>
        <w:ind w:right="680" w:firstLine="597"/>
        <w:spacing w:after="0" w:line="277" w:lineRule="auto"/>
        <w:rPr>
          <w:sz w:val="20"/>
          <w:szCs w:val="20"/>
          <w:color w:val="auto"/>
        </w:rPr>
      </w:pPr>
      <w:r>
        <w:rPr>
          <w:rFonts w:ascii="Arial" w:cs="Arial" w:eastAsia="Arial" w:hAnsi="Arial"/>
          <w:sz w:val="20"/>
          <w:szCs w:val="20"/>
          <w:color w:val="auto"/>
        </w:rPr>
        <w:t>1.2.37 “</w:t>
      </w:r>
      <w:r>
        <w:rPr>
          <w:rFonts w:ascii="Arial" w:cs="Arial" w:eastAsia="Arial" w:hAnsi="Arial"/>
          <w:sz w:val="20"/>
          <w:szCs w:val="20"/>
          <w:b w:val="1"/>
          <w:bCs w:val="1"/>
          <w:u w:val="single" w:color="auto"/>
          <w:color w:val="auto"/>
        </w:rPr>
        <w:t>Securities Act</w:t>
      </w:r>
      <w:r>
        <w:rPr>
          <w:rFonts w:ascii="Arial" w:cs="Arial" w:eastAsia="Arial" w:hAnsi="Arial"/>
          <w:sz w:val="20"/>
          <w:szCs w:val="20"/>
          <w:color w:val="auto"/>
        </w:rPr>
        <w:t>” means the Securities Act of 1933, as amended from time to time, or any successor thereto, and the applicable rules and regulations thereunder.</w:t>
      </w:r>
    </w:p>
    <w:p>
      <w:pPr>
        <w:spacing w:after="0" w:line="141"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 Limit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1.6.1</w:t>
      </w:r>
      <w:r>
        <w:rPr>
          <w:rFonts w:ascii="Arial" w:cs="Arial" w:eastAsia="Arial" w:hAnsi="Arial"/>
          <w:sz w:val="18"/>
          <w:szCs w:val="18"/>
          <w:color w:val="auto"/>
        </w:rPr>
        <w:t>.</w:t>
      </w:r>
    </w:p>
    <w:p>
      <w:pPr>
        <w:spacing w:after="0" w:line="206"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means shares of Common Stock.</w:t>
      </w:r>
    </w:p>
    <w:p>
      <w:pPr>
        <w:spacing w:after="0" w:line="206" w:lineRule="exact"/>
        <w:rPr>
          <w:sz w:val="20"/>
          <w:szCs w:val="20"/>
          <w:color w:val="auto"/>
        </w:rPr>
      </w:pPr>
    </w:p>
    <w:p>
      <w:pPr>
        <w:jc w:val="both"/>
        <w:ind w:right="240" w:firstLine="597"/>
        <w:spacing w:after="0" w:line="262" w:lineRule="auto"/>
        <w:rPr>
          <w:sz w:val="20"/>
          <w:szCs w:val="20"/>
          <w:color w:val="auto"/>
        </w:rPr>
      </w:pPr>
      <w:r>
        <w:rPr>
          <w:rFonts w:ascii="Arial" w:cs="Arial" w:eastAsia="Arial" w:hAnsi="Arial"/>
          <w:sz w:val="20"/>
          <w:szCs w:val="20"/>
          <w:color w:val="auto"/>
        </w:rPr>
        <w:t>1.2.40 “</w:t>
      </w:r>
      <w:r>
        <w:rPr>
          <w:rFonts w:ascii="Arial" w:cs="Arial" w:eastAsia="Arial" w:hAnsi="Arial"/>
          <w:sz w:val="20"/>
          <w:szCs w:val="20"/>
          <w:b w:val="1"/>
          <w:bCs w:val="1"/>
          <w:u w:val="single" w:color="auto"/>
          <w:color w:val="auto"/>
        </w:rPr>
        <w:t>Subsidiary</w:t>
      </w:r>
      <w:r>
        <w:rPr>
          <w:rFonts w:ascii="Arial" w:cs="Arial" w:eastAsia="Arial" w:hAnsi="Arial"/>
          <w:sz w:val="20"/>
          <w:szCs w:val="20"/>
          <w:color w:val="auto"/>
        </w:rPr>
        <w:t>” means any corporation, partnership, limited liability company or other legal entity in which the Company, directly or indirectly, owns stock or other equity interests possessing 25% or more of the total combined voting power of all classes of the then-outstanding stock or other equity interests.</w:t>
      </w:r>
    </w:p>
    <w:p>
      <w:pPr>
        <w:spacing w:after="0" w:line="155"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1.2.41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Surviving Entity</w:t>
      </w:r>
      <w:r>
        <w:rPr>
          <w:rFonts w:ascii="Arial" w:cs="Arial" w:eastAsia="Arial" w:hAnsi="Arial"/>
          <w:sz w:val="18"/>
          <w:szCs w:val="18"/>
          <w:color w:val="auto"/>
        </w:rPr>
        <w:t>” has the meaning provided in the definition of Change in Control.</w:t>
      </w:r>
    </w:p>
    <w:p>
      <w:pPr>
        <w:spacing w:after="0" w:line="206" w:lineRule="exact"/>
        <w:rPr>
          <w:sz w:val="20"/>
          <w:szCs w:val="20"/>
          <w:color w:val="auto"/>
        </w:rPr>
      </w:pPr>
    </w:p>
    <w:p>
      <w:pPr>
        <w:ind w:firstLine="597"/>
        <w:spacing w:after="0" w:line="277" w:lineRule="auto"/>
        <w:rPr>
          <w:sz w:val="20"/>
          <w:szCs w:val="20"/>
          <w:color w:val="auto"/>
        </w:rPr>
      </w:pPr>
      <w:r>
        <w:rPr>
          <w:rFonts w:ascii="Arial" w:cs="Arial" w:eastAsia="Arial" w:hAnsi="Arial"/>
          <w:sz w:val="20"/>
          <w:szCs w:val="20"/>
          <w:color w:val="auto"/>
        </w:rPr>
        <w:t>1.2.42 “</w:t>
      </w:r>
      <w:r>
        <w:rPr>
          <w:rFonts w:ascii="Arial" w:cs="Arial" w:eastAsia="Arial" w:hAnsi="Arial"/>
          <w:sz w:val="20"/>
          <w:szCs w:val="20"/>
          <w:b w:val="1"/>
          <w:bCs w:val="1"/>
          <w:u w:val="single" w:color="auto"/>
          <w:color w:val="auto"/>
        </w:rPr>
        <w:t>Ten Percent Stockholder</w:t>
      </w:r>
      <w:r>
        <w:rPr>
          <w:rFonts w:ascii="Arial" w:cs="Arial" w:eastAsia="Arial" w:hAnsi="Arial"/>
          <w:sz w:val="20"/>
          <w:szCs w:val="20"/>
          <w:color w:val="auto"/>
        </w:rPr>
        <w:t>” means a person owning stock possessing more than 10% of the total combined voting power of all classes of stock of the Company and of any Subsidiary or parent corporation of the Company.</w:t>
      </w:r>
    </w:p>
    <w:p>
      <w:pPr>
        <w:spacing w:after="0" w:line="141" w:lineRule="exact"/>
        <w:rPr>
          <w:sz w:val="20"/>
          <w:szCs w:val="20"/>
          <w:color w:val="auto"/>
        </w:rPr>
      </w:pPr>
    </w:p>
    <w:p>
      <w:pPr>
        <w:ind w:right="140" w:firstLine="597"/>
        <w:spacing w:after="0" w:line="277" w:lineRule="auto"/>
        <w:rPr>
          <w:sz w:val="20"/>
          <w:szCs w:val="20"/>
          <w:color w:val="auto"/>
        </w:rPr>
      </w:pPr>
      <w:r>
        <w:rPr>
          <w:rFonts w:ascii="Arial" w:cs="Arial" w:eastAsia="Arial" w:hAnsi="Arial"/>
          <w:sz w:val="20"/>
          <w:szCs w:val="20"/>
          <w:color w:val="auto"/>
        </w:rPr>
        <w:t>1.2.43 “</w:t>
      </w:r>
      <w:r>
        <w:rPr>
          <w:rFonts w:ascii="Arial" w:cs="Arial" w:eastAsia="Arial" w:hAnsi="Arial"/>
          <w:sz w:val="20"/>
          <w:szCs w:val="20"/>
          <w:b w:val="1"/>
          <w:bCs w:val="1"/>
          <w:u w:val="single" w:color="auto"/>
          <w:color w:val="auto"/>
        </w:rPr>
        <w:t>Treasury Regulations</w:t>
      </w:r>
      <w:r>
        <w:rPr>
          <w:rFonts w:ascii="Arial" w:cs="Arial" w:eastAsia="Arial" w:hAnsi="Arial"/>
          <w:sz w:val="20"/>
          <w:szCs w:val="20"/>
          <w:color w:val="auto"/>
        </w:rPr>
        <w:t>” means the regulations promulgated under the Code by the United States Treasury Department, as amended.</w:t>
      </w:r>
    </w:p>
    <w:p>
      <w:pPr>
        <w:spacing w:after="0" w:line="14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b w:val="1"/>
          <w:bCs w:val="1"/>
          <w:color w:val="auto"/>
        </w:rPr>
        <w:t>Administration</w:t>
      </w:r>
    </w:p>
    <w:p>
      <w:pPr>
        <w:spacing w:after="0" w:line="212" w:lineRule="exact"/>
        <w:rPr>
          <w:sz w:val="20"/>
          <w:szCs w:val="20"/>
          <w:color w:val="auto"/>
        </w:rPr>
      </w:pPr>
    </w:p>
    <w:p>
      <w:pPr>
        <w:ind w:right="300" w:firstLine="597"/>
        <w:spacing w:after="0" w:line="298" w:lineRule="auto"/>
        <w:rPr>
          <w:sz w:val="20"/>
          <w:szCs w:val="20"/>
          <w:color w:val="auto"/>
        </w:rPr>
      </w:pPr>
      <w:r>
        <w:rPr>
          <w:rFonts w:ascii="Arial" w:cs="Arial" w:eastAsia="Arial" w:hAnsi="Arial"/>
          <w:sz w:val="19"/>
          <w:szCs w:val="19"/>
          <w:color w:val="auto"/>
        </w:rPr>
        <w:t>1.3.1 The Compensation Committee of the Board (as constituted from time to time, and including any successor committee, the “</w:t>
      </w:r>
      <w:r>
        <w:rPr>
          <w:rFonts w:ascii="Arial" w:cs="Arial" w:eastAsia="Arial" w:hAnsi="Arial"/>
          <w:sz w:val="19"/>
          <w:szCs w:val="19"/>
          <w:b w:val="1"/>
          <w:bCs w:val="1"/>
          <w:u w:val="single" w:color="auto"/>
          <w:color w:val="auto"/>
        </w:rPr>
        <w:t>Committee</w:t>
      </w:r>
      <w:r>
        <w:rPr>
          <w:rFonts w:ascii="Arial" w:cs="Arial" w:eastAsia="Arial" w:hAnsi="Arial"/>
          <w:sz w:val="19"/>
          <w:szCs w:val="19"/>
          <w:color w:val="auto"/>
        </w:rPr>
        <w:t>”) will administer the Plan. In particular, the Committee will have the authority in its sole discretion to:</w:t>
      </w:r>
    </w:p>
    <w:p>
      <w:pPr>
        <w:spacing w:after="0" w:line="129" w:lineRule="exact"/>
        <w:rPr>
          <w:sz w:val="20"/>
          <w:szCs w:val="20"/>
          <w:color w:val="auto"/>
        </w:rPr>
      </w:pPr>
    </w:p>
    <w:p>
      <w:pPr>
        <w:ind w:left="1620" w:hanging="426"/>
        <w:spacing w:after="0"/>
        <w:tabs>
          <w:tab w:leader="none" w:pos="162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exercise all of the powers granted to it under the Plan;</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construe, interpret and implement the Plan and all Award Agreements;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Plan, including rules governing the Committee’s own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operations;</w:t>
      </w:r>
    </w:p>
    <w:p>
      <w:pPr>
        <w:spacing w:after="0" w:line="190" w:lineRule="exact"/>
        <w:rPr>
          <w:sz w:val="20"/>
          <w:szCs w:val="20"/>
          <w:color w:val="auto"/>
        </w:rPr>
      </w:pPr>
    </w:p>
    <w:p>
      <w:pPr>
        <w:ind w:left="1620" w:hanging="426"/>
        <w:spacing w:after="0"/>
        <w:tabs>
          <w:tab w:leader="none" w:pos="162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make all determinations necessary or advisable in administering the Plan;</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correct any defect, supply any omission and reconcile any inconsistency in the Plan;</w:t>
      </w:r>
    </w:p>
    <w:p>
      <w:pPr>
        <w:spacing w:after="0" w:line="205" w:lineRule="exact"/>
        <w:rPr>
          <w:rFonts w:ascii="Arial" w:cs="Arial" w:eastAsia="Arial" w:hAnsi="Arial"/>
          <w:sz w:val="20"/>
          <w:szCs w:val="20"/>
          <w:color w:val="auto"/>
        </w:rPr>
      </w:pPr>
    </w:p>
    <w:p>
      <w:pPr>
        <w:ind w:left="1600" w:hanging="406"/>
        <w:spacing w:after="0"/>
        <w:tabs>
          <w:tab w:leader="none" w:pos="16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amend the Plan to reflect changes in applicable law;</w:t>
      </w:r>
    </w:p>
    <w:p>
      <w:pPr>
        <w:spacing w:after="0" w:line="205" w:lineRule="exact"/>
        <w:rPr>
          <w:rFonts w:ascii="Arial" w:cs="Arial" w:eastAsia="Arial" w:hAnsi="Arial"/>
          <w:sz w:val="20"/>
          <w:szCs w:val="20"/>
          <w:color w:val="auto"/>
        </w:rPr>
      </w:pPr>
    </w:p>
    <w:p>
      <w:pPr>
        <w:ind w:right="320" w:firstLine="1194"/>
        <w:spacing w:after="0" w:line="271" w:lineRule="auto"/>
        <w:tabs>
          <w:tab w:leader="none" w:pos="1626" w:val="left"/>
        </w:tabs>
        <w:numPr>
          <w:ilvl w:val="0"/>
          <w:numId w:val="230"/>
        </w:numPr>
        <w:rPr>
          <w:rFonts w:ascii="Arial" w:cs="Arial" w:eastAsia="Arial" w:hAnsi="Arial"/>
          <w:sz w:val="20"/>
          <w:szCs w:val="20"/>
          <w:color w:val="auto"/>
        </w:rPr>
      </w:pPr>
      <w:r>
        <w:rPr>
          <w:rFonts w:ascii="Arial" w:cs="Arial" w:eastAsia="Arial" w:hAnsi="Arial"/>
          <w:sz w:val="20"/>
          <w:szCs w:val="20"/>
          <w:color w:val="auto"/>
        </w:rPr>
        <w:t>grant, or recommend to the Board for approval to grant, Awards and determine who will receive Awards, when such Awards will be granted and the terms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327" w:right="379" w:bottom="1440" w:gutter="0" w:footer="0" w:header="0"/>
        </w:sectPr>
      </w:pPr>
    </w:p>
    <w:bookmarkStart w:id="350" w:name="page351"/>
    <w:bookmarkEnd w:id="350"/>
    <w:p>
      <w:pPr>
        <w:jc w:val="both"/>
        <w:ind w:right="240"/>
        <w:spacing w:after="0" w:line="258" w:lineRule="auto"/>
        <w:rPr>
          <w:sz w:val="20"/>
          <w:szCs w:val="20"/>
          <w:color w:val="auto"/>
        </w:rPr>
      </w:pPr>
      <w:r>
        <w:rPr>
          <w:rFonts w:ascii="Arial" w:cs="Arial" w:eastAsia="Arial" w:hAnsi="Arial"/>
          <w:sz w:val="20"/>
          <w:szCs w:val="20"/>
          <w:color w:val="auto"/>
        </w:rPr>
        <w:t>Awards, including setting forth provisions with regard to the effect of a termination of Employment on such Awards and conditioning the vesting of, or the lapsing of any applicable vesting restrictions or other vesting conditions on, Awards upon the attainment of Performance Goals and/or upon continued service;</w:t>
      </w:r>
    </w:p>
    <w:p>
      <w:pPr>
        <w:spacing w:after="0" w:line="167" w:lineRule="exact"/>
        <w:rPr>
          <w:sz w:val="20"/>
          <w:szCs w:val="20"/>
          <w:color w:val="auto"/>
        </w:rPr>
      </w:pPr>
    </w:p>
    <w:p>
      <w:pPr>
        <w:ind w:left="1620" w:hanging="426"/>
        <w:spacing w:after="0"/>
        <w:tabs>
          <w:tab w:leader="none" w:pos="162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amend any outstanding Award Agreement in any respect including, without limitation, to</w:t>
      </w:r>
    </w:p>
    <w:p>
      <w:pPr>
        <w:spacing w:after="0" w:line="206" w:lineRule="exact"/>
        <w:rPr>
          <w:sz w:val="20"/>
          <w:szCs w:val="20"/>
          <w:color w:val="auto"/>
        </w:rPr>
      </w:pPr>
    </w:p>
    <w:p>
      <w:pPr>
        <w:ind w:left="1200" w:right="200" w:hanging="6"/>
        <w:spacing w:after="0" w:line="254" w:lineRule="auto"/>
        <w:tabs>
          <w:tab w:leader="none" w:pos="1681" w:val="left"/>
        </w:tabs>
        <w:numPr>
          <w:ilvl w:val="0"/>
          <w:numId w:val="232"/>
        </w:numPr>
        <w:rPr>
          <w:rFonts w:ascii="Arial" w:cs="Arial" w:eastAsia="Arial" w:hAnsi="Arial"/>
          <w:sz w:val="20"/>
          <w:szCs w:val="20"/>
          <w:color w:val="auto"/>
        </w:rPr>
      </w:pPr>
      <w:r>
        <w:rPr>
          <w:rFonts w:ascii="Arial" w:cs="Arial" w:eastAsia="Arial" w:hAnsi="Arial"/>
          <w:sz w:val="20"/>
          <w:szCs w:val="20"/>
          <w:color w:val="auto"/>
        </w:rPr>
        <w:t>accelerate the time or times at which the Award becomes vested, unrestricted or may be exercised (and, in connection with such acceleration, the Committee may provide that any Shares acquired pursuant to such Award will be restricted Shares, which are subject to vesting, transfer, forfeiture or repayment provisions similar to those in the Participant’s underlying Award),</w:t>
      </w:r>
    </w:p>
    <w:p>
      <w:pPr>
        <w:spacing w:after="0" w:line="171" w:lineRule="exact"/>
        <w:rPr>
          <w:rFonts w:ascii="Arial" w:cs="Arial" w:eastAsia="Arial" w:hAnsi="Arial"/>
          <w:sz w:val="20"/>
          <w:szCs w:val="20"/>
          <w:color w:val="auto"/>
        </w:rPr>
      </w:pPr>
    </w:p>
    <w:p>
      <w:pPr>
        <w:ind w:left="1260" w:firstLine="9"/>
        <w:spacing w:after="0" w:line="254" w:lineRule="auto"/>
        <w:tabs>
          <w:tab w:leader="none" w:pos="1741" w:val="left"/>
        </w:tabs>
        <w:numPr>
          <w:ilvl w:val="1"/>
          <w:numId w:val="232"/>
        </w:numPr>
        <w:rPr>
          <w:rFonts w:ascii="Arial" w:cs="Arial" w:eastAsia="Arial" w:hAnsi="Arial"/>
          <w:sz w:val="20"/>
          <w:szCs w:val="20"/>
          <w:color w:val="auto"/>
        </w:rPr>
      </w:pPr>
      <w:r>
        <w:rPr>
          <w:rFonts w:ascii="Arial" w:cs="Arial" w:eastAsia="Arial" w:hAnsi="Arial"/>
          <w:sz w:val="20"/>
          <w:szCs w:val="20"/>
          <w:color w:val="auto"/>
        </w:rPr>
        <w:t>accelerate the time or times at which Shares are delivered under the Award (and, without limitation on the Committee’s rights, in connection with such acceleration, the Committee may provide that any Shares delivered pursuant to such Award will be restricted Shares, which are subject to vesting, transfer, forfeiture or repayment provisions similar to those in the Participant’s underlying Award),</w:t>
      </w:r>
    </w:p>
    <w:p>
      <w:pPr>
        <w:spacing w:after="0" w:line="171" w:lineRule="exact"/>
        <w:rPr>
          <w:rFonts w:ascii="Arial" w:cs="Arial" w:eastAsia="Arial" w:hAnsi="Arial"/>
          <w:sz w:val="20"/>
          <w:szCs w:val="20"/>
          <w:color w:val="auto"/>
        </w:rPr>
      </w:pPr>
    </w:p>
    <w:p>
      <w:pPr>
        <w:ind w:left="1260" w:right="60" w:firstLine="9"/>
        <w:spacing w:after="0" w:line="271" w:lineRule="auto"/>
        <w:tabs>
          <w:tab w:leader="none" w:pos="1741" w:val="left"/>
        </w:tabs>
        <w:numPr>
          <w:ilvl w:val="1"/>
          <w:numId w:val="232"/>
        </w:numPr>
        <w:rPr>
          <w:rFonts w:ascii="Arial" w:cs="Arial" w:eastAsia="Arial" w:hAnsi="Arial"/>
          <w:sz w:val="20"/>
          <w:szCs w:val="20"/>
          <w:color w:val="auto"/>
        </w:rPr>
      </w:pPr>
      <w:r>
        <w:rPr>
          <w:rFonts w:ascii="Arial" w:cs="Arial" w:eastAsia="Arial" w:hAnsi="Arial"/>
          <w:sz w:val="20"/>
          <w:szCs w:val="20"/>
          <w:color w:val="auto"/>
        </w:rPr>
        <w:t>waive or amend any goals, restrictions, vesting provisions or conditions set forth in such Award Agreement, or impose new goals, restrictions, vesting provisions and conditions or</w:t>
      </w:r>
    </w:p>
    <w:p>
      <w:pPr>
        <w:spacing w:after="0" w:line="152" w:lineRule="exact"/>
        <w:rPr>
          <w:rFonts w:ascii="Arial" w:cs="Arial" w:eastAsia="Arial" w:hAnsi="Arial"/>
          <w:sz w:val="20"/>
          <w:szCs w:val="20"/>
          <w:color w:val="auto"/>
        </w:rPr>
      </w:pPr>
    </w:p>
    <w:p>
      <w:pPr>
        <w:ind w:left="1260" w:right="600" w:firstLine="9"/>
        <w:spacing w:after="0" w:line="271" w:lineRule="auto"/>
        <w:tabs>
          <w:tab w:leader="none" w:pos="1741" w:val="left"/>
        </w:tabs>
        <w:numPr>
          <w:ilvl w:val="1"/>
          <w:numId w:val="232"/>
        </w:numPr>
        <w:rPr>
          <w:rFonts w:ascii="Arial" w:cs="Arial" w:eastAsia="Arial" w:hAnsi="Arial"/>
          <w:sz w:val="20"/>
          <w:szCs w:val="20"/>
          <w:color w:val="auto"/>
        </w:rPr>
      </w:pPr>
      <w:r>
        <w:rPr>
          <w:rFonts w:ascii="Arial" w:cs="Arial" w:eastAsia="Arial" w:hAnsi="Arial"/>
          <w:sz w:val="20"/>
          <w:szCs w:val="20"/>
          <w:color w:val="auto"/>
        </w:rPr>
        <w:t>reflect a change in the Participant’s circumstances (</w:t>
      </w:r>
      <w:r>
        <w:rPr>
          <w:rFonts w:ascii="Arial" w:cs="Arial" w:eastAsia="Arial" w:hAnsi="Arial"/>
          <w:sz w:val="20"/>
          <w:szCs w:val="20"/>
          <w:i w:val="1"/>
          <w:iCs w:val="1"/>
          <w:color w:val="auto"/>
        </w:rPr>
        <w:t>e.g.</w:t>
      </w:r>
      <w:r>
        <w:rPr>
          <w:rFonts w:ascii="Arial" w:cs="Arial" w:eastAsia="Arial" w:hAnsi="Arial"/>
          <w:sz w:val="20"/>
          <w:szCs w:val="20"/>
          <w:color w:val="auto"/>
        </w:rPr>
        <w:t>, a change to part-time employment status or a change in position, duties or responsibilities); and</w:t>
      </w:r>
    </w:p>
    <w:p>
      <w:pPr>
        <w:spacing w:after="0" w:line="153" w:lineRule="exact"/>
        <w:rPr>
          <w:sz w:val="20"/>
          <w:szCs w:val="20"/>
          <w:color w:val="auto"/>
        </w:rPr>
      </w:pPr>
    </w:p>
    <w:p>
      <w:pPr>
        <w:ind w:left="1580" w:hanging="386"/>
        <w:spacing w:after="0"/>
        <w:tabs>
          <w:tab w:leader="none" w:pos="15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determine at any time whether, to what extent and under what circumstances and method or methods, subject to </w:t>
      </w:r>
      <w:r>
        <w:rPr>
          <w:rFonts w:ascii="Arial" w:cs="Arial" w:eastAsia="Arial" w:hAnsi="Arial"/>
          <w:sz w:val="18"/>
          <w:szCs w:val="18"/>
          <w:u w:val="single" w:color="auto"/>
          <w:color w:val="auto"/>
        </w:rPr>
        <w:t>Section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3.14</w:t>
      </w:r>
      <w:r>
        <w:rPr>
          <w:rFonts w:ascii="Arial" w:cs="Arial" w:eastAsia="Arial" w:hAnsi="Arial"/>
          <w:sz w:val="20"/>
          <w:szCs w:val="20"/>
          <w:color w:val="auto"/>
        </w:rPr>
        <w:t>,</w:t>
      </w:r>
    </w:p>
    <w:p>
      <w:pPr>
        <w:spacing w:after="0" w:line="190" w:lineRule="exact"/>
        <w:rPr>
          <w:sz w:val="20"/>
          <w:szCs w:val="20"/>
          <w:color w:val="auto"/>
        </w:rPr>
      </w:pPr>
    </w:p>
    <w:p>
      <w:pPr>
        <w:ind w:left="1740" w:hanging="471"/>
        <w:spacing w:after="0"/>
        <w:tabs>
          <w:tab w:leader="none" w:pos="174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Awards may be</w:t>
      </w:r>
    </w:p>
    <w:p>
      <w:pPr>
        <w:spacing w:after="0" w:line="205" w:lineRule="exact"/>
        <w:rPr>
          <w:rFonts w:ascii="Arial" w:cs="Arial" w:eastAsia="Arial" w:hAnsi="Arial"/>
          <w:sz w:val="20"/>
          <w:szCs w:val="20"/>
          <w:color w:val="auto"/>
        </w:rPr>
      </w:pPr>
    </w:p>
    <w:p>
      <w:pPr>
        <w:ind w:left="1800" w:right="60" w:hanging="9"/>
        <w:spacing w:after="0" w:line="258" w:lineRule="auto"/>
        <w:tabs>
          <w:tab w:leader="none" w:pos="2325" w:val="left"/>
        </w:tabs>
        <w:numPr>
          <w:ilvl w:val="1"/>
          <w:numId w:val="234"/>
        </w:numPr>
        <w:rPr>
          <w:rFonts w:ascii="Arial" w:cs="Arial" w:eastAsia="Arial" w:hAnsi="Arial"/>
          <w:sz w:val="20"/>
          <w:szCs w:val="20"/>
          <w:color w:val="auto"/>
        </w:rPr>
      </w:pPr>
      <w:r>
        <w:rPr>
          <w:rFonts w:ascii="Arial" w:cs="Arial" w:eastAsia="Arial" w:hAnsi="Arial"/>
          <w:sz w:val="20"/>
          <w:szCs w:val="20"/>
          <w:color w:val="auto"/>
        </w:rPr>
        <w:t>settled in cash, Shares, other securities, other Awards or other property (in which event, the Committee may specify what other effects such settlement will have on the Participant’s Award, including the effect on any repayment provisions under the Plan or Award Agreement),</w:t>
      </w:r>
    </w:p>
    <w:p>
      <w:pPr>
        <w:spacing w:after="0" w:line="166" w:lineRule="exact"/>
        <w:rPr>
          <w:rFonts w:ascii="Arial" w:cs="Arial" w:eastAsia="Arial" w:hAnsi="Arial"/>
          <w:sz w:val="20"/>
          <w:szCs w:val="20"/>
          <w:color w:val="auto"/>
        </w:rPr>
      </w:pPr>
    </w:p>
    <w:p>
      <w:pPr>
        <w:ind w:left="2300" w:hanging="509"/>
        <w:spacing w:after="0"/>
        <w:tabs>
          <w:tab w:leader="none" w:pos="230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exercised or</w:t>
      </w:r>
    </w:p>
    <w:p>
      <w:pPr>
        <w:spacing w:after="0" w:line="205" w:lineRule="exact"/>
        <w:rPr>
          <w:rFonts w:ascii="Arial" w:cs="Arial" w:eastAsia="Arial" w:hAnsi="Arial"/>
          <w:sz w:val="20"/>
          <w:szCs w:val="20"/>
          <w:color w:val="auto"/>
        </w:rPr>
      </w:pPr>
    </w:p>
    <w:p>
      <w:pPr>
        <w:ind w:left="2260" w:hanging="469"/>
        <w:spacing w:after="0"/>
        <w:tabs>
          <w:tab w:leader="none" w:pos="226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canceled, forfeited or suspended,</w:t>
      </w:r>
    </w:p>
    <w:p>
      <w:pPr>
        <w:spacing w:after="0" w:line="205" w:lineRule="exact"/>
        <w:rPr>
          <w:rFonts w:ascii="Arial" w:cs="Arial" w:eastAsia="Arial" w:hAnsi="Arial"/>
          <w:sz w:val="20"/>
          <w:szCs w:val="20"/>
          <w:color w:val="auto"/>
        </w:rPr>
      </w:pPr>
    </w:p>
    <w:p>
      <w:pPr>
        <w:ind w:left="1260" w:right="440" w:firstLine="9"/>
        <w:spacing w:after="0" w:line="271" w:lineRule="auto"/>
        <w:tabs>
          <w:tab w:leader="none" w:pos="1542" w:val="left"/>
        </w:tabs>
        <w:numPr>
          <w:ilvl w:val="0"/>
          <w:numId w:val="234"/>
        </w:numPr>
        <w:rPr>
          <w:rFonts w:ascii="Arial" w:cs="Arial" w:eastAsia="Arial" w:hAnsi="Arial"/>
          <w:sz w:val="20"/>
          <w:szCs w:val="20"/>
          <w:color w:val="auto"/>
        </w:rPr>
      </w:pPr>
      <w:r>
        <w:rPr>
          <w:rFonts w:ascii="Arial" w:cs="Arial" w:eastAsia="Arial" w:hAnsi="Arial"/>
          <w:sz w:val="20"/>
          <w:szCs w:val="20"/>
          <w:color w:val="auto"/>
        </w:rPr>
        <w:t>Shares, other securities, other Awards or other property and other amounts payable with respect to an Award may be deferred either automatically or at the election of the Participant thereof or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27" w:right="339" w:bottom="1440" w:gutter="0" w:footer="0" w:header="0"/>
        </w:sectPr>
      </w:pPr>
    </w:p>
    <w:bookmarkStart w:id="351" w:name="page352"/>
    <w:bookmarkEnd w:id="351"/>
    <w:p>
      <w:pPr>
        <w:ind w:left="1740" w:hanging="471"/>
        <w:spacing w:after="0"/>
        <w:tabs>
          <w:tab w:leader="none" w:pos="174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Awards may be settled by the Company, any of its Subsidiaries or Affiliates or any of their designees and</w:t>
      </w:r>
    </w:p>
    <w:p>
      <w:pPr>
        <w:spacing w:after="0" w:line="205" w:lineRule="exact"/>
        <w:rPr>
          <w:rFonts w:ascii="Arial" w:cs="Arial" w:eastAsia="Arial" w:hAnsi="Arial"/>
          <w:sz w:val="20"/>
          <w:szCs w:val="20"/>
          <w:color w:val="auto"/>
        </w:rPr>
      </w:pPr>
    </w:p>
    <w:p>
      <w:pPr>
        <w:ind w:left="1260" w:right="220" w:firstLine="9"/>
        <w:spacing w:after="0" w:line="258" w:lineRule="auto"/>
        <w:tabs>
          <w:tab w:leader="none" w:pos="1741"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the exercise price for any stock option (other than an Incentive Stock Option, unless the Committee determines that such a stock option will no longer constitute an Incentive Stock Option) or stock appreciation right may be reset subject to </w:t>
      </w:r>
      <w:r>
        <w:rPr>
          <w:rFonts w:ascii="Arial" w:cs="Arial" w:eastAsia="Arial" w:hAnsi="Arial"/>
          <w:sz w:val="20"/>
          <w:szCs w:val="20"/>
          <w:u w:val="single" w:color="auto"/>
          <w:color w:val="auto"/>
        </w:rPr>
        <w:t>Section 3.20</w:t>
      </w:r>
      <w:r>
        <w:rPr>
          <w:rFonts w:ascii="Arial" w:cs="Arial" w:eastAsia="Arial" w:hAnsi="Arial"/>
          <w:sz w:val="20"/>
          <w:szCs w:val="20"/>
          <w:color w:val="auto"/>
        </w:rPr>
        <w:t>.</w:t>
      </w:r>
    </w:p>
    <w:p>
      <w:pPr>
        <w:spacing w:after="0" w:line="167" w:lineRule="exact"/>
        <w:rPr>
          <w:sz w:val="20"/>
          <w:szCs w:val="20"/>
          <w:color w:val="auto"/>
        </w:rPr>
      </w:pPr>
    </w:p>
    <w:p>
      <w:pPr>
        <w:ind w:right="160" w:firstLine="597"/>
        <w:spacing w:after="0" w:line="266" w:lineRule="auto"/>
        <w:rPr>
          <w:sz w:val="20"/>
          <w:szCs w:val="20"/>
          <w:color w:val="auto"/>
        </w:rPr>
      </w:pPr>
      <w:r>
        <w:rPr>
          <w:rFonts w:ascii="Arial" w:cs="Arial" w:eastAsia="Arial" w:hAnsi="Arial"/>
          <w:sz w:val="19"/>
          <w:szCs w:val="19"/>
          <w:color w:val="auto"/>
        </w:rPr>
        <w:t>1.3.2 Actions of the Committee may be taken by the vote of a majority of its members present at a meeting (which may be held telephonically). Any action may be taken by a written instrument signed by a majority of the Committee members, and action so taken will be as fully effective as if it had been taken by a vote at a meeting. The determination of the Committee on all matters relating to the Plan or any Award Agreement will be final, binding and conclusive. The Committee may allocate among its members and delegate to any person who is not a member of the Committee, or to any administrative group within the Company, any of its powers, responsibilities or duties. Except as specifically provided to the contrary, references to the Committee include any administrative group, individual or individuals to whom the Committee has delegated its duties and powers.</w:t>
      </w:r>
    </w:p>
    <w:p>
      <w:pPr>
        <w:spacing w:after="0" w:line="159" w:lineRule="exact"/>
        <w:rPr>
          <w:sz w:val="20"/>
          <w:szCs w:val="20"/>
          <w:color w:val="auto"/>
        </w:rPr>
      </w:pPr>
    </w:p>
    <w:p>
      <w:pPr>
        <w:ind w:right="60" w:firstLine="597"/>
        <w:spacing w:after="0" w:line="258" w:lineRule="auto"/>
        <w:rPr>
          <w:sz w:val="20"/>
          <w:szCs w:val="20"/>
          <w:color w:val="auto"/>
        </w:rPr>
      </w:pPr>
      <w:r>
        <w:rPr>
          <w:rFonts w:ascii="Arial" w:cs="Arial" w:eastAsia="Arial" w:hAnsi="Arial"/>
          <w:sz w:val="20"/>
          <w:szCs w:val="20"/>
          <w:color w:val="auto"/>
        </w:rPr>
        <w:t>1.3.3 Notwithstanding anything to the contrary contained herein, the Board may, in its sole discretion, at any time and from time to time, grant Awards or administer the Plan. In any such case, the Board will have all of the authority and responsibility granted to the Committee herein.</w:t>
      </w:r>
    </w:p>
    <w:p>
      <w:pPr>
        <w:spacing w:after="0" w:line="167" w:lineRule="exact"/>
        <w:rPr>
          <w:sz w:val="20"/>
          <w:szCs w:val="20"/>
          <w:color w:val="auto"/>
        </w:rPr>
      </w:pPr>
    </w:p>
    <w:p>
      <w:pPr>
        <w:ind w:right="60" w:firstLine="597"/>
        <w:spacing w:after="0" w:line="272" w:lineRule="auto"/>
        <w:rPr>
          <w:sz w:val="20"/>
          <w:szCs w:val="20"/>
          <w:color w:val="auto"/>
        </w:rPr>
      </w:pPr>
      <w:r>
        <w:rPr>
          <w:rFonts w:ascii="Arial" w:cs="Arial" w:eastAsia="Arial" w:hAnsi="Arial"/>
          <w:sz w:val="19"/>
          <w:szCs w:val="19"/>
          <w:color w:val="auto"/>
        </w:rPr>
        <w:t>1.3.4 No member of the Committee, Board or any person to whom the Committee delegates its powers, responsibilities or duties in writing, including by resolution (each such person, a “</w:t>
      </w:r>
      <w:r>
        <w:rPr>
          <w:rFonts w:ascii="Arial" w:cs="Arial" w:eastAsia="Arial" w:hAnsi="Arial"/>
          <w:sz w:val="19"/>
          <w:szCs w:val="19"/>
          <w:b w:val="1"/>
          <w:bCs w:val="1"/>
          <w:u w:val="single" w:color="auto"/>
          <w:color w:val="auto"/>
        </w:rPr>
        <w:t>Covered Person</w:t>
      </w:r>
      <w:r>
        <w:rPr>
          <w:rFonts w:ascii="Arial" w:cs="Arial" w:eastAsia="Arial" w:hAnsi="Arial"/>
          <w:sz w:val="19"/>
          <w:szCs w:val="19"/>
          <w:color w:val="auto"/>
        </w:rPr>
        <w:t>”), will have any liability to any person (including any Participant) for any action taken or omitted to be taken or any determination made with respect to the Plan or any Award, except as expressly provided by statute. Each Covered Person will be indemnified and held harmless by the Company against and from:</w:t>
      </w:r>
    </w:p>
    <w:p>
      <w:pPr>
        <w:spacing w:after="0" w:line="154" w:lineRule="exact"/>
        <w:rPr>
          <w:sz w:val="20"/>
          <w:szCs w:val="20"/>
          <w:color w:val="auto"/>
        </w:rPr>
      </w:pPr>
    </w:p>
    <w:p>
      <w:pPr>
        <w:jc w:val="both"/>
        <w:ind w:right="40" w:firstLine="1194"/>
        <w:spacing w:after="0" w:line="254" w:lineRule="auto"/>
        <w:tabs>
          <w:tab w:leader="none" w:pos="1615" w:val="left"/>
        </w:tabs>
        <w:numPr>
          <w:ilvl w:val="0"/>
          <w:numId w:val="236"/>
        </w:numPr>
        <w:rPr>
          <w:rFonts w:ascii="Arial" w:cs="Arial" w:eastAsia="Arial" w:hAnsi="Arial"/>
          <w:sz w:val="20"/>
          <w:szCs w:val="20"/>
          <w:color w:val="auto"/>
        </w:rPr>
      </w:pPr>
      <w:r>
        <w:rPr>
          <w:rFonts w:ascii="Arial" w:cs="Arial" w:eastAsia="Arial" w:hAnsi="Arial"/>
          <w:sz w:val="20"/>
          <w:szCs w:val="20"/>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w:t>
      </w:r>
    </w:p>
    <w:p>
      <w:pPr>
        <w:spacing w:after="0" w:line="171" w:lineRule="exact"/>
        <w:rPr>
          <w:rFonts w:ascii="Arial" w:cs="Arial" w:eastAsia="Arial" w:hAnsi="Arial"/>
          <w:sz w:val="20"/>
          <w:szCs w:val="20"/>
          <w:color w:val="auto"/>
        </w:rPr>
      </w:pPr>
    </w:p>
    <w:p>
      <w:pPr>
        <w:ind w:right="140" w:firstLine="1194"/>
        <w:spacing w:after="0" w:line="292" w:lineRule="auto"/>
        <w:tabs>
          <w:tab w:leader="none" w:pos="162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Company will have the right, at its own expense, to assume and defend any such action, suit or proceeding and, once the Company gives notice of its intent to assume the defense, the Company will have sole control over such defense with counsel of the Company’s choice.</w:t>
      </w:r>
    </w:p>
    <w:p>
      <w:pPr>
        <w:spacing w:after="0" w:line="137" w:lineRule="exact"/>
        <w:rPr>
          <w:sz w:val="20"/>
          <w:szCs w:val="20"/>
          <w:color w:val="auto"/>
        </w:rPr>
      </w:pPr>
    </w:p>
    <w:p>
      <w:pPr>
        <w:ind w:firstLine="597"/>
        <w:spacing w:after="0" w:line="271" w:lineRule="auto"/>
        <w:rPr>
          <w:sz w:val="20"/>
          <w:szCs w:val="20"/>
          <w:color w:val="auto"/>
        </w:rPr>
      </w:pPr>
      <w:r>
        <w:rPr>
          <w:rFonts w:ascii="Arial" w:cs="Arial" w:eastAsia="Arial" w:hAnsi="Arial"/>
          <w:sz w:val="20"/>
          <w:szCs w:val="20"/>
          <w:color w:val="auto"/>
        </w:rPr>
        <w:t>The foregoing right of indemnification will not be available to a Covered Person to the extent that a court of competent jurisdiction in a final judgment or other final adjudication,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27" w:right="339" w:bottom="1440" w:gutter="0" w:footer="0" w:header="0"/>
        </w:sectPr>
      </w:pPr>
    </w:p>
    <w:bookmarkStart w:id="352" w:name="page353"/>
    <w:bookmarkEnd w:id="352"/>
    <w:p>
      <w:pPr>
        <w:ind w:right="20"/>
        <w:spacing w:after="0" w:line="287" w:lineRule="auto"/>
        <w:rPr>
          <w:sz w:val="20"/>
          <w:szCs w:val="20"/>
          <w:color w:val="auto"/>
        </w:rPr>
      </w:pPr>
      <w:r>
        <w:rPr>
          <w:rFonts w:ascii="Arial" w:cs="Arial" w:eastAsia="Arial" w:hAnsi="Arial"/>
          <w:sz w:val="18"/>
          <w:szCs w:val="18"/>
          <w:color w:val="auto"/>
        </w:rPr>
        <w:t>either case, not subject to further appeal, determines that the acts or omissions of such Covered Person giving rise to the indemnification claim resulted from such Covered Person’s bad faith, fraud or willful misconduct. The foregoing right of indemnification will not be exclusive of any other rights of indemnification to which Covered Persons may be entitled under the Company’s certificate of incorporation or bylaws, pursuant to any individual indemnification agreements between such Covered Person and the Company, as a matter of law, or otherwise, or any other power that the Company may have to indemnify such persons or hold them harmless.</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7"/>
          <w:szCs w:val="17"/>
          <w:b w:val="1"/>
          <w:bCs w:val="1"/>
          <w:color w:val="auto"/>
        </w:rPr>
        <w:t>Persons Eligible for Awards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Awards under the Plan may be made to Employees, Consultants and non-employee directors.</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7"/>
          <w:szCs w:val="17"/>
          <w:b w:val="1"/>
          <w:bCs w:val="1"/>
          <w:color w:val="auto"/>
        </w:rPr>
        <w:t>Types of Awards Under Plan</w:t>
      </w:r>
    </w:p>
    <w:p>
      <w:pPr>
        <w:spacing w:after="0" w:line="212" w:lineRule="exact"/>
        <w:rPr>
          <w:sz w:val="20"/>
          <w:szCs w:val="20"/>
          <w:color w:val="auto"/>
        </w:rPr>
      </w:pPr>
    </w:p>
    <w:p>
      <w:pPr>
        <w:ind w:right="220" w:firstLine="597"/>
        <w:spacing w:after="0" w:line="271" w:lineRule="auto"/>
        <w:rPr>
          <w:sz w:val="20"/>
          <w:szCs w:val="20"/>
          <w:color w:val="auto"/>
        </w:rPr>
      </w:pPr>
      <w:r>
        <w:rPr>
          <w:rFonts w:ascii="Arial" w:cs="Arial" w:eastAsia="Arial" w:hAnsi="Arial"/>
          <w:sz w:val="20"/>
          <w:szCs w:val="20"/>
          <w:color w:val="auto"/>
        </w:rPr>
        <w:t>Awards may be made under the Plan in the form of cash-based or stock-based Awards. Stock-based Awards may be in the form of any of the following, in each case in respect of Common Stock:</w:t>
      </w:r>
    </w:p>
    <w:p>
      <w:pPr>
        <w:spacing w:after="0" w:line="153" w:lineRule="exact"/>
        <w:rPr>
          <w:sz w:val="20"/>
          <w:szCs w:val="20"/>
          <w:color w:val="auto"/>
        </w:rPr>
      </w:pPr>
    </w:p>
    <w:p>
      <w:pPr>
        <w:ind w:left="1620" w:hanging="426"/>
        <w:spacing w:after="0"/>
        <w:tabs>
          <w:tab w:leader="none" w:pos="16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stock options,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stock appreciation rights,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restricted Shares,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restricted stock units,</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dividend equivalent rights and</w:t>
      </w:r>
    </w:p>
    <w:p>
      <w:pPr>
        <w:spacing w:after="0" w:line="205" w:lineRule="exact"/>
        <w:rPr>
          <w:rFonts w:ascii="Arial" w:cs="Arial" w:eastAsia="Arial" w:hAnsi="Arial"/>
          <w:sz w:val="20"/>
          <w:szCs w:val="20"/>
          <w:color w:val="auto"/>
        </w:rPr>
      </w:pPr>
    </w:p>
    <w:p>
      <w:pPr>
        <w:ind w:right="180" w:firstLine="1194"/>
        <w:spacing w:after="0" w:line="271" w:lineRule="auto"/>
        <w:tabs>
          <w:tab w:leader="none" w:pos="159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other equity-based or equity-related Awards (as further described in </w:t>
      </w:r>
      <w:r>
        <w:rPr>
          <w:rFonts w:ascii="Arial" w:cs="Arial" w:eastAsia="Arial" w:hAnsi="Arial"/>
          <w:sz w:val="20"/>
          <w:szCs w:val="20"/>
          <w:u w:val="single" w:color="auto"/>
          <w:color w:val="auto"/>
        </w:rPr>
        <w:t>Section 2.8</w:t>
      </w:r>
      <w:r>
        <w:rPr>
          <w:rFonts w:ascii="Arial" w:cs="Arial" w:eastAsia="Arial" w:hAnsi="Arial"/>
          <w:sz w:val="20"/>
          <w:szCs w:val="20"/>
          <w:color w:val="auto"/>
        </w:rPr>
        <w:t>), that the Committee determines to be consistent with the purposes of the Plan and the interests of the Company.</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7"/>
          <w:szCs w:val="17"/>
          <w:b w:val="1"/>
          <w:bCs w:val="1"/>
          <w:color w:val="auto"/>
        </w:rPr>
        <w:t>Shares of Common Stock Available for Awards</w:t>
      </w:r>
    </w:p>
    <w:p>
      <w:pPr>
        <w:spacing w:after="0" w:line="206" w:lineRule="exact"/>
        <w:rPr>
          <w:sz w:val="20"/>
          <w:szCs w:val="20"/>
          <w:color w:val="auto"/>
        </w:rPr>
      </w:pPr>
    </w:p>
    <w:p>
      <w:pPr>
        <w:ind w:firstLine="597"/>
        <w:spacing w:after="0" w:line="251"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b w:val="1"/>
          <w:bCs w:val="1"/>
          <w:u w:val="single" w:color="auto"/>
          <w:color w:val="auto"/>
        </w:rPr>
        <w:t>Shares Subject to the Plan</w:t>
      </w:r>
      <w:r>
        <w:rPr>
          <w:rFonts w:ascii="Arial" w:cs="Arial" w:eastAsia="Arial" w:hAnsi="Arial"/>
          <w:sz w:val="20"/>
          <w:szCs w:val="20"/>
          <w:i w:val="1"/>
          <w:iCs w:val="1"/>
          <w:color w:val="auto"/>
        </w:rPr>
        <w:t>.</w:t>
      </w:r>
      <w:r>
        <w:rPr>
          <w:rFonts w:ascii="Arial" w:cs="Arial" w:eastAsia="Arial" w:hAnsi="Arial"/>
          <w:sz w:val="20"/>
          <w:szCs w:val="20"/>
          <w:color w:val="auto"/>
        </w:rPr>
        <w:t xml:space="preserve"> Subject to the other provisions of this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the total number of Shares that may be granted under the Plan will be 3,511,400 (the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Share Limit</w:t>
      </w:r>
      <w:r>
        <w:rPr>
          <w:rFonts w:ascii="Arial" w:cs="Arial" w:eastAsia="Arial" w:hAnsi="Arial"/>
          <w:sz w:val="20"/>
          <w:szCs w:val="20"/>
          <w:color w:val="auto"/>
        </w:rPr>
        <w:t>”). Shares of Common Stock subject to awards that are assumed, converted or substituted under the Plan as a result of the Company’s acquisition of another company (including by way of merger, combination or similar transaction) (“</w:t>
      </w:r>
      <w:r>
        <w:rPr>
          <w:rFonts w:ascii="Arial" w:cs="Arial" w:eastAsia="Arial" w:hAnsi="Arial"/>
          <w:sz w:val="20"/>
          <w:szCs w:val="20"/>
          <w:b w:val="1"/>
          <w:bCs w:val="1"/>
          <w:u w:val="single" w:color="auto"/>
          <w:color w:val="auto"/>
        </w:rPr>
        <w:t>Acquisition Awards</w:t>
      </w:r>
      <w:r>
        <w:rPr>
          <w:rFonts w:ascii="Arial" w:cs="Arial" w:eastAsia="Arial" w:hAnsi="Arial"/>
          <w:sz w:val="20"/>
          <w:szCs w:val="20"/>
          <w:color w:val="auto"/>
        </w:rPr>
        <w:t>”) will not count against the number of Shares that may be granted under the Plan. Available Shares under a stockholder approved plan of an acquired company (as appropriately adjusted to reflect the transaction) may be used for Awards under the Plan and do not reduce the maximum number of Shares available for grant under the Plan, subject to applicable stock exchange requirements.</w:t>
      </w:r>
    </w:p>
    <w:p>
      <w:pPr>
        <w:spacing w:after="0" w:line="170" w:lineRule="exact"/>
        <w:rPr>
          <w:sz w:val="20"/>
          <w:szCs w:val="20"/>
          <w:color w:val="auto"/>
        </w:rPr>
      </w:pPr>
    </w:p>
    <w:p>
      <w:pPr>
        <w:ind w:right="360" w:firstLine="597"/>
        <w:spacing w:after="0" w:line="277"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b w:val="1"/>
          <w:bCs w:val="1"/>
          <w:u w:val="single" w:color="auto"/>
          <w:color w:val="auto"/>
        </w:rPr>
        <w:t>Replacement of Shares</w:t>
      </w:r>
      <w:r>
        <w:rPr>
          <w:rFonts w:ascii="Arial" w:cs="Arial" w:eastAsia="Arial" w:hAnsi="Arial"/>
          <w:sz w:val="20"/>
          <w:szCs w:val="20"/>
          <w:i w:val="1"/>
          <w:iCs w:val="1"/>
          <w:color w:val="auto"/>
        </w:rPr>
        <w:t>.</w:t>
      </w:r>
      <w:r>
        <w:rPr>
          <w:rFonts w:ascii="Arial" w:cs="Arial" w:eastAsia="Arial" w:hAnsi="Arial"/>
          <w:sz w:val="20"/>
          <w:szCs w:val="20"/>
          <w:color w:val="auto"/>
        </w:rPr>
        <w:t xml:space="preserve"> Shares subject to an Award that is forfeited (including any restricted Shares repurchased by the Company at the same price paid by the Participant so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160"/>
          </w:cols>
          <w:pgMar w:left="320" w:top="1327" w:right="419" w:bottom="1440" w:gutter="0" w:footer="0" w:header="0"/>
        </w:sectPr>
      </w:pPr>
    </w:p>
    <w:bookmarkStart w:id="353" w:name="page354"/>
    <w:bookmarkEnd w:id="353"/>
    <w:p>
      <w:pPr>
        <w:ind w:right="140"/>
        <w:spacing w:after="0" w:line="300" w:lineRule="auto"/>
        <w:rPr>
          <w:sz w:val="20"/>
          <w:szCs w:val="20"/>
          <w:color w:val="auto"/>
        </w:rPr>
      </w:pPr>
      <w:r>
        <w:rPr>
          <w:rFonts w:ascii="Arial" w:cs="Arial" w:eastAsia="Arial" w:hAnsi="Arial"/>
          <w:sz w:val="17"/>
          <w:szCs w:val="17"/>
          <w:color w:val="auto"/>
        </w:rPr>
        <w:t>such Shares are returned to the Company), expires or is settled for cash (in whole or in part), to the extent of such forfeiture, expiration or cash settlement will be available for future grants of Awards under the Plan and will be added back in the same number of Shares as were deducted in respect of the grant of such Award. The payment of dividend equivalent rights in cash in conjunction with any outstanding Awards will not be counted against the Shares available for issuance under the Plan. In the case of stock appreciation rights, the difference between the number of Shares covered by the exercised portion of the stock appreciation right and the number of Shares actually delivered upon exercise shall not be restored or available for future issuance under the Plan. Shares tendered by a Participant or withheld by the Company in payment of the exercise price of a stock option or to satisfy any tax withholding obligation with respect to an Award will not again be available for Awards. Shares repurchased using stock option proceeds will not be made available for future issuance of Awards.</w:t>
      </w:r>
    </w:p>
    <w:p>
      <w:pPr>
        <w:spacing w:after="0" w:line="130"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b w:val="1"/>
          <w:bCs w:val="1"/>
          <w:u w:val="single" w:color="auto"/>
          <w:color w:val="auto"/>
        </w:rPr>
        <w:t>Adjustments</w:t>
      </w:r>
      <w:r>
        <w:rPr>
          <w:rFonts w:ascii="Arial" w:cs="Arial" w:eastAsia="Arial" w:hAnsi="Arial"/>
          <w:sz w:val="18"/>
          <w:szCs w:val="18"/>
          <w:i w:val="1"/>
          <w:i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Committee will:</w:t>
      </w:r>
    </w:p>
    <w:p>
      <w:pPr>
        <w:spacing w:after="0" w:line="212" w:lineRule="exact"/>
        <w:rPr>
          <w:sz w:val="20"/>
          <w:szCs w:val="20"/>
          <w:color w:val="auto"/>
        </w:rPr>
      </w:pPr>
    </w:p>
    <w:p>
      <w:pPr>
        <w:ind w:left="1620" w:hanging="426"/>
        <w:spacing w:after="0"/>
        <w:tabs>
          <w:tab w:leader="none" w:pos="162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 xml:space="preserve">adjust the number and type of property or securities authorized pursuant to </w:t>
      </w:r>
      <w:r>
        <w:rPr>
          <w:rFonts w:ascii="Arial" w:cs="Arial" w:eastAsia="Arial" w:hAnsi="Arial"/>
          <w:sz w:val="20"/>
          <w:szCs w:val="20"/>
          <w:u w:val="single" w:color="auto"/>
          <w:color w:val="auto"/>
        </w:rPr>
        <w:t>Section 1.6.1</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 xml:space="preserve">adjust the individual Participant limitations set forth in </w:t>
      </w:r>
      <w:r>
        <w:rPr>
          <w:rFonts w:ascii="Arial" w:cs="Arial" w:eastAsia="Arial" w:hAnsi="Arial"/>
          <w:sz w:val="20"/>
          <w:szCs w:val="20"/>
          <w:u w:val="single" w:color="auto"/>
          <w:color w:val="auto"/>
        </w:rPr>
        <w:t>Sections 1.6</w:t>
      </w:r>
      <w:r>
        <w:rPr>
          <w:rFonts w:ascii="Arial" w:cs="Arial" w:eastAsia="Arial" w:hAnsi="Arial"/>
          <w:sz w:val="20"/>
          <w:szCs w:val="20"/>
          <w:color w:val="auto"/>
        </w:rPr>
        <w:t xml:space="preserve">, </w:t>
      </w:r>
      <w:r>
        <w:rPr>
          <w:rFonts w:ascii="Arial" w:cs="Arial" w:eastAsia="Arial" w:hAnsi="Arial"/>
          <w:sz w:val="20"/>
          <w:szCs w:val="20"/>
          <w:u w:val="single" w:color="auto"/>
          <w:color w:val="auto"/>
        </w:rPr>
        <w:t>2.4.1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2.5.1</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adjust the number and type of property or securities set forth in </w:t>
      </w:r>
      <w:r>
        <w:rPr>
          <w:rFonts w:ascii="Arial" w:cs="Arial" w:eastAsia="Arial" w:hAnsi="Arial"/>
          <w:sz w:val="18"/>
          <w:szCs w:val="18"/>
          <w:u w:val="single" w:color="auto"/>
          <w:color w:val="auto"/>
        </w:rPr>
        <w:t>Section 2.3.2</w:t>
      </w:r>
      <w:r>
        <w:rPr>
          <w:rFonts w:ascii="Arial" w:cs="Arial" w:eastAsia="Arial" w:hAnsi="Arial"/>
          <w:sz w:val="18"/>
          <w:szCs w:val="18"/>
          <w:color w:val="auto"/>
        </w:rPr>
        <w:t xml:space="preserve"> that can be issued through Incentive Stock</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Options and</w:t>
      </w:r>
    </w:p>
    <w:p>
      <w:pPr>
        <w:spacing w:after="0" w:line="190" w:lineRule="exact"/>
        <w:rPr>
          <w:sz w:val="20"/>
          <w:szCs w:val="20"/>
          <w:color w:val="auto"/>
        </w:rPr>
      </w:pPr>
    </w:p>
    <w:p>
      <w:pPr>
        <w:ind w:right="600" w:firstLine="1194"/>
        <w:spacing w:after="0" w:line="327" w:lineRule="auto"/>
        <w:tabs>
          <w:tab w:leader="none" w:pos="162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adjust the terms of any outstanding Awards (including, without limitation, the number of Shares covered by each outstanding Award, the type of property or securities to which the Award relates and the exercise or strike price of any Award),</w:t>
      </w:r>
    </w:p>
    <w:p>
      <w:pPr>
        <w:spacing w:after="0" w:line="108" w:lineRule="exact"/>
        <w:rPr>
          <w:sz w:val="20"/>
          <w:szCs w:val="20"/>
          <w:color w:val="auto"/>
        </w:rPr>
      </w:pPr>
    </w:p>
    <w:p>
      <w:pPr>
        <w:ind w:firstLine="597"/>
        <w:spacing w:after="0" w:line="284" w:lineRule="auto"/>
        <w:rPr>
          <w:sz w:val="20"/>
          <w:szCs w:val="20"/>
          <w:color w:val="auto"/>
        </w:rPr>
      </w:pPr>
      <w:r>
        <w:rPr>
          <w:rFonts w:ascii="Arial" w:cs="Arial" w:eastAsia="Arial" w:hAnsi="Arial"/>
          <w:sz w:val="18"/>
          <w:szCs w:val="18"/>
          <w:color w:val="auto"/>
        </w:rPr>
        <w:t xml:space="preserve">in such manner as it deems appropriate (including, without limitation, by payment of cash) to prevent the enlargement or dilution of rights, as a result of any increase or decrease in the number of issued Shares (or issuance of securities other than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such adjustment may be made if or to the extent that it would cause an outstanding Award to cease to be exempt from, or to fail to comply with, Section 409A of the Code.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II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AWARDS UNDER THE PLAN</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7"/>
          <w:szCs w:val="17"/>
          <w:b w:val="1"/>
          <w:bCs w:val="1"/>
          <w:color w:val="auto"/>
        </w:rPr>
        <w:t>Agreements Evidencing Awards</w:t>
      </w:r>
    </w:p>
    <w:p>
      <w:pPr>
        <w:spacing w:after="0" w:line="212" w:lineRule="exact"/>
        <w:rPr>
          <w:sz w:val="20"/>
          <w:szCs w:val="20"/>
          <w:color w:val="auto"/>
        </w:rPr>
      </w:pPr>
    </w:p>
    <w:p>
      <w:pPr>
        <w:ind w:right="360" w:firstLine="1195"/>
        <w:spacing w:after="0" w:line="258" w:lineRule="auto"/>
        <w:rPr>
          <w:sz w:val="20"/>
          <w:szCs w:val="20"/>
          <w:color w:val="auto"/>
        </w:rPr>
      </w:pPr>
      <w:r>
        <w:rPr>
          <w:rFonts w:ascii="Arial" w:cs="Arial" w:eastAsia="Arial" w:hAnsi="Arial"/>
          <w:sz w:val="20"/>
          <w:szCs w:val="20"/>
          <w:color w:val="auto"/>
        </w:rPr>
        <w:t>Each Award granted under the Plan will be evidenced by an Award Agreement that will contain such provisions and conditions as the Committee deems appropriate. Unless otherwise provided herein, the Committee may grant Awards in tandem with or,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00"/>
          </w:cols>
          <w:pgMar w:left="320" w:top="1327" w:right="379" w:bottom="1440" w:gutter="0" w:footer="0" w:header="0"/>
        </w:sectPr>
      </w:pPr>
    </w:p>
    <w:bookmarkStart w:id="354" w:name="page355"/>
    <w:bookmarkEnd w:id="354"/>
    <w:p>
      <w:pPr>
        <w:jc w:val="both"/>
        <w:ind w:right="180"/>
        <w:spacing w:after="0" w:line="258" w:lineRule="auto"/>
        <w:rPr>
          <w:sz w:val="20"/>
          <w:szCs w:val="20"/>
          <w:color w:val="auto"/>
        </w:rPr>
      </w:pPr>
      <w:r>
        <w:rPr>
          <w:rFonts w:ascii="Arial" w:cs="Arial" w:eastAsia="Arial" w:hAnsi="Arial"/>
          <w:sz w:val="20"/>
          <w:szCs w:val="20"/>
          <w:u w:val="single" w:color="auto"/>
          <w:color w:val="auto"/>
        </w:rPr>
        <w:t>Section 3.14</w:t>
      </w:r>
      <w:r>
        <w:rPr>
          <w:rFonts w:ascii="Arial" w:cs="Arial" w:eastAsia="Arial" w:hAnsi="Arial"/>
          <w:sz w:val="20"/>
          <w:szCs w:val="20"/>
          <w:color w:val="auto"/>
        </w:rPr>
        <w:t>, in substitution for or satisfaction of any other Award or Awards granted under the Plan or any award granted under any other plan of the Company. By accepting an Award pursuant to the Plan, a Participant thereby agrees that the Award will be subject to all of the terms and provisions of the Plan and the applicable Award Agreement.</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7"/>
          <w:szCs w:val="17"/>
          <w:b w:val="1"/>
          <w:bCs w:val="1"/>
          <w:color w:val="auto"/>
        </w:rPr>
        <w:t>No Rights as a Stockholder</w:t>
      </w:r>
    </w:p>
    <w:p>
      <w:pPr>
        <w:spacing w:after="0" w:line="212" w:lineRule="exact"/>
        <w:rPr>
          <w:sz w:val="20"/>
          <w:szCs w:val="20"/>
          <w:color w:val="auto"/>
        </w:rPr>
      </w:pPr>
    </w:p>
    <w:p>
      <w:pPr>
        <w:ind w:firstLine="1195"/>
        <w:spacing w:after="0" w:line="251" w:lineRule="auto"/>
        <w:rPr>
          <w:sz w:val="20"/>
          <w:szCs w:val="20"/>
          <w:color w:val="auto"/>
        </w:rPr>
      </w:pPr>
      <w:r>
        <w:rPr>
          <w:rFonts w:ascii="Arial" w:cs="Arial" w:eastAsia="Arial" w:hAnsi="Arial"/>
          <w:sz w:val="20"/>
          <w:szCs w:val="20"/>
          <w:color w:val="auto"/>
        </w:rPr>
        <w:t xml:space="preserve">No Participant (or other person having rights pursuant to an Award) will have any of the rights of a stockholder of the Company with respect to Shares subject to an Award until the delivery of such Shares. Except as otherwise provided in </w:t>
      </w:r>
      <w:r>
        <w:rPr>
          <w:rFonts w:ascii="Arial" w:cs="Arial" w:eastAsia="Arial" w:hAnsi="Arial"/>
          <w:sz w:val="20"/>
          <w:szCs w:val="20"/>
          <w:u w:val="single" w:color="auto"/>
          <w:color w:val="auto"/>
        </w:rPr>
        <w:t>Section 1.6.3</w:t>
      </w:r>
      <w:r>
        <w:rPr>
          <w:rFonts w:ascii="Arial" w:cs="Arial" w:eastAsia="Arial" w:hAnsi="Arial"/>
          <w:sz w:val="20"/>
          <w:szCs w:val="20"/>
          <w:color w:val="auto"/>
        </w:rPr>
        <w:t>, no adjustments will be made for dividends, distributions or other rights (whether ordinary or extraordinary, and whether in cash, Common Stock, other securities or other property) for which the record date is before the date the Certificates for the Shares are delivered, or in the event the Committee elects to use another system, such as book entries by the transfer agent, before the date in which such system evidences the Participant’s ownership of such Shares.</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7"/>
          <w:szCs w:val="17"/>
          <w:b w:val="1"/>
          <w:bCs w:val="1"/>
          <w:color w:val="auto"/>
        </w:rPr>
        <w:t>Options</w:t>
      </w:r>
    </w:p>
    <w:p>
      <w:pPr>
        <w:spacing w:after="0" w:line="206" w:lineRule="exact"/>
        <w:rPr>
          <w:sz w:val="20"/>
          <w:szCs w:val="20"/>
          <w:color w:val="auto"/>
        </w:rPr>
      </w:pPr>
    </w:p>
    <w:p>
      <w:pPr>
        <w:ind w:right="40" w:firstLine="597"/>
        <w:spacing w:after="0" w:line="304"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xml:space="preserve">. Stock options may be granted to eligible recipients in such number and at such times during the term of the Plan as the Committee may determine;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maximum number of Shares as to which stock options may be granted under the Plan to any one individual in any fiscal year may not exceed the Share Limit (as adjusted pursuant to the provisions of </w:t>
      </w:r>
      <w:r>
        <w:rPr>
          <w:rFonts w:ascii="Arial" w:cs="Arial" w:eastAsia="Arial" w:hAnsi="Arial"/>
          <w:sz w:val="18"/>
          <w:szCs w:val="18"/>
          <w:u w:val="single" w:color="auto"/>
          <w:color w:val="auto"/>
        </w:rPr>
        <w:t>Section 1.6.3</w:t>
      </w:r>
      <w:r>
        <w:rPr>
          <w:rFonts w:ascii="Arial" w:cs="Arial" w:eastAsia="Arial" w:hAnsi="Arial"/>
          <w:sz w:val="18"/>
          <w:szCs w:val="18"/>
          <w:color w:val="auto"/>
        </w:rPr>
        <w:t>).</w:t>
      </w:r>
    </w:p>
    <w:p>
      <w:pPr>
        <w:spacing w:after="0" w:line="12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8"/>
          <w:szCs w:val="18"/>
          <w:b w:val="1"/>
          <w:bCs w:val="1"/>
          <w:u w:val="single" w:color="auto"/>
          <w:color w:val="auto"/>
        </w:rPr>
        <w:t>Incentive Stock Options</w:t>
      </w:r>
      <w:r>
        <w:rPr>
          <w:rFonts w:ascii="Arial" w:cs="Arial" w:eastAsia="Arial" w:hAnsi="Arial"/>
          <w:sz w:val="18"/>
          <w:szCs w:val="18"/>
          <w:i w:val="1"/>
          <w:i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At the time of grant, the Committee will determine:</w:t>
      </w:r>
    </w:p>
    <w:p>
      <w:pPr>
        <w:spacing w:after="0" w:line="212" w:lineRule="exact"/>
        <w:rPr>
          <w:sz w:val="20"/>
          <w:szCs w:val="20"/>
          <w:color w:val="auto"/>
        </w:rPr>
      </w:pPr>
    </w:p>
    <w:p>
      <w:pPr>
        <w:ind w:left="1620" w:hanging="426"/>
        <w:spacing w:after="0"/>
        <w:tabs>
          <w:tab w:leader="none" w:pos="162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whether all or any part of a stock option granted to an eligible Employee will be an Incentive Stock Option and</w:t>
      </w:r>
    </w:p>
    <w:p>
      <w:pPr>
        <w:spacing w:after="0" w:line="217" w:lineRule="exact"/>
        <w:rPr>
          <w:rFonts w:ascii="Arial" w:cs="Arial" w:eastAsia="Arial" w:hAnsi="Arial"/>
          <w:sz w:val="19"/>
          <w:szCs w:val="19"/>
          <w:color w:val="auto"/>
        </w:rPr>
      </w:pPr>
    </w:p>
    <w:p>
      <w:pPr>
        <w:ind w:left="1620" w:hanging="426"/>
        <w:spacing w:after="0"/>
        <w:tabs>
          <w:tab w:leader="none" w:pos="162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 xml:space="preserve">the number of Shares subject to such Incentive Stock Option;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205" w:lineRule="exact"/>
        <w:rPr>
          <w:rFonts w:ascii="Arial" w:cs="Arial" w:eastAsia="Arial" w:hAnsi="Arial"/>
          <w:sz w:val="20"/>
          <w:szCs w:val="20"/>
          <w:color w:val="auto"/>
        </w:rPr>
      </w:pPr>
    </w:p>
    <w:p>
      <w:pPr>
        <w:ind w:left="1260" w:right="320" w:firstLine="9"/>
        <w:spacing w:after="0" w:line="301" w:lineRule="auto"/>
        <w:tabs>
          <w:tab w:leader="none" w:pos="1691"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time the option is granted) of the stock with respect to which Incentive Stock Options are exercisable for the first time by an eligible Employee during any fiscal year (under all such plans of the Company and of any Subsidiary or parent corporation of the Company) may not exceed $100,000 and</w:t>
      </w:r>
    </w:p>
    <w:p>
      <w:pPr>
        <w:spacing w:after="0" w:line="129" w:lineRule="exact"/>
        <w:rPr>
          <w:rFonts w:ascii="Arial" w:cs="Arial" w:eastAsia="Arial" w:hAnsi="Arial"/>
          <w:sz w:val="18"/>
          <w:szCs w:val="18"/>
          <w:color w:val="auto"/>
        </w:rPr>
      </w:pPr>
    </w:p>
    <w:p>
      <w:pPr>
        <w:ind w:left="1260" w:right="40" w:firstLine="9"/>
        <w:spacing w:after="0" w:line="258" w:lineRule="auto"/>
        <w:tabs>
          <w:tab w:leader="none" w:pos="1691" w:val="left"/>
        </w:tabs>
        <w:numPr>
          <w:ilvl w:val="1"/>
          <w:numId w:val="240"/>
        </w:numPr>
        <w:rPr>
          <w:rFonts w:ascii="Arial" w:cs="Arial" w:eastAsia="Arial" w:hAnsi="Arial"/>
          <w:sz w:val="20"/>
          <w:szCs w:val="20"/>
          <w:color w:val="auto"/>
        </w:rPr>
      </w:pPr>
      <w:r>
        <w:rPr>
          <w:rFonts w:ascii="Arial" w:cs="Arial" w:eastAsia="Arial" w:hAnsi="Arial"/>
          <w:sz w:val="20"/>
          <w:szCs w:val="20"/>
          <w:color w:val="auto"/>
        </w:rPr>
        <w:t>no Incentive Stock Option (other than an Incentive Stock Option that may be assumed or issued by the Company in connection with a transaction to which Section 424(a) of the Code applies) may be granted to a person who is not eligible to receive an Incentive Stock Option under the Code.</w:t>
      </w:r>
    </w:p>
    <w:p>
      <w:pPr>
        <w:spacing w:after="0" w:line="167" w:lineRule="exact"/>
        <w:rPr>
          <w:sz w:val="20"/>
          <w:szCs w:val="20"/>
          <w:color w:val="auto"/>
        </w:rPr>
      </w:pPr>
    </w:p>
    <w:p>
      <w:pPr>
        <w:ind w:right="140" w:firstLine="597"/>
        <w:spacing w:after="0" w:line="258" w:lineRule="auto"/>
        <w:rPr>
          <w:sz w:val="20"/>
          <w:szCs w:val="20"/>
          <w:color w:val="auto"/>
        </w:rPr>
      </w:pPr>
      <w:r>
        <w:rPr>
          <w:rFonts w:ascii="Arial" w:cs="Arial" w:eastAsia="Arial" w:hAnsi="Arial"/>
          <w:sz w:val="20"/>
          <w:szCs w:val="20"/>
          <w:color w:val="auto"/>
        </w:rPr>
        <w:t>The form of any stock option which is entirely or in part an Incentive Stock Option will clearly indicate that such stock option is an Incentive Stock Option or, if applicable, the number of Shares subject to the Incentive Stock Option. No more than the Share Limit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00"/>
          </w:cols>
          <w:pgMar w:left="320" w:top="1327" w:right="379" w:bottom="1440" w:gutter="0" w:footer="0" w:header="0"/>
        </w:sectPr>
      </w:pPr>
    </w:p>
    <w:bookmarkStart w:id="355" w:name="page356"/>
    <w:bookmarkEnd w:id="355"/>
    <w:p>
      <w:pPr>
        <w:spacing w:after="0"/>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1.6.3</w:t>
      </w:r>
      <w:r>
        <w:rPr>
          <w:rFonts w:ascii="Arial" w:cs="Arial" w:eastAsia="Arial" w:hAnsi="Arial"/>
          <w:sz w:val="19"/>
          <w:szCs w:val="19"/>
          <w:color w:val="auto"/>
        </w:rPr>
        <w:t>) that can be delivered under the Plan may be issued through Incentive Stock Options.</w:t>
      </w:r>
    </w:p>
    <w:p>
      <w:pPr>
        <w:spacing w:after="0" w:line="211" w:lineRule="exact"/>
        <w:rPr>
          <w:sz w:val="20"/>
          <w:szCs w:val="20"/>
          <w:color w:val="auto"/>
        </w:rPr>
      </w:pPr>
    </w:p>
    <w:p>
      <w:pPr>
        <w:ind w:right="180" w:firstLine="597"/>
        <w:spacing w:after="0" w:line="254" w:lineRule="auto"/>
        <w:rPr>
          <w:sz w:val="20"/>
          <w:szCs w:val="20"/>
          <w:color w:val="auto"/>
        </w:rPr>
      </w:pPr>
      <w:r>
        <w:rPr>
          <w:rFonts w:ascii="Arial" w:cs="Arial" w:eastAsia="Arial" w:hAnsi="Arial"/>
          <w:sz w:val="20"/>
          <w:szCs w:val="20"/>
          <w:color w:val="auto"/>
        </w:rPr>
        <w:t xml:space="preserve">2.3.3 </w:t>
      </w:r>
      <w:r>
        <w:rPr>
          <w:rFonts w:ascii="Arial" w:cs="Arial" w:eastAsia="Arial" w:hAnsi="Arial"/>
          <w:sz w:val="20"/>
          <w:szCs w:val="20"/>
          <w:b w:val="1"/>
          <w:bCs w:val="1"/>
          <w:u w:val="single" w:color="auto"/>
          <w:color w:val="auto"/>
        </w:rPr>
        <w:t>Exercise Price</w:t>
      </w:r>
      <w:r>
        <w:rPr>
          <w:rFonts w:ascii="Arial" w:cs="Arial" w:eastAsia="Arial" w:hAnsi="Arial"/>
          <w:sz w:val="20"/>
          <w:szCs w:val="20"/>
          <w:i w:val="1"/>
          <w:iCs w:val="1"/>
          <w:color w:val="auto"/>
        </w:rPr>
        <w:t>.</w:t>
      </w:r>
      <w:r>
        <w:rPr>
          <w:rFonts w:ascii="Arial" w:cs="Arial" w:eastAsia="Arial" w:hAnsi="Arial"/>
          <w:sz w:val="20"/>
          <w:szCs w:val="20"/>
          <w:color w:val="auto"/>
        </w:rPr>
        <w:t xml:space="preserve"> The exercise price per Share with respect to each stock option will be determined by the Committee but, except for Acquisition Awards or as otherwise permitted by </w:t>
      </w:r>
      <w:r>
        <w:rPr>
          <w:rFonts w:ascii="Arial" w:cs="Arial" w:eastAsia="Arial" w:hAnsi="Arial"/>
          <w:sz w:val="20"/>
          <w:szCs w:val="20"/>
          <w:u w:val="single" w:color="auto"/>
          <w:color w:val="auto"/>
        </w:rPr>
        <w:t>Section 1.6.3</w:t>
      </w:r>
      <w:r>
        <w:rPr>
          <w:rFonts w:ascii="Arial" w:cs="Arial" w:eastAsia="Arial" w:hAnsi="Arial"/>
          <w:sz w:val="20"/>
          <w:szCs w:val="20"/>
          <w:color w:val="auto"/>
        </w:rPr>
        <w:t>, may never be less than the Fair Market Value of a share of Common Stock (or, in the case of an Incentive Stock Option granted to a Ten Percent Stockholder, 110% of the Fair Market Value). Unless otherwise noted in the Award Agreement, the Fair Market Value of the Common Stock will be its Fair Market Value on the date of grant of the Award of stock options.</w:t>
      </w:r>
    </w:p>
    <w:p>
      <w:pPr>
        <w:spacing w:after="0" w:line="164" w:lineRule="exact"/>
        <w:rPr>
          <w:sz w:val="20"/>
          <w:szCs w:val="20"/>
          <w:color w:val="auto"/>
        </w:rPr>
      </w:pPr>
    </w:p>
    <w:p>
      <w:pPr>
        <w:ind w:right="140" w:firstLine="597"/>
        <w:spacing w:after="0" w:line="304" w:lineRule="auto"/>
        <w:rPr>
          <w:sz w:val="20"/>
          <w:szCs w:val="20"/>
          <w:color w:val="auto"/>
        </w:rPr>
      </w:pPr>
      <w:r>
        <w:rPr>
          <w:rFonts w:ascii="Arial" w:cs="Arial" w:eastAsia="Arial" w:hAnsi="Arial"/>
          <w:sz w:val="19"/>
          <w:szCs w:val="19"/>
          <w:color w:val="auto"/>
        </w:rPr>
        <w:t xml:space="preserve">2.3.4 </w:t>
      </w:r>
      <w:r>
        <w:rPr>
          <w:rFonts w:ascii="Arial" w:cs="Arial" w:eastAsia="Arial" w:hAnsi="Arial"/>
          <w:sz w:val="19"/>
          <w:szCs w:val="19"/>
          <w:b w:val="1"/>
          <w:bCs w:val="1"/>
          <w:u w:val="single" w:color="auto"/>
          <w:color w:val="auto"/>
        </w:rPr>
        <w:t>Term of Stock Option</w:t>
      </w:r>
      <w:r>
        <w:rPr>
          <w:rFonts w:ascii="Arial" w:cs="Arial" w:eastAsia="Arial" w:hAnsi="Arial"/>
          <w:sz w:val="19"/>
          <w:szCs w:val="19"/>
          <w:i w:val="1"/>
          <w:iCs w:val="1"/>
          <w:color w:val="auto"/>
        </w:rPr>
        <w:t>.</w:t>
      </w:r>
      <w:r>
        <w:rPr>
          <w:rFonts w:ascii="Arial" w:cs="Arial" w:eastAsia="Arial" w:hAnsi="Arial"/>
          <w:sz w:val="19"/>
          <w:szCs w:val="19"/>
          <w:color w:val="auto"/>
        </w:rPr>
        <w:t xml:space="preserve"> In no event will any stock option be exercisable after the expiration of 10 years (or, in the case of an Incentive Stock Option granted to a Ten Percent Stockholder, 5 years) from the date on which the stock option is granted.</w:t>
      </w:r>
    </w:p>
    <w:p>
      <w:pPr>
        <w:spacing w:after="0" w:line="118" w:lineRule="exact"/>
        <w:rPr>
          <w:sz w:val="20"/>
          <w:szCs w:val="20"/>
          <w:color w:val="auto"/>
        </w:rPr>
      </w:pPr>
    </w:p>
    <w:p>
      <w:pPr>
        <w:ind w:firstLine="597"/>
        <w:spacing w:after="0" w:line="294"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b w:val="1"/>
          <w:bCs w:val="1"/>
          <w:u w:val="single" w:color="auto"/>
          <w:color w:val="auto"/>
        </w:rPr>
        <w:t>Vesting and Exercise of Stock Option and Payment for Shares</w:t>
      </w:r>
      <w:r>
        <w:rPr>
          <w:rFonts w:ascii="Arial" w:cs="Arial" w:eastAsia="Arial" w:hAnsi="Arial"/>
          <w:sz w:val="18"/>
          <w:szCs w:val="18"/>
          <w:i w:val="1"/>
          <w:iCs w:val="1"/>
          <w:color w:val="auto"/>
        </w:rPr>
        <w:t>.</w:t>
      </w:r>
      <w:r>
        <w:rPr>
          <w:rFonts w:ascii="Arial" w:cs="Arial" w:eastAsia="Arial" w:hAnsi="Arial"/>
          <w:sz w:val="18"/>
          <w:szCs w:val="18"/>
          <w:color w:val="auto"/>
        </w:rPr>
        <w:t xml:space="preserve"> A stock option may vest and be exercised at such time or times and subject to such terms and conditions as will be determined by the Committee at the time the stock option is granted and set forth in the Award Agreement. Subject to any limitations in the applicable Award Agreement, any Shares not acquired pursuant to the exercise of a stock option on the applicable vesting date may be acquired thereafter at any time before the final expiration of the stock option.</w:t>
      </w:r>
    </w:p>
    <w:p>
      <w:pPr>
        <w:spacing w:after="0" w:line="137" w:lineRule="exact"/>
        <w:rPr>
          <w:sz w:val="20"/>
          <w:szCs w:val="20"/>
          <w:color w:val="auto"/>
        </w:rPr>
      </w:pPr>
    </w:p>
    <w:p>
      <w:pPr>
        <w:jc w:val="both"/>
        <w:ind w:right="160" w:firstLine="597"/>
        <w:spacing w:after="0" w:line="278" w:lineRule="auto"/>
        <w:rPr>
          <w:sz w:val="20"/>
          <w:szCs w:val="20"/>
          <w:color w:val="auto"/>
        </w:rPr>
      </w:pPr>
      <w:r>
        <w:rPr>
          <w:rFonts w:ascii="Arial" w:cs="Arial" w:eastAsia="Arial" w:hAnsi="Arial"/>
          <w:sz w:val="19"/>
          <w:szCs w:val="19"/>
          <w:color w:val="auto"/>
        </w:rPr>
        <w:t>To exercise a stock option, the Participant must give written notice or, to the extent permitted by the Company, electronic notice to the Company specifying the number of Shares to be acquired and accompanied by payment of the full purchase price therefor in cash or by certified or official bank check, or in another form as determined by the Company, which may include:</w:t>
      </w:r>
    </w:p>
    <w:p>
      <w:pPr>
        <w:spacing w:after="0" w:line="149" w:lineRule="exact"/>
        <w:rPr>
          <w:sz w:val="20"/>
          <w:szCs w:val="20"/>
          <w:color w:val="auto"/>
        </w:rPr>
      </w:pPr>
    </w:p>
    <w:p>
      <w:pPr>
        <w:ind w:left="1660" w:hanging="466"/>
        <w:spacing w:after="0"/>
        <w:tabs>
          <w:tab w:leader="none" w:pos="166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personal check,</w:t>
      </w:r>
    </w:p>
    <w:p>
      <w:pPr>
        <w:spacing w:after="0" w:line="205" w:lineRule="exact"/>
        <w:rPr>
          <w:rFonts w:ascii="Arial" w:cs="Arial" w:eastAsia="Arial" w:hAnsi="Arial"/>
          <w:sz w:val="20"/>
          <w:szCs w:val="20"/>
          <w:color w:val="auto"/>
        </w:rPr>
      </w:pPr>
    </w:p>
    <w:p>
      <w:pPr>
        <w:ind w:left="1680" w:hanging="486"/>
        <w:spacing w:after="0"/>
        <w:tabs>
          <w:tab w:leader="none" w:pos="168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Shares, based on the Fair Market Value as of the exercise date,</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any other form of consideration approved by the Company and permitted by applicable law and</w:t>
      </w:r>
    </w:p>
    <w:p>
      <w:pPr>
        <w:spacing w:after="0" w:line="205" w:lineRule="exact"/>
        <w:rPr>
          <w:rFonts w:ascii="Arial" w:cs="Arial" w:eastAsia="Arial" w:hAnsi="Arial"/>
          <w:sz w:val="20"/>
          <w:szCs w:val="20"/>
          <w:color w:val="auto"/>
        </w:rPr>
      </w:pPr>
    </w:p>
    <w:p>
      <w:pPr>
        <w:ind w:left="1620" w:hanging="426"/>
        <w:spacing w:after="0"/>
        <w:tabs>
          <w:tab w:leader="none" w:pos="162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any combination of the foregoing.</w:t>
      </w:r>
    </w:p>
    <w:p>
      <w:pPr>
        <w:spacing w:after="0" w:line="206" w:lineRule="exact"/>
        <w:rPr>
          <w:sz w:val="20"/>
          <w:szCs w:val="20"/>
          <w:color w:val="auto"/>
        </w:rPr>
      </w:pPr>
    </w:p>
    <w:p>
      <w:pPr>
        <w:ind w:right="120" w:firstLine="597"/>
        <w:spacing w:after="0" w:line="283" w:lineRule="auto"/>
        <w:rPr>
          <w:sz w:val="20"/>
          <w:szCs w:val="20"/>
          <w:color w:val="auto"/>
        </w:rPr>
      </w:pPr>
      <w:r>
        <w:rPr>
          <w:rFonts w:ascii="Arial" w:cs="Arial" w:eastAsia="Arial" w:hAnsi="Arial"/>
          <w:sz w:val="18"/>
          <w:szCs w:val="18"/>
          <w:color w:val="auto"/>
        </w:rPr>
        <w:t>The Committee may also make arrangements for the cashless exercise of a stock option. Any person exercising a stock option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 The Committee may, in its sole discretion, also take whatever additional actions it deems appropriate to effect such compliance including, without limitation, placing legends on share certificates and issuing stop-transfer notices to agents and registrars. If a Participant so requests, Shares acquired pursuant to the exercise of a stock option may be issued in the name of the Participant and another jointly with the right of survivorship.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327" w:right="339" w:bottom="1440" w:gutter="0" w:footer="0" w:header="0"/>
        </w:sectPr>
      </w:pPr>
    </w:p>
    <w:bookmarkStart w:id="356" w:name="page357"/>
    <w:bookmarkEnd w:id="356"/>
    <w:p>
      <w:pPr>
        <w:spacing w:after="0"/>
        <w:tabs>
          <w:tab w:leader="none" w:pos="6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7"/>
          <w:szCs w:val="17"/>
          <w:b w:val="1"/>
          <w:bCs w:val="1"/>
          <w:color w:val="auto"/>
        </w:rPr>
        <w:t>Stock Appreciation Rights</w:t>
      </w:r>
    </w:p>
    <w:p>
      <w:pPr>
        <w:spacing w:after="0" w:line="206" w:lineRule="exact"/>
        <w:rPr>
          <w:sz w:val="20"/>
          <w:szCs w:val="20"/>
          <w:color w:val="auto"/>
        </w:rPr>
      </w:pPr>
    </w:p>
    <w:p>
      <w:pPr>
        <w:ind w:firstLine="597"/>
        <w:spacing w:after="0" w:line="256" w:lineRule="auto"/>
        <w:rPr>
          <w:sz w:val="20"/>
          <w:szCs w:val="20"/>
          <w:color w:val="auto"/>
        </w:rPr>
      </w:pPr>
      <w:r>
        <w:rPr>
          <w:rFonts w:ascii="Arial" w:cs="Arial" w:eastAsia="Arial" w:hAnsi="Arial"/>
          <w:sz w:val="20"/>
          <w:szCs w:val="20"/>
          <w:color w:val="auto"/>
        </w:rPr>
        <w:t xml:space="preserve">2.4.1 </w:t>
      </w:r>
      <w:r>
        <w:rPr>
          <w:rFonts w:ascii="Arial" w:cs="Arial" w:eastAsia="Arial" w:hAnsi="Arial"/>
          <w:sz w:val="20"/>
          <w:szCs w:val="20"/>
          <w:b w:val="1"/>
          <w:bCs w:val="1"/>
          <w:u w:val="single" w:color="auto"/>
          <w:color w:val="auto"/>
        </w:rPr>
        <w:t>Grant</w:t>
      </w:r>
      <w:r>
        <w:rPr>
          <w:rFonts w:ascii="Arial" w:cs="Arial" w:eastAsia="Arial" w:hAnsi="Arial"/>
          <w:sz w:val="20"/>
          <w:szCs w:val="20"/>
          <w:i w:val="1"/>
          <w:iCs w:val="1"/>
          <w:color w:val="auto"/>
        </w:rPr>
        <w:t>.</w:t>
      </w:r>
      <w:r>
        <w:rPr>
          <w:rFonts w:ascii="Arial" w:cs="Arial" w:eastAsia="Arial" w:hAnsi="Arial"/>
          <w:sz w:val="20"/>
          <w:szCs w:val="20"/>
          <w:color w:val="auto"/>
        </w:rPr>
        <w:t xml:space="preserve"> Stock appreciation rights may be granted to eligible recipients in such number and at such times during the term of the Plan as the Committee may determine;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maximum number of Shares as to which stock appreciation rights may be granted under the Plan to any one individual in any fiscal year may not exceed the Share Limit (as adjusted pursuant to the provisions of </w:t>
      </w:r>
      <w:r>
        <w:rPr>
          <w:rFonts w:ascii="Arial" w:cs="Arial" w:eastAsia="Arial" w:hAnsi="Arial"/>
          <w:sz w:val="20"/>
          <w:szCs w:val="20"/>
          <w:u w:val="single" w:color="auto"/>
          <w:color w:val="auto"/>
        </w:rPr>
        <w:t>Section 1.6.3</w:t>
      </w:r>
      <w:r>
        <w:rPr>
          <w:rFonts w:ascii="Arial" w:cs="Arial" w:eastAsia="Arial" w:hAnsi="Arial"/>
          <w:sz w:val="20"/>
          <w:szCs w:val="20"/>
          <w:color w:val="auto"/>
        </w:rPr>
        <w:t>).</w:t>
      </w:r>
    </w:p>
    <w:p>
      <w:pPr>
        <w:spacing w:after="0" w:line="164" w:lineRule="exact"/>
        <w:rPr>
          <w:sz w:val="20"/>
          <w:szCs w:val="20"/>
          <w:color w:val="auto"/>
        </w:rPr>
      </w:pPr>
    </w:p>
    <w:p>
      <w:pPr>
        <w:ind w:right="180" w:firstLine="597"/>
        <w:spacing w:after="0" w:line="256" w:lineRule="auto"/>
        <w:rPr>
          <w:sz w:val="20"/>
          <w:szCs w:val="20"/>
          <w:color w:val="auto"/>
        </w:rPr>
      </w:pPr>
      <w:r>
        <w:rPr>
          <w:rFonts w:ascii="Arial" w:cs="Arial" w:eastAsia="Arial" w:hAnsi="Arial"/>
          <w:sz w:val="20"/>
          <w:szCs w:val="20"/>
          <w:color w:val="auto"/>
        </w:rPr>
        <w:t xml:space="preserve">2.4.2 </w:t>
      </w:r>
      <w:r>
        <w:rPr>
          <w:rFonts w:ascii="Arial" w:cs="Arial" w:eastAsia="Arial" w:hAnsi="Arial"/>
          <w:sz w:val="20"/>
          <w:szCs w:val="20"/>
          <w:b w:val="1"/>
          <w:bCs w:val="1"/>
          <w:u w:val="single" w:color="auto"/>
          <w:color w:val="auto"/>
        </w:rPr>
        <w:t>Exercise Price</w:t>
      </w:r>
      <w:r>
        <w:rPr>
          <w:rFonts w:ascii="Arial" w:cs="Arial" w:eastAsia="Arial" w:hAnsi="Arial"/>
          <w:sz w:val="20"/>
          <w:szCs w:val="20"/>
          <w:i w:val="1"/>
          <w:iCs w:val="1"/>
          <w:color w:val="auto"/>
        </w:rPr>
        <w:t>.</w:t>
      </w:r>
      <w:r>
        <w:rPr>
          <w:rFonts w:ascii="Arial" w:cs="Arial" w:eastAsia="Arial" w:hAnsi="Arial"/>
          <w:sz w:val="20"/>
          <w:szCs w:val="20"/>
          <w:color w:val="auto"/>
        </w:rPr>
        <w:t xml:space="preserve"> The exercise price per Share with respect to each stock appreciation right will be determined by the Committee but, except for Acquisition Awards or as otherwise permitted by </w:t>
      </w:r>
      <w:r>
        <w:rPr>
          <w:rFonts w:ascii="Arial" w:cs="Arial" w:eastAsia="Arial" w:hAnsi="Arial"/>
          <w:sz w:val="20"/>
          <w:szCs w:val="20"/>
          <w:u w:val="single" w:color="auto"/>
          <w:color w:val="auto"/>
        </w:rPr>
        <w:t>Section 1.6.3</w:t>
      </w:r>
      <w:r>
        <w:rPr>
          <w:rFonts w:ascii="Arial" w:cs="Arial" w:eastAsia="Arial" w:hAnsi="Arial"/>
          <w:sz w:val="20"/>
          <w:szCs w:val="20"/>
          <w:color w:val="auto"/>
        </w:rPr>
        <w:t>, may never be less than the Fair Market Value of the Common Stock. Unless otherwise noted in the Award Agreement, the Fair Market Value of the Common Stock will be its Fair Market Value on the date of grant of the Award of stock appreciation rights.</w:t>
      </w:r>
    </w:p>
    <w:p>
      <w:pPr>
        <w:spacing w:after="0" w:line="164" w:lineRule="exact"/>
        <w:rPr>
          <w:sz w:val="20"/>
          <w:szCs w:val="20"/>
          <w:color w:val="auto"/>
        </w:rPr>
      </w:pPr>
    </w:p>
    <w:p>
      <w:pPr>
        <w:ind w:right="320" w:firstLine="597"/>
        <w:spacing w:after="0" w:line="277" w:lineRule="auto"/>
        <w:rPr>
          <w:sz w:val="20"/>
          <w:szCs w:val="20"/>
          <w:color w:val="auto"/>
        </w:rPr>
      </w:pPr>
      <w:r>
        <w:rPr>
          <w:rFonts w:ascii="Arial" w:cs="Arial" w:eastAsia="Arial" w:hAnsi="Arial"/>
          <w:sz w:val="20"/>
          <w:szCs w:val="20"/>
          <w:color w:val="auto"/>
        </w:rPr>
        <w:t xml:space="preserve">2.4.3 </w:t>
      </w:r>
      <w:r>
        <w:rPr>
          <w:rFonts w:ascii="Arial" w:cs="Arial" w:eastAsia="Arial" w:hAnsi="Arial"/>
          <w:sz w:val="20"/>
          <w:szCs w:val="20"/>
          <w:b w:val="1"/>
          <w:bCs w:val="1"/>
          <w:u w:val="single" w:color="auto"/>
          <w:color w:val="auto"/>
        </w:rPr>
        <w:t>Term of Stock Appreciation Right</w:t>
      </w:r>
      <w:r>
        <w:rPr>
          <w:rFonts w:ascii="Arial" w:cs="Arial" w:eastAsia="Arial" w:hAnsi="Arial"/>
          <w:sz w:val="20"/>
          <w:szCs w:val="20"/>
          <w:i w:val="1"/>
          <w:iCs w:val="1"/>
          <w:color w:val="auto"/>
        </w:rPr>
        <w:t>.</w:t>
      </w:r>
      <w:r>
        <w:rPr>
          <w:rFonts w:ascii="Arial" w:cs="Arial" w:eastAsia="Arial" w:hAnsi="Arial"/>
          <w:sz w:val="20"/>
          <w:szCs w:val="20"/>
          <w:color w:val="auto"/>
        </w:rPr>
        <w:t xml:space="preserve"> In no event will any stock appreciation right be exercisable after the expiration of 10 years from the date on which the stock appreciation right is granted.</w:t>
      </w:r>
    </w:p>
    <w:p>
      <w:pPr>
        <w:spacing w:after="0" w:line="141" w:lineRule="exact"/>
        <w:rPr>
          <w:sz w:val="20"/>
          <w:szCs w:val="20"/>
          <w:color w:val="auto"/>
        </w:rPr>
      </w:pPr>
    </w:p>
    <w:p>
      <w:pPr>
        <w:ind w:right="120" w:firstLine="597"/>
        <w:spacing w:after="0" w:line="274" w:lineRule="auto"/>
        <w:rPr>
          <w:sz w:val="20"/>
          <w:szCs w:val="20"/>
          <w:color w:val="auto"/>
        </w:rPr>
      </w:pPr>
      <w:r>
        <w:rPr>
          <w:rFonts w:ascii="Arial" w:cs="Arial" w:eastAsia="Arial" w:hAnsi="Arial"/>
          <w:sz w:val="19"/>
          <w:szCs w:val="19"/>
          <w:color w:val="auto"/>
        </w:rPr>
        <w:t xml:space="preserve">2.4.4 </w:t>
      </w:r>
      <w:r>
        <w:rPr>
          <w:rFonts w:ascii="Arial" w:cs="Arial" w:eastAsia="Arial" w:hAnsi="Arial"/>
          <w:sz w:val="19"/>
          <w:szCs w:val="19"/>
          <w:b w:val="1"/>
          <w:bCs w:val="1"/>
          <w:u w:val="single" w:color="auto"/>
          <w:color w:val="auto"/>
        </w:rPr>
        <w:t>Vesting and Exercise of Stock Appreciation Right and Delivery of Shares</w:t>
      </w:r>
      <w:r>
        <w:rPr>
          <w:rFonts w:ascii="Arial" w:cs="Arial" w:eastAsia="Arial" w:hAnsi="Arial"/>
          <w:sz w:val="19"/>
          <w:szCs w:val="19"/>
          <w:i w:val="1"/>
          <w:iCs w:val="1"/>
          <w:color w:val="auto"/>
        </w:rPr>
        <w:t>.</w:t>
      </w:r>
      <w:r>
        <w:rPr>
          <w:rFonts w:ascii="Arial" w:cs="Arial" w:eastAsia="Arial" w:hAnsi="Arial"/>
          <w:sz w:val="19"/>
          <w:szCs w:val="19"/>
          <w:color w:val="auto"/>
        </w:rPr>
        <w:t xml:space="preserve"> Each stock appreciation right may vest and be exercised at such time or times as may be determined in the Award Agreement at the time the stock appreciation right is granted. Subject to any limitations in the applicable Award Agreement, any stock appreciation rights not exercised on the applicable vesting date may be exercised thereafter at any time before the final expiration of the stock appreciation right.</w:t>
      </w:r>
    </w:p>
    <w:p>
      <w:pPr>
        <w:spacing w:after="0" w:line="153" w:lineRule="exact"/>
        <w:rPr>
          <w:sz w:val="20"/>
          <w:szCs w:val="20"/>
          <w:color w:val="auto"/>
        </w:rPr>
      </w:pPr>
    </w:p>
    <w:p>
      <w:pPr>
        <w:ind w:right="100" w:firstLine="597"/>
        <w:spacing w:after="0" w:line="258" w:lineRule="auto"/>
        <w:rPr>
          <w:sz w:val="20"/>
          <w:szCs w:val="20"/>
          <w:color w:val="auto"/>
        </w:rPr>
      </w:pPr>
      <w:r>
        <w:rPr>
          <w:rFonts w:ascii="Arial" w:cs="Arial" w:eastAsia="Arial" w:hAnsi="Arial"/>
          <w:sz w:val="20"/>
          <w:szCs w:val="20"/>
          <w:color w:val="auto"/>
        </w:rPr>
        <w:t>To exercise a stock appreciation right, the Participant must give written notice to the Company specifying the number of stock appreciation rights to be exercised. Upon exercise of stock appreciation rights, Shares, cash or other securities or property, or a combination thereof, as specified by the Committee, equal in value to:</w:t>
      </w:r>
    </w:p>
    <w:p>
      <w:pPr>
        <w:spacing w:after="0" w:line="167" w:lineRule="exact"/>
        <w:rPr>
          <w:sz w:val="20"/>
          <w:szCs w:val="20"/>
          <w:color w:val="auto"/>
        </w:rPr>
      </w:pPr>
    </w:p>
    <w:p>
      <w:pPr>
        <w:ind w:left="1620" w:hanging="426"/>
        <w:spacing w:after="0"/>
        <w:tabs>
          <w:tab w:leader="none" w:pos="162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excess of:</w:t>
      </w:r>
    </w:p>
    <w:p>
      <w:pPr>
        <w:spacing w:after="0" w:line="205" w:lineRule="exact"/>
        <w:rPr>
          <w:rFonts w:ascii="Arial" w:cs="Arial" w:eastAsia="Arial" w:hAnsi="Arial"/>
          <w:sz w:val="20"/>
          <w:szCs w:val="20"/>
          <w:color w:val="auto"/>
        </w:rPr>
      </w:pPr>
    </w:p>
    <w:p>
      <w:pPr>
        <w:ind w:left="1740" w:hanging="471"/>
        <w:spacing w:after="0"/>
        <w:tabs>
          <w:tab w:leader="none" w:pos="1740" w:val="left"/>
        </w:tabs>
        <w:numPr>
          <w:ilvl w:val="1"/>
          <w:numId w:val="242"/>
        </w:numPr>
        <w:rPr>
          <w:rFonts w:ascii="Arial" w:cs="Arial" w:eastAsia="Arial" w:hAnsi="Arial"/>
          <w:sz w:val="20"/>
          <w:szCs w:val="20"/>
          <w:color w:val="auto"/>
        </w:rPr>
      </w:pPr>
      <w:r>
        <w:rPr>
          <w:rFonts w:ascii="Arial" w:cs="Arial" w:eastAsia="Arial" w:hAnsi="Arial"/>
          <w:sz w:val="20"/>
          <w:szCs w:val="20"/>
          <w:color w:val="auto"/>
        </w:rPr>
        <w:t xml:space="preserve">the Fair Market Value of the Common Stock on the date of exercise </w:t>
      </w:r>
      <w:r>
        <w:rPr>
          <w:rFonts w:ascii="Arial" w:cs="Arial" w:eastAsia="Arial" w:hAnsi="Arial"/>
          <w:sz w:val="20"/>
          <w:szCs w:val="20"/>
          <w:i w:val="1"/>
          <w:iCs w:val="1"/>
          <w:color w:val="auto"/>
        </w:rPr>
        <w:t>over</w:t>
      </w:r>
    </w:p>
    <w:p>
      <w:pPr>
        <w:spacing w:after="0" w:line="205" w:lineRule="exact"/>
        <w:rPr>
          <w:rFonts w:ascii="Arial" w:cs="Arial" w:eastAsia="Arial" w:hAnsi="Arial"/>
          <w:sz w:val="20"/>
          <w:szCs w:val="20"/>
          <w:color w:val="auto"/>
        </w:rPr>
      </w:pPr>
    </w:p>
    <w:p>
      <w:pPr>
        <w:ind w:left="1740" w:hanging="471"/>
        <w:spacing w:after="0"/>
        <w:tabs>
          <w:tab w:leader="none" w:pos="1740" w:val="left"/>
        </w:tabs>
        <w:numPr>
          <w:ilvl w:val="1"/>
          <w:numId w:val="242"/>
        </w:numPr>
        <w:rPr>
          <w:rFonts w:ascii="Arial" w:cs="Arial" w:eastAsia="Arial" w:hAnsi="Arial"/>
          <w:sz w:val="20"/>
          <w:szCs w:val="20"/>
          <w:color w:val="auto"/>
        </w:rPr>
      </w:pPr>
      <w:r>
        <w:rPr>
          <w:rFonts w:ascii="Arial" w:cs="Arial" w:eastAsia="Arial" w:hAnsi="Arial"/>
          <w:sz w:val="20"/>
          <w:szCs w:val="20"/>
          <w:color w:val="auto"/>
        </w:rPr>
        <w:t>the exercise price of such stock appreciation right</w:t>
      </w:r>
    </w:p>
    <w:p>
      <w:pPr>
        <w:spacing w:after="0" w:line="206" w:lineRule="exact"/>
        <w:rPr>
          <w:sz w:val="20"/>
          <w:szCs w:val="20"/>
          <w:color w:val="auto"/>
        </w:rPr>
      </w:pPr>
    </w:p>
    <w:p>
      <w:pPr>
        <w:ind w:left="1800"/>
        <w:spacing w:after="0"/>
        <w:rPr>
          <w:sz w:val="20"/>
          <w:szCs w:val="20"/>
          <w:color w:val="auto"/>
        </w:rPr>
      </w:pPr>
      <w:r>
        <w:rPr>
          <w:rFonts w:ascii="Arial" w:cs="Arial" w:eastAsia="Arial" w:hAnsi="Arial"/>
          <w:sz w:val="20"/>
          <w:szCs w:val="20"/>
          <w:i w:val="1"/>
          <w:iCs w:val="1"/>
          <w:color w:val="auto"/>
        </w:rPr>
        <w:t>multiplied by</w:t>
      </w:r>
    </w:p>
    <w:p>
      <w:pPr>
        <w:spacing w:after="0" w:line="206" w:lineRule="exact"/>
        <w:rPr>
          <w:sz w:val="20"/>
          <w:szCs w:val="20"/>
          <w:color w:val="auto"/>
        </w:rPr>
      </w:pPr>
    </w:p>
    <w:p>
      <w:pPr>
        <w:ind w:left="1620" w:hanging="426"/>
        <w:spacing w:after="0"/>
        <w:tabs>
          <w:tab w:leader="none" w:pos="162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number of stock appreciation rights exercised, will be delivered to the Participant.</w:t>
      </w:r>
    </w:p>
    <w:p>
      <w:pPr>
        <w:spacing w:after="0" w:line="206" w:lineRule="exact"/>
        <w:rPr>
          <w:sz w:val="20"/>
          <w:szCs w:val="20"/>
          <w:color w:val="auto"/>
        </w:rPr>
      </w:pPr>
    </w:p>
    <w:p>
      <w:pPr>
        <w:ind w:right="20" w:firstLine="597"/>
        <w:spacing w:after="0" w:line="292" w:lineRule="auto"/>
        <w:rPr>
          <w:sz w:val="20"/>
          <w:szCs w:val="20"/>
          <w:color w:val="auto"/>
        </w:rPr>
      </w:pPr>
      <w:r>
        <w:rPr>
          <w:rFonts w:ascii="Arial" w:cs="Arial" w:eastAsia="Arial" w:hAnsi="Arial"/>
          <w:sz w:val="18"/>
          <w:szCs w:val="18"/>
          <w:color w:val="auto"/>
        </w:rPr>
        <w:t>Any person exercising a stock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 If a Participant so requests, Shares purchased may be issued in the name of the Participant and another jointly with the right of survivorship.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321" w:right="339" w:bottom="1440" w:gutter="0" w:footer="0" w:header="0"/>
        </w:sectPr>
      </w:pPr>
    </w:p>
    <w:bookmarkStart w:id="357" w:name="page358"/>
    <w:bookmarkEnd w:id="357"/>
    <w:p>
      <w:pPr>
        <w:spacing w:after="0"/>
        <w:tabs>
          <w:tab w:leader="none" w:pos="62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7"/>
          <w:szCs w:val="17"/>
          <w:b w:val="1"/>
          <w:bCs w:val="1"/>
          <w:color w:val="auto"/>
        </w:rPr>
        <w:t>Restricted Shares</w:t>
      </w:r>
    </w:p>
    <w:p>
      <w:pPr>
        <w:spacing w:after="0" w:line="206" w:lineRule="exact"/>
        <w:rPr>
          <w:sz w:val="20"/>
          <w:szCs w:val="20"/>
          <w:color w:val="auto"/>
        </w:rPr>
      </w:pPr>
    </w:p>
    <w:p>
      <w:pPr>
        <w:ind w:firstLine="597"/>
        <w:spacing w:after="0" w:line="282"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b w:val="1"/>
          <w:bCs w:val="1"/>
          <w:u w:val="single" w:color="auto"/>
          <w:color w:val="auto"/>
        </w:rPr>
        <w:t>Grants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Committee may grant or offer for sale restricted Shares in such amounts and subject to such terms and conditions as the Committee may determine. Upon the delivery of such Shares, the Participant will have the rights of a stockholder with respect to the restricted Shares, subject to any other restrictions and conditions as the Committee may include in the applicable Award Agreement. Each Participant of an Award of restricted Shares will be issued a Certificate in respect of such Shares, unless the Committee elects to use another system, such as book entries by the transfer agent, as evidencing ownership of such Shares. In the event that a Certificate is issued in respect of restricted Shares, such Certificate may be registered in the name of the Participant, and will, in addition to such legends required by applicable securities laws, bear an appropriate legend referring to the terms, conditions, and restrictions applicable to such Award, but will be held by the Company or its designated agent until the time the restrictions lapse.</w:t>
      </w:r>
    </w:p>
    <w:p>
      <w:pPr>
        <w:spacing w:after="0" w:line="145" w:lineRule="exact"/>
        <w:rPr>
          <w:sz w:val="20"/>
          <w:szCs w:val="20"/>
          <w:color w:val="auto"/>
        </w:rPr>
      </w:pPr>
    </w:p>
    <w:p>
      <w:pPr>
        <w:ind w:right="40" w:firstLine="597"/>
        <w:spacing w:after="0" w:line="267" w:lineRule="auto"/>
        <w:rPr>
          <w:sz w:val="20"/>
          <w:szCs w:val="20"/>
          <w:color w:val="auto"/>
        </w:rPr>
      </w:pPr>
      <w:r>
        <w:rPr>
          <w:rFonts w:ascii="Arial" w:cs="Arial" w:eastAsia="Arial" w:hAnsi="Arial"/>
          <w:sz w:val="19"/>
          <w:szCs w:val="19"/>
          <w:color w:val="auto"/>
        </w:rPr>
        <w:t xml:space="preserve">2.5.2 </w:t>
      </w:r>
      <w:r>
        <w:rPr>
          <w:rFonts w:ascii="Arial" w:cs="Arial" w:eastAsia="Arial" w:hAnsi="Arial"/>
          <w:sz w:val="19"/>
          <w:szCs w:val="19"/>
          <w:b w:val="1"/>
          <w:bCs w:val="1"/>
          <w:u w:val="single" w:color="auto"/>
          <w:color w:val="auto"/>
        </w:rPr>
        <w:t>Right to Vote and Receive Dividends on Restricted Shares</w:t>
      </w:r>
      <w:r>
        <w:rPr>
          <w:rFonts w:ascii="Arial" w:cs="Arial" w:eastAsia="Arial" w:hAnsi="Arial"/>
          <w:sz w:val="19"/>
          <w:szCs w:val="19"/>
          <w:i w:val="1"/>
          <w:iCs w:val="1"/>
          <w:color w:val="auto"/>
        </w:rPr>
        <w:t>.</w:t>
      </w:r>
      <w:r>
        <w:rPr>
          <w:rFonts w:ascii="Arial" w:cs="Arial" w:eastAsia="Arial" w:hAnsi="Arial"/>
          <w:sz w:val="19"/>
          <w:szCs w:val="19"/>
          <w:color w:val="auto"/>
        </w:rPr>
        <w:t xml:space="preserve"> Each Participant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ordinary cash dividends or other ordinary distributions paid upon any restricted Share will be retained by the Company and will be paid to the relevant Participant (without interest) when the Award of restricted Shares vests and will revert back to the Company if for any reason the restricted Share upon which such dividends or other distributions were paid reverts back to the Company (any extraordinary dividends or other extraordinary distributions will be treated in accordance with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7"/>
          <w:szCs w:val="17"/>
          <w:b w:val="1"/>
          <w:bCs w:val="1"/>
          <w:color w:val="auto"/>
        </w:rPr>
        <w:t>Restricted Stock Units</w:t>
      </w:r>
    </w:p>
    <w:p>
      <w:pPr>
        <w:spacing w:after="0" w:line="212" w:lineRule="exact"/>
        <w:rPr>
          <w:sz w:val="20"/>
          <w:szCs w:val="20"/>
          <w:color w:val="auto"/>
        </w:rPr>
      </w:pPr>
    </w:p>
    <w:p>
      <w:pPr>
        <w:ind w:right="20" w:firstLine="1195"/>
        <w:spacing w:after="0" w:line="251" w:lineRule="auto"/>
        <w:rPr>
          <w:sz w:val="20"/>
          <w:szCs w:val="20"/>
          <w:color w:val="auto"/>
        </w:rPr>
      </w:pPr>
      <w:r>
        <w:rPr>
          <w:rFonts w:ascii="Arial" w:cs="Arial" w:eastAsia="Arial" w:hAnsi="Arial"/>
          <w:sz w:val="20"/>
          <w:szCs w:val="20"/>
          <w:color w:val="auto"/>
        </w:rPr>
        <w:t>The Committee may grant Awards of restricted stock units in such amounts and subject to such terms and conditions as the Committee may determine. A Participant of a restricted stock unit will have only the rights of a general unsecured creditor of the Company, until delivery of Shares, cash or other securities or property is made as specified in the applicable Award Agreement. On the delivery date specified in the Award Agreement, the Participant of each restricted stock unit not previously forfeited or terminated will receive one share of Common Stock, cash or other securities or property equal in value to a share of Common Stock or a combination thereof, as specified by the Committee.</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8"/>
          <w:szCs w:val="18"/>
          <w:b w:val="1"/>
          <w:bCs w:val="1"/>
          <w:color w:val="auto"/>
        </w:rPr>
        <w:t>Dividend Equivalent Rights</w:t>
      </w:r>
    </w:p>
    <w:p>
      <w:pPr>
        <w:spacing w:after="0" w:line="212" w:lineRule="exact"/>
        <w:rPr>
          <w:sz w:val="20"/>
          <w:szCs w:val="20"/>
          <w:color w:val="auto"/>
        </w:rPr>
      </w:pPr>
    </w:p>
    <w:p>
      <w:pPr>
        <w:jc w:val="both"/>
        <w:ind w:right="120" w:firstLine="1195"/>
        <w:spacing w:after="0" w:line="287" w:lineRule="auto"/>
        <w:rPr>
          <w:sz w:val="20"/>
          <w:szCs w:val="20"/>
          <w:color w:val="auto"/>
        </w:rPr>
      </w:pPr>
      <w:r>
        <w:rPr>
          <w:rFonts w:ascii="Arial" w:cs="Arial" w:eastAsia="Arial" w:hAnsi="Arial"/>
          <w:sz w:val="18"/>
          <w:szCs w:val="18"/>
          <w:color w:val="auto"/>
        </w:rPr>
        <w:t>The Committee may include in the Award Agreement with respect to any Award a dividend equivalent right entitling the Participant to receive amounts equal to all or any portion of the regular cash dividends that would be paid on the Shares covered by such Award if such Shares had been delivered pursuant to such Award. The grantee of a dividend equivalent right will have only the rights of a general unsecured creditor of the Company until payment of such amounts is made as specified in the applicable Award Agreement. In the event such a provision is included in an Award Agreement, the Committee will determine whether such payments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140"/>
          </w:cols>
          <w:pgMar w:left="320" w:top="1321" w:right="439" w:bottom="1440" w:gutter="0" w:footer="0" w:header="0"/>
        </w:sectPr>
      </w:pPr>
    </w:p>
    <w:bookmarkStart w:id="358" w:name="page359"/>
    <w:bookmarkEnd w:id="358"/>
    <w:p>
      <w:pPr>
        <w:ind w:right="60"/>
        <w:spacing w:after="0" w:line="254" w:lineRule="auto"/>
        <w:rPr>
          <w:sz w:val="20"/>
          <w:szCs w:val="20"/>
          <w:color w:val="auto"/>
        </w:rPr>
      </w:pPr>
      <w:r>
        <w:rPr>
          <w:rFonts w:ascii="Arial" w:cs="Arial" w:eastAsia="Arial" w:hAnsi="Arial"/>
          <w:sz w:val="20"/>
          <w:szCs w:val="20"/>
          <w:color w:val="auto"/>
        </w:rPr>
        <w:t>be made in cash, in Shares or in another form, whether they will be conditioned upon the exercise of the Award to which they relate (subject to compliance with Section 409A of the Code), the time or times at which they will be made, and such other terms and conditions as the Committee will deem appropriate; provided that in no event may such payments may be made unless and until the Award to which they relate vests.</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7"/>
          <w:szCs w:val="17"/>
          <w:b w:val="1"/>
          <w:bCs w:val="1"/>
          <w:color w:val="auto"/>
        </w:rPr>
        <w:t>Other Stock-Based or Cash-Based Awards</w:t>
      </w:r>
    </w:p>
    <w:p>
      <w:pPr>
        <w:spacing w:after="0" w:line="206" w:lineRule="exact"/>
        <w:rPr>
          <w:sz w:val="20"/>
          <w:szCs w:val="20"/>
          <w:color w:val="auto"/>
        </w:rPr>
      </w:pPr>
    </w:p>
    <w:p>
      <w:pPr>
        <w:ind w:right="40" w:firstLine="597"/>
        <w:spacing w:after="0" w:line="268" w:lineRule="auto"/>
        <w:rPr>
          <w:sz w:val="20"/>
          <w:szCs w:val="20"/>
          <w:color w:val="auto"/>
        </w:rPr>
      </w:pPr>
      <w:r>
        <w:rPr>
          <w:rFonts w:ascii="Arial" w:cs="Arial" w:eastAsia="Arial" w:hAnsi="Arial"/>
          <w:sz w:val="19"/>
          <w:szCs w:val="19"/>
          <w:color w:val="auto"/>
        </w:rPr>
        <w:t xml:space="preserve">2.8.1 </w:t>
      </w:r>
      <w:r>
        <w:rPr>
          <w:rFonts w:ascii="Arial" w:cs="Arial" w:eastAsia="Arial" w:hAnsi="Arial"/>
          <w:sz w:val="19"/>
          <w:szCs w:val="19"/>
          <w:b w:val="1"/>
          <w:bCs w:val="1"/>
          <w:u w:val="single" w:color="auto"/>
          <w:color w:val="auto"/>
        </w:rPr>
        <w:t>Grant</w:t>
      </w:r>
      <w:r>
        <w:rPr>
          <w:rFonts w:ascii="Arial" w:cs="Arial" w:eastAsia="Arial" w:hAnsi="Arial"/>
          <w:sz w:val="19"/>
          <w:szCs w:val="19"/>
          <w:b w:val="1"/>
          <w:bCs w:val="1"/>
          <w:color w:val="auto"/>
        </w:rPr>
        <w:t>.</w:t>
      </w:r>
      <w:r>
        <w:rPr>
          <w:rFonts w:ascii="Arial" w:cs="Arial" w:eastAsia="Arial" w:hAnsi="Arial"/>
          <w:sz w:val="19"/>
          <w:szCs w:val="19"/>
          <w:color w:val="auto"/>
        </w:rPr>
        <w:t xml:space="preserve"> The Committee may grant other types of equity-based, equity-related or cash-based Awards (including the grant or offer for sale of unrestricted Shares, performance share awards and performance units settled in cash) (“</w:t>
      </w:r>
      <w:r>
        <w:rPr>
          <w:rFonts w:ascii="Arial" w:cs="Arial" w:eastAsia="Arial" w:hAnsi="Arial"/>
          <w:sz w:val="19"/>
          <w:szCs w:val="19"/>
          <w:b w:val="1"/>
          <w:bCs w:val="1"/>
          <w:u w:val="single" w:color="auto"/>
          <w:color w:val="auto"/>
        </w:rPr>
        <w:t>Other Stock-Based or Cash-Based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Awards</w:t>
      </w:r>
      <w:r>
        <w:rPr>
          <w:rFonts w:ascii="Arial" w:cs="Arial" w:eastAsia="Arial" w:hAnsi="Arial"/>
          <w:sz w:val="19"/>
          <w:szCs w:val="19"/>
          <w:color w:val="auto"/>
        </w:rPr>
        <w:t>”) in such amounts and subject to such terms and conditions as the Committee may determine. The terms and conditions set forth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in the applicable Award Agreement may relate to the achievement of Performance Goals, as determined by the Committee at the time of grant. Such Awards may entail the transfer of actual Shares to Award recipients and may include Awards designed to comply with or take advantage of the applicable local laws of jurisdictions other than the United States.</w:t>
      </w:r>
    </w:p>
    <w:p>
      <w:pPr>
        <w:spacing w:after="0" w:line="154" w:lineRule="exact"/>
        <w:rPr>
          <w:sz w:val="20"/>
          <w:szCs w:val="20"/>
          <w:color w:val="auto"/>
        </w:rPr>
      </w:pPr>
    </w:p>
    <w:p>
      <w:pPr>
        <w:ind w:right="100" w:firstLine="597"/>
        <w:spacing w:after="0" w:line="264" w:lineRule="auto"/>
        <w:rPr>
          <w:sz w:val="20"/>
          <w:szCs w:val="20"/>
          <w:color w:val="auto"/>
        </w:rPr>
      </w:pPr>
      <w:r>
        <w:rPr>
          <w:rFonts w:ascii="Arial" w:cs="Arial" w:eastAsia="Arial" w:hAnsi="Arial"/>
          <w:sz w:val="19"/>
          <w:szCs w:val="19"/>
          <w:color w:val="auto"/>
        </w:rPr>
        <w:t xml:space="preserve">2.8.2 </w:t>
      </w:r>
      <w:r>
        <w:rPr>
          <w:rFonts w:ascii="Arial" w:cs="Arial" w:eastAsia="Arial" w:hAnsi="Arial"/>
          <w:sz w:val="19"/>
          <w:szCs w:val="19"/>
          <w:b w:val="1"/>
          <w:bCs w:val="1"/>
          <w:u w:val="single" w:color="auto"/>
          <w:color w:val="auto"/>
        </w:rPr>
        <w:t>Establishment of the Performance Period, Performance Goals and Certification</w:t>
      </w:r>
      <w:r>
        <w:rPr>
          <w:rFonts w:ascii="Arial" w:cs="Arial" w:eastAsia="Arial" w:hAnsi="Arial"/>
          <w:sz w:val="19"/>
          <w:szCs w:val="19"/>
          <w:b w:val="1"/>
          <w:bCs w:val="1"/>
          <w:color w:val="auto"/>
        </w:rPr>
        <w:t>.</w:t>
      </w:r>
      <w:r>
        <w:rPr>
          <w:rFonts w:ascii="Arial" w:cs="Arial" w:eastAsia="Arial" w:hAnsi="Arial"/>
          <w:sz w:val="19"/>
          <w:szCs w:val="19"/>
          <w:color w:val="auto"/>
        </w:rPr>
        <w:t xml:space="preserve"> A Participant’s Performance-Based Award will be determined based on the attainment of written Performance Goals approved by the Committee for a performance period established by the Committee. The Committee may prescribe a formula to determine the amount of the Performance-Based Award that may be payable based upon the level of attainment of the Performance Goals during the performance period. The Performance Goals will be based on criteria determined by the Committee from time to time, and as may be adjusted, modified or amended by the Committee (“</w:t>
      </w:r>
      <w:r>
        <w:rPr>
          <w:rFonts w:ascii="Arial" w:cs="Arial" w:eastAsia="Arial" w:hAnsi="Arial"/>
          <w:sz w:val="19"/>
          <w:szCs w:val="19"/>
          <w:b w:val="1"/>
          <w:bCs w:val="1"/>
          <w:u w:val="single" w:color="auto"/>
          <w:color w:val="auto"/>
        </w:rPr>
        <w:t>Performance Criteria</w:t>
      </w:r>
      <w:r>
        <w:rPr>
          <w:rFonts w:ascii="Arial" w:cs="Arial" w:eastAsia="Arial" w:hAnsi="Arial"/>
          <w:sz w:val="19"/>
          <w:szCs w:val="19"/>
          <w:color w:val="auto"/>
        </w:rPr>
        <w:t>”). Any Performance Goals may be measured in absolute terms or relative to historic performance or the performance of other companies or an index. Following the completion of each performance period, the Committee will have the sole discretion to determine whether the applicable Performance Goals have been met with respect to a given Participant and, if they have, will determine the amount of the applicable Performance-Based Award. The amount of the Performance-Based Award determined by the Committee for a performance period will be paid to the Participant at such time as determined by the Committee in its sole discretion after the end of such performance period.</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8"/>
          <w:szCs w:val="18"/>
          <w:b w:val="1"/>
          <w:bCs w:val="1"/>
          <w:color w:val="auto"/>
        </w:rPr>
        <w:t>Repayment If Conditions Not Met</w:t>
      </w:r>
    </w:p>
    <w:p>
      <w:pPr>
        <w:spacing w:after="0" w:line="212" w:lineRule="exact"/>
        <w:rPr>
          <w:sz w:val="20"/>
          <w:szCs w:val="20"/>
          <w:color w:val="auto"/>
        </w:rPr>
      </w:pPr>
    </w:p>
    <w:p>
      <w:pPr>
        <w:ind w:firstLine="1195"/>
        <w:spacing w:after="0" w:line="250" w:lineRule="auto"/>
        <w:rPr>
          <w:sz w:val="20"/>
          <w:szCs w:val="20"/>
          <w:color w:val="auto"/>
        </w:rPr>
      </w:pPr>
      <w:r>
        <w:rPr>
          <w:rFonts w:ascii="Arial" w:cs="Arial" w:eastAsia="Arial" w:hAnsi="Arial"/>
          <w:sz w:val="20"/>
          <w:szCs w:val="20"/>
          <w:color w:val="auto"/>
        </w:rPr>
        <w:t>If the Committee determines that all terms and conditions of the Plan and a Participant’s Award Agreement were not satisfied, and that the failure to satisfy such terms and conditions is material, then the Participant will be obligated to pay the Company immediately upon demand therefor, (a) with respect to a stock option and a stock appreciation right, an amount equal to the excess of the Fair Market Value (determined at the time of exercise) of the Shares that were delivered in respect of such exercised stock option or stock appreciation right, as applicable, over the exercise price paid therefor, (b) with respect to restricted Shares, an amount equal to the Fair Market Value (determined at the time such Shares became vested) of such restricted Shares and (c) with respect to restricted stock units, an amount equal to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20"/>
          </w:cols>
          <w:pgMar w:left="320" w:top="1327" w:right="359" w:bottom="1440" w:gutter="0" w:footer="0" w:header="0"/>
        </w:sectPr>
      </w:pPr>
    </w:p>
    <w:bookmarkStart w:id="359" w:name="page360"/>
    <w:bookmarkEnd w:id="359"/>
    <w:p>
      <w:pPr>
        <w:ind w:right="40"/>
        <w:spacing w:after="0" w:line="258" w:lineRule="auto"/>
        <w:rPr>
          <w:sz w:val="20"/>
          <w:szCs w:val="20"/>
          <w:color w:val="auto"/>
        </w:rPr>
      </w:pPr>
      <w:r>
        <w:rPr>
          <w:rFonts w:ascii="Arial" w:cs="Arial" w:eastAsia="Arial" w:hAnsi="Arial"/>
          <w:sz w:val="20"/>
          <w:szCs w:val="20"/>
          <w:color w:val="auto"/>
        </w:rPr>
        <w:t xml:space="preserve">Market Value (determined at the time of delivery) of the Shares delivered with respect to the applicable delivery date, in each case with respect to clauses (a), (b) and (c) of this </w:t>
      </w:r>
      <w:r>
        <w:rPr>
          <w:rFonts w:ascii="Arial" w:cs="Arial" w:eastAsia="Arial" w:hAnsi="Arial"/>
          <w:sz w:val="20"/>
          <w:szCs w:val="20"/>
          <w:u w:val="single" w:color="auto"/>
          <w:color w:val="auto"/>
        </w:rPr>
        <w:t>Section 2.9</w:t>
      </w:r>
      <w:r>
        <w:rPr>
          <w:rFonts w:ascii="Arial" w:cs="Arial" w:eastAsia="Arial" w:hAnsi="Arial"/>
          <w:sz w:val="20"/>
          <w:szCs w:val="20"/>
          <w:color w:val="auto"/>
        </w:rPr>
        <w:t>, without reduction for any amount applied to satisfy withholding tax or other obligations in respect of such Award.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8"/>
          <w:szCs w:val="18"/>
          <w:b w:val="1"/>
          <w:bCs w:val="1"/>
          <w:color w:val="auto"/>
        </w:rPr>
        <w:t>Minimum Vesting</w:t>
      </w:r>
    </w:p>
    <w:p>
      <w:pPr>
        <w:spacing w:after="0" w:line="212" w:lineRule="exact"/>
        <w:rPr>
          <w:sz w:val="20"/>
          <w:szCs w:val="20"/>
          <w:color w:val="auto"/>
        </w:rPr>
      </w:pPr>
    </w:p>
    <w:p>
      <w:pPr>
        <w:ind w:firstLine="1195"/>
        <w:spacing w:after="0" w:line="272" w:lineRule="auto"/>
        <w:rPr>
          <w:sz w:val="20"/>
          <w:szCs w:val="20"/>
          <w:color w:val="auto"/>
        </w:rPr>
      </w:pPr>
      <w:r>
        <w:rPr>
          <w:rFonts w:ascii="Arial" w:cs="Arial" w:eastAsia="Arial" w:hAnsi="Arial"/>
          <w:sz w:val="19"/>
          <w:szCs w:val="19"/>
          <w:color w:val="auto"/>
        </w:rPr>
        <w:t xml:space="preserve">All Awards shall be subject to a minimum vesting schedule of at least twelve months following the date of grant of the Award, provided that an Award Agreement may provide that vesting may accelerate in connection with death, Disability, retirement, a Change in Control or other involuntary termination. Notwithstanding the foregoing, up to 5% of the Shares available for grant under the Plan may be granted with a minimum vesting schedule that is shorter than that mandated in this </w:t>
      </w:r>
      <w:r>
        <w:rPr>
          <w:rFonts w:ascii="Arial" w:cs="Arial" w:eastAsia="Arial" w:hAnsi="Arial"/>
          <w:sz w:val="19"/>
          <w:szCs w:val="19"/>
          <w:u w:val="single" w:color="auto"/>
          <w:color w:val="auto"/>
        </w:rPr>
        <w:t>Section 2.10</w:t>
      </w:r>
      <w:r>
        <w:rPr>
          <w:rFonts w:ascii="Arial" w:cs="Arial" w:eastAsia="Arial" w:hAnsi="Arial"/>
          <w:sz w:val="19"/>
          <w:szCs w:val="19"/>
          <w:color w:val="auto"/>
        </w:rPr>
        <w:t>.</w:t>
      </w:r>
    </w:p>
    <w:p>
      <w:pPr>
        <w:spacing w:after="0" w:line="14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7"/>
          <w:szCs w:val="17"/>
          <w:b w:val="1"/>
          <w:bCs w:val="1"/>
          <w:color w:val="auto"/>
        </w:rPr>
        <w:t>Continuous Employment Requirement</w:t>
      </w:r>
    </w:p>
    <w:p>
      <w:pPr>
        <w:spacing w:after="0" w:line="212" w:lineRule="exact"/>
        <w:rPr>
          <w:sz w:val="20"/>
          <w:szCs w:val="20"/>
          <w:color w:val="auto"/>
        </w:rPr>
      </w:pPr>
    </w:p>
    <w:p>
      <w:pPr>
        <w:ind w:right="120" w:firstLine="1195"/>
        <w:spacing w:after="0" w:line="254" w:lineRule="auto"/>
        <w:rPr>
          <w:sz w:val="20"/>
          <w:szCs w:val="20"/>
          <w:color w:val="auto"/>
        </w:rPr>
      </w:pPr>
      <w:r>
        <w:rPr>
          <w:rFonts w:ascii="Arial" w:cs="Arial" w:eastAsia="Arial" w:hAnsi="Arial"/>
          <w:sz w:val="20"/>
          <w:szCs w:val="20"/>
          <w:color w:val="auto"/>
        </w:rPr>
        <w:t>Unless otherwise provided herein, in an Award Agreement, in an employment agreement or in other arrangement of the Company or its Affiliates, in the event of Participant’s termination of Employment prior to the vesting of all of the Awards, any unvested Awards will terminate automatically without any further action by the Company and be forfeited without further notice and at no cost to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8"/>
          <w:szCs w:val="18"/>
          <w:b w:val="1"/>
          <w:bCs w:val="1"/>
          <w:color w:val="auto"/>
        </w:rPr>
        <w:t>Amendment of the Plan</w:t>
      </w:r>
    </w:p>
    <w:p>
      <w:pPr>
        <w:spacing w:after="0" w:line="212" w:lineRule="exact"/>
        <w:rPr>
          <w:sz w:val="20"/>
          <w:szCs w:val="20"/>
          <w:color w:val="auto"/>
        </w:rPr>
      </w:pPr>
    </w:p>
    <w:p>
      <w:pPr>
        <w:ind w:right="120" w:firstLine="597"/>
        <w:spacing w:after="0" w:line="280" w:lineRule="auto"/>
        <w:rPr>
          <w:sz w:val="20"/>
          <w:szCs w:val="20"/>
          <w:color w:val="auto"/>
        </w:rPr>
      </w:pPr>
      <w:r>
        <w:rPr>
          <w:rFonts w:ascii="Arial" w:cs="Arial" w:eastAsia="Arial" w:hAnsi="Arial"/>
          <w:sz w:val="18"/>
          <w:szCs w:val="18"/>
          <w:color w:val="auto"/>
        </w:rPr>
        <w:t xml:space="preserve">3.1.1 Unless otherwise provided in the Plan or in an Award Agreement, the Board may at any time and from time to time suspend, discontinue, revise or amend the Plan in any respect whatsoever but, subject to </w:t>
      </w:r>
      <w:r>
        <w:rPr>
          <w:rFonts w:ascii="Arial" w:cs="Arial" w:eastAsia="Arial" w:hAnsi="Arial"/>
          <w:sz w:val="18"/>
          <w:szCs w:val="18"/>
          <w:u w:val="single" w:color="auto"/>
          <w:color w:val="auto"/>
        </w:rPr>
        <w:t>Sections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1.6.3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no such amendment may materially adversely impair the rights of the Participant of any Award without the Participant’s consent. Subject to </w:t>
      </w:r>
      <w:r>
        <w:rPr>
          <w:rFonts w:ascii="Arial" w:cs="Arial" w:eastAsia="Arial" w:hAnsi="Arial"/>
          <w:sz w:val="18"/>
          <w:szCs w:val="18"/>
          <w:u w:val="single" w:color="auto"/>
          <w:color w:val="auto"/>
        </w:rPr>
        <w:t>Sections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1.6.3</w:t>
      </w:r>
      <w:r>
        <w:rPr>
          <w:rFonts w:ascii="Arial" w:cs="Arial" w:eastAsia="Arial" w:hAnsi="Arial"/>
          <w:sz w:val="18"/>
          <w:szCs w:val="18"/>
          <w:color w:val="auto"/>
        </w:rPr>
        <w:t xml:space="preserv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3.7</w:t>
      </w:r>
      <w:r>
        <w:rPr>
          <w:rFonts w:ascii="Arial" w:cs="Arial" w:eastAsia="Arial" w:hAnsi="Arial"/>
          <w:sz w:val="18"/>
          <w:szCs w:val="18"/>
          <w:color w:val="auto"/>
        </w:rPr>
        <w:t>, an Award Agreement may not be amended to materially adversely impair the rights of a Participant without the Participant’s consent.</w:t>
      </w:r>
    </w:p>
    <w:p>
      <w:pPr>
        <w:spacing w:after="0" w:line="213" w:lineRule="exact"/>
        <w:rPr>
          <w:sz w:val="20"/>
          <w:szCs w:val="20"/>
          <w:color w:val="auto"/>
        </w:rPr>
      </w:pPr>
    </w:p>
    <w:p>
      <w:pPr>
        <w:ind w:right="120" w:firstLine="597"/>
        <w:spacing w:after="0" w:line="252" w:lineRule="auto"/>
        <w:rPr>
          <w:sz w:val="20"/>
          <w:szCs w:val="20"/>
          <w:color w:val="auto"/>
        </w:rPr>
      </w:pPr>
      <w:r>
        <w:rPr>
          <w:rFonts w:ascii="Arial" w:cs="Arial" w:eastAsia="Arial" w:hAnsi="Arial"/>
          <w:sz w:val="20"/>
          <w:szCs w:val="20"/>
          <w:color w:val="auto"/>
        </w:rPr>
        <w:t xml:space="preserve">3.1.2 Unless otherwise determined by the Board, stockholder approval of any suspension, discontinuance, revision or amendment will be obtained only to the extent necessary to comply with any applicable laws, regulations or rules of a securities exchange or self-regulatory agency;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and to the extent the Board determines it is appropriate for the Plan to comply with the provisions of Section 422 of the Code, no amendment that would require stockholder approval under Section 422 of the Code will be effective without the approval of the Company’s stockholders.</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b w:val="1"/>
          <w:bCs w:val="1"/>
          <w:color w:val="auto"/>
        </w:rPr>
        <w:t>Tax Withholding</w:t>
      </w:r>
    </w:p>
    <w:p>
      <w:pPr>
        <w:spacing w:after="0" w:line="212" w:lineRule="exact"/>
        <w:rPr>
          <w:sz w:val="20"/>
          <w:szCs w:val="20"/>
          <w:color w:val="auto"/>
        </w:rPr>
      </w:pPr>
    </w:p>
    <w:p>
      <w:pPr>
        <w:ind w:right="240" w:firstLine="1195"/>
        <w:spacing w:after="0" w:line="271" w:lineRule="auto"/>
        <w:rPr>
          <w:sz w:val="20"/>
          <w:szCs w:val="20"/>
          <w:color w:val="auto"/>
        </w:rPr>
      </w:pPr>
      <w:r>
        <w:rPr>
          <w:rFonts w:ascii="Arial" w:cs="Arial" w:eastAsia="Arial" w:hAnsi="Arial"/>
          <w:sz w:val="20"/>
          <w:szCs w:val="20"/>
          <w:color w:val="auto"/>
        </w:rPr>
        <w:t>Participants will be solely responsible for any applicable taxes (including, without limitation, income and excise taxes) and penalties, and any interest that accrues thereon, that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327" w:right="339" w:bottom="1440" w:gutter="0" w:footer="0" w:header="0"/>
        </w:sectPr>
      </w:pPr>
    </w:p>
    <w:bookmarkStart w:id="360" w:name="page361"/>
    <w:bookmarkEnd w:id="360"/>
    <w:p>
      <w:pPr>
        <w:ind w:right="20"/>
        <w:spacing w:after="0" w:line="254" w:lineRule="auto"/>
        <w:rPr>
          <w:sz w:val="20"/>
          <w:szCs w:val="20"/>
          <w:color w:val="auto"/>
        </w:rPr>
      </w:pPr>
      <w:r>
        <w:rPr>
          <w:rFonts w:ascii="Arial" w:cs="Arial" w:eastAsia="Arial" w:hAnsi="Arial"/>
          <w:sz w:val="20"/>
          <w:szCs w:val="20"/>
          <w:color w:val="auto"/>
        </w:rPr>
        <w:t>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(FICA) tax),</w:t>
      </w:r>
    </w:p>
    <w:p>
      <w:pPr>
        <w:spacing w:after="0" w:line="171" w:lineRule="exact"/>
        <w:rPr>
          <w:sz w:val="20"/>
          <w:szCs w:val="20"/>
          <w:color w:val="auto"/>
        </w:rPr>
      </w:pPr>
    </w:p>
    <w:p>
      <w:pPr>
        <w:ind w:right="540" w:firstLine="1194"/>
        <w:spacing w:after="0" w:line="271" w:lineRule="auto"/>
        <w:tabs>
          <w:tab w:leader="none" w:pos="1615"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Company may deduct or withhold (or cause to be deducted or withheld) from any payment or distribution to a Participant whether or not pursuant to the Plan (including Shares otherwise deliverable),</w:t>
      </w:r>
    </w:p>
    <w:p>
      <w:pPr>
        <w:spacing w:after="0" w:line="152" w:lineRule="exact"/>
        <w:rPr>
          <w:rFonts w:ascii="Arial" w:cs="Arial" w:eastAsia="Arial" w:hAnsi="Arial"/>
          <w:sz w:val="20"/>
          <w:szCs w:val="20"/>
          <w:color w:val="auto"/>
        </w:rPr>
      </w:pPr>
    </w:p>
    <w:p>
      <w:pPr>
        <w:ind w:left="1620" w:hanging="426"/>
        <w:spacing w:after="0"/>
        <w:tabs>
          <w:tab w:leader="none" w:pos="1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Committee will be entitled to require that the Participant remit cash to the Company (through payroll deduction or</w:t>
      </w:r>
    </w:p>
    <w:p>
      <w:pPr>
        <w:spacing w:after="0" w:line="4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otherwise), or</w:t>
      </w:r>
    </w:p>
    <w:p>
      <w:pPr>
        <w:spacing w:after="0" w:line="189" w:lineRule="exact"/>
        <w:rPr>
          <w:rFonts w:ascii="Arial" w:cs="Arial" w:eastAsia="Arial" w:hAnsi="Arial"/>
          <w:sz w:val="18"/>
          <w:szCs w:val="18"/>
          <w:color w:val="auto"/>
        </w:rPr>
      </w:pPr>
    </w:p>
    <w:p>
      <w:pPr>
        <w:ind w:right="140" w:firstLine="1194"/>
        <w:spacing w:after="0" w:line="271" w:lineRule="auto"/>
        <w:tabs>
          <w:tab w:leader="none" w:pos="1615"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Company may enter into any other suitable arrangements to withhold, in each case in the Company’s discretion the amounts of such taxes to be withheld based on the individual tax rates applicable to the Participant.</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7"/>
          <w:szCs w:val="17"/>
          <w:b w:val="1"/>
          <w:bCs w:val="1"/>
          <w:color w:val="auto"/>
        </w:rPr>
        <w:t>Required Consents and Legends</w:t>
      </w:r>
    </w:p>
    <w:p>
      <w:pPr>
        <w:spacing w:after="0" w:line="212" w:lineRule="exact"/>
        <w:rPr>
          <w:sz w:val="20"/>
          <w:szCs w:val="20"/>
          <w:color w:val="auto"/>
        </w:rPr>
      </w:pPr>
    </w:p>
    <w:p>
      <w:pPr>
        <w:ind w:right="20" w:firstLine="597"/>
        <w:spacing w:after="0" w:line="250" w:lineRule="auto"/>
        <w:rPr>
          <w:sz w:val="20"/>
          <w:szCs w:val="20"/>
          <w:color w:val="auto"/>
        </w:rPr>
      </w:pPr>
      <w:r>
        <w:rPr>
          <w:rFonts w:ascii="Arial" w:cs="Arial" w:eastAsia="Arial" w:hAnsi="Arial"/>
          <w:sz w:val="20"/>
          <w:szCs w:val="20"/>
          <w:color w:val="auto"/>
        </w:rPr>
        <w:t>3.3.1 If the Committee at any time determines that any Consent (as hereinafter defined)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Arial" w:cs="Arial" w:eastAsia="Arial" w:hAnsi="Arial"/>
          <w:sz w:val="20"/>
          <w:szCs w:val="20"/>
          <w:b w:val="1"/>
          <w:bCs w:val="1"/>
          <w:u w:val="single" w:color="auto"/>
          <w:color w:val="auto"/>
        </w:rPr>
        <w:t>Plan Action</w:t>
      </w:r>
      <w:r>
        <w:rPr>
          <w:rFonts w:ascii="Arial" w:cs="Arial" w:eastAsia="Arial" w:hAnsi="Arial"/>
          <w:sz w:val="20"/>
          <w:szCs w:val="20"/>
          <w:color w:val="auto"/>
        </w:rPr>
        <w:t xml:space="preserve">”), then, subject to </w:t>
      </w:r>
      <w:r>
        <w:rPr>
          <w:rFonts w:ascii="Arial" w:cs="Arial" w:eastAsia="Arial" w:hAnsi="Arial"/>
          <w:sz w:val="20"/>
          <w:szCs w:val="20"/>
          <w:u w:val="single" w:color="auto"/>
          <w:color w:val="auto"/>
        </w:rPr>
        <w:t>Section 3.14</w:t>
      </w:r>
      <w:r>
        <w:rPr>
          <w:rFonts w:ascii="Arial" w:cs="Arial" w:eastAsia="Arial" w:hAnsi="Arial"/>
          <w:sz w:val="20"/>
          <w:szCs w:val="20"/>
          <w:color w:val="auto"/>
        </w:rPr>
        <w:t xml:space="preserve"> such Plan Action will not be taken, in whole or in part, unless and until such Consent will have been effected or obtained to the full satisfaction of the Committee.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w:t>
      </w:r>
    </w:p>
    <w:p>
      <w:pPr>
        <w:spacing w:after="0" w:line="171"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u w:val="single" w:color="auto"/>
          <w:color w:val="auto"/>
        </w:rPr>
        <w:t>Consent</w:t>
      </w:r>
      <w:r>
        <w:rPr>
          <w:rFonts w:ascii="Arial" w:cs="Arial" w:eastAsia="Arial" w:hAnsi="Arial"/>
          <w:sz w:val="18"/>
          <w:szCs w:val="18"/>
          <w:color w:val="auto"/>
        </w:rPr>
        <w:t>” as used in this Article III with respect to any Plan Action includes:</w:t>
      </w:r>
    </w:p>
    <w:p>
      <w:pPr>
        <w:spacing w:after="0" w:line="212" w:lineRule="exact"/>
        <w:rPr>
          <w:sz w:val="20"/>
          <w:szCs w:val="20"/>
          <w:color w:val="auto"/>
        </w:rPr>
      </w:pPr>
    </w:p>
    <w:p>
      <w:pPr>
        <w:ind w:right="140" w:firstLine="1194"/>
        <w:spacing w:after="0" w:line="271" w:lineRule="auto"/>
        <w:tabs>
          <w:tab w:leader="none" w:pos="1615"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any and all listings, registrations or qualifications in respect thereof upon any securities exchange or under any federal, state, or local law, or law, rule or regulation of a jurisdiction outside the United States,</w:t>
      </w:r>
    </w:p>
    <w:p>
      <w:pPr>
        <w:spacing w:after="0" w:line="152" w:lineRule="exact"/>
        <w:rPr>
          <w:rFonts w:ascii="Arial" w:cs="Arial" w:eastAsia="Arial" w:hAnsi="Arial"/>
          <w:sz w:val="20"/>
          <w:szCs w:val="20"/>
          <w:color w:val="auto"/>
        </w:rPr>
      </w:pPr>
    </w:p>
    <w:p>
      <w:pPr>
        <w:ind w:right="40" w:firstLine="1194"/>
        <w:spacing w:after="0" w:line="278" w:lineRule="auto"/>
        <w:tabs>
          <w:tab w:leader="none" w:pos="1626" w:val="left"/>
        </w:tabs>
        <w:numPr>
          <w:ilvl w:val="0"/>
          <w:numId w:val="245"/>
        </w:numPr>
        <w:rPr>
          <w:rFonts w:ascii="Arial" w:cs="Arial" w:eastAsia="Arial" w:hAnsi="Arial"/>
          <w:sz w:val="19"/>
          <w:szCs w:val="19"/>
          <w:color w:val="auto"/>
        </w:rPr>
      </w:pPr>
      <w:r>
        <w:rPr>
          <w:rFonts w:ascii="Arial" w:cs="Arial" w:eastAsia="Arial" w:hAnsi="Arial"/>
          <w:sz w:val="19"/>
          <w:szCs w:val="19"/>
          <w:color w:val="auto"/>
        </w:rPr>
        <w:t>any and all written agreements and representations by the Participant with respect to the disposition of Shares, or with respect to any other matter, which the Committee may deem necessary or desirable to comply with the terms of any such listing, registration or qualification or to obtain an exemption from the requirement that any such listing, qualification or registration be made,</w:t>
      </w:r>
    </w:p>
    <w:p>
      <w:pPr>
        <w:spacing w:after="0" w:line="149" w:lineRule="exact"/>
        <w:rPr>
          <w:rFonts w:ascii="Arial" w:cs="Arial" w:eastAsia="Arial" w:hAnsi="Arial"/>
          <w:sz w:val="19"/>
          <w:szCs w:val="19"/>
          <w:color w:val="auto"/>
        </w:rPr>
      </w:pPr>
    </w:p>
    <w:p>
      <w:pPr>
        <w:ind w:firstLine="1194"/>
        <w:spacing w:after="0" w:line="271" w:lineRule="auto"/>
        <w:tabs>
          <w:tab w:leader="none" w:pos="1615"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any and all other consents, clearances and approvals in respect of a Plan Action by any governmental or other regulatory body or any stock exchange or self-regulatory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20"/>
          </w:cols>
          <w:pgMar w:left="320" w:top="1327" w:right="359" w:bottom="1440" w:gutter="0" w:footer="0" w:header="0"/>
        </w:sectPr>
      </w:pPr>
    </w:p>
    <w:bookmarkStart w:id="361" w:name="page362"/>
    <w:bookmarkEnd w:id="361"/>
    <w:p>
      <w:pPr>
        <w:ind w:left="1620" w:hanging="426"/>
        <w:spacing w:after="0"/>
        <w:tabs>
          <w:tab w:leader="none" w:pos="162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any and all consents by the Participant to:</w:t>
      </w:r>
    </w:p>
    <w:p>
      <w:pPr>
        <w:spacing w:after="0" w:line="205" w:lineRule="exact"/>
        <w:rPr>
          <w:rFonts w:ascii="Arial" w:cs="Arial" w:eastAsia="Arial" w:hAnsi="Arial"/>
          <w:sz w:val="20"/>
          <w:szCs w:val="20"/>
          <w:color w:val="auto"/>
        </w:rPr>
      </w:pPr>
    </w:p>
    <w:p>
      <w:pPr>
        <w:ind w:firstLine="1791"/>
        <w:spacing w:after="0" w:line="271" w:lineRule="auto"/>
        <w:tabs>
          <w:tab w:leader="none" w:pos="2179"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Company’s supplying to any third party recordkeeper of the Plan such personal information as the Committee deems advisable to administer the Plan,</w:t>
      </w:r>
    </w:p>
    <w:p>
      <w:pPr>
        <w:spacing w:after="0" w:line="152" w:lineRule="exact"/>
        <w:rPr>
          <w:rFonts w:ascii="Arial" w:cs="Arial" w:eastAsia="Arial" w:hAnsi="Arial"/>
          <w:sz w:val="20"/>
          <w:szCs w:val="20"/>
          <w:color w:val="auto"/>
        </w:rPr>
      </w:pPr>
    </w:p>
    <w:p>
      <w:pPr>
        <w:ind w:right="40" w:firstLine="1791"/>
        <w:spacing w:after="0" w:line="258" w:lineRule="auto"/>
        <w:tabs>
          <w:tab w:leader="none" w:pos="2234"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Company’s deducting amounts from the Participant’s wages, or another arrangement satisfactory to the Committee, to reimburse the Company for advances made on the Participant’s behalf to satisfy certain withholding and other tax obligations in connection with an Award and</w:t>
      </w:r>
    </w:p>
    <w:p>
      <w:pPr>
        <w:spacing w:after="0" w:line="166" w:lineRule="exact"/>
        <w:rPr>
          <w:rFonts w:ascii="Arial" w:cs="Arial" w:eastAsia="Arial" w:hAnsi="Arial"/>
          <w:sz w:val="20"/>
          <w:szCs w:val="20"/>
          <w:color w:val="auto"/>
        </w:rPr>
      </w:pPr>
    </w:p>
    <w:p>
      <w:pPr>
        <w:ind w:left="2280" w:hanging="489"/>
        <w:spacing w:after="0"/>
        <w:tabs>
          <w:tab w:leader="none" w:pos="22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Company’s imposing sales and transfer procedures and restrictions and hedging restrictions on Shares</w:t>
      </w:r>
    </w:p>
    <w:p>
      <w:pPr>
        <w:spacing w:after="0" w:line="4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delivered under the Plan and</w:t>
      </w:r>
    </w:p>
    <w:p>
      <w:pPr>
        <w:spacing w:after="0" w:line="189" w:lineRule="exact"/>
        <w:rPr>
          <w:rFonts w:ascii="Arial" w:cs="Arial" w:eastAsia="Arial" w:hAnsi="Arial"/>
          <w:sz w:val="18"/>
          <w:szCs w:val="18"/>
          <w:color w:val="auto"/>
        </w:rPr>
      </w:pPr>
    </w:p>
    <w:p>
      <w:pPr>
        <w:ind w:right="80" w:firstLine="1194"/>
        <w:spacing w:after="0" w:line="258" w:lineRule="auto"/>
        <w:tabs>
          <w:tab w:leader="none" w:pos="1615" w:val="left"/>
        </w:tabs>
        <w:numPr>
          <w:ilvl w:val="0"/>
          <w:numId w:val="246"/>
        </w:numPr>
        <w:rPr>
          <w:rFonts w:ascii="Arial" w:cs="Arial" w:eastAsia="Arial" w:hAnsi="Arial"/>
          <w:sz w:val="20"/>
          <w:szCs w:val="20"/>
          <w:color w:val="auto"/>
        </w:rPr>
      </w:pPr>
      <w:r>
        <w:rPr>
          <w:rFonts w:ascii="Arial" w:cs="Arial" w:eastAsia="Arial" w:hAnsi="Arial"/>
          <w:sz w:val="20"/>
          <w:szCs w:val="20"/>
          <w:color w:val="auto"/>
        </w:rPr>
        <w:t>any and all consents or authorizations required to comply with, or required to be obtained under, applicable local law or otherwise required by the Committee. Nothing herein will require the Company to list, register or qualify the Shares on any securities exchange.</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color w:val="auto"/>
        </w:rPr>
        <w:t>Right of Offset</w:t>
      </w:r>
    </w:p>
    <w:p>
      <w:pPr>
        <w:spacing w:after="0" w:line="212" w:lineRule="exact"/>
        <w:rPr>
          <w:sz w:val="20"/>
          <w:szCs w:val="20"/>
          <w:color w:val="auto"/>
        </w:rPr>
      </w:pPr>
    </w:p>
    <w:p>
      <w:pPr>
        <w:ind w:firstLine="1195"/>
        <w:spacing w:after="0" w:line="281" w:lineRule="auto"/>
        <w:rPr>
          <w:sz w:val="20"/>
          <w:szCs w:val="20"/>
          <w:color w:val="auto"/>
        </w:rPr>
      </w:pPr>
      <w:r>
        <w:rPr>
          <w:rFonts w:ascii="Arial" w:cs="Arial" w:eastAsia="Arial" w:hAnsi="Arial"/>
          <w:sz w:val="18"/>
          <w:szCs w:val="18"/>
          <w:color w:val="auto"/>
        </w:rPr>
        <w:t>The Company will have the right to offset against its obligation to deliver Shares (or other property or cash) under the Plan or any Award Agreement any outstanding amounts (including, without limitation, travel and entertainment or advance account balances, relocation reimbursement, sign-on bonus, loans, repayment obligations under any Awards, or amounts repayable to the Company pursuant to tax equalization, housing or other employee programs) that the Participant then owes to the Company and any amounts the Committee otherwise deems appropriate pursuant to any tax equalization policy or agreement. Notwithstanding the foregoing, if an Award provides for the deferral of compensation within the meaning of Section 409A of the Code, the Committee will have no right to offset against its obligation to deliver Shares (or other property or cash) under the Plan or any Award Agreement if such offset could subject the Participant to the additional tax imposed under Section 409A of the Code in respect of an outstanding Award.</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7"/>
          <w:szCs w:val="17"/>
          <w:b w:val="1"/>
          <w:bCs w:val="1"/>
          <w:color w:val="auto"/>
        </w:rPr>
        <w:t>Non-assignability; No Hedging</w:t>
      </w:r>
    </w:p>
    <w:p>
      <w:pPr>
        <w:spacing w:after="0" w:line="212" w:lineRule="exact"/>
        <w:rPr>
          <w:sz w:val="20"/>
          <w:szCs w:val="20"/>
          <w:color w:val="auto"/>
        </w:rPr>
      </w:pPr>
    </w:p>
    <w:p>
      <w:pPr>
        <w:ind w:right="140" w:firstLine="1195"/>
        <w:spacing w:after="0" w:line="264" w:lineRule="auto"/>
        <w:rPr>
          <w:sz w:val="20"/>
          <w:szCs w:val="20"/>
          <w:color w:val="auto"/>
        </w:rPr>
      </w:pPr>
      <w:r>
        <w:rPr>
          <w:rFonts w:ascii="Arial" w:cs="Arial" w:eastAsia="Arial" w:hAnsi="Arial"/>
          <w:sz w:val="19"/>
          <w:szCs w:val="19"/>
          <w:color w:val="auto"/>
        </w:rPr>
        <w:t xml:space="preserve">Unless otherwise provided in an Award Agreement, 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Participant only by the Participant or the Participant’s legal representative. Notwithstanding the foregoing, the Committee may permit, under such terms and conditions that it deems appropriate in its sole discretion, a Participant to transfer any Award to any person or entity that the Committee so determines. Any sale, exchange, transfer, assignment, pledge, hypothecation, or other disposition in violation of the provisions of this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will be null and void and any Award which is hedged in any manner will immediately be forfeited.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20"/>
          </w:cols>
          <w:pgMar w:left="320" w:top="1327" w:right="359" w:bottom="1440" w:gutter="0" w:footer="0" w:header="0"/>
        </w:sectPr>
      </w:pPr>
    </w:p>
    <w:bookmarkStart w:id="362" w:name="page363"/>
    <w:bookmarkEnd w:id="362"/>
    <w:p>
      <w:pPr>
        <w:spacing w:after="0"/>
        <w:rPr>
          <w:sz w:val="20"/>
          <w:szCs w:val="20"/>
          <w:color w:val="auto"/>
        </w:rPr>
      </w:pPr>
      <w:r>
        <w:rPr>
          <w:rFonts w:ascii="Arial" w:cs="Arial" w:eastAsia="Arial" w:hAnsi="Arial"/>
          <w:sz w:val="20"/>
          <w:szCs w:val="20"/>
          <w:color w:val="auto"/>
        </w:rPr>
        <w:t>the terms and conditions of the Plan and the Award Agreements will be binding upon any permitted successors and assigns.</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18"/>
          <w:szCs w:val="18"/>
          <w:b w:val="1"/>
          <w:bCs w:val="1"/>
          <w:color w:val="auto"/>
        </w:rPr>
        <w:t>Change in Control</w:t>
      </w:r>
    </w:p>
    <w:p>
      <w:pPr>
        <w:spacing w:after="0" w:line="212" w:lineRule="exact"/>
        <w:rPr>
          <w:sz w:val="20"/>
          <w:szCs w:val="20"/>
          <w:color w:val="auto"/>
        </w:rPr>
      </w:pPr>
    </w:p>
    <w:p>
      <w:pPr>
        <w:ind w:firstLine="597"/>
        <w:spacing w:after="0" w:line="269" w:lineRule="auto"/>
        <w:rPr>
          <w:sz w:val="20"/>
          <w:szCs w:val="20"/>
          <w:color w:val="auto"/>
        </w:rPr>
      </w:pPr>
      <w:r>
        <w:rPr>
          <w:rFonts w:ascii="Arial" w:cs="Arial" w:eastAsia="Arial" w:hAnsi="Arial"/>
          <w:sz w:val="19"/>
          <w:szCs w:val="19"/>
          <w:color w:val="auto"/>
        </w:rPr>
        <w:t>3.6.1 Unless the Committee determines otherwise or as otherwise provided in the applicable Award Agreement, if a Participant’s Employment is terminated by the Company or any successor entity thereto without Cause on or within one (1) year after a Change in Control, (i) each Award granted to such Participant prior to such Change in Control will become fully vested (including the lapsing of all restrictions and conditions) and, as applicable, exercisable, and (ii) any Shares deliverable pursuant to restricted stock units will be delivered promptly (but no later than 15 days) following such Participant’s termination of Employment.</w:t>
      </w:r>
    </w:p>
    <w:p>
      <w:pPr>
        <w:spacing w:after="0" w:line="157" w:lineRule="exact"/>
        <w:rPr>
          <w:sz w:val="20"/>
          <w:szCs w:val="20"/>
          <w:color w:val="auto"/>
        </w:rPr>
      </w:pPr>
    </w:p>
    <w:p>
      <w:pPr>
        <w:ind w:right="20" w:firstLine="597"/>
        <w:spacing w:after="0" w:line="251" w:lineRule="auto"/>
        <w:rPr>
          <w:sz w:val="20"/>
          <w:szCs w:val="20"/>
          <w:color w:val="auto"/>
        </w:rPr>
      </w:pPr>
      <w:r>
        <w:rPr>
          <w:rFonts w:ascii="Arial" w:cs="Arial" w:eastAsia="Arial" w:hAnsi="Arial"/>
          <w:sz w:val="20"/>
          <w:szCs w:val="20"/>
          <w:color w:val="auto"/>
        </w:rPr>
        <w:t>3.6.2 Unless the Committee determines otherwise or as otherwise provided in the applicable Award Agreement, for any Participant who is an “Eligible Employee” under the Company’s Executive Severance Plan, if such Participant resigns his or her Employment for Good Reason, on or within one (1) year after a Change in Control, (i) each Award granted to such Participant prior to such Change in Control will become fully vested (including the lapsing of all restrictions and conditions) and, as applicable, exercisable, and (ii) any Shares deliverable pursuant to restricted stock units will be delivered promptly (but no later than 15 days) following such Participant’s termination of Employment.</w:t>
      </w:r>
    </w:p>
    <w:p>
      <w:pPr>
        <w:spacing w:after="0" w:line="175" w:lineRule="exact"/>
        <w:rPr>
          <w:sz w:val="20"/>
          <w:szCs w:val="20"/>
          <w:color w:val="auto"/>
        </w:rPr>
      </w:pPr>
    </w:p>
    <w:p>
      <w:pPr>
        <w:ind w:firstLine="597"/>
        <w:spacing w:after="0" w:line="277" w:lineRule="auto"/>
        <w:rPr>
          <w:sz w:val="20"/>
          <w:szCs w:val="20"/>
          <w:color w:val="auto"/>
        </w:rPr>
      </w:pPr>
      <w:r>
        <w:rPr>
          <w:rFonts w:ascii="Arial" w:cs="Arial" w:eastAsia="Arial" w:hAnsi="Arial"/>
          <w:sz w:val="18"/>
          <w:szCs w:val="18"/>
          <w:color w:val="auto"/>
        </w:rPr>
        <w:t>3.6.3 Notwithstanding the foregoing, in the event of a Change in Control, a Participant’s Award will be treated, to the extent determined by the Committee to be permitted under Section 409A, in accordance with one or more of the following methods as determined by the Committee in its sole discretion: (i) settle such Awards for an amount of cash or securities equal to their value, where in the case of stock options and stock appreciation rights, the value of such awards, if any, will be equal to their in-the-money spread value (if any), as determined in the sole discretion of the Committee; (ii) provide for the assumption of or the issuance of substitute awards that will substantially preserve the otherwise applicable terms of any affected Awards previously granted under the Plan, as determined by the Committee in its sole discretion; (iii) modify the terms of such awards to add events, conditions or circumstances (including termination of Employment within a specified period after a Change in Control) upon which the vesting of such Awards or lapse of restrictions thereon will accelerate; (iv) deem any performance conditions satisfied at target, maximum or actual performance through closing or provide for the performance conditions to continue (as is or as adjusted by the Committee) after closing or (v) provide that for a period of at least 20 days prior to the Change in Control, any stock options or stock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stock options or stock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earnout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00"/>
          </w:cols>
          <w:pgMar w:left="320" w:top="1327" w:right="379" w:bottom="1440" w:gutter="0" w:footer="0" w:header="0"/>
        </w:sectPr>
      </w:pPr>
    </w:p>
    <w:bookmarkStart w:id="363" w:name="page364"/>
    <w:bookmarkEnd w:id="363"/>
    <w:p>
      <w:pPr>
        <w:ind w:right="120"/>
        <w:spacing w:after="0" w:line="250" w:lineRule="auto"/>
        <w:rPr>
          <w:sz w:val="20"/>
          <w:szCs w:val="20"/>
          <w:color w:val="auto"/>
        </w:rPr>
      </w:pPr>
      <w:r>
        <w:rPr>
          <w:rFonts w:ascii="Arial" w:cs="Arial" w:eastAsia="Arial" w:hAnsi="Arial"/>
          <w:sz w:val="20"/>
          <w:szCs w:val="20"/>
          <w:color w:val="auto"/>
        </w:rPr>
        <w:t xml:space="preserve">indemnity payments or similar payments, then the Committee will determine if Awards settled under clause (i) above are (a) valued at closing taking into account such contingent consideration (with the value determined by the Committee in its sole discretion) or (b) entitled to a share of such contingent consideration. For the avoidance of doubt, in the event of a Change in Control where all stock options and stock appreciation rights are settled for an amount (as determined in the sole discretion of the Committee) of cash or securities, the Committee may, in its sole discretion, terminate any stock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Arial" w:cs="Arial" w:eastAsia="Arial" w:hAnsi="Arial"/>
          <w:sz w:val="20"/>
          <w:szCs w:val="20"/>
          <w:u w:val="single" w:color="auto"/>
          <w:color w:val="auto"/>
        </w:rPr>
        <w:t>Section 3.6.2</w:t>
      </w:r>
      <w:r>
        <w:rPr>
          <w:rFonts w:ascii="Arial" w:cs="Arial" w:eastAsia="Arial" w:hAnsi="Arial"/>
          <w:sz w:val="20"/>
          <w:szCs w:val="20"/>
          <w:color w:val="auto"/>
        </w:rPr>
        <w:t xml:space="preserve"> may be taken in the event of a merger or other corporate reorganization that does not constitute a Change in Control.</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17"/>
          <w:szCs w:val="17"/>
          <w:b w:val="1"/>
          <w:bCs w:val="1"/>
          <w:color w:val="auto"/>
        </w:rPr>
        <w:t>No Continued Employment or Engagement; Right of Discharge Reserved</w:t>
      </w:r>
    </w:p>
    <w:p>
      <w:pPr>
        <w:spacing w:after="0" w:line="212" w:lineRule="exact"/>
        <w:rPr>
          <w:sz w:val="20"/>
          <w:szCs w:val="20"/>
          <w:color w:val="auto"/>
        </w:rPr>
      </w:pPr>
    </w:p>
    <w:p>
      <w:pPr>
        <w:jc w:val="both"/>
        <w:ind w:right="160" w:firstLine="1195"/>
        <w:spacing w:after="0" w:line="301" w:lineRule="auto"/>
        <w:rPr>
          <w:sz w:val="20"/>
          <w:szCs w:val="20"/>
          <w:color w:val="auto"/>
        </w:rPr>
      </w:pPr>
      <w:r>
        <w:rPr>
          <w:rFonts w:ascii="Arial" w:cs="Arial" w:eastAsia="Arial" w:hAnsi="Arial"/>
          <w:sz w:val="18"/>
          <w:szCs w:val="18"/>
          <w:color w:val="auto"/>
        </w:rPr>
        <w:t>Neither the adoption of the Plan nor the grant of any Award (or any provision in the Plan or Award Agreement) will confer upon any Participant any right to continued Employment, or other engagement, with the Company, nor will it interfere in any way with the right of the Company to terminate, or alter the terms and conditions of, such Employment or other engagement at any time.</w:t>
      </w:r>
    </w:p>
    <w:p>
      <w:pPr>
        <w:spacing w:after="0" w:line="12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18"/>
          <w:szCs w:val="18"/>
          <w:b w:val="1"/>
          <w:bCs w:val="1"/>
          <w:color w:val="auto"/>
        </w:rPr>
        <w:t>Nature of Payments</w:t>
      </w:r>
    </w:p>
    <w:p>
      <w:pPr>
        <w:spacing w:after="0" w:line="212" w:lineRule="exact"/>
        <w:rPr>
          <w:sz w:val="20"/>
          <w:szCs w:val="20"/>
          <w:color w:val="auto"/>
        </w:rPr>
      </w:pPr>
    </w:p>
    <w:p>
      <w:pPr>
        <w:ind w:right="100" w:firstLine="597"/>
        <w:spacing w:after="0" w:line="251" w:lineRule="auto"/>
        <w:rPr>
          <w:sz w:val="20"/>
          <w:szCs w:val="20"/>
          <w:color w:val="auto"/>
        </w:rPr>
      </w:pPr>
      <w:r>
        <w:rPr>
          <w:rFonts w:ascii="Arial" w:cs="Arial" w:eastAsia="Arial" w:hAnsi="Arial"/>
          <w:sz w:val="20"/>
          <w:szCs w:val="20"/>
          <w:color w:val="auto"/>
        </w:rPr>
        <w:t>3.8.1 Any and all grants of Awards and deliveries of Common Stock, cash, securities or other property under the Plan will be in consideration of services performed or to be performed for the Company by the Participant. Awards under the Plan may, in the discretion of the Committee, be made in substitution in whole or in part for cash or other compensation otherwise payable to a Participant.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w:t>
      </w:r>
    </w:p>
    <w:p>
      <w:pPr>
        <w:spacing w:after="0" w:line="175" w:lineRule="exact"/>
        <w:rPr>
          <w:sz w:val="20"/>
          <w:szCs w:val="20"/>
          <w:color w:val="auto"/>
        </w:rPr>
      </w:pPr>
    </w:p>
    <w:p>
      <w:pPr>
        <w:ind w:right="160" w:firstLine="597"/>
        <w:spacing w:after="0" w:line="287" w:lineRule="auto"/>
        <w:rPr>
          <w:sz w:val="20"/>
          <w:szCs w:val="20"/>
          <w:color w:val="auto"/>
        </w:rPr>
      </w:pPr>
      <w:r>
        <w:rPr>
          <w:rFonts w:ascii="Arial" w:cs="Arial" w:eastAsia="Arial" w:hAnsi="Arial"/>
          <w:sz w:val="18"/>
          <w:szCs w:val="18"/>
          <w:color w:val="auto"/>
        </w:rPr>
        <w:t>3.8.2 All such grants and deliveries of Shares, cash, securities or other property under the Plan will constitute a special discretionary incentive payment to the Participant, will not entitle the Participant to the grant of any future Awards and will not be required to be taken into account in computing the amount of salary or compensation of the Participant for the purpose of determining any contributions to or any benefits under any pension, retirement, profit-sharing, bonus, life insurance, severance or other benefit plan of the Company or under any agreement with the Participant, unless the Company specifically provides otherwise.</w:t>
      </w:r>
    </w:p>
    <w:p>
      <w:pPr>
        <w:spacing w:after="0" w:line="13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3.9</w:t>
      </w:r>
      <w:r>
        <w:rPr>
          <w:sz w:val="20"/>
          <w:szCs w:val="20"/>
          <w:color w:val="auto"/>
        </w:rPr>
        <w:tab/>
      </w:r>
      <w:r>
        <w:rPr>
          <w:rFonts w:ascii="Arial" w:cs="Arial" w:eastAsia="Arial" w:hAnsi="Arial"/>
          <w:sz w:val="18"/>
          <w:szCs w:val="18"/>
          <w:b w:val="1"/>
          <w:bCs w:val="1"/>
          <w:color w:val="auto"/>
        </w:rPr>
        <w:t>Non-Uniform Determinations</w:t>
      </w:r>
    </w:p>
    <w:p>
      <w:pPr>
        <w:spacing w:after="0" w:line="212" w:lineRule="exact"/>
        <w:rPr>
          <w:sz w:val="20"/>
          <w:szCs w:val="20"/>
          <w:color w:val="auto"/>
        </w:rPr>
      </w:pPr>
    </w:p>
    <w:p>
      <w:pPr>
        <w:ind w:firstLine="597"/>
        <w:spacing w:after="0" w:line="254" w:lineRule="auto"/>
        <w:rPr>
          <w:sz w:val="20"/>
          <w:szCs w:val="20"/>
          <w:color w:val="auto"/>
        </w:rPr>
      </w:pPr>
      <w:r>
        <w:rPr>
          <w:rFonts w:ascii="Arial" w:cs="Arial" w:eastAsia="Arial" w:hAnsi="Arial"/>
          <w:sz w:val="20"/>
          <w:szCs w:val="20"/>
          <w:color w:val="auto"/>
        </w:rPr>
        <w:t>3.9.1 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20" w:top="1327" w:right="359" w:bottom="1440" w:gutter="0" w:footer="0" w:header="0"/>
        </w:sectPr>
      </w:pPr>
    </w:p>
    <w:bookmarkStart w:id="364" w:name="page365"/>
    <w:bookmarkEnd w:id="364"/>
    <w:p>
      <w:pPr>
        <w:ind w:right="520"/>
        <w:spacing w:after="0" w:line="298" w:lineRule="auto"/>
        <w:rPr>
          <w:sz w:val="20"/>
          <w:szCs w:val="20"/>
          <w:color w:val="auto"/>
        </w:rPr>
      </w:pPr>
      <w:r>
        <w:rPr>
          <w:rFonts w:ascii="Arial" w:cs="Arial" w:eastAsia="Arial" w:hAnsi="Arial"/>
          <w:sz w:val="19"/>
          <w:szCs w:val="19"/>
          <w:color w:val="auto"/>
        </w:rPr>
        <w:t>Agreements, and to enter into non-uniform and selective Award Agreements, as to (a) the persons to receive Awards, (b) the terms and provisions of Awards and (c) whether a Participant’s Employment has been terminated for purposes of the Plan.</w:t>
      </w:r>
    </w:p>
    <w:p>
      <w:pPr>
        <w:spacing w:after="0" w:line="129" w:lineRule="exact"/>
        <w:rPr>
          <w:sz w:val="20"/>
          <w:szCs w:val="20"/>
          <w:color w:val="auto"/>
        </w:rPr>
      </w:pPr>
    </w:p>
    <w:p>
      <w:pPr>
        <w:ind w:right="60" w:firstLine="597"/>
        <w:spacing w:after="0" w:line="269" w:lineRule="auto"/>
        <w:rPr>
          <w:sz w:val="20"/>
          <w:szCs w:val="20"/>
          <w:color w:val="auto"/>
        </w:rPr>
      </w:pPr>
      <w:r>
        <w:rPr>
          <w:rFonts w:ascii="Arial" w:cs="Arial" w:eastAsia="Arial" w:hAnsi="Arial"/>
          <w:sz w:val="19"/>
          <w:szCs w:val="19"/>
          <w:color w:val="auto"/>
        </w:rPr>
        <w:t>3.9.2 To the extent the Committee deems it necessary, appropriate or desirable to comply with foreign law or practices and to further the purposes of the Plan, the Committee may, in its sole discretion and without amending the Plan, (a) establish special rules applicable to Awards to Participants who are foreign nationals, are employed outside the United States or both and grant Awards (or amend existing Awards) in accordance with those rules and (b) cause the Company to enter into an agreement with any local Subsidiary pursuant to which such Subsidiary will reimburse the Company for the cost of such equity incentives.</w:t>
      </w:r>
    </w:p>
    <w:p>
      <w:pPr>
        <w:spacing w:after="0" w:line="15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3.10</w:t>
      </w:r>
      <w:r>
        <w:rPr>
          <w:sz w:val="20"/>
          <w:szCs w:val="20"/>
          <w:color w:val="auto"/>
        </w:rPr>
        <w:tab/>
      </w:r>
      <w:r>
        <w:rPr>
          <w:rFonts w:ascii="Arial" w:cs="Arial" w:eastAsia="Arial" w:hAnsi="Arial"/>
          <w:sz w:val="18"/>
          <w:szCs w:val="18"/>
          <w:b w:val="1"/>
          <w:bCs w:val="1"/>
          <w:color w:val="auto"/>
        </w:rPr>
        <w:t>Other Payments or Awards</w:t>
      </w:r>
    </w:p>
    <w:p>
      <w:pPr>
        <w:spacing w:after="0" w:line="212" w:lineRule="exact"/>
        <w:rPr>
          <w:sz w:val="20"/>
          <w:szCs w:val="20"/>
          <w:color w:val="auto"/>
        </w:rPr>
      </w:pPr>
    </w:p>
    <w:p>
      <w:pPr>
        <w:ind w:firstLine="1195"/>
        <w:spacing w:after="0" w:line="271" w:lineRule="auto"/>
        <w:rPr>
          <w:sz w:val="20"/>
          <w:szCs w:val="20"/>
          <w:color w:val="auto"/>
        </w:rPr>
      </w:pPr>
      <w:r>
        <w:rPr>
          <w:rFonts w:ascii="Arial" w:cs="Arial" w:eastAsia="Arial" w:hAnsi="Arial"/>
          <w:sz w:val="20"/>
          <w:szCs w:val="20"/>
          <w:color w:val="auto"/>
        </w:rPr>
        <w:t>Nothing contained in the Plan will be deemed in any way to limit or restrict the Company from making any award or payment to any person under any other plan, arrangement or understanding, whether now existing or hereafter in effect.</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3.11</w:t>
      </w:r>
      <w:r>
        <w:rPr>
          <w:sz w:val="20"/>
          <w:szCs w:val="20"/>
          <w:color w:val="auto"/>
        </w:rPr>
        <w:tab/>
      </w:r>
      <w:r>
        <w:rPr>
          <w:rFonts w:ascii="Arial" w:cs="Arial" w:eastAsia="Arial" w:hAnsi="Arial"/>
          <w:sz w:val="17"/>
          <w:szCs w:val="17"/>
          <w:b w:val="1"/>
          <w:bCs w:val="1"/>
          <w:color w:val="auto"/>
        </w:rPr>
        <w:t>Plan Headings</w:t>
      </w:r>
    </w:p>
    <w:p>
      <w:pPr>
        <w:spacing w:after="0" w:line="212" w:lineRule="exact"/>
        <w:rPr>
          <w:sz w:val="20"/>
          <w:szCs w:val="20"/>
          <w:color w:val="auto"/>
        </w:rPr>
      </w:pPr>
    </w:p>
    <w:p>
      <w:pPr>
        <w:ind w:right="260" w:firstLine="1195"/>
        <w:spacing w:after="0" w:line="271" w:lineRule="auto"/>
        <w:rPr>
          <w:sz w:val="20"/>
          <w:szCs w:val="20"/>
          <w:color w:val="auto"/>
        </w:rPr>
      </w:pPr>
      <w:r>
        <w:rPr>
          <w:rFonts w:ascii="Arial" w:cs="Arial" w:eastAsia="Arial" w:hAnsi="Arial"/>
          <w:sz w:val="20"/>
          <w:szCs w:val="20"/>
          <w:color w:val="auto"/>
        </w:rPr>
        <w:t>The headings in the Plan are for the purpose of convenience only and are not intended to define or limit the construction of the provisions hereof.</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3.12</w:t>
      </w:r>
      <w:r>
        <w:rPr>
          <w:sz w:val="20"/>
          <w:szCs w:val="20"/>
          <w:color w:val="auto"/>
        </w:rPr>
        <w:tab/>
      </w:r>
      <w:r>
        <w:rPr>
          <w:rFonts w:ascii="Arial" w:cs="Arial" w:eastAsia="Arial" w:hAnsi="Arial"/>
          <w:sz w:val="18"/>
          <w:szCs w:val="18"/>
          <w:b w:val="1"/>
          <w:bCs w:val="1"/>
          <w:color w:val="auto"/>
        </w:rPr>
        <w:t>Termination of Plan</w:t>
      </w:r>
    </w:p>
    <w:p>
      <w:pPr>
        <w:spacing w:after="0" w:line="212" w:lineRule="exact"/>
        <w:rPr>
          <w:sz w:val="20"/>
          <w:szCs w:val="20"/>
          <w:color w:val="auto"/>
        </w:rPr>
      </w:pPr>
    </w:p>
    <w:p>
      <w:pPr>
        <w:ind w:right="60" w:firstLine="1195"/>
        <w:spacing w:after="0" w:line="254" w:lineRule="auto"/>
        <w:rPr>
          <w:sz w:val="20"/>
          <w:szCs w:val="20"/>
          <w:color w:val="auto"/>
        </w:rPr>
      </w:pPr>
      <w:r>
        <w:rPr>
          <w:rFonts w:ascii="Arial" w:cs="Arial" w:eastAsia="Arial" w:hAnsi="Arial"/>
          <w:sz w:val="20"/>
          <w:szCs w:val="20"/>
          <w:color w:val="auto"/>
        </w:rPr>
        <w:t xml:space="preserve">The Board reserves the right to terminate the Plan at any time;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in any case, the Plan will terminate on the day before the tenth anniversary of the Effective Date,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all Awards made under the Plan before its termination will remain in effect until such Awards have been satisfied or terminated in accordance with the terms and provisions of the Plan and the applicable Award Agreements.</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3.13</w:t>
      </w:r>
      <w:r>
        <w:rPr>
          <w:sz w:val="20"/>
          <w:szCs w:val="20"/>
          <w:color w:val="auto"/>
        </w:rPr>
        <w:tab/>
      </w:r>
      <w:r>
        <w:rPr>
          <w:rFonts w:ascii="Arial" w:cs="Arial" w:eastAsia="Arial" w:hAnsi="Arial"/>
          <w:sz w:val="18"/>
          <w:szCs w:val="18"/>
          <w:b w:val="1"/>
          <w:bCs w:val="1"/>
          <w:color w:val="auto"/>
        </w:rPr>
        <w:t>Clawback/Recapture Policy</w:t>
      </w:r>
    </w:p>
    <w:p>
      <w:pPr>
        <w:spacing w:after="0" w:line="212" w:lineRule="exact"/>
        <w:rPr>
          <w:sz w:val="20"/>
          <w:szCs w:val="20"/>
          <w:color w:val="auto"/>
        </w:rPr>
      </w:pPr>
    </w:p>
    <w:p>
      <w:pPr>
        <w:ind w:right="140" w:firstLine="1195"/>
        <w:spacing w:after="0" w:line="258" w:lineRule="auto"/>
        <w:rPr>
          <w:sz w:val="20"/>
          <w:szCs w:val="20"/>
          <w:color w:val="auto"/>
        </w:rPr>
      </w:pPr>
      <w:r>
        <w:rPr>
          <w:rFonts w:ascii="Arial" w:cs="Arial" w:eastAsia="Arial" w:hAnsi="Arial"/>
          <w:sz w:val="20"/>
          <w:szCs w:val="20"/>
          <w:color w:val="auto"/>
        </w:rPr>
        <w:t>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Participant.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3.14</w:t>
      </w:r>
      <w:r>
        <w:rPr>
          <w:sz w:val="20"/>
          <w:szCs w:val="20"/>
          <w:color w:val="auto"/>
        </w:rPr>
        <w:tab/>
      </w:r>
      <w:r>
        <w:rPr>
          <w:rFonts w:ascii="Arial" w:cs="Arial" w:eastAsia="Arial" w:hAnsi="Arial"/>
          <w:sz w:val="17"/>
          <w:szCs w:val="17"/>
          <w:b w:val="1"/>
          <w:bCs w:val="1"/>
          <w:color w:val="auto"/>
        </w:rPr>
        <w:t>Section 409A</w:t>
      </w:r>
    </w:p>
    <w:p>
      <w:pPr>
        <w:spacing w:after="0" w:line="212" w:lineRule="exact"/>
        <w:rPr>
          <w:sz w:val="20"/>
          <w:szCs w:val="20"/>
          <w:color w:val="auto"/>
        </w:rPr>
      </w:pPr>
    </w:p>
    <w:p>
      <w:pPr>
        <w:ind w:right="160" w:firstLine="597"/>
        <w:spacing w:after="0" w:line="252" w:lineRule="auto"/>
        <w:rPr>
          <w:sz w:val="20"/>
          <w:szCs w:val="20"/>
          <w:color w:val="auto"/>
        </w:rPr>
      </w:pPr>
      <w:r>
        <w:rPr>
          <w:rFonts w:ascii="Arial" w:cs="Arial" w:eastAsia="Arial" w:hAnsi="Arial"/>
          <w:sz w:val="20"/>
          <w:szCs w:val="20"/>
          <w:color w:val="auto"/>
        </w:rPr>
        <w:t>3.14.1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327" w:right="33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color w:val="auto"/>
        </w:rPr>
        <w:t>potential inconsistency between the Plan and a provision of any Award or Award Agreement with respect to an Award, the Plan will govern.</w:t>
      </w:r>
    </w:p>
    <w:p>
      <w:pPr>
        <w:spacing w:after="0" w:line="229" w:lineRule="exact"/>
        <w:rPr>
          <w:sz w:val="20"/>
          <w:szCs w:val="20"/>
          <w:color w:val="auto"/>
        </w:rPr>
      </w:pPr>
    </w:p>
    <w:p>
      <w:pPr>
        <w:ind w:right="500" w:firstLine="597"/>
        <w:spacing w:after="0" w:line="271" w:lineRule="auto"/>
        <w:rPr>
          <w:sz w:val="20"/>
          <w:szCs w:val="20"/>
          <w:color w:val="auto"/>
        </w:rPr>
      </w:pPr>
      <w:r>
        <w:rPr>
          <w:rFonts w:ascii="Arial" w:cs="Arial" w:eastAsia="Arial" w:hAnsi="Arial"/>
          <w:sz w:val="20"/>
          <w:szCs w:val="20"/>
          <w:color w:val="auto"/>
        </w:rPr>
        <w:t xml:space="preserve">3.14.2 Without limiting the generality of </w:t>
      </w:r>
      <w:r>
        <w:rPr>
          <w:rFonts w:ascii="Arial" w:cs="Arial" w:eastAsia="Arial" w:hAnsi="Arial"/>
          <w:sz w:val="20"/>
          <w:szCs w:val="20"/>
          <w:u w:val="single" w:color="auto"/>
          <w:color w:val="auto"/>
        </w:rPr>
        <w:t>Section 3.14.1</w:t>
      </w:r>
      <w:r>
        <w:rPr>
          <w:rFonts w:ascii="Arial" w:cs="Arial" w:eastAsia="Arial" w:hAnsi="Arial"/>
          <w:sz w:val="20"/>
          <w:szCs w:val="20"/>
          <w:color w:val="auto"/>
        </w:rPr>
        <w:t>, with respect to any Award made under the Plan that is intended to be “deferred compensation” subject to Section 409A:</w:t>
      </w:r>
    </w:p>
    <w:p>
      <w:pPr>
        <w:spacing w:after="0" w:line="153" w:lineRule="exact"/>
        <w:rPr>
          <w:sz w:val="20"/>
          <w:szCs w:val="20"/>
          <w:color w:val="auto"/>
        </w:rPr>
      </w:pPr>
    </w:p>
    <w:p>
      <w:pPr>
        <w:ind w:right="200" w:firstLine="1194"/>
        <w:spacing w:after="0" w:line="271" w:lineRule="auto"/>
        <w:tabs>
          <w:tab w:leader="none" w:pos="1615" w:val="left"/>
        </w:tabs>
        <w:numPr>
          <w:ilvl w:val="0"/>
          <w:numId w:val="247"/>
        </w:numPr>
        <w:rPr>
          <w:rFonts w:ascii="Arial" w:cs="Arial" w:eastAsia="Arial" w:hAnsi="Arial"/>
          <w:sz w:val="20"/>
          <w:szCs w:val="20"/>
          <w:color w:val="auto"/>
        </w:rPr>
      </w:pPr>
      <w:r>
        <w:rPr>
          <w:rFonts w:ascii="Arial" w:cs="Arial" w:eastAsia="Arial" w:hAnsi="Arial"/>
          <w:sz w:val="20"/>
          <w:szCs w:val="20"/>
          <w:color w:val="auto"/>
        </w:rPr>
        <w:t>any payment due upon a Participant’s termination of Employment will be paid only upon such Participant’s separation from service from the Company within the meaning of Section 409A;</w:t>
      </w:r>
    </w:p>
    <w:p>
      <w:pPr>
        <w:spacing w:after="0" w:line="152" w:lineRule="exact"/>
        <w:rPr>
          <w:rFonts w:ascii="Arial" w:cs="Arial" w:eastAsia="Arial" w:hAnsi="Arial"/>
          <w:sz w:val="20"/>
          <w:szCs w:val="20"/>
          <w:color w:val="auto"/>
        </w:rPr>
      </w:pPr>
    </w:p>
    <w:p>
      <w:pPr>
        <w:jc w:val="both"/>
        <w:ind w:right="220" w:firstLine="1194"/>
        <w:spacing w:after="0" w:line="292" w:lineRule="auto"/>
        <w:tabs>
          <w:tab w:leader="none" w:pos="167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payment due upon a Change in Control of the Company will be paid only if such Change in 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will vest upon the Change in Control and any payment will be delayed until the first compliant date under Section 409A;</w:t>
      </w:r>
    </w:p>
    <w:p>
      <w:pPr>
        <w:spacing w:after="0" w:line="137" w:lineRule="exact"/>
        <w:rPr>
          <w:rFonts w:ascii="Arial" w:cs="Arial" w:eastAsia="Arial" w:hAnsi="Arial"/>
          <w:sz w:val="18"/>
          <w:szCs w:val="18"/>
          <w:color w:val="auto"/>
        </w:rPr>
      </w:pPr>
    </w:p>
    <w:p>
      <w:pPr>
        <w:ind w:right="80" w:firstLine="1194"/>
        <w:spacing w:after="0" w:line="254" w:lineRule="auto"/>
        <w:tabs>
          <w:tab w:leader="none" w:pos="1615" w:val="left"/>
        </w:tabs>
        <w:numPr>
          <w:ilvl w:val="0"/>
          <w:numId w:val="247"/>
        </w:numPr>
        <w:rPr>
          <w:rFonts w:ascii="Arial" w:cs="Arial" w:eastAsia="Arial" w:hAnsi="Arial"/>
          <w:sz w:val="20"/>
          <w:szCs w:val="20"/>
          <w:color w:val="auto"/>
        </w:rPr>
      </w:pPr>
      <w:r>
        <w:rPr>
          <w:rFonts w:ascii="Arial" w:cs="Arial" w:eastAsia="Arial" w:hAnsi="Arial"/>
          <w:sz w:val="20"/>
          <w:szCs w:val="20"/>
          <w:color w:val="auto"/>
        </w:rPr>
        <w:t>any payment to be made with respect to such Award in connection with the Participant’s separation from service from the Company within the meaning of Section 409A (and any other payment that would be subject to the limitations in Section 409A(a)(2)(B) of the Code) will be delayed until six months after the Participant’s separation from service (or earlier death) in accordance with the requirements of Section 409A;</w:t>
      </w:r>
    </w:p>
    <w:p>
      <w:pPr>
        <w:spacing w:after="0" w:line="171" w:lineRule="exact"/>
        <w:rPr>
          <w:rFonts w:ascii="Arial" w:cs="Arial" w:eastAsia="Arial" w:hAnsi="Arial"/>
          <w:sz w:val="20"/>
          <w:szCs w:val="20"/>
          <w:color w:val="auto"/>
        </w:rPr>
      </w:pPr>
    </w:p>
    <w:p>
      <w:pPr>
        <w:ind w:right="180" w:firstLine="1194"/>
        <w:spacing w:after="0" w:line="272" w:lineRule="auto"/>
        <w:tabs>
          <w:tab w:leader="none" w:pos="1626"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with respect to the Shares that would otherwise have been deliverable (unless the Committee elects a later date for this purpose in accordance with the requirements of Section 409A);</w:t>
      </w:r>
    </w:p>
    <w:p>
      <w:pPr>
        <w:spacing w:after="0" w:line="154" w:lineRule="exact"/>
        <w:rPr>
          <w:rFonts w:ascii="Arial" w:cs="Arial" w:eastAsia="Arial" w:hAnsi="Arial"/>
          <w:sz w:val="19"/>
          <w:szCs w:val="19"/>
          <w:color w:val="auto"/>
        </w:rPr>
      </w:pPr>
    </w:p>
    <w:p>
      <w:pPr>
        <w:ind w:firstLine="1194"/>
        <w:spacing w:after="0" w:line="254" w:lineRule="auto"/>
        <w:tabs>
          <w:tab w:leader="none" w:pos="1615" w:val="left"/>
        </w:tabs>
        <w:numPr>
          <w:ilvl w:val="0"/>
          <w:numId w:val="247"/>
        </w:numPr>
        <w:rPr>
          <w:rFonts w:ascii="Arial" w:cs="Arial" w:eastAsia="Arial" w:hAnsi="Arial"/>
          <w:sz w:val="20"/>
          <w:szCs w:val="20"/>
          <w:color w:val="auto"/>
        </w:rPr>
      </w:pPr>
      <w:r>
        <w:rPr>
          <w:rFonts w:ascii="Arial" w:cs="Arial" w:eastAsia="Arial" w:hAnsi="Arial"/>
          <w:sz w:val="20"/>
          <w:szCs w:val="20"/>
          <w:color w:val="auto"/>
        </w:rPr>
        <w:t xml:space="preserve">with respect to any required Consent described in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w:t>
      </w:r>
    </w:p>
    <w:p>
      <w:pPr>
        <w:spacing w:after="0" w:line="171" w:lineRule="exact"/>
        <w:rPr>
          <w:rFonts w:ascii="Arial" w:cs="Arial" w:eastAsia="Arial" w:hAnsi="Arial"/>
          <w:sz w:val="20"/>
          <w:szCs w:val="20"/>
          <w:color w:val="auto"/>
        </w:rPr>
      </w:pPr>
    </w:p>
    <w:p>
      <w:pPr>
        <w:ind w:right="140" w:firstLine="1194"/>
        <w:spacing w:after="0" w:line="258" w:lineRule="auto"/>
        <w:tabs>
          <w:tab w:leader="none" w:pos="1593" w:val="left"/>
        </w:tabs>
        <w:numPr>
          <w:ilvl w:val="0"/>
          <w:numId w:val="247"/>
        </w:numPr>
        <w:rPr>
          <w:rFonts w:ascii="Arial" w:cs="Arial" w:eastAsia="Arial" w:hAnsi="Arial"/>
          <w:sz w:val="20"/>
          <w:szCs w:val="20"/>
          <w:color w:val="auto"/>
        </w:rPr>
      </w:pPr>
      <w:r>
        <w:rPr>
          <w:rFonts w:ascii="Arial" w:cs="Arial" w:eastAsia="Arial" w:hAnsi="Arial"/>
          <w:sz w:val="20"/>
          <w:szCs w:val="20"/>
          <w:color w:val="auto"/>
        </w:rPr>
        <w:t>if the Award includes a “series of installment payments” (within the meaning of Section 1.409A-2(b)(2)(iii) of the Treasury Regulations), the Participant’s right to the series of installment payments will be treated as a right to a series of separate payments and not as a right to a single payment;</w:t>
      </w:r>
    </w:p>
    <w:p>
      <w:pPr>
        <w:spacing w:after="0" w:line="166" w:lineRule="exact"/>
        <w:rPr>
          <w:rFonts w:ascii="Arial" w:cs="Arial" w:eastAsia="Arial" w:hAnsi="Arial"/>
          <w:sz w:val="20"/>
          <w:szCs w:val="20"/>
          <w:color w:val="auto"/>
        </w:rPr>
      </w:pPr>
    </w:p>
    <w:p>
      <w:pPr>
        <w:ind w:right="120" w:firstLine="1194"/>
        <w:spacing w:after="0" w:line="327" w:lineRule="auto"/>
        <w:tabs>
          <w:tab w:leader="none" w:pos="162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the Award includes “dividend equivalents” (within the meaning of Section 1.409A-3(e) of the Treasury Regulations), the Participant’s right to the dividend equivalents will be treated separately from the right to other amounts under the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327" w:right="339" w:bottom="1440" w:gutter="0" w:footer="0" w:header="0"/>
        </w:sectPr>
      </w:pPr>
    </w:p>
    <w:bookmarkStart w:id="366" w:name="page367"/>
    <w:bookmarkEnd w:id="366"/>
    <w:p>
      <w:pPr>
        <w:ind w:firstLine="1194"/>
        <w:spacing w:after="0" w:line="267" w:lineRule="auto"/>
        <w:tabs>
          <w:tab w:leader="none" w:pos="1626"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for purposes of determining whether the Participant has experienced a separation from service from the Company within the meaning of Section 409A, “subsidiary” will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language “at least 20 percent” is used instead of “at least 80 percent” each place it appears in Section 1.414(c)-2(b)(2)(i) of the Treasury Regulations.</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3.15</w:t>
      </w:r>
      <w:r>
        <w:rPr>
          <w:sz w:val="20"/>
          <w:szCs w:val="20"/>
          <w:color w:val="auto"/>
        </w:rPr>
        <w:tab/>
      </w:r>
      <w:r>
        <w:rPr>
          <w:rFonts w:ascii="Arial" w:cs="Arial" w:eastAsia="Arial" w:hAnsi="Arial"/>
          <w:sz w:val="18"/>
          <w:szCs w:val="18"/>
          <w:b w:val="1"/>
          <w:bCs w:val="1"/>
          <w:color w:val="auto"/>
        </w:rPr>
        <w:t>Governing Law</w:t>
      </w:r>
    </w:p>
    <w:p>
      <w:pPr>
        <w:spacing w:after="0" w:line="212" w:lineRule="exact"/>
        <w:rPr>
          <w:sz w:val="20"/>
          <w:szCs w:val="20"/>
          <w:color w:val="auto"/>
        </w:rPr>
      </w:pPr>
    </w:p>
    <w:p>
      <w:pPr>
        <w:ind w:right="80" w:firstLine="597"/>
        <w:spacing w:after="0" w:line="298" w:lineRule="auto"/>
        <w:rPr>
          <w:sz w:val="20"/>
          <w:szCs w:val="20"/>
          <w:color w:val="auto"/>
        </w:rPr>
      </w:pPr>
      <w:r>
        <w:rPr>
          <w:rFonts w:ascii="Arial" w:cs="Arial" w:eastAsia="Arial" w:hAnsi="Arial"/>
          <w:sz w:val="19"/>
          <w:szCs w:val="19"/>
          <w:color w:val="auto"/>
        </w:rPr>
        <w:t>The laws of the Commonwealth of Virginia shall govern the interpretation, validity, administration, enforcement and performance of the terms of the Plan and all Awards regardless of the law that might be applied under principles of conflicts of laws.</w:t>
      </w:r>
    </w:p>
    <w:p>
      <w:pPr>
        <w:spacing w:after="0" w:line="12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3.16</w:t>
      </w:r>
      <w:r>
        <w:rPr>
          <w:sz w:val="20"/>
          <w:szCs w:val="20"/>
          <w:color w:val="auto"/>
        </w:rPr>
        <w:tab/>
      </w:r>
      <w:r>
        <w:rPr>
          <w:rFonts w:ascii="Arial" w:cs="Arial" w:eastAsia="Arial" w:hAnsi="Arial"/>
          <w:sz w:val="17"/>
          <w:szCs w:val="17"/>
          <w:b w:val="1"/>
          <w:bCs w:val="1"/>
          <w:color w:val="auto"/>
        </w:rPr>
        <w:t>Disputes; Choice of Forum</w:t>
      </w:r>
    </w:p>
    <w:p>
      <w:pPr>
        <w:spacing w:after="0" w:line="212" w:lineRule="exact"/>
        <w:rPr>
          <w:sz w:val="20"/>
          <w:szCs w:val="20"/>
          <w:color w:val="auto"/>
        </w:rPr>
      </w:pPr>
    </w:p>
    <w:p>
      <w:pPr>
        <w:ind w:right="40" w:firstLine="597"/>
        <w:spacing w:after="0" w:line="263" w:lineRule="auto"/>
        <w:rPr>
          <w:sz w:val="20"/>
          <w:szCs w:val="20"/>
          <w:color w:val="auto"/>
        </w:rPr>
      </w:pPr>
      <w:r>
        <w:rPr>
          <w:rFonts w:ascii="Arial" w:cs="Arial" w:eastAsia="Arial" w:hAnsi="Arial"/>
          <w:sz w:val="19"/>
          <w:szCs w:val="19"/>
          <w:color w:val="auto"/>
        </w:rPr>
        <w:t xml:space="preserve">3.16.1 The Company and each Participant, as a condition to such Participant’s participation in the Plan, agree that any suit, action, or proceeding arising out of or relating to the Plan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If any one or more provisions of the Plan shall for any reason be held invalid or unenforceable, it is the specific intent of the parties that such provisions shall be modified to the minimum extent necessary to make it or its application valid and enforceable. The Company and each Participant, as a condition to such Participant’s participation in the Plan, acknowledge that the forum designated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3.16.1</w:t>
      </w:r>
      <w:r>
        <w:rPr>
          <w:rFonts w:ascii="Arial" w:cs="Arial" w:eastAsia="Arial" w:hAnsi="Arial"/>
          <w:sz w:val="19"/>
          <w:szCs w:val="19"/>
          <w:color w:val="auto"/>
        </w:rPr>
        <w:t xml:space="preserve"> has a reasonable relation to the Plan and to the relationship between such Participant and the Company. Notwithstanding the foregoing, nothing herein will preclude the Company from bringing any action or proceeding in any other court for the purpose of enforcing the provisions of this </w:t>
      </w:r>
      <w:r>
        <w:rPr>
          <w:rFonts w:ascii="Arial" w:cs="Arial" w:eastAsia="Arial" w:hAnsi="Arial"/>
          <w:sz w:val="19"/>
          <w:szCs w:val="19"/>
          <w:u w:val="single" w:color="auto"/>
          <w:color w:val="auto"/>
        </w:rPr>
        <w:t>Section 3.16.1</w:t>
      </w:r>
      <w:r>
        <w:rPr>
          <w:rFonts w:ascii="Arial" w:cs="Arial" w:eastAsia="Arial" w:hAnsi="Arial"/>
          <w:sz w:val="19"/>
          <w:szCs w:val="19"/>
          <w:color w:val="auto"/>
        </w:rPr>
        <w:t>.</w:t>
      </w:r>
    </w:p>
    <w:p>
      <w:pPr>
        <w:spacing w:after="0" w:line="169" w:lineRule="exact"/>
        <w:rPr>
          <w:sz w:val="20"/>
          <w:szCs w:val="20"/>
          <w:color w:val="auto"/>
        </w:rPr>
      </w:pPr>
    </w:p>
    <w:p>
      <w:pPr>
        <w:ind w:firstLine="597"/>
        <w:spacing w:after="0" w:line="265" w:lineRule="auto"/>
        <w:rPr>
          <w:sz w:val="20"/>
          <w:szCs w:val="20"/>
          <w:color w:val="auto"/>
        </w:rPr>
      </w:pPr>
      <w:r>
        <w:rPr>
          <w:rFonts w:ascii="Arial" w:cs="Arial" w:eastAsia="Arial" w:hAnsi="Arial"/>
          <w:sz w:val="19"/>
          <w:szCs w:val="19"/>
          <w:color w:val="auto"/>
        </w:rPr>
        <w:t xml:space="preserve">3.16.2 The agreement by the Company and each Participant as to forum is independent of the law that may be applied in the action, and the Company and each Participant, as a condition to such Participant’s participation in the Plan, (i) agree to such forum even if the forum may under applicable law choose to apply non-forum law, (ii) hereby waive, to the fullest extent permitted by applicable law, any objection which the Company or such Participant now or hereafter may have to personal jurisdiction or to the laying of venue of any such suit, action or proceeding in any court referred to in </w:t>
      </w:r>
      <w:r>
        <w:rPr>
          <w:rFonts w:ascii="Arial" w:cs="Arial" w:eastAsia="Arial" w:hAnsi="Arial"/>
          <w:sz w:val="19"/>
          <w:szCs w:val="19"/>
          <w:u w:val="single" w:color="auto"/>
          <w:color w:val="auto"/>
        </w:rPr>
        <w:t>Section 3.16.1</w:t>
      </w:r>
      <w:r>
        <w:rPr>
          <w:rFonts w:ascii="Arial" w:cs="Arial" w:eastAsia="Arial" w:hAnsi="Arial"/>
          <w:sz w:val="19"/>
          <w:szCs w:val="19"/>
          <w:color w:val="auto"/>
        </w:rPr>
        <w:t xml:space="preserve">, (iii) undertake not to commence any action arising out of or relating to or concerning the Plan in any forum other than the forum described in this </w:t>
      </w:r>
      <w:r>
        <w:rPr>
          <w:rFonts w:ascii="Arial" w:cs="Arial" w:eastAsia="Arial" w:hAnsi="Arial"/>
          <w:sz w:val="19"/>
          <w:szCs w:val="19"/>
          <w:u w:val="single" w:color="auto"/>
          <w:color w:val="auto"/>
        </w:rPr>
        <w:t>Section 3.16</w:t>
      </w:r>
      <w:r>
        <w:rPr>
          <w:rFonts w:ascii="Arial" w:cs="Arial" w:eastAsia="Arial" w:hAnsi="Arial"/>
          <w:sz w:val="19"/>
          <w:szCs w:val="19"/>
          <w:color w:val="auto"/>
        </w:rPr>
        <w:t xml:space="preserve"> and (iv) agree that, to the fullest extent permitted by applicable law, a final and non-appealable judgment in any such suit, action or proceeding in any such court will be conclusive and binding upon the Company and each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327" w:right="339" w:bottom="1440" w:gutter="0" w:footer="0" w:header="0"/>
        </w:sectPr>
      </w:pPr>
    </w:p>
    <w:bookmarkStart w:id="367" w:name="page368"/>
    <w:bookmarkEnd w:id="367"/>
    <w:p>
      <w:pPr>
        <w:ind w:right="60" w:firstLine="597"/>
        <w:spacing w:after="0" w:line="278" w:lineRule="auto"/>
        <w:rPr>
          <w:sz w:val="20"/>
          <w:szCs w:val="20"/>
          <w:color w:val="auto"/>
        </w:rPr>
      </w:pPr>
      <w:r>
        <w:rPr>
          <w:rFonts w:ascii="Arial" w:cs="Arial" w:eastAsia="Arial" w:hAnsi="Arial"/>
          <w:sz w:val="19"/>
          <w:szCs w:val="19"/>
          <w:color w:val="auto"/>
        </w:rPr>
        <w:t>3.16.3 Each Participant, as a condition to such Participant’s participation in the Plan, hereby irrevocably appoints the General Counsel of the Company as such Participant’s agent for service of process in connection with any action, suit or proceeding arising out of or relating to or concerning the Plan, who will promptly advise such Participant of any such service of process.</w:t>
      </w:r>
    </w:p>
    <w:p>
      <w:pPr>
        <w:spacing w:after="0" w:line="149" w:lineRule="exact"/>
        <w:rPr>
          <w:sz w:val="20"/>
          <w:szCs w:val="20"/>
          <w:color w:val="auto"/>
        </w:rPr>
      </w:pPr>
    </w:p>
    <w:p>
      <w:pPr>
        <w:ind w:right="20" w:firstLine="597"/>
        <w:spacing w:after="0" w:line="252" w:lineRule="auto"/>
        <w:rPr>
          <w:sz w:val="20"/>
          <w:szCs w:val="20"/>
          <w:color w:val="auto"/>
        </w:rPr>
      </w:pPr>
      <w:r>
        <w:rPr>
          <w:rFonts w:ascii="Arial" w:cs="Arial" w:eastAsia="Arial" w:hAnsi="Arial"/>
          <w:sz w:val="20"/>
          <w:szCs w:val="20"/>
          <w:color w:val="auto"/>
        </w:rPr>
        <w:t xml:space="preserve">3.16.4 Each Participant, as a condition to such Participant’s participation in the Plan, agrees to keep confidential the existence of, and any information concerning, a dispute, controversy or claim described in </w:t>
      </w:r>
      <w:r>
        <w:rPr>
          <w:rFonts w:ascii="Arial" w:cs="Arial" w:eastAsia="Arial" w:hAnsi="Arial"/>
          <w:sz w:val="20"/>
          <w:szCs w:val="20"/>
          <w:u w:val="single" w:color="auto"/>
          <w:color w:val="auto"/>
        </w:rPr>
        <w:t>Section 3.18</w:t>
      </w:r>
      <w:r>
        <w:rPr>
          <w:rFonts w:ascii="Arial" w:cs="Arial" w:eastAsia="Arial" w:hAnsi="Arial"/>
          <w:sz w:val="20"/>
          <w:szCs w:val="20"/>
          <w:color w:val="auto"/>
        </w:rPr>
        <w:t>, except that a Participant may disclose information concerning such dispute, controversy or claim to the court that is considering such dispute, controversy or claim or to such Participant’s legal counsel (provided that such counsel agrees not to disclose any such information other than as necessary to the prosecution or defense of the dispute, controversy or claim).</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3.17</w:t>
      </w:r>
      <w:r>
        <w:rPr>
          <w:sz w:val="20"/>
          <w:szCs w:val="20"/>
          <w:color w:val="auto"/>
        </w:rPr>
        <w:tab/>
      </w:r>
      <w:r>
        <w:rPr>
          <w:rFonts w:ascii="Arial" w:cs="Arial" w:eastAsia="Arial" w:hAnsi="Arial"/>
          <w:sz w:val="18"/>
          <w:szCs w:val="18"/>
          <w:b w:val="1"/>
          <w:bCs w:val="1"/>
          <w:color w:val="auto"/>
        </w:rPr>
        <w:t>Waiver of Jury Trial</w:t>
      </w:r>
    </w:p>
    <w:p>
      <w:pPr>
        <w:spacing w:after="0" w:line="212" w:lineRule="exact"/>
        <w:rPr>
          <w:sz w:val="20"/>
          <w:szCs w:val="20"/>
          <w:color w:val="auto"/>
        </w:rPr>
      </w:pPr>
    </w:p>
    <w:p>
      <w:pPr>
        <w:ind w:right="20" w:firstLine="1195"/>
        <w:spacing w:after="0" w:line="271" w:lineRule="auto"/>
        <w:rPr>
          <w:sz w:val="20"/>
          <w:szCs w:val="20"/>
          <w:color w:val="auto"/>
        </w:rPr>
      </w:pPr>
      <w:r>
        <w:rPr>
          <w:rFonts w:ascii="Arial" w:cs="Arial" w:eastAsia="Arial" w:hAnsi="Arial"/>
          <w:sz w:val="20"/>
          <w:szCs w:val="20"/>
          <w:color w:val="auto"/>
        </w:rPr>
        <w:t>EACH PARTICIPANT WAIVES ANY RIGHT IT MAY HAVE TO TRIAL BY JURY IN RESPECT OF ANY LITIGATION BASED ON, ARISING OUT OF, UNDER OR IN CONNECTION WITH THE PLAN.</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3.18</w:t>
      </w:r>
      <w:r>
        <w:rPr>
          <w:sz w:val="20"/>
          <w:szCs w:val="20"/>
          <w:color w:val="auto"/>
        </w:rPr>
        <w:tab/>
      </w:r>
      <w:r>
        <w:rPr>
          <w:rFonts w:ascii="Arial" w:cs="Arial" w:eastAsia="Arial" w:hAnsi="Arial"/>
          <w:sz w:val="18"/>
          <w:szCs w:val="18"/>
          <w:b w:val="1"/>
          <w:bCs w:val="1"/>
          <w:color w:val="auto"/>
        </w:rPr>
        <w:t>Waiver of Claims</w:t>
      </w:r>
    </w:p>
    <w:p>
      <w:pPr>
        <w:spacing w:after="0" w:line="212" w:lineRule="exact"/>
        <w:rPr>
          <w:sz w:val="20"/>
          <w:szCs w:val="20"/>
          <w:color w:val="auto"/>
        </w:rPr>
      </w:pPr>
    </w:p>
    <w:p>
      <w:pPr>
        <w:ind w:right="40" w:firstLine="1195"/>
        <w:spacing w:after="0" w:line="281" w:lineRule="auto"/>
        <w:rPr>
          <w:sz w:val="20"/>
          <w:szCs w:val="20"/>
          <w:color w:val="auto"/>
        </w:rPr>
      </w:pPr>
      <w:r>
        <w:rPr>
          <w:rFonts w:ascii="Arial" w:cs="Arial" w:eastAsia="Arial" w:hAnsi="Arial"/>
          <w:sz w:val="18"/>
          <w:szCs w:val="18"/>
          <w:color w:val="auto"/>
        </w:rPr>
        <w:t>Each Participant of an Award recognizes and agrees that before being selected by the Committee to receive an Award the Participant has no right to any benefits under the Plan. Accordingly, in consideration of the Participant’s receipt of any Award hereunder, the Participant expressly waives any right to contest the amount of any 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Participant. The Plan is not intended to be subject to the Employee Retirement Income Security Act of 1974 (ERISA), as amended.</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3.19</w:t>
      </w:r>
      <w:r>
        <w:rPr>
          <w:sz w:val="20"/>
          <w:szCs w:val="20"/>
          <w:color w:val="auto"/>
        </w:rPr>
        <w:tab/>
      </w:r>
      <w:r>
        <w:rPr>
          <w:rFonts w:ascii="Arial" w:cs="Arial" w:eastAsia="Arial" w:hAnsi="Arial"/>
          <w:sz w:val="17"/>
          <w:szCs w:val="17"/>
          <w:b w:val="1"/>
          <w:bCs w:val="1"/>
          <w:color w:val="auto"/>
        </w:rPr>
        <w:t>Shortened Statute of Limitations</w:t>
      </w:r>
    </w:p>
    <w:p>
      <w:pPr>
        <w:spacing w:after="0" w:line="212" w:lineRule="exact"/>
        <w:rPr>
          <w:sz w:val="20"/>
          <w:szCs w:val="20"/>
          <w:color w:val="auto"/>
        </w:rPr>
      </w:pPr>
    </w:p>
    <w:p>
      <w:pPr>
        <w:ind w:firstLine="1195"/>
        <w:spacing w:after="0" w:line="252" w:lineRule="auto"/>
        <w:rPr>
          <w:sz w:val="20"/>
          <w:szCs w:val="20"/>
          <w:color w:val="auto"/>
        </w:rPr>
      </w:pPr>
      <w:r>
        <w:rPr>
          <w:rFonts w:ascii="Arial" w:cs="Arial" w:eastAsia="Arial" w:hAnsi="Arial"/>
          <w:sz w:val="20"/>
          <w:szCs w:val="20"/>
          <w:color w:val="auto"/>
        </w:rPr>
        <w:t>Each Participant agrees to shorten the applicable statute of limitations and agrees that no claims or causes of actions may be brought against the Company or any its Subsidiaries or Affiliates or any of their directors, officers, employees, controlling persons, agents or representatives based upon, directly or indirectly, any claim that arises under this Plan or any Award Agreement more than twelve (12) months after the date of the action that is the subject of the claim or lawsuit. Each Participant agrees to waive any statute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20"/>
          </w:cols>
          <w:pgMar w:left="320" w:top="1327" w:right="359" w:bottom="1440" w:gutter="0" w:footer="0" w:header="0"/>
        </w:sectPr>
      </w:pPr>
    </w:p>
    <w:bookmarkStart w:id="368" w:name="page369"/>
    <w:bookmarkEnd w:id="368"/>
    <w:p>
      <w:pPr>
        <w:spacing w:after="0"/>
        <w:tabs>
          <w:tab w:leader="none" w:pos="520" w:val="left"/>
        </w:tabs>
        <w:rPr>
          <w:sz w:val="20"/>
          <w:szCs w:val="20"/>
          <w:color w:val="auto"/>
        </w:rPr>
      </w:pPr>
      <w:r>
        <w:rPr>
          <w:rFonts w:ascii="Arial" w:cs="Arial" w:eastAsia="Arial" w:hAnsi="Arial"/>
          <w:sz w:val="20"/>
          <w:szCs w:val="20"/>
          <w:b w:val="1"/>
          <w:bCs w:val="1"/>
          <w:color w:val="auto"/>
        </w:rPr>
        <w:t>3.20</w:t>
      </w:r>
      <w:r>
        <w:rPr>
          <w:sz w:val="20"/>
          <w:szCs w:val="20"/>
          <w:color w:val="auto"/>
        </w:rPr>
        <w:tab/>
      </w:r>
      <w:r>
        <w:rPr>
          <w:rFonts w:ascii="Arial" w:cs="Arial" w:eastAsia="Arial" w:hAnsi="Arial"/>
          <w:sz w:val="17"/>
          <w:szCs w:val="17"/>
          <w:b w:val="1"/>
          <w:bCs w:val="1"/>
          <w:color w:val="auto"/>
        </w:rPr>
        <w:t>No Repricing or Reloads</w:t>
      </w:r>
    </w:p>
    <w:p>
      <w:pPr>
        <w:spacing w:after="0" w:line="212" w:lineRule="exact"/>
        <w:rPr>
          <w:sz w:val="20"/>
          <w:szCs w:val="20"/>
          <w:color w:val="auto"/>
        </w:rPr>
      </w:pPr>
    </w:p>
    <w:p>
      <w:pPr>
        <w:ind w:right="500" w:firstLine="1195"/>
        <w:spacing w:after="0" w:line="292" w:lineRule="auto"/>
        <w:rPr>
          <w:sz w:val="20"/>
          <w:szCs w:val="20"/>
          <w:color w:val="auto"/>
        </w:rPr>
      </w:pPr>
      <w:r>
        <w:rPr>
          <w:rFonts w:ascii="Arial" w:cs="Arial" w:eastAsia="Arial" w:hAnsi="Arial"/>
          <w:sz w:val="18"/>
          <w:szCs w:val="18"/>
          <w:color w:val="auto"/>
        </w:rPr>
        <w:t xml:space="preserve">Except as otherwise permitted by </w:t>
      </w:r>
      <w:r>
        <w:rPr>
          <w:rFonts w:ascii="Arial" w:cs="Arial" w:eastAsia="Arial" w:hAnsi="Arial"/>
          <w:sz w:val="18"/>
          <w:szCs w:val="18"/>
          <w:u w:val="single" w:color="auto"/>
          <w:color w:val="auto"/>
        </w:rPr>
        <w:t>Section 1.6.3</w:t>
      </w:r>
      <w:r>
        <w:rPr>
          <w:rFonts w:ascii="Arial" w:cs="Arial" w:eastAsia="Arial" w:hAnsi="Arial"/>
          <w:sz w:val="18"/>
          <w:szCs w:val="18"/>
          <w:color w:val="auto"/>
        </w:rPr>
        <w:t>, reducing the exercise price of stock options or stock appreciation rights issued and outstanding under the Plan, including through amendment, cancellation in exchange for the grant of a substitute Award or repurchase for cash or other consideration (in each case that has the effect of reducing the exercise price), will require approval of the Company’s stockholders. The Company will not grant any stock options or stock appreciation rights with automatic reload features.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3.21</w:t>
      </w:r>
      <w:r>
        <w:rPr>
          <w:sz w:val="20"/>
          <w:szCs w:val="20"/>
          <w:color w:val="auto"/>
        </w:rPr>
        <w:tab/>
      </w:r>
      <w:r>
        <w:rPr>
          <w:rFonts w:ascii="Arial" w:cs="Arial" w:eastAsia="Arial" w:hAnsi="Arial"/>
          <w:sz w:val="18"/>
          <w:szCs w:val="18"/>
          <w:b w:val="1"/>
          <w:bCs w:val="1"/>
          <w:color w:val="auto"/>
        </w:rPr>
        <w:t>Severability; Entire Agreement</w:t>
      </w:r>
    </w:p>
    <w:p>
      <w:pPr>
        <w:spacing w:after="0" w:line="212" w:lineRule="exact"/>
        <w:rPr>
          <w:sz w:val="20"/>
          <w:szCs w:val="20"/>
          <w:color w:val="auto"/>
        </w:rPr>
      </w:pPr>
    </w:p>
    <w:p>
      <w:pPr>
        <w:ind w:right="60" w:firstLine="1195"/>
        <w:spacing w:after="0" w:line="265" w:lineRule="auto"/>
        <w:rPr>
          <w:sz w:val="20"/>
          <w:szCs w:val="20"/>
          <w:color w:val="auto"/>
        </w:rPr>
      </w:pPr>
      <w:r>
        <w:rPr>
          <w:rFonts w:ascii="Arial" w:cs="Arial" w:eastAsia="Arial" w:hAnsi="Arial"/>
          <w:sz w:val="19"/>
          <w:szCs w:val="19"/>
          <w:color w:val="auto"/>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5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3.22</w:t>
      </w:r>
      <w:r>
        <w:rPr>
          <w:sz w:val="20"/>
          <w:szCs w:val="20"/>
          <w:color w:val="auto"/>
        </w:rPr>
        <w:tab/>
      </w:r>
      <w:r>
        <w:rPr>
          <w:rFonts w:ascii="Arial" w:cs="Arial" w:eastAsia="Arial" w:hAnsi="Arial"/>
          <w:sz w:val="18"/>
          <w:szCs w:val="18"/>
          <w:b w:val="1"/>
          <w:bCs w:val="1"/>
          <w:color w:val="auto"/>
        </w:rPr>
        <w:t>No Liability with Respect to Tax Qualification or Adverse Tax Treatment</w:t>
      </w:r>
    </w:p>
    <w:p>
      <w:pPr>
        <w:spacing w:after="0" w:line="212" w:lineRule="exact"/>
        <w:rPr>
          <w:sz w:val="20"/>
          <w:szCs w:val="20"/>
          <w:color w:val="auto"/>
        </w:rPr>
      </w:pPr>
    </w:p>
    <w:p>
      <w:pPr>
        <w:ind w:firstLine="1195"/>
        <w:spacing w:after="0" w:line="258" w:lineRule="auto"/>
        <w:rPr>
          <w:sz w:val="20"/>
          <w:szCs w:val="20"/>
          <w:color w:val="auto"/>
        </w:rPr>
      </w:pPr>
      <w:r>
        <w:rPr>
          <w:rFonts w:ascii="Arial" w:cs="Arial" w:eastAsia="Arial" w:hAnsi="Arial"/>
          <w:sz w:val="20"/>
          <w:szCs w:val="20"/>
          <w:color w:val="auto"/>
        </w:rPr>
        <w:t>Notwithstanding anything to the contrary contained herein, in no event will the Company be liable to a Participant on account of an Award’s failure to (a) qualify for favorable United States federal, state or local, or foreign, tax treatment or (b) avoid adverse tax treatment under United States or foreign law, including, without limitation, Section 409A.</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3.23</w:t>
      </w:r>
      <w:r>
        <w:rPr>
          <w:sz w:val="20"/>
          <w:szCs w:val="20"/>
          <w:color w:val="auto"/>
        </w:rPr>
        <w:tab/>
      </w:r>
      <w:r>
        <w:rPr>
          <w:rFonts w:ascii="Arial" w:cs="Arial" w:eastAsia="Arial" w:hAnsi="Arial"/>
          <w:sz w:val="18"/>
          <w:szCs w:val="18"/>
          <w:b w:val="1"/>
          <w:bCs w:val="1"/>
          <w:color w:val="auto"/>
        </w:rPr>
        <w:t>No Third-Party Beneficiaries</w:t>
      </w:r>
    </w:p>
    <w:p>
      <w:pPr>
        <w:spacing w:after="0" w:line="212" w:lineRule="exact"/>
        <w:rPr>
          <w:sz w:val="20"/>
          <w:szCs w:val="20"/>
          <w:color w:val="auto"/>
        </w:rPr>
      </w:pPr>
    </w:p>
    <w:p>
      <w:pPr>
        <w:ind w:firstLine="1195"/>
        <w:spacing w:after="0" w:line="278" w:lineRule="auto"/>
        <w:rPr>
          <w:sz w:val="20"/>
          <w:szCs w:val="20"/>
          <w:color w:val="auto"/>
        </w:rPr>
      </w:pPr>
      <w:r>
        <w:rPr>
          <w:rFonts w:ascii="Arial" w:cs="Arial" w:eastAsia="Arial" w:hAnsi="Arial"/>
          <w:sz w:val="19"/>
          <w:szCs w:val="19"/>
          <w:color w:val="auto"/>
        </w:rPr>
        <w:t xml:space="preserve">Except as expressly provided in an Award Agreement, neither the Plan nor any Award Agreement will confer on any person other than the Company and the Participant of any Award any rights or remedies thereunder. The exculpation and indemnification provisions of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will inure to the benefit of a Covered Person’s estate and beneficiaries and legatees.</w:t>
      </w:r>
    </w:p>
    <w:p>
      <w:pPr>
        <w:spacing w:after="0" w:line="14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3.24</w:t>
      </w:r>
      <w:r>
        <w:rPr>
          <w:sz w:val="20"/>
          <w:szCs w:val="20"/>
          <w:color w:val="auto"/>
        </w:rPr>
        <w:tab/>
      </w:r>
      <w:r>
        <w:rPr>
          <w:rFonts w:ascii="Arial" w:cs="Arial" w:eastAsia="Arial" w:hAnsi="Arial"/>
          <w:sz w:val="17"/>
          <w:szCs w:val="17"/>
          <w:b w:val="1"/>
          <w:bCs w:val="1"/>
          <w:color w:val="auto"/>
        </w:rPr>
        <w:t>Successors and Assigns of the Company</w:t>
      </w:r>
    </w:p>
    <w:p>
      <w:pPr>
        <w:spacing w:after="0" w:line="212" w:lineRule="exact"/>
        <w:rPr>
          <w:sz w:val="20"/>
          <w:szCs w:val="20"/>
          <w:color w:val="auto"/>
        </w:rPr>
      </w:pPr>
    </w:p>
    <w:p>
      <w:pPr>
        <w:ind w:right="340" w:firstLine="1195"/>
        <w:spacing w:after="0" w:line="271" w:lineRule="auto"/>
        <w:rPr>
          <w:sz w:val="20"/>
          <w:szCs w:val="20"/>
          <w:color w:val="auto"/>
        </w:rPr>
      </w:pPr>
      <w:r>
        <w:rPr>
          <w:rFonts w:ascii="Arial" w:cs="Arial" w:eastAsia="Arial" w:hAnsi="Arial"/>
          <w:sz w:val="20"/>
          <w:szCs w:val="20"/>
          <w:color w:val="auto"/>
        </w:rPr>
        <w:t xml:space="preserve">The terms of the Plan will be binding upon and inure to the benefit of the Company and any successor entity, including as contemplated by </w:t>
      </w:r>
      <w:r>
        <w:rPr>
          <w:rFonts w:ascii="Arial" w:cs="Arial" w:eastAsia="Arial" w:hAnsi="Arial"/>
          <w:sz w:val="20"/>
          <w:szCs w:val="20"/>
          <w:u w:val="single" w:color="auto"/>
          <w:color w:val="auto"/>
        </w:rPr>
        <w:t>Section 3.6</w:t>
      </w:r>
      <w:r>
        <w:rPr>
          <w:rFonts w:ascii="Arial" w:cs="Arial" w:eastAsia="Arial" w:hAnsi="Arial"/>
          <w:sz w:val="20"/>
          <w:szCs w:val="20"/>
          <w:color w:val="auto"/>
        </w:rPr>
        <w:t>.</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3.25</w:t>
      </w:r>
      <w:r>
        <w:rPr>
          <w:sz w:val="20"/>
          <w:szCs w:val="20"/>
          <w:color w:val="auto"/>
        </w:rPr>
        <w:tab/>
      </w:r>
      <w:r>
        <w:rPr>
          <w:rFonts w:ascii="Arial" w:cs="Arial" w:eastAsia="Arial" w:hAnsi="Arial"/>
          <w:sz w:val="17"/>
          <w:szCs w:val="17"/>
          <w:b w:val="1"/>
          <w:bCs w:val="1"/>
          <w:color w:val="auto"/>
        </w:rPr>
        <w:t>Date of Adoption and Approval of Stockholders</w:t>
      </w:r>
    </w:p>
    <w:p>
      <w:pPr>
        <w:spacing w:after="0" w:line="212" w:lineRule="exact"/>
        <w:rPr>
          <w:sz w:val="20"/>
          <w:szCs w:val="20"/>
          <w:color w:val="auto"/>
        </w:rPr>
      </w:pPr>
    </w:p>
    <w:p>
      <w:pPr>
        <w:ind w:right="80" w:firstLine="1195"/>
        <w:spacing w:after="0" w:line="271" w:lineRule="auto"/>
        <w:rPr>
          <w:sz w:val="20"/>
          <w:szCs w:val="20"/>
          <w:color w:val="auto"/>
        </w:rPr>
      </w:pPr>
      <w:r>
        <w:rPr>
          <w:rFonts w:ascii="Arial" w:cs="Arial" w:eastAsia="Arial" w:hAnsi="Arial"/>
          <w:sz w:val="20"/>
          <w:szCs w:val="20"/>
          <w:color w:val="auto"/>
        </w:rPr>
        <w:t>The Plan was adopted by the Board on February 24, 2021 and was approved by the Company’s stockholders on February 24, 2021 (the “</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20"/>
          </w:cols>
          <w:pgMar w:left="320" w:top="1321" w:right="359" w:bottom="1440" w:gutter="0" w:footer="0" w:header="0"/>
        </w:sectPr>
      </w:pPr>
    </w:p>
    <w:bookmarkStart w:id="369" w:name="page370"/>
    <w:bookmarkEnd w:id="369"/>
    <w:p>
      <w:pPr>
        <w:spacing w:after="0"/>
        <w:tabs>
          <w:tab w:leader="none" w:pos="520" w:val="left"/>
        </w:tabs>
        <w:rPr>
          <w:sz w:val="20"/>
          <w:szCs w:val="20"/>
          <w:color w:val="auto"/>
        </w:rPr>
      </w:pPr>
      <w:r>
        <w:rPr>
          <w:rFonts w:ascii="Arial" w:cs="Arial" w:eastAsia="Arial" w:hAnsi="Arial"/>
          <w:sz w:val="20"/>
          <w:szCs w:val="20"/>
          <w:b w:val="1"/>
          <w:bCs w:val="1"/>
          <w:color w:val="auto"/>
        </w:rPr>
        <w:t>3.26</w:t>
      </w:r>
      <w:r>
        <w:rPr>
          <w:sz w:val="20"/>
          <w:szCs w:val="20"/>
          <w:color w:val="auto"/>
        </w:rPr>
        <w:tab/>
      </w:r>
      <w:r>
        <w:rPr>
          <w:rFonts w:ascii="Arial" w:cs="Arial" w:eastAsia="Arial" w:hAnsi="Arial"/>
          <w:sz w:val="17"/>
          <w:szCs w:val="17"/>
          <w:b w:val="1"/>
          <w:bCs w:val="1"/>
          <w:color w:val="auto"/>
        </w:rPr>
        <w:t>Limits on Compensation to Non-Employee Directors.</w:t>
      </w:r>
    </w:p>
    <w:p>
      <w:pPr>
        <w:spacing w:after="0" w:line="212" w:lineRule="exact"/>
        <w:rPr>
          <w:sz w:val="20"/>
          <w:szCs w:val="20"/>
          <w:color w:val="auto"/>
        </w:rPr>
      </w:pPr>
    </w:p>
    <w:p>
      <w:pPr>
        <w:ind w:firstLine="1195"/>
        <w:spacing w:after="0" w:line="298" w:lineRule="auto"/>
        <w:rPr>
          <w:sz w:val="20"/>
          <w:szCs w:val="20"/>
          <w:color w:val="auto"/>
        </w:rPr>
      </w:pPr>
      <w:r>
        <w:rPr>
          <w:rFonts w:ascii="Arial" w:cs="Arial" w:eastAsia="Arial" w:hAnsi="Arial"/>
          <w:sz w:val="19"/>
          <w:szCs w:val="19"/>
          <w:color w:val="auto"/>
        </w:rPr>
        <w:t>No non-employee director of the Company may be granted (in any calendar year) compensation with a value in excess of $500,000, with the value of any equity-based awards based on the accounting grant date value of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860"/>
          </w:cols>
          <w:pgMar w:left="320" w:top="1321" w:right="719" w:bottom="1440" w:gutter="0" w:footer="0" w:header="0"/>
        </w:sectPr>
      </w:pPr>
    </w:p>
    <w:bookmarkStart w:id="370" w:name="page371"/>
    <w:bookmarkEnd w:id="370"/>
    <w:p>
      <w:pPr>
        <w:ind w:left="10300"/>
        <w:spacing w:after="0"/>
        <w:rPr>
          <w:sz w:val="20"/>
          <w:szCs w:val="20"/>
          <w:color w:val="auto"/>
        </w:rPr>
      </w:pPr>
      <w:r>
        <w:rPr>
          <w:rFonts w:ascii="Arial" w:cs="Arial" w:eastAsia="Arial" w:hAnsi="Arial"/>
          <w:sz w:val="15"/>
          <w:szCs w:val="15"/>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Leonardo DRS,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OMNIBUS EQUITY COMPENSATION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GRANT NOTICE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FOUNDERS AWARD</w:t>
      </w:r>
    </w:p>
    <w:p>
      <w:pPr>
        <w:spacing w:after="0" w:line="212"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20"/>
          <w:szCs w:val="20"/>
          <w:color w:val="auto"/>
        </w:rPr>
        <w:t>Leonardo DRS,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2021 Omnibus Equity Compensation Plan (the “</w:t>
      </w:r>
      <w:r>
        <w:rPr>
          <w:rFonts w:ascii="Arial" w:cs="Arial" w:eastAsia="Arial" w:hAnsi="Arial"/>
          <w:sz w:val="20"/>
          <w:szCs w:val="20"/>
          <w:u w:val="single" w:color="auto"/>
          <w:color w:val="auto"/>
        </w:rPr>
        <w:t>Plan</w:t>
      </w:r>
      <w:r>
        <w:rPr>
          <w:rFonts w:ascii="Arial" w:cs="Arial" w:eastAsia="Arial" w:hAnsi="Arial"/>
          <w:sz w:val="20"/>
          <w:szCs w:val="20"/>
          <w:color w:val="auto"/>
        </w:rPr>
        <w:t>”), hereby grants to the participant listed below (“</w:t>
      </w:r>
      <w:r>
        <w:rPr>
          <w:rFonts w:ascii="Arial" w:cs="Arial" w:eastAsia="Arial" w:hAnsi="Arial"/>
          <w:sz w:val="20"/>
          <w:szCs w:val="20"/>
          <w:u w:val="single" w:color="auto"/>
          <w:color w:val="auto"/>
        </w:rPr>
        <w:t>Participant</w:t>
      </w:r>
      <w:r>
        <w:rPr>
          <w:rFonts w:ascii="Arial" w:cs="Arial" w:eastAsia="Arial" w:hAnsi="Arial"/>
          <w:sz w:val="20"/>
          <w:szCs w:val="20"/>
          <w:color w:val="auto"/>
        </w:rPr>
        <w:t>”), an award of restricted stock units (“</w:t>
      </w:r>
      <w:r>
        <w:rPr>
          <w:rFonts w:ascii="Arial" w:cs="Arial" w:eastAsia="Arial" w:hAnsi="Arial"/>
          <w:sz w:val="20"/>
          <w:szCs w:val="20"/>
          <w:u w:val="single" w:color="auto"/>
          <w:color w:val="auto"/>
        </w:rPr>
        <w:t>Restricted Stock Units</w:t>
      </w:r>
      <w:r>
        <w:rPr>
          <w:rFonts w:ascii="Arial" w:cs="Arial" w:eastAsia="Arial" w:hAnsi="Arial"/>
          <w:sz w:val="20"/>
          <w:szCs w:val="20"/>
          <w:color w:val="auto"/>
        </w:rPr>
        <w:t>” or “</w:t>
      </w:r>
      <w:r>
        <w:rPr>
          <w:rFonts w:ascii="Arial" w:cs="Arial" w:eastAsia="Arial" w:hAnsi="Arial"/>
          <w:sz w:val="20"/>
          <w:szCs w:val="20"/>
          <w:u w:val="single" w:color="auto"/>
          <w:color w:val="auto"/>
        </w:rPr>
        <w:t>RSUs</w:t>
      </w:r>
      <w:r>
        <w:rPr>
          <w:rFonts w:ascii="Arial" w:cs="Arial" w:eastAsia="Arial" w:hAnsi="Arial"/>
          <w:sz w:val="20"/>
          <w:szCs w:val="20"/>
          <w:color w:val="auto"/>
        </w:rPr>
        <w:t>”) with respect to the number of shares of the Company’s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indicated below. This award for Restricted Stock Units (this “</w:t>
      </w:r>
      <w:r>
        <w:rPr>
          <w:rFonts w:ascii="Arial" w:cs="Arial" w:eastAsia="Arial" w:hAnsi="Arial"/>
          <w:sz w:val="20"/>
          <w:szCs w:val="20"/>
          <w:u w:val="single" w:color="auto"/>
          <w:color w:val="auto"/>
        </w:rPr>
        <w:t>Award</w:t>
      </w:r>
      <w:r>
        <w:rPr>
          <w:rFonts w:ascii="Arial" w:cs="Arial" w:eastAsia="Arial" w:hAnsi="Arial"/>
          <w:sz w:val="20"/>
          <w:szCs w:val="20"/>
          <w:color w:val="auto"/>
        </w:rPr>
        <w:t xml:space="preserve">”) is subject to all of the terms and conditions as set forth herein, in the Restricted Stock Unit Award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Restricted Stock Unit Agreement</w:t>
      </w:r>
      <w:r>
        <w:rPr>
          <w:rFonts w:ascii="Arial" w:cs="Arial" w:eastAsia="Arial" w:hAnsi="Arial"/>
          <w:sz w:val="20"/>
          <w:szCs w:val="20"/>
          <w:color w:val="auto"/>
        </w:rPr>
        <w:t>”) and in the Plan, each of which are incorporated herein by reference. Unless otherwise defined herein, the terms defined in the Plan shall have the same defined meanings in this Grant Notice and the Restricted Stock Unit Agreement.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328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5"/>
        </w:trPr>
        <w:tc>
          <w:tcPr>
            <w:tcW w:w="328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3280" w:type="dxa"/>
            <w:vAlign w:val="bottom"/>
          </w:tcPr>
          <w:p>
            <w:pPr>
              <w:spacing w:after="0"/>
              <w:rPr>
                <w:sz w:val="20"/>
                <w:szCs w:val="20"/>
                <w:color w:val="auto"/>
              </w:rPr>
            </w:pPr>
            <w:r>
              <w:rPr>
                <w:rFonts w:ascii="Arial" w:cs="Arial" w:eastAsia="Arial" w:hAnsi="Arial"/>
                <w:sz w:val="20"/>
                <w:szCs w:val="20"/>
                <w:b w:val="1"/>
                <w:bCs w:val="1"/>
                <w:color w:val="auto"/>
              </w:rPr>
              <w:t>Total Number of RSUs:</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3280" w:type="dxa"/>
            <w:vAlign w:val="bottom"/>
          </w:tcPr>
          <w:p>
            <w:pPr>
              <w:spacing w:after="0"/>
              <w:rPr>
                <w:sz w:val="20"/>
                <w:szCs w:val="20"/>
                <w:color w:val="auto"/>
              </w:rPr>
            </w:pPr>
            <w:r>
              <w:rPr>
                <w:rFonts w:ascii="Arial" w:cs="Arial" w:eastAsia="Arial" w:hAnsi="Arial"/>
                <w:sz w:val="20"/>
                <w:szCs w:val="20"/>
                <w:b w:val="1"/>
                <w:bCs w:val="1"/>
                <w:color w:val="auto"/>
              </w:rPr>
              <w:t>Distribution Schedule:</w:t>
            </w:r>
          </w:p>
        </w:tc>
        <w:tc>
          <w:tcPr>
            <w:tcW w:w="7620" w:type="dxa"/>
            <w:vAlign w:val="bottom"/>
            <w:gridSpan w:val="4"/>
          </w:tcPr>
          <w:p>
            <w:pPr>
              <w:spacing w:after="0"/>
              <w:rPr>
                <w:sz w:val="20"/>
                <w:szCs w:val="20"/>
                <w:color w:val="auto"/>
              </w:rPr>
            </w:pPr>
            <w:r>
              <w:rPr>
                <w:rFonts w:ascii="Arial" w:cs="Arial" w:eastAsia="Arial" w:hAnsi="Arial"/>
                <w:sz w:val="20"/>
                <w:szCs w:val="20"/>
                <w:color w:val="auto"/>
                <w:w w:val="91"/>
              </w:rPr>
              <w:t>Subject to the terms of the Restricted Stock Unit Agreement, the RSUs shall be distributable in</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7620" w:type="dxa"/>
            <w:vAlign w:val="bottom"/>
            <w:gridSpan w:val="4"/>
          </w:tcPr>
          <w:p>
            <w:pPr>
              <w:spacing w:after="0" w:line="206" w:lineRule="exact"/>
              <w:rPr>
                <w:sz w:val="20"/>
                <w:szCs w:val="20"/>
                <w:color w:val="auto"/>
              </w:rPr>
            </w:pPr>
            <w:r>
              <w:rPr>
                <w:rFonts w:ascii="Arial" w:cs="Arial" w:eastAsia="Arial" w:hAnsi="Arial"/>
                <w:sz w:val="20"/>
                <w:szCs w:val="20"/>
                <w:color w:val="auto"/>
              </w:rPr>
              <w:t>accordance with Section 1.1 of the Restricted Stock Unit Agreement.</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20"/>
                <w:szCs w:val="20"/>
                <w:b w:val="1"/>
                <w:bCs w:val="1"/>
                <w:color w:val="auto"/>
              </w:rPr>
              <w:t>Vesting Schedule:</w:t>
            </w: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3280" w:type="dxa"/>
            <w:vAlign w:val="bottom"/>
            <w:vMerge w:val="continue"/>
          </w:tcPr>
          <w:p>
            <w:pPr>
              <w:spacing w:after="0"/>
              <w:rPr>
                <w:sz w:val="24"/>
                <w:szCs w:val="24"/>
                <w:color w:val="auto"/>
              </w:rPr>
            </w:pPr>
          </w:p>
        </w:tc>
        <w:tc>
          <w:tcPr>
            <w:tcW w:w="7620" w:type="dxa"/>
            <w:vAlign w:val="bottom"/>
            <w:gridSpan w:val="4"/>
          </w:tcPr>
          <w:p>
            <w:pPr>
              <w:spacing w:after="0"/>
              <w:rPr>
                <w:sz w:val="20"/>
                <w:szCs w:val="20"/>
                <w:color w:val="auto"/>
              </w:rPr>
            </w:pPr>
            <w:r>
              <w:rPr>
                <w:rFonts w:ascii="Arial" w:cs="Arial" w:eastAsia="Arial" w:hAnsi="Arial"/>
                <w:sz w:val="20"/>
                <w:szCs w:val="20"/>
                <w:color w:val="auto"/>
                <w:w w:val="89"/>
              </w:rPr>
              <w:t>Subject to the terms of the Restricted Stock Unit Agreement, the RSUs shall vest as set forth on</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7620" w:type="dxa"/>
            <w:vAlign w:val="bottom"/>
            <w:gridSpan w:val="4"/>
          </w:tcPr>
          <w:p>
            <w:pPr>
              <w:spacing w:after="0" w:line="206" w:lineRule="exact"/>
              <w:rPr>
                <w:sz w:val="20"/>
                <w:szCs w:val="20"/>
                <w:color w:val="auto"/>
              </w:rPr>
            </w:pPr>
            <w:r>
              <w:rPr>
                <w:rFonts w:ascii="Arial" w:cs="Arial" w:eastAsia="Arial" w:hAnsi="Arial"/>
                <w:sz w:val="20"/>
                <w:szCs w:val="20"/>
                <w:color w:val="auto"/>
              </w:rPr>
              <w:t>Exhibit B to this Grant Notice.</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both"/>
        <w:ind w:firstLine="597"/>
        <w:spacing w:after="0" w:line="280" w:lineRule="auto"/>
        <w:rPr>
          <w:sz w:val="20"/>
          <w:szCs w:val="20"/>
          <w:color w:val="auto"/>
        </w:rPr>
      </w:pPr>
      <w:r>
        <w:rPr>
          <w:rFonts w:ascii="Arial" w:cs="Arial" w:eastAsia="Arial" w:hAnsi="Arial"/>
          <w:sz w:val="18"/>
          <w:szCs w:val="18"/>
          <w:color w:val="auto"/>
        </w:rPr>
        <w:t>By electronically accepting this Restricted Stock Unit Agreement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Participant agrees to be bound by the terms and conditions of the Plan, the Restricted Stock Unit Agreement and this Grant Notice. In addition, Participant explicitly acknowledges and agrees to be bound by the Restrictive Covenants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of the Restricted Stock Unit Agreement. Participant has reviewed the Restricted Stock Unit Agreement, the Plan and this Grant Notice in their entirety, has had an opportunity to obtain the advice of counsel prior to executing this Grant Notice and fully understands all provisions of this Grant Notice, the Restricted Stock Unit Agreement and the Plan. Participant has been provided with a copy or electronic access to a copy of the prospectus for the Plan. Participant hereby agrees to accept as binding, conclusive and final all decisions or interpretations of the Board (or any Committee to which administration of the Plan has been delegated by the Board) upon any questions arising under the Plan, this Grant Notice or the Restricted Stock Unit Agreement. The Award is subject to the terms and conditions of the Plan which are incorporated herein by</w:t>
      </w:r>
    </w:p>
    <w:p>
      <w:pPr>
        <w:sectPr>
          <w:pgSz w:w="11900" w:h="16838" w:orient="portrait"/>
          <w:cols w:equalWidth="0" w:num="1">
            <w:col w:w="11240"/>
          </w:cols>
          <w:pgMar w:left="320" w:top="123" w:right="33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t>reference. In the event of any inconsistency between the Plan and the Restricted Stock Unit Agreement, the terms of the Plan shall control.</w:t>
      </w:r>
    </w:p>
    <w:p>
      <w:pPr>
        <w:spacing w:after="0" w:line="229" w:lineRule="exact"/>
        <w:rPr>
          <w:sz w:val="20"/>
          <w:szCs w:val="20"/>
          <w:color w:val="auto"/>
        </w:rPr>
      </w:pPr>
    </w:p>
    <w:p>
      <w:pPr>
        <w:jc w:val="both"/>
        <w:ind w:firstLine="597"/>
        <w:spacing w:after="0" w:line="269" w:lineRule="auto"/>
        <w:rPr>
          <w:sz w:val="20"/>
          <w:szCs w:val="20"/>
          <w:color w:val="auto"/>
        </w:rPr>
      </w:pPr>
      <w:r>
        <w:rPr>
          <w:rFonts w:ascii="Arial" w:cs="Arial" w:eastAsia="Arial" w:hAnsi="Arial"/>
          <w:sz w:val="19"/>
          <w:szCs w:val="19"/>
          <w:color w:val="auto"/>
        </w:rPr>
        <w:t>Participant acknowledges that his or her acceptance of the terms and conditions of the Plan, the Restricted Stock Unit Agreement and this Grant Notice by his or her signature or electronic acceptance of the Restricted Stock Unit Agreement is a condition to the receipt of this Award. As a result, unless otherwise determined by the Board (or any Committee to which administration of the Plan has been delegated by the Board), in the event Participant does not sign or electronically accept this Grant Notice within thirty (30) days of the Grant Date, this Award shall be forfeited and Participant shall have no further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27" w:right="339" w:bottom="1440" w:gutter="0" w:footer="0" w:header="0"/>
        </w:sectPr>
      </w:pPr>
    </w:p>
    <w:bookmarkStart w:id="372" w:name="page373"/>
    <w:bookmarkEnd w:id="372"/>
    <w:p>
      <w:pPr>
        <w:jc w:val="center"/>
        <w:spacing w:after="0"/>
        <w:rPr>
          <w:sz w:val="20"/>
          <w:szCs w:val="20"/>
          <w:color w:val="auto"/>
        </w:rPr>
      </w:pPr>
      <w:r>
        <w:rPr>
          <w:rFonts w:ascii="Arial" w:cs="Arial" w:eastAsia="Arial" w:hAnsi="Arial"/>
          <w:sz w:val="20"/>
          <w:szCs w:val="20"/>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FOUNDERS AWARD</w:t>
      </w:r>
    </w:p>
    <w:p>
      <w:pPr>
        <w:spacing w:after="0" w:line="212"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auto"/>
        </w:rPr>
        <w:t>Pursuant to the Restricted Stock Unit Award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to which this Restricted Stock Unit Award Agreement (this “</w:t>
      </w:r>
      <w:r>
        <w:rPr>
          <w:rFonts w:ascii="Arial" w:cs="Arial" w:eastAsia="Arial" w:hAnsi="Arial"/>
          <w:sz w:val="20"/>
          <w:szCs w:val="20"/>
          <w:u w:val="single" w:color="auto"/>
          <w:color w:val="auto"/>
        </w:rPr>
        <w:t>Agreemen</w:t>
      </w:r>
      <w:r>
        <w:rPr>
          <w:rFonts w:ascii="Arial" w:cs="Arial" w:eastAsia="Arial" w:hAnsi="Arial"/>
          <w:sz w:val="20"/>
          <w:szCs w:val="20"/>
          <w:color w:val="auto"/>
        </w:rPr>
        <w:t>t”) is attached, the Company has granted to Participant the right to receive the number of RSUs set forth in the Grant Notice subject to all of the terms and conditions set forth in this Agreement, the Grant Notice and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OF RESTRICTED STOCK UNITS</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010000"/>
        </w:rPr>
        <w:t>1.1</w:t>
      </w:r>
      <w:r>
        <w:rPr>
          <w:sz w:val="20"/>
          <w:szCs w:val="20"/>
          <w:color w:val="auto"/>
        </w:rPr>
        <w:tab/>
      </w: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w:t>
      </w:r>
    </w:p>
    <w:p>
      <w:pPr>
        <w:spacing w:after="0" w:line="206" w:lineRule="exact"/>
        <w:rPr>
          <w:sz w:val="20"/>
          <w:szCs w:val="20"/>
          <w:color w:val="auto"/>
        </w:rPr>
      </w:pPr>
    </w:p>
    <w:p>
      <w:pPr>
        <w:jc w:val="both"/>
        <w:ind w:firstLine="1194"/>
        <w:spacing w:after="0" w:line="292" w:lineRule="auto"/>
        <w:tabs>
          <w:tab w:leader="none" w:pos="1614" w:val="left"/>
        </w:tabs>
        <w:numPr>
          <w:ilvl w:val="0"/>
          <w:numId w:val="249"/>
        </w:numPr>
        <w:rPr>
          <w:rFonts w:ascii="Arial" w:cs="Arial" w:eastAsia="Arial" w:hAnsi="Arial"/>
          <w:sz w:val="18"/>
          <w:szCs w:val="18"/>
          <w:color w:val="010000"/>
        </w:rPr>
      </w:pPr>
      <w:r>
        <w:rPr>
          <w:rFonts w:ascii="Arial" w:cs="Arial" w:eastAsia="Arial" w:hAnsi="Arial"/>
          <w:sz w:val="18"/>
          <w:szCs w:val="18"/>
          <w:u w:val="single" w:color="auto"/>
          <w:color w:val="auto"/>
        </w:rPr>
        <w:t>Award</w:t>
      </w:r>
      <w:r>
        <w:rPr>
          <w:rFonts w:ascii="Arial" w:cs="Arial" w:eastAsia="Arial" w:hAnsi="Arial"/>
          <w:sz w:val="18"/>
          <w:szCs w:val="18"/>
          <w:color w:val="auto"/>
        </w:rPr>
        <w:t>. In consideration of Participant’s continued employment or service with the Company or any Affiliate thereof and for other good and valuable consideration, the Company hereby grants to Participant the right to receive the number of RSUs set forth in the Grant Notice, subject to the terms and conditions set forth in this Agreement, the Grant Notice and the Plan. Prior to actual issuance of any Shares, the Award represents an unsecured obligation of the Company, payable only from the general assets of the Company.</w:t>
      </w:r>
    </w:p>
    <w:p>
      <w:pPr>
        <w:spacing w:after="0" w:line="137" w:lineRule="exact"/>
        <w:rPr>
          <w:rFonts w:ascii="Arial" w:cs="Arial" w:eastAsia="Arial" w:hAnsi="Arial"/>
          <w:sz w:val="18"/>
          <w:szCs w:val="18"/>
          <w:color w:val="010000"/>
        </w:rPr>
      </w:pPr>
    </w:p>
    <w:p>
      <w:pPr>
        <w:jc w:val="both"/>
        <w:ind w:firstLine="1194"/>
        <w:spacing w:after="0" w:line="265" w:lineRule="auto"/>
        <w:tabs>
          <w:tab w:leader="none" w:pos="1638" w:val="left"/>
        </w:tabs>
        <w:numPr>
          <w:ilvl w:val="0"/>
          <w:numId w:val="249"/>
        </w:numPr>
        <w:rPr>
          <w:rFonts w:ascii="Arial" w:cs="Arial" w:eastAsia="Arial" w:hAnsi="Arial"/>
          <w:sz w:val="19"/>
          <w:szCs w:val="19"/>
          <w:color w:val="010000"/>
        </w:rPr>
      </w:pP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The RSUs subject to the Award shall vest in accordance with the Vesting Schedule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Grant Notice. Unless and until the RSUs have vested in accordance with the Vesting Schedule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Grant Notice, Participant will have no right to any distribution with respect to such RSUs. Unless otherwise provided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Grant Notice or in an employment agreement or other arrangement of the Company or its Affiliates, in the event of Participant’s termination of Employment prior to the vesting of all of the RSUs, any unvested RSUs will terminate automatically without any further action by the Company and be forfeited without further notice and at no cost to the Company. Notwithstanding anything to the contrary herein or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Grant Notice, in the event Participant’s Employment is terminated due to death or Disability, the RSUs shall fully vest on the date of Participant’s death or Disability, as applicable.</w:t>
      </w:r>
    </w:p>
    <w:p>
      <w:pPr>
        <w:spacing w:after="0" w:line="160" w:lineRule="exact"/>
        <w:rPr>
          <w:rFonts w:ascii="Arial" w:cs="Arial" w:eastAsia="Arial" w:hAnsi="Arial"/>
          <w:sz w:val="19"/>
          <w:szCs w:val="19"/>
          <w:color w:val="010000"/>
        </w:rPr>
      </w:pPr>
    </w:p>
    <w:p>
      <w:pPr>
        <w:ind w:left="1620" w:hanging="426"/>
        <w:spacing w:after="0"/>
        <w:tabs>
          <w:tab w:leader="none" w:pos="1620" w:val="left"/>
        </w:tabs>
        <w:numPr>
          <w:ilvl w:val="0"/>
          <w:numId w:val="249"/>
        </w:numPr>
        <w:rPr>
          <w:rFonts w:ascii="Arial" w:cs="Arial" w:eastAsia="Arial" w:hAnsi="Arial"/>
          <w:sz w:val="20"/>
          <w:szCs w:val="20"/>
          <w:color w:val="010000"/>
        </w:rPr>
      </w:pPr>
      <w:r>
        <w:rPr>
          <w:rFonts w:ascii="Arial" w:cs="Arial" w:eastAsia="Arial" w:hAnsi="Arial"/>
          <w:sz w:val="20"/>
          <w:szCs w:val="20"/>
          <w:u w:val="single" w:color="auto"/>
          <w:color w:val="auto"/>
        </w:rPr>
        <w:t>Distribution of RSUs</w:t>
      </w:r>
      <w:r>
        <w:rPr>
          <w:rFonts w:ascii="Arial" w:cs="Arial" w:eastAsia="Arial" w:hAnsi="Arial"/>
          <w:sz w:val="20"/>
          <w:szCs w:val="20"/>
          <w:color w:val="auto"/>
        </w:rPr>
        <w:t>.</w:t>
      </w:r>
    </w:p>
    <w:p>
      <w:pPr>
        <w:spacing w:after="0" w:line="205" w:lineRule="exact"/>
        <w:rPr>
          <w:rFonts w:ascii="Arial" w:cs="Arial" w:eastAsia="Arial" w:hAnsi="Arial"/>
          <w:sz w:val="20"/>
          <w:szCs w:val="20"/>
          <w:color w:val="010000"/>
        </w:rPr>
      </w:pPr>
    </w:p>
    <w:p>
      <w:pPr>
        <w:jc w:val="both"/>
        <w:ind w:firstLine="1791"/>
        <w:spacing w:after="0" w:line="254" w:lineRule="auto"/>
        <w:tabs>
          <w:tab w:leader="none" w:pos="2191" w:val="left"/>
        </w:tabs>
        <w:numPr>
          <w:ilvl w:val="1"/>
          <w:numId w:val="249"/>
        </w:numPr>
        <w:rPr>
          <w:rFonts w:ascii="Arial" w:cs="Arial" w:eastAsia="Arial" w:hAnsi="Arial"/>
          <w:sz w:val="20"/>
          <w:szCs w:val="20"/>
          <w:color w:val="010000"/>
        </w:rPr>
      </w:pPr>
      <w:r>
        <w:rPr>
          <w:rFonts w:ascii="Arial" w:cs="Arial" w:eastAsia="Arial" w:hAnsi="Arial"/>
          <w:sz w:val="20"/>
          <w:szCs w:val="20"/>
          <w:color w:val="auto"/>
        </w:rPr>
        <w:t xml:space="preserve">Shares or cash equivalents, as determined by the Committee, shall be distributed to Participant (or in the event of Participant’s death, to his or her estate) with respect to Participant’s vested RSUs within sixty (60) days following the date on which such RSUs vest as specified in the Vesting Schedule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Grant Notice, subject to the terms and provisions of the Plan and this Agreement.</w:t>
      </w:r>
    </w:p>
    <w:p>
      <w:pPr>
        <w:spacing w:after="0" w:line="171" w:lineRule="exact"/>
        <w:rPr>
          <w:rFonts w:ascii="Arial" w:cs="Arial" w:eastAsia="Arial" w:hAnsi="Arial"/>
          <w:sz w:val="20"/>
          <w:szCs w:val="20"/>
          <w:color w:val="010000"/>
        </w:rPr>
      </w:pPr>
    </w:p>
    <w:p>
      <w:pPr>
        <w:ind w:firstLine="1791"/>
        <w:spacing w:after="0" w:line="271" w:lineRule="auto"/>
        <w:tabs>
          <w:tab w:leader="none" w:pos="2259" w:val="left"/>
        </w:tabs>
        <w:numPr>
          <w:ilvl w:val="1"/>
          <w:numId w:val="249"/>
        </w:numPr>
        <w:rPr>
          <w:rFonts w:ascii="Arial" w:cs="Arial" w:eastAsia="Arial" w:hAnsi="Arial"/>
          <w:sz w:val="20"/>
          <w:szCs w:val="20"/>
          <w:color w:val="010000"/>
        </w:rPr>
      </w:pPr>
      <w:r>
        <w:rPr>
          <w:rFonts w:ascii="Arial" w:cs="Arial" w:eastAsia="Arial" w:hAnsi="Arial"/>
          <w:sz w:val="20"/>
          <w:szCs w:val="20"/>
          <w:color w:val="auto"/>
        </w:rPr>
        <w:t>Neither the time nor form of distribution of Shares with respect to the RSUs may be changed, except as may be permitted by the Board (or any Committee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21" w:right="339" w:bottom="1440" w:gutter="0" w:footer="0" w:header="0"/>
        </w:sectPr>
      </w:pPr>
    </w:p>
    <w:bookmarkStart w:id="373" w:name="page374"/>
    <w:bookmarkEnd w:id="373"/>
    <w:p>
      <w:pPr>
        <w:spacing w:after="0" w:line="271" w:lineRule="auto"/>
        <w:rPr>
          <w:sz w:val="20"/>
          <w:szCs w:val="20"/>
          <w:color w:val="auto"/>
        </w:rPr>
      </w:pPr>
      <w:r>
        <w:rPr>
          <w:rFonts w:ascii="Arial" w:cs="Arial" w:eastAsia="Arial" w:hAnsi="Arial"/>
          <w:sz w:val="20"/>
          <w:szCs w:val="20"/>
          <w:color w:val="auto"/>
        </w:rPr>
        <w:t>administration of the Plan has been delegated by the Board) in accordance with the Plan and Section 409A and the Treasury Regulations thereunder.</w:t>
      </w:r>
    </w:p>
    <w:p>
      <w:pPr>
        <w:spacing w:after="0" w:line="153"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010000"/>
        </w:rPr>
        <w:t>1.2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06" w:lineRule="exact"/>
        <w:rPr>
          <w:sz w:val="20"/>
          <w:szCs w:val="20"/>
          <w:color w:val="auto"/>
        </w:rPr>
      </w:pPr>
    </w:p>
    <w:p>
      <w:pPr>
        <w:jc w:val="both"/>
        <w:ind w:firstLine="1194"/>
        <w:spacing w:after="0" w:line="258" w:lineRule="auto"/>
        <w:tabs>
          <w:tab w:leader="none" w:pos="1751" w:val="left"/>
        </w:tabs>
        <w:numPr>
          <w:ilvl w:val="0"/>
          <w:numId w:val="250"/>
        </w:numPr>
        <w:rPr>
          <w:rFonts w:ascii="Arial" w:cs="Arial" w:eastAsia="Arial" w:hAnsi="Arial"/>
          <w:sz w:val="20"/>
          <w:szCs w:val="20"/>
          <w:color w:val="010000"/>
        </w:rPr>
      </w:pPr>
      <w:r>
        <w:rPr>
          <w:rFonts w:ascii="Arial" w:cs="Arial" w:eastAsia="Arial" w:hAnsi="Arial"/>
          <w:sz w:val="20"/>
          <w:szCs w:val="20"/>
          <w:color w:val="auto"/>
        </w:rPr>
        <w:t>The Company shall have the right to withhold from any delivery of Shares or cash due under the Plan and this Agreement an amount equal to the applicable required withholding obligation in respect of any federal, state or local tax and may satisfy such withholding obligation through any other method contemplated by Section 3.2 of the Plan.</w:t>
      </w:r>
    </w:p>
    <w:p>
      <w:pPr>
        <w:spacing w:after="0" w:line="16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II</w:t>
      </w:r>
    </w:p>
    <w:p>
      <w:pPr>
        <w:spacing w:after="0" w:line="28"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[RESERVED.]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RESTRICTIONS</w:t>
      </w:r>
    </w:p>
    <w:p>
      <w:pPr>
        <w:spacing w:after="0" w:line="212" w:lineRule="exact"/>
        <w:rPr>
          <w:sz w:val="20"/>
          <w:szCs w:val="20"/>
          <w:color w:val="auto"/>
        </w:rPr>
      </w:pPr>
    </w:p>
    <w:p>
      <w:pPr>
        <w:jc w:val="both"/>
        <w:ind w:firstLine="597"/>
        <w:spacing w:after="0" w:line="281"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Award and Interests Not Transferable</w:t>
      </w:r>
      <w:r>
        <w:rPr>
          <w:rFonts w:ascii="Arial" w:cs="Arial" w:eastAsia="Arial" w:hAnsi="Arial"/>
          <w:sz w:val="18"/>
          <w:szCs w:val="18"/>
          <w:color w:val="000000"/>
        </w:rPr>
        <w:t>. This Award, including the RSUs awarded hereunder, may not be sold, pledged, assigned</w:t>
      </w:r>
      <w:r>
        <w:rPr>
          <w:rFonts w:ascii="Arial" w:cs="Arial" w:eastAsia="Arial" w:hAnsi="Arial"/>
          <w:sz w:val="18"/>
          <w:szCs w:val="18"/>
          <w:color w:val="010000"/>
        </w:rPr>
        <w:t xml:space="preserve"> </w:t>
      </w:r>
      <w:r>
        <w:rPr>
          <w:rFonts w:ascii="Arial" w:cs="Arial" w:eastAsia="Arial" w:hAnsi="Arial"/>
          <w:sz w:val="18"/>
          <w:szCs w:val="18"/>
          <w:color w:val="000000"/>
        </w:rPr>
        <w:t>or transferred in any manner other than by will or the laws of descent and distribution, unless and until the Shares issuable pursuant to the Award have been issued, and all restrictions applicable to such Shares have lapsed. This Award and the rights and privileges conferred hereby, including the RSUs awarded hereunder, shall not be liable for the debts, contracts or engagements of Participant or his or her successors in interest and shall not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52" w:lineRule="exact"/>
        <w:rPr>
          <w:sz w:val="20"/>
          <w:szCs w:val="20"/>
          <w:color w:val="auto"/>
        </w:rPr>
      </w:pPr>
    </w:p>
    <w:p>
      <w:pPr>
        <w:jc w:val="both"/>
        <w:ind w:firstLine="597"/>
        <w:spacing w:after="0" w:line="284"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Rights as Stockholder</w:t>
      </w:r>
      <w:r>
        <w:rPr>
          <w:rFonts w:ascii="Arial" w:cs="Arial" w:eastAsia="Arial" w:hAnsi="Arial"/>
          <w:sz w:val="18"/>
          <w:szCs w:val="18"/>
          <w:color w:val="000000"/>
        </w:rPr>
        <w:t>. Neither Participant nor any person claiming under or through Participant shall have any of the rights or</w:t>
      </w:r>
      <w:r>
        <w:rPr>
          <w:rFonts w:ascii="Arial" w:cs="Arial" w:eastAsia="Arial" w:hAnsi="Arial"/>
          <w:sz w:val="18"/>
          <w:szCs w:val="18"/>
          <w:color w:val="010000"/>
        </w:rPr>
        <w:t xml:space="preserve"> </w:t>
      </w:r>
      <w:r>
        <w:rPr>
          <w:rFonts w:ascii="Arial" w:cs="Arial" w:eastAsia="Arial" w:hAnsi="Arial"/>
          <w:sz w:val="18"/>
          <w:szCs w:val="18"/>
          <w:color w:val="000000"/>
        </w:rPr>
        <w:t>privileges of a stockholder of the Company in respect of any Shares issuable hereunder unless and until certificates representing such Shares (which may be in uncertificated form) will have been issued and recorded on the books and records of the Company or its transfer agents or registrars, and delivered to Participant (including through electronic delivery to a brokerage account).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148"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010000"/>
        </w:rPr>
        <w:t xml:space="preserve">3.3 </w:t>
      </w:r>
      <w:r>
        <w:rPr>
          <w:rFonts w:ascii="Arial" w:cs="Arial" w:eastAsia="Arial" w:hAnsi="Arial"/>
          <w:sz w:val="20"/>
          <w:szCs w:val="20"/>
          <w:u w:val="single" w:color="auto"/>
          <w:color w:val="000000"/>
        </w:rPr>
        <w:t>Trading Restrictions</w:t>
      </w:r>
      <w:r>
        <w:rPr>
          <w:rFonts w:ascii="Arial" w:cs="Arial" w:eastAsia="Arial" w:hAnsi="Arial"/>
          <w:sz w:val="20"/>
          <w:szCs w:val="20"/>
          <w:color w:val="000000"/>
        </w:rPr>
        <w:t>. The Company may establish periods from time to time during which Participant’s ability to engage in</w:t>
      </w:r>
      <w:r>
        <w:rPr>
          <w:rFonts w:ascii="Arial" w:cs="Arial" w:eastAsia="Arial" w:hAnsi="Arial"/>
          <w:sz w:val="20"/>
          <w:szCs w:val="20"/>
          <w:color w:val="010000"/>
        </w:rPr>
        <w:t xml:space="preserve"> </w:t>
      </w:r>
      <w:r>
        <w:rPr>
          <w:rFonts w:ascii="Arial" w:cs="Arial" w:eastAsia="Arial" w:hAnsi="Arial"/>
          <w:sz w:val="20"/>
          <w:szCs w:val="20"/>
          <w:color w:val="000000"/>
        </w:rPr>
        <w:t>transactions involving the Company’s Shares is subject to specific restrictions (“</w:t>
      </w:r>
      <w:r>
        <w:rPr>
          <w:rFonts w:ascii="Arial" w:cs="Arial" w:eastAsia="Arial" w:hAnsi="Arial"/>
          <w:sz w:val="20"/>
          <w:szCs w:val="20"/>
          <w:u w:val="single" w:color="auto"/>
          <w:color w:val="000000"/>
        </w:rPr>
        <w:t>Restricted Periods</w:t>
      </w:r>
      <w:r>
        <w:rPr>
          <w:rFonts w:ascii="Arial" w:cs="Arial" w:eastAsia="Arial" w:hAnsi="Arial"/>
          <w:sz w:val="20"/>
          <w:szCs w:val="20"/>
          <w:color w:val="000000"/>
        </w:rPr>
        <w:t>”). Participant may be subject to restrictions giving rise to a Restricted Period for any reason that the Company determines appropriate, including restrictions generally applicable to employees or groups of employees or restrictions applicable to Participant during an investigation of allegations of misconduct or conduct detrimental to the Company or any Affiliate by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327" w:right="339" w:bottom="1440" w:gutter="0" w:footer="0" w:header="0"/>
        </w:sectPr>
      </w:pPr>
    </w:p>
    <w:bookmarkStart w:id="374" w:name="page375"/>
    <w:bookmarkEnd w:id="374"/>
    <w:p>
      <w:pPr>
        <w:jc w:val="both"/>
        <w:ind w:firstLine="597"/>
        <w:spacing w:after="0" w:line="272" w:lineRule="auto"/>
        <w:rPr>
          <w:sz w:val="20"/>
          <w:szCs w:val="20"/>
          <w:color w:val="auto"/>
        </w:rPr>
      </w:pPr>
      <w:r>
        <w:rPr>
          <w:rFonts w:ascii="Arial" w:cs="Arial" w:eastAsia="Arial" w:hAnsi="Arial"/>
          <w:sz w:val="19"/>
          <w:szCs w:val="19"/>
          <w:color w:val="010000"/>
        </w:rPr>
        <w:t xml:space="preserve">3.4 </w:t>
      </w:r>
      <w:r>
        <w:rPr>
          <w:rFonts w:ascii="Arial" w:cs="Arial" w:eastAsia="Arial" w:hAnsi="Arial"/>
          <w:sz w:val="19"/>
          <w:szCs w:val="19"/>
          <w:u w:val="single" w:color="auto"/>
          <w:color w:val="000000"/>
        </w:rPr>
        <w:t>Award Subject to Clawback</w:t>
      </w:r>
      <w:r>
        <w:rPr>
          <w:rFonts w:ascii="Arial" w:cs="Arial" w:eastAsia="Arial" w:hAnsi="Arial"/>
          <w:sz w:val="19"/>
          <w:szCs w:val="19"/>
          <w:color w:val="000000"/>
        </w:rPr>
        <w:t>. This Award, including the RSUs awarded hereunder, and any Shares issuable upon vesting of the</w:t>
      </w:r>
      <w:r>
        <w:rPr>
          <w:rFonts w:ascii="Arial" w:cs="Arial" w:eastAsia="Arial" w:hAnsi="Arial"/>
          <w:sz w:val="19"/>
          <w:szCs w:val="19"/>
          <w:color w:val="010000"/>
        </w:rPr>
        <w:t xml:space="preserve"> </w:t>
      </w:r>
      <w:r>
        <w:rPr>
          <w:rFonts w:ascii="Arial" w:cs="Arial" w:eastAsia="Arial" w:hAnsi="Arial"/>
          <w:sz w:val="19"/>
          <w:szCs w:val="19"/>
          <w:color w:val="000000"/>
        </w:rPr>
        <w:t xml:space="preserve">RSUs, are subject to forfeiture, recovery by the Company or other action pursuant to, in addition to the provisions set forth in </w:t>
      </w:r>
      <w:r>
        <w:rPr>
          <w:rFonts w:ascii="Arial" w:cs="Arial" w:eastAsia="Arial" w:hAnsi="Arial"/>
          <w:sz w:val="19"/>
          <w:szCs w:val="19"/>
          <w:u w:val="single" w:color="auto"/>
          <w:color w:val="000000"/>
        </w:rPr>
        <w:t>Section 3.6</w:t>
      </w:r>
      <w:r>
        <w:rPr>
          <w:rFonts w:ascii="Arial" w:cs="Arial" w:eastAsia="Arial" w:hAnsi="Arial"/>
          <w:sz w:val="19"/>
          <w:szCs w:val="19"/>
          <w:color w:val="000000"/>
        </w:rPr>
        <w:t xml:space="preserve"> of this Agreement, any clawback or recoupment policy which the Company may adopt from time to time pursuant to laws or regulations, including without limitation, any such policy which the Company may be required to adopt under applicable law.</w:t>
      </w:r>
    </w:p>
    <w:p>
      <w:pPr>
        <w:spacing w:after="0" w:line="154" w:lineRule="exact"/>
        <w:rPr>
          <w:sz w:val="20"/>
          <w:szCs w:val="20"/>
          <w:color w:val="auto"/>
        </w:rPr>
      </w:pPr>
    </w:p>
    <w:p>
      <w:pPr>
        <w:jc w:val="both"/>
        <w:ind w:firstLine="597"/>
        <w:spacing w:after="0" w:line="280"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Conditions to Issuance of Shares or Settlement of Award</w:t>
      </w:r>
      <w:r>
        <w:rPr>
          <w:rFonts w:ascii="Arial" w:cs="Arial" w:eastAsia="Arial" w:hAnsi="Arial"/>
          <w:sz w:val="18"/>
          <w:szCs w:val="18"/>
          <w:color w:val="000000"/>
        </w:rPr>
        <w:t>. The Company shall not be required to issue or deliver any Shares</w:t>
      </w:r>
      <w:r>
        <w:rPr>
          <w:rFonts w:ascii="Arial" w:cs="Arial" w:eastAsia="Arial" w:hAnsi="Arial"/>
          <w:sz w:val="18"/>
          <w:szCs w:val="18"/>
          <w:color w:val="010000"/>
        </w:rPr>
        <w:t xml:space="preserve"> </w:t>
      </w:r>
      <w:r>
        <w:rPr>
          <w:rFonts w:ascii="Arial" w:cs="Arial" w:eastAsia="Arial" w:hAnsi="Arial"/>
          <w:sz w:val="18"/>
          <w:szCs w:val="18"/>
          <w:color w:val="000000"/>
        </w:rPr>
        <w:t>issuable upon the vesting of the RSUs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United States Securities and Exchange Commission or other governmental regulatory body, which the Board (or any Committee to which administration of the Plan has been delegated by the Board) shall, in its sole and absolute discretion, deem necessary and advisable, (c) the obtaining of any approval or other clearance from any state or federal governmental agency that the Board (or any Committee to which administration of the Plan has been delegated by the Board) shall, in its absolute discretion, determine to be necessary or advisable, (d) the lapse of any such reasonable period of time following the date the RSUs vest as the Board (or any Committee to which administration of the Plan has been delegated by the Board) may from time to time establish for reasons of administrative convenience, and (e) the satisfaction of any applicable withholding tax.</w:t>
      </w:r>
    </w:p>
    <w:p>
      <w:pPr>
        <w:spacing w:after="0" w:line="149"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010000"/>
        </w:rPr>
        <w:t>3.6</w:t>
      </w:r>
      <w:r>
        <w:rPr>
          <w:sz w:val="20"/>
          <w:szCs w:val="20"/>
          <w:color w:val="auto"/>
        </w:rPr>
        <w:tab/>
      </w:r>
      <w:r>
        <w:rPr>
          <w:rFonts w:ascii="Arial" w:cs="Arial" w:eastAsia="Arial" w:hAnsi="Arial"/>
          <w:sz w:val="17"/>
          <w:szCs w:val="17"/>
          <w:u w:val="single" w:color="auto"/>
          <w:color w:val="auto"/>
        </w:rPr>
        <w:t>Restrictive Covenants</w:t>
      </w:r>
      <w:r>
        <w:rPr>
          <w:rFonts w:ascii="Arial" w:cs="Arial" w:eastAsia="Arial" w:hAnsi="Arial"/>
          <w:sz w:val="17"/>
          <w:szCs w:val="17"/>
          <w:color w:val="auto"/>
        </w:rPr>
        <w:t>.</w:t>
      </w:r>
    </w:p>
    <w:p>
      <w:pPr>
        <w:spacing w:after="0" w:line="206" w:lineRule="exact"/>
        <w:rPr>
          <w:sz w:val="20"/>
          <w:szCs w:val="20"/>
          <w:color w:val="auto"/>
        </w:rPr>
      </w:pPr>
    </w:p>
    <w:p>
      <w:pPr>
        <w:jc w:val="both"/>
        <w:ind w:firstLine="1194"/>
        <w:spacing w:after="0" w:line="250" w:lineRule="auto"/>
        <w:tabs>
          <w:tab w:leader="none" w:pos="1689" w:val="left"/>
        </w:tabs>
        <w:numPr>
          <w:ilvl w:val="0"/>
          <w:numId w:val="251"/>
        </w:numPr>
        <w:rPr>
          <w:rFonts w:ascii="Arial" w:cs="Arial" w:eastAsia="Arial" w:hAnsi="Arial"/>
          <w:sz w:val="20"/>
          <w:szCs w:val="20"/>
          <w:color w:val="010000"/>
        </w:rPr>
      </w:pPr>
      <w:r>
        <w:rPr>
          <w:rFonts w:ascii="Arial" w:cs="Arial" w:eastAsia="Arial" w:hAnsi="Arial"/>
          <w:sz w:val="20"/>
          <w:szCs w:val="20"/>
          <w:u w:val="single" w:color="auto"/>
          <w:color w:val="auto"/>
        </w:rPr>
        <w:t>Certain Covenants</w:t>
      </w:r>
      <w:r>
        <w:rPr>
          <w:rFonts w:ascii="Arial" w:cs="Arial" w:eastAsia="Arial" w:hAnsi="Arial"/>
          <w:sz w:val="20"/>
          <w:szCs w:val="20"/>
          <w:color w:val="auto"/>
        </w:rPr>
        <w:t>. Participant acknowledges that, to assist Participant in the performance of Participant’s duties, the Company agrees to provide and shall provide and has provided Participant with Confidential Information (as defined below) and materials. Due to the sensitive nature of this Confidential Information, Participant acknowledges that the Company has legitimate business and competitive interests and legal rights to require non-disclosure of the Confidential Information to other companies and/or individuals and to require that the Confidential Information be used only for the benefit of the Company. Therefore, in order to protect the Company’s Confidential Information and the Company’s business goodwill and competitive position, and in exchange for the Company providing Participant the consideration set forth herein, and in order to protect the value of the equity-based compensation provided to Participant in this Agreement, Participant agrees:</w:t>
      </w:r>
    </w:p>
    <w:p>
      <w:pPr>
        <w:spacing w:after="0" w:line="174" w:lineRule="exact"/>
        <w:rPr>
          <w:rFonts w:ascii="Arial" w:cs="Arial" w:eastAsia="Arial" w:hAnsi="Arial"/>
          <w:sz w:val="20"/>
          <w:szCs w:val="20"/>
          <w:color w:val="010000"/>
        </w:rPr>
      </w:pPr>
    </w:p>
    <w:p>
      <w:pPr>
        <w:jc w:val="both"/>
        <w:ind w:firstLine="1791"/>
        <w:spacing w:after="0" w:line="254" w:lineRule="auto"/>
        <w:tabs>
          <w:tab w:leader="none" w:pos="2353" w:val="left"/>
        </w:tabs>
        <w:numPr>
          <w:ilvl w:val="1"/>
          <w:numId w:val="251"/>
        </w:numPr>
        <w:rPr>
          <w:rFonts w:ascii="Arial" w:cs="Arial" w:eastAsia="Arial" w:hAnsi="Arial"/>
          <w:sz w:val="20"/>
          <w:szCs w:val="20"/>
          <w:color w:val="010000"/>
        </w:rPr>
      </w:pPr>
      <w:r>
        <w:rPr>
          <w:rFonts w:ascii="Arial" w:cs="Arial" w:eastAsia="Arial" w:hAnsi="Arial"/>
          <w:sz w:val="20"/>
          <w:szCs w:val="20"/>
          <w:color w:val="auto"/>
        </w:rPr>
        <w:t>At any time during the term of Participant’s service to the Company and thereafter for so long as such Confidential Information remains confidential, other than by reason of its wrongful disclosure (whether directly or indirectly) by Participant, Participant will not use, disclose or allow to be disclosed to any person, firm, or corporation, the Company’s Confidential Information, unless previously authorized by the Company for use in the pursuit of Company business.</w:t>
      </w:r>
    </w:p>
    <w:p>
      <w:pPr>
        <w:spacing w:after="0" w:line="171" w:lineRule="exact"/>
        <w:rPr>
          <w:rFonts w:ascii="Arial" w:cs="Arial" w:eastAsia="Arial" w:hAnsi="Arial"/>
          <w:sz w:val="20"/>
          <w:szCs w:val="20"/>
          <w:color w:val="010000"/>
        </w:rPr>
      </w:pPr>
    </w:p>
    <w:p>
      <w:pPr>
        <w:ind w:firstLine="1791"/>
        <w:spacing w:after="0" w:line="271" w:lineRule="auto"/>
        <w:tabs>
          <w:tab w:leader="none" w:pos="2284" w:val="left"/>
        </w:tabs>
        <w:numPr>
          <w:ilvl w:val="1"/>
          <w:numId w:val="251"/>
        </w:numPr>
        <w:rPr>
          <w:rFonts w:ascii="Arial" w:cs="Arial" w:eastAsia="Arial" w:hAnsi="Arial"/>
          <w:sz w:val="20"/>
          <w:szCs w:val="20"/>
          <w:color w:val="010000"/>
        </w:rPr>
      </w:pPr>
      <w:r>
        <w:rPr>
          <w:rFonts w:ascii="Arial" w:cs="Arial" w:eastAsia="Arial" w:hAnsi="Arial"/>
          <w:sz w:val="20"/>
          <w:szCs w:val="20"/>
          <w:color w:val="auto"/>
        </w:rPr>
        <w:t>During the term of Participant’s service to the Company and for a period of twelve (12) months following the Participant’s termination of Employment,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327" w:right="339" w:bottom="1440" w:gutter="0" w:footer="0" w:header="0"/>
        </w:sectPr>
      </w:pPr>
    </w:p>
    <w:bookmarkStart w:id="375" w:name="page376"/>
    <w:bookmarkEnd w:id="375"/>
    <w:p>
      <w:pPr>
        <w:jc w:val="both"/>
        <w:spacing w:after="0" w:line="277" w:lineRule="auto"/>
        <w:rPr>
          <w:sz w:val="20"/>
          <w:szCs w:val="20"/>
          <w:color w:val="auto"/>
        </w:rPr>
      </w:pPr>
      <w:r>
        <w:rPr>
          <w:rFonts w:ascii="Arial" w:cs="Arial" w:eastAsia="Arial" w:hAnsi="Arial"/>
          <w:sz w:val="18"/>
          <w:szCs w:val="18"/>
          <w:color w:val="auto"/>
        </w:rPr>
        <w:t>Participant will not, directly or indirectly, either on Participant’s own behalf or 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to leave the employment of the Company or cease performing services for the Company; (ii) hire or engage or assist any third party in hiring or engaging, any individual or entity that is or was (at any time within the preceding twelve (12) months) an employee, consultant, independent contractor or agent of the Company; or</w:t>
      </w:r>
    </w:p>
    <w:p>
      <w:pPr>
        <w:spacing w:after="0" w:line="4" w:lineRule="exact"/>
        <w:rPr>
          <w:sz w:val="20"/>
          <w:szCs w:val="20"/>
          <w:color w:val="auto"/>
        </w:rPr>
      </w:pPr>
    </w:p>
    <w:p>
      <w:pPr>
        <w:spacing w:after="0" w:line="280" w:lineRule="auto"/>
        <w:tabs>
          <w:tab w:leader="none" w:pos="351" w:val="left"/>
        </w:tabs>
        <w:numPr>
          <w:ilvl w:val="0"/>
          <w:numId w:val="252"/>
        </w:numPr>
        <w:rPr>
          <w:rFonts w:ascii="Arial" w:cs="Arial" w:eastAsia="Arial" w:hAnsi="Arial"/>
          <w:sz w:val="19"/>
          <w:szCs w:val="19"/>
          <w:color w:val="auto"/>
        </w:rPr>
      </w:pPr>
      <w:r>
        <w:rPr>
          <w:rFonts w:ascii="Arial" w:cs="Arial" w:eastAsia="Arial" w:hAnsi="Arial"/>
          <w:sz w:val="19"/>
          <w:szCs w:val="19"/>
          <w:color w:val="auto"/>
        </w:rPr>
        <w:t>Solicit, induce or assist any third party in Soliciting or inducing any other person or entity (including, without limitation, any third-party service provider or distributor) to terminate its relationship with the Company or otherwise interfere with such relationship.</w:t>
      </w:r>
    </w:p>
    <w:p>
      <w:pPr>
        <w:spacing w:after="0" w:line="146" w:lineRule="exact"/>
        <w:rPr>
          <w:rFonts w:ascii="Arial" w:cs="Arial" w:eastAsia="Arial" w:hAnsi="Arial"/>
          <w:sz w:val="19"/>
          <w:szCs w:val="19"/>
          <w:color w:val="auto"/>
        </w:rPr>
      </w:pPr>
    </w:p>
    <w:p>
      <w:pPr>
        <w:jc w:val="both"/>
        <w:ind w:firstLine="1791"/>
        <w:spacing w:after="0" w:line="278" w:lineRule="auto"/>
        <w:tabs>
          <w:tab w:leader="none" w:pos="2327" w:val="left"/>
        </w:tabs>
        <w:numPr>
          <w:ilvl w:val="2"/>
          <w:numId w:val="252"/>
        </w:numPr>
        <w:rPr>
          <w:rFonts w:ascii="Arial" w:cs="Arial" w:eastAsia="Arial" w:hAnsi="Arial"/>
          <w:sz w:val="18"/>
          <w:szCs w:val="18"/>
          <w:color w:val="010000"/>
        </w:rPr>
      </w:pPr>
      <w:r>
        <w:rPr>
          <w:rFonts w:ascii="Arial" w:cs="Arial" w:eastAsia="Arial" w:hAnsi="Arial"/>
          <w:sz w:val="18"/>
          <w:szCs w:val="18"/>
          <w:color w:val="auto"/>
        </w:rPr>
        <w:t>During the term of Participant’s service to the Company and for a period of twelve (12) months following the Participant’s termination of Employment, the Participant will not, directly or indirectly, either on Participant’s own behalf or on behalf of any other individual or commercial enterprise (i) Solicit any Client to transact business with a Competitive Enterprise or to reduce or refrain from doing any business with the Company; (ii) transact business with any Client that would cause you to be a Competitive Enterprise or</w:t>
      </w:r>
    </w:p>
    <w:p>
      <w:pPr>
        <w:spacing w:after="0" w:line="2" w:lineRule="exact"/>
        <w:rPr>
          <w:rFonts w:ascii="Arial" w:cs="Arial" w:eastAsia="Arial" w:hAnsi="Arial"/>
          <w:sz w:val="18"/>
          <w:szCs w:val="18"/>
          <w:color w:val="010000"/>
        </w:rPr>
      </w:pPr>
    </w:p>
    <w:p>
      <w:pPr>
        <w:spacing w:after="0" w:line="254" w:lineRule="auto"/>
        <w:tabs>
          <w:tab w:leader="none" w:pos="364" w:val="left"/>
        </w:tabs>
        <w:numPr>
          <w:ilvl w:val="0"/>
          <w:numId w:val="253"/>
        </w:numPr>
        <w:rPr>
          <w:rFonts w:ascii="Arial" w:cs="Arial" w:eastAsia="Arial" w:hAnsi="Arial"/>
          <w:sz w:val="20"/>
          <w:szCs w:val="20"/>
          <w:color w:val="auto"/>
        </w:rPr>
      </w:pPr>
      <w:r>
        <w:rPr>
          <w:rFonts w:ascii="Arial" w:cs="Arial" w:eastAsia="Arial" w:hAnsi="Arial"/>
          <w:sz w:val="20"/>
          <w:szCs w:val="20"/>
          <w:color w:val="auto"/>
        </w:rPr>
        <w:t xml:space="preserve">interfere with or damage any relationship between the Company and a Client,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3.6(a)(iii)</w:t>
      </w:r>
      <w:r>
        <w:rPr>
          <w:rFonts w:ascii="Arial" w:cs="Arial" w:eastAsia="Arial" w:hAnsi="Arial"/>
          <w:sz w:val="20"/>
          <w:szCs w:val="20"/>
          <w:color w:val="auto"/>
        </w:rPr>
        <w:t xml:space="preserve"> shall not apply to any non-employee directors.</w:t>
      </w:r>
    </w:p>
    <w:p>
      <w:pPr>
        <w:spacing w:after="0" w:line="169" w:lineRule="exact"/>
        <w:rPr>
          <w:rFonts w:ascii="Arial" w:cs="Arial" w:eastAsia="Arial" w:hAnsi="Arial"/>
          <w:sz w:val="20"/>
          <w:szCs w:val="20"/>
          <w:color w:val="auto"/>
        </w:rPr>
      </w:pPr>
    </w:p>
    <w:p>
      <w:pPr>
        <w:jc w:val="both"/>
        <w:ind w:firstLine="1194"/>
        <w:spacing w:after="0" w:line="254" w:lineRule="auto"/>
        <w:tabs>
          <w:tab w:leader="none" w:pos="1676" w:val="left"/>
        </w:tabs>
        <w:numPr>
          <w:ilvl w:val="1"/>
          <w:numId w:val="253"/>
        </w:numPr>
        <w:rPr>
          <w:rFonts w:ascii="Arial" w:cs="Arial" w:eastAsia="Arial" w:hAnsi="Arial"/>
          <w:sz w:val="20"/>
          <w:szCs w:val="20"/>
          <w:color w:val="010000"/>
        </w:rPr>
      </w:pPr>
      <w:r>
        <w:rPr>
          <w:rFonts w:ascii="Arial" w:cs="Arial" w:eastAsia="Arial" w:hAnsi="Arial"/>
          <w:sz w:val="20"/>
          <w:szCs w:val="20"/>
          <w:u w:val="single" w:color="auto"/>
          <w:color w:val="auto"/>
        </w:rPr>
        <w:t>Return of Company Property</w:t>
      </w:r>
      <w:r>
        <w:rPr>
          <w:rFonts w:ascii="Arial" w:cs="Arial" w:eastAsia="Arial" w:hAnsi="Arial"/>
          <w:sz w:val="20"/>
          <w:szCs w:val="20"/>
          <w:color w:val="auto"/>
        </w:rPr>
        <w:t>. Immediately upon the Participant’s termination of Employment for any reason, or upon Company’s request at any other time, Participant will deliver to Company all Company Property. Following Participant’s termination of Employment, Participant shall not retain, copy, or remove (either physically or electronically) any Company Property from Company premises, computers, or other electronic equipment or storage devices.</w:t>
      </w:r>
    </w:p>
    <w:p>
      <w:pPr>
        <w:spacing w:after="0" w:line="171" w:lineRule="exact"/>
        <w:rPr>
          <w:rFonts w:ascii="Arial" w:cs="Arial" w:eastAsia="Arial" w:hAnsi="Arial"/>
          <w:sz w:val="20"/>
          <w:szCs w:val="20"/>
          <w:color w:val="010000"/>
        </w:rPr>
      </w:pPr>
    </w:p>
    <w:p>
      <w:pPr>
        <w:ind w:left="1620" w:hanging="426"/>
        <w:spacing w:after="0"/>
        <w:tabs>
          <w:tab w:leader="none" w:pos="1620" w:val="left"/>
        </w:tabs>
        <w:numPr>
          <w:ilvl w:val="1"/>
          <w:numId w:val="253"/>
        </w:numPr>
        <w:rPr>
          <w:rFonts w:ascii="Arial" w:cs="Arial" w:eastAsia="Arial" w:hAnsi="Arial"/>
          <w:sz w:val="20"/>
          <w:szCs w:val="20"/>
          <w:color w:val="010000"/>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3.6</w:t>
      </w:r>
      <w:r>
        <w:rPr>
          <w:rFonts w:ascii="Arial" w:cs="Arial" w:eastAsia="Arial" w:hAnsi="Arial"/>
          <w:sz w:val="20"/>
          <w:szCs w:val="20"/>
          <w:color w:val="auto"/>
        </w:rPr>
        <w:t>:</w:t>
      </w:r>
    </w:p>
    <w:p>
      <w:pPr>
        <w:spacing w:after="0" w:line="205" w:lineRule="exact"/>
        <w:rPr>
          <w:rFonts w:ascii="Arial" w:cs="Arial" w:eastAsia="Arial" w:hAnsi="Arial"/>
          <w:sz w:val="20"/>
          <w:szCs w:val="20"/>
          <w:color w:val="010000"/>
        </w:rPr>
      </w:pPr>
    </w:p>
    <w:p>
      <w:pPr>
        <w:jc w:val="both"/>
        <w:ind w:firstLine="1791"/>
        <w:spacing w:after="0" w:line="254" w:lineRule="auto"/>
        <w:tabs>
          <w:tab w:leader="none" w:pos="2179" w:val="left"/>
        </w:tabs>
        <w:numPr>
          <w:ilvl w:val="2"/>
          <w:numId w:val="253"/>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Client</w:t>
      </w:r>
      <w:r>
        <w:rPr>
          <w:rFonts w:ascii="Arial" w:cs="Arial" w:eastAsia="Arial" w:hAnsi="Arial"/>
          <w:sz w:val="20"/>
          <w:szCs w:val="20"/>
          <w:color w:val="auto"/>
        </w:rPr>
        <w:t>” means, in the past twenty-four (24) months, any client or prospective client of the Company to whom Participant provided services, or for whom Participant transacted business, or whose identity became known to Participant in connection with Participant’s relationship with or employment by the Company with which the Company wanted or intended to do business with.</w:t>
      </w:r>
    </w:p>
    <w:p>
      <w:pPr>
        <w:spacing w:after="0" w:line="171" w:lineRule="exact"/>
        <w:rPr>
          <w:sz w:val="20"/>
          <w:szCs w:val="20"/>
          <w:color w:val="auto"/>
        </w:rPr>
      </w:pPr>
    </w:p>
    <w:p>
      <w:pPr>
        <w:ind w:left="2240" w:hanging="449"/>
        <w:spacing w:after="0"/>
        <w:tabs>
          <w:tab w:leader="none" w:pos="2240" w:val="left"/>
        </w:tabs>
        <w:numPr>
          <w:ilvl w:val="0"/>
          <w:numId w:val="254"/>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Company</w:t>
      </w:r>
      <w:r>
        <w:rPr>
          <w:rFonts w:ascii="Arial" w:cs="Arial" w:eastAsia="Arial" w:hAnsi="Arial"/>
          <w:sz w:val="20"/>
          <w:szCs w:val="20"/>
          <w:color w:val="auto"/>
        </w:rPr>
        <w:t>” means the Company, its subsidiaries and its Affiliates.</w:t>
      </w:r>
    </w:p>
    <w:p>
      <w:pPr>
        <w:spacing w:after="0" w:line="205" w:lineRule="exact"/>
        <w:rPr>
          <w:rFonts w:ascii="Arial" w:cs="Arial" w:eastAsia="Arial" w:hAnsi="Arial"/>
          <w:sz w:val="20"/>
          <w:szCs w:val="20"/>
          <w:color w:val="010000"/>
        </w:rPr>
      </w:pPr>
    </w:p>
    <w:p>
      <w:pPr>
        <w:jc w:val="both"/>
        <w:ind w:firstLine="1791"/>
        <w:spacing w:after="0" w:line="252" w:lineRule="auto"/>
        <w:tabs>
          <w:tab w:leader="none" w:pos="2377" w:val="left"/>
        </w:tabs>
        <w:numPr>
          <w:ilvl w:val="0"/>
          <w:numId w:val="254"/>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Company Property</w:t>
      </w:r>
      <w:r>
        <w:rPr>
          <w:rFonts w:ascii="Arial" w:cs="Arial" w:eastAsia="Arial" w:hAnsi="Arial"/>
          <w:sz w:val="20"/>
          <w:szCs w:val="20"/>
          <w:color w:val="auto"/>
        </w:rPr>
        <w:t>” means any and all documents, computer and computer-related hardware and software items, disks, telephones, customer and prospect lists, marketing, planning, financial and business strategy materials and all other materials or other things in your possession, custody or control that were produced by, received by or otherwise submitted to you by anyone during your employment by the Company relating to the Company’s business or a customer of the Company or that otherwise are the property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327" w:right="339" w:bottom="1440" w:gutter="0" w:footer="0" w:header="0"/>
        </w:sectPr>
      </w:pPr>
    </w:p>
    <w:bookmarkStart w:id="376" w:name="page377"/>
    <w:bookmarkEnd w:id="376"/>
    <w:p>
      <w:pPr>
        <w:ind w:firstLine="1791"/>
        <w:spacing w:after="0" w:line="271" w:lineRule="auto"/>
        <w:tabs>
          <w:tab w:leader="none" w:pos="2340" w:val="left"/>
        </w:tabs>
        <w:numPr>
          <w:ilvl w:val="1"/>
          <w:numId w:val="255"/>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Competitive Enterprise</w:t>
      </w:r>
      <w:r>
        <w:rPr>
          <w:rFonts w:ascii="Arial" w:cs="Arial" w:eastAsia="Arial" w:hAnsi="Arial"/>
          <w:sz w:val="20"/>
          <w:szCs w:val="20"/>
          <w:color w:val="auto"/>
        </w:rPr>
        <w:t>” means any business enterprise that engages in any activity that competes anywhere with any activity in which the Company is engaged.</w:t>
      </w:r>
    </w:p>
    <w:p>
      <w:pPr>
        <w:spacing w:after="0" w:line="152" w:lineRule="exact"/>
        <w:rPr>
          <w:rFonts w:ascii="Arial" w:cs="Arial" w:eastAsia="Arial" w:hAnsi="Arial"/>
          <w:sz w:val="20"/>
          <w:szCs w:val="20"/>
          <w:color w:val="010000"/>
        </w:rPr>
      </w:pPr>
    </w:p>
    <w:p>
      <w:pPr>
        <w:jc w:val="both"/>
        <w:ind w:firstLine="1791"/>
        <w:spacing w:after="0" w:line="284" w:lineRule="auto"/>
        <w:tabs>
          <w:tab w:leader="none" w:pos="2360" w:val="left"/>
        </w:tabs>
        <w:numPr>
          <w:ilvl w:val="1"/>
          <w:numId w:val="255"/>
        </w:numPr>
        <w:rPr>
          <w:rFonts w:ascii="Arial" w:cs="Arial" w:eastAsia="Arial" w:hAnsi="Arial"/>
          <w:sz w:val="18"/>
          <w:szCs w:val="18"/>
          <w:color w:val="010000"/>
        </w:rPr>
      </w:pPr>
      <w:r>
        <w:rPr>
          <w:rFonts w:ascii="Arial" w:cs="Arial" w:eastAsia="Arial" w:hAnsi="Arial"/>
          <w:sz w:val="18"/>
          <w:szCs w:val="18"/>
          <w:color w:val="auto"/>
        </w:rPr>
        <w:t>The term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non-public information of the Company's business and its customers and affiliates of such customers, including but not limited to, the pendency or contemplation of certain transactions, the identity of the Company's customers, the kinds of services provided by the Company to customers and offered to be performed for potential customers, computer software applications and other programs, personnel information and other trade secrets. “Confidential Information” does not include information that (i) is or becomes available to the public generally (other than as a result of the Participant’s disclosure) or (ii) becomes available to the Participant on a non-confidential basis from a source other than the Company.</w:t>
      </w:r>
    </w:p>
    <w:p>
      <w:pPr>
        <w:spacing w:after="0" w:line="148" w:lineRule="exact"/>
        <w:rPr>
          <w:rFonts w:ascii="Arial" w:cs="Arial" w:eastAsia="Arial" w:hAnsi="Arial"/>
          <w:sz w:val="18"/>
          <w:szCs w:val="18"/>
          <w:color w:val="010000"/>
        </w:rPr>
      </w:pPr>
    </w:p>
    <w:p>
      <w:pPr>
        <w:jc w:val="both"/>
        <w:ind w:firstLine="1791"/>
        <w:spacing w:after="0" w:line="254" w:lineRule="auto"/>
        <w:tabs>
          <w:tab w:leader="none" w:pos="2278" w:val="left"/>
        </w:tabs>
        <w:numPr>
          <w:ilvl w:val="1"/>
          <w:numId w:val="255"/>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Restrictive Covenants</w:t>
      </w:r>
      <w:r>
        <w:rPr>
          <w:rFonts w:ascii="Arial" w:cs="Arial" w:eastAsia="Arial" w:hAnsi="Arial"/>
          <w:sz w:val="20"/>
          <w:szCs w:val="20"/>
          <w:color w:val="auto"/>
        </w:rPr>
        <w:t xml:space="preserve">” means the restrictions set forth in this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and, if Participant is a party to, or participant in, an employment agreement, severance agreement or other agreement or plan with the Company, which agreement sets forth provisions regarding Confidential Information, non-solicitation or non-competition, the provisions set forth in such employment agreement, severance agreement or other agreement or plan.</w:t>
      </w:r>
    </w:p>
    <w:p>
      <w:pPr>
        <w:spacing w:after="0" w:line="171" w:lineRule="exact"/>
        <w:rPr>
          <w:rFonts w:ascii="Arial" w:cs="Arial" w:eastAsia="Arial" w:hAnsi="Arial"/>
          <w:sz w:val="20"/>
          <w:szCs w:val="20"/>
          <w:color w:val="010000"/>
        </w:rPr>
      </w:pPr>
    </w:p>
    <w:p>
      <w:pPr>
        <w:ind w:firstLine="1791"/>
        <w:spacing w:after="0" w:line="271" w:lineRule="auto"/>
        <w:tabs>
          <w:tab w:leader="none" w:pos="2359" w:val="left"/>
        </w:tabs>
        <w:numPr>
          <w:ilvl w:val="1"/>
          <w:numId w:val="255"/>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Solicit</w:t>
      </w:r>
      <w:r>
        <w:rPr>
          <w:rFonts w:ascii="Arial" w:cs="Arial" w:eastAsia="Arial" w:hAnsi="Arial"/>
          <w:sz w:val="20"/>
          <w:szCs w:val="20"/>
          <w:color w:val="auto"/>
        </w:rPr>
        <w:t>” means any direct or indirect communication of any kind, regardless of who initiates it, that in any way invites, advises, encourages or requests any person to take or refrain from taking any action.</w:t>
      </w:r>
    </w:p>
    <w:p>
      <w:pPr>
        <w:spacing w:after="0" w:line="152" w:lineRule="exact"/>
        <w:rPr>
          <w:rFonts w:ascii="Arial" w:cs="Arial" w:eastAsia="Arial" w:hAnsi="Arial"/>
          <w:sz w:val="20"/>
          <w:szCs w:val="20"/>
          <w:color w:val="010000"/>
        </w:rPr>
      </w:pPr>
    </w:p>
    <w:p>
      <w:pPr>
        <w:jc w:val="both"/>
        <w:ind w:firstLine="1194"/>
        <w:spacing w:after="0" w:line="292" w:lineRule="auto"/>
        <w:tabs>
          <w:tab w:leader="none" w:pos="1700" w:val="left"/>
        </w:tabs>
        <w:numPr>
          <w:ilvl w:val="0"/>
          <w:numId w:val="256"/>
        </w:numPr>
        <w:rPr>
          <w:rFonts w:ascii="Arial" w:cs="Arial" w:eastAsia="Arial" w:hAnsi="Arial"/>
          <w:sz w:val="18"/>
          <w:szCs w:val="18"/>
          <w:color w:val="010000"/>
        </w:rPr>
      </w:pPr>
      <w:r>
        <w:rPr>
          <w:rFonts w:ascii="Arial" w:cs="Arial" w:eastAsia="Arial" w:hAnsi="Arial"/>
          <w:sz w:val="18"/>
          <w:szCs w:val="18"/>
          <w:u w:val="single" w:color="auto"/>
          <w:color w:val="auto"/>
        </w:rPr>
        <w:t>Reasonableness of Restrictions</w:t>
      </w:r>
      <w:r>
        <w:rPr>
          <w:rFonts w:ascii="Arial" w:cs="Arial" w:eastAsia="Arial" w:hAnsi="Arial"/>
          <w:sz w:val="18"/>
          <w:szCs w:val="18"/>
          <w:color w:val="auto"/>
        </w:rPr>
        <w:t>. Participant has carefully read and considered the Restrictive Covenants, and, having done so, agrees and acknowledges that the Restrictive Covenants limit Participant’s ability to engage in competition during the period provided for above. Participant expressly warrants and represents that these restrictions with respect to time and scope of activity are reasonable and necessary to protect the Confidential Information and the Company’s business goodwill and competitive position.</w:t>
      </w:r>
    </w:p>
    <w:p>
      <w:pPr>
        <w:spacing w:after="0" w:line="137" w:lineRule="exact"/>
        <w:rPr>
          <w:rFonts w:ascii="Arial" w:cs="Arial" w:eastAsia="Arial" w:hAnsi="Arial"/>
          <w:sz w:val="18"/>
          <w:szCs w:val="18"/>
          <w:color w:val="010000"/>
        </w:rPr>
      </w:pPr>
    </w:p>
    <w:p>
      <w:pPr>
        <w:jc w:val="both"/>
        <w:ind w:firstLine="1194"/>
        <w:spacing w:after="0" w:line="280" w:lineRule="auto"/>
        <w:tabs>
          <w:tab w:leader="none" w:pos="1627" w:val="left"/>
        </w:tabs>
        <w:numPr>
          <w:ilvl w:val="0"/>
          <w:numId w:val="256"/>
        </w:numPr>
        <w:rPr>
          <w:rFonts w:ascii="Arial" w:cs="Arial" w:eastAsia="Arial" w:hAnsi="Arial"/>
          <w:sz w:val="18"/>
          <w:szCs w:val="18"/>
          <w:color w:val="010000"/>
        </w:rPr>
      </w:pPr>
      <w:r>
        <w:rPr>
          <w:rFonts w:ascii="Arial" w:cs="Arial" w:eastAsia="Arial" w:hAnsi="Arial"/>
          <w:sz w:val="18"/>
          <w:szCs w:val="18"/>
          <w:u w:val="single" w:color="auto"/>
          <w:color w:val="auto"/>
        </w:rPr>
        <w:t>Forfeiture for Violation of Restrictive Covenants</w:t>
      </w:r>
      <w:r>
        <w:rPr>
          <w:rFonts w:ascii="Arial" w:cs="Arial" w:eastAsia="Arial" w:hAnsi="Arial"/>
          <w:sz w:val="18"/>
          <w:szCs w:val="18"/>
          <w:color w:val="auto"/>
        </w:rPr>
        <w:t>. The grant of the RSUs provided herein and Participant’s agreement to the Restrictive Covenants are intended to be mutually dependent promises and in the event Participant breaches or threatens to breach the Restrictive Covenants, then to the greatest extent permitted by applicable law: (i) RSUs that have not yet been settled (whether vested or unvested) shall immediately be cancelled; (ii) any Shares issued upon settlement of the RSUs during the time period that is twelve (12) months prior to and twelve (12) months following Participant’s termination of Employment that have not yet been sold by Participant shall be forfeited back to the Company for no consideration; and (iii) if Participant received Shares upon settlement of the RSUs during the time period that is twelve (12) months prior to and twelve (12) months following Participant’s termination of Employment and subsequently sold the received Share(s), any gain represented by the fair market value of the Shares issued upon settlement of the RSUs on the settlement date multiplied by the number of Shares issued to Participant upon settlement of the RSUs shall be paid by Participant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326" w:right="339" w:bottom="1440" w:gutter="0" w:footer="0" w:header="0"/>
        </w:sectPr>
      </w:pPr>
    </w:p>
    <w:bookmarkStart w:id="377" w:name="page378"/>
    <w:bookmarkEnd w:id="377"/>
    <w:p>
      <w:pPr>
        <w:spacing w:after="0"/>
        <w:rPr>
          <w:sz w:val="20"/>
          <w:szCs w:val="20"/>
          <w:color w:val="auto"/>
        </w:rPr>
      </w:pPr>
      <w:r>
        <w:rPr>
          <w:rFonts w:ascii="Arial" w:cs="Arial" w:eastAsia="Arial" w:hAnsi="Arial"/>
          <w:sz w:val="20"/>
          <w:szCs w:val="20"/>
          <w:color w:val="auto"/>
        </w:rPr>
        <w:t>Company, in cash, without regard to any market price decrease or increase subsequent to the settlement of the RSUs.</w:t>
      </w:r>
    </w:p>
    <w:p>
      <w:pPr>
        <w:spacing w:after="0" w:line="206" w:lineRule="exact"/>
        <w:rPr>
          <w:sz w:val="20"/>
          <w:szCs w:val="20"/>
          <w:color w:val="auto"/>
        </w:rPr>
      </w:pPr>
    </w:p>
    <w:p>
      <w:pPr>
        <w:jc w:val="both"/>
        <w:ind w:firstLine="1194"/>
        <w:spacing w:after="0" w:line="287" w:lineRule="auto"/>
        <w:tabs>
          <w:tab w:leader="none" w:pos="1593" w:val="left"/>
        </w:tabs>
        <w:numPr>
          <w:ilvl w:val="0"/>
          <w:numId w:val="257"/>
        </w:numPr>
        <w:rPr>
          <w:rFonts w:ascii="Arial" w:cs="Arial" w:eastAsia="Arial" w:hAnsi="Arial"/>
          <w:sz w:val="18"/>
          <w:szCs w:val="18"/>
          <w:color w:val="010000"/>
        </w:rPr>
      </w:pPr>
      <w:r>
        <w:rPr>
          <w:rFonts w:ascii="Arial" w:cs="Arial" w:eastAsia="Arial" w:hAnsi="Arial"/>
          <w:sz w:val="18"/>
          <w:szCs w:val="18"/>
          <w:u w:val="single" w:color="auto"/>
          <w:color w:val="auto"/>
        </w:rPr>
        <w:t>Remedies for Breach</w:t>
      </w:r>
      <w:r>
        <w:rPr>
          <w:rFonts w:ascii="Arial" w:cs="Arial" w:eastAsia="Arial" w:hAnsi="Arial"/>
          <w:sz w:val="18"/>
          <w:szCs w:val="18"/>
          <w:color w:val="auto"/>
        </w:rPr>
        <w:t xml:space="preserve">. In the event of a breach of any of the Restrictive Covenants, in addition to the forfeiture provisions set forth in </w:t>
      </w:r>
      <w:r>
        <w:rPr>
          <w:rFonts w:ascii="Arial" w:cs="Arial" w:eastAsia="Arial" w:hAnsi="Arial"/>
          <w:sz w:val="18"/>
          <w:szCs w:val="18"/>
          <w:u w:val="single" w:color="auto"/>
          <w:color w:val="auto"/>
        </w:rPr>
        <w:t>Section 3.6(e)</w:t>
      </w:r>
      <w:r>
        <w:rPr>
          <w:rFonts w:ascii="Arial" w:cs="Arial" w:eastAsia="Arial" w:hAnsi="Arial"/>
          <w:sz w:val="18"/>
          <w:szCs w:val="18"/>
          <w:color w:val="auto"/>
        </w:rPr>
        <w:t>, the Company shall have the right to seek monetary damages for any such breach. In addition, in the event of a breach or threatened breach of any of the Restrictive Covenants, the Company shall have the right to seek equitable relief, including specific performance by means of an injunction against Participant or against Participant’s partners, agents, representatives, servants, employers, employees, and/or any and all persons acting directly or indirectly by or with him or her, to prevent or restrain any such breach.</w:t>
      </w:r>
    </w:p>
    <w:p>
      <w:pPr>
        <w:spacing w:after="0" w:line="143" w:lineRule="exact"/>
        <w:rPr>
          <w:rFonts w:ascii="Arial" w:cs="Arial" w:eastAsia="Arial" w:hAnsi="Arial"/>
          <w:sz w:val="18"/>
          <w:szCs w:val="18"/>
          <w:color w:val="010000"/>
        </w:rPr>
      </w:pPr>
    </w:p>
    <w:p>
      <w:pPr>
        <w:jc w:val="both"/>
        <w:ind w:firstLine="1194"/>
        <w:spacing w:after="0" w:line="272" w:lineRule="auto"/>
        <w:tabs>
          <w:tab w:leader="none" w:pos="1638" w:val="left"/>
        </w:tabs>
        <w:numPr>
          <w:ilvl w:val="0"/>
          <w:numId w:val="257"/>
        </w:numPr>
        <w:rPr>
          <w:rFonts w:ascii="Arial" w:cs="Arial" w:eastAsia="Arial" w:hAnsi="Arial"/>
          <w:sz w:val="19"/>
          <w:szCs w:val="19"/>
          <w:color w:val="010000"/>
        </w:rPr>
      </w:pPr>
      <w:r>
        <w:rPr>
          <w:rFonts w:ascii="Arial" w:cs="Arial" w:eastAsia="Arial" w:hAnsi="Arial"/>
          <w:sz w:val="19"/>
          <w:szCs w:val="19"/>
          <w:u w:val="single" w:color="auto"/>
          <w:color w:val="auto"/>
        </w:rPr>
        <w:t>Blue Penciling</w:t>
      </w:r>
      <w:r>
        <w:rPr>
          <w:rFonts w:ascii="Arial" w:cs="Arial" w:eastAsia="Arial" w:hAnsi="Arial"/>
          <w:sz w:val="19"/>
          <w:szCs w:val="19"/>
          <w:color w:val="auto"/>
        </w:rPr>
        <w:t>. In the event a court of competent jurisdiction determines that the geographic area, duration, or scope of activity of any restriction under this Agreement is more extensive than is necessary to protect the legitimate business interests of the Company and its affiliates or are otherwise unenforceable, the Company may, in its sole discretion, reform and modify the restrictions under this Agreement to the minimum extent required to render them valid and enforceable under applicable law.</w:t>
      </w:r>
    </w:p>
    <w:p>
      <w:pPr>
        <w:spacing w:after="0" w:line="148"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IV</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OTHER PROVISIONS</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010000"/>
        </w:rPr>
        <w:t>4.1</w:t>
      </w:r>
      <w:r>
        <w:rPr>
          <w:sz w:val="20"/>
          <w:szCs w:val="20"/>
          <w:color w:val="auto"/>
        </w:rPr>
        <w:tab/>
      </w:r>
      <w:r>
        <w:rPr>
          <w:rFonts w:ascii="Arial" w:cs="Arial" w:eastAsia="Arial" w:hAnsi="Arial"/>
          <w:sz w:val="18"/>
          <w:szCs w:val="18"/>
          <w:u w:val="single" w:color="auto"/>
          <w:color w:val="auto"/>
        </w:rPr>
        <w:t>No Right to Continued Employment, Service or Awards</w:t>
      </w:r>
      <w:r>
        <w:rPr>
          <w:rFonts w:ascii="Arial" w:cs="Arial" w:eastAsia="Arial" w:hAnsi="Arial"/>
          <w:sz w:val="18"/>
          <w:szCs w:val="18"/>
          <w:color w:val="auto"/>
        </w:rPr>
        <w:t>.</w:t>
      </w:r>
    </w:p>
    <w:p>
      <w:pPr>
        <w:spacing w:after="0" w:line="206" w:lineRule="exact"/>
        <w:rPr>
          <w:sz w:val="20"/>
          <w:szCs w:val="20"/>
          <w:color w:val="auto"/>
        </w:rPr>
      </w:pPr>
    </w:p>
    <w:p>
      <w:pPr>
        <w:jc w:val="both"/>
        <w:ind w:firstLine="597"/>
        <w:spacing w:after="0" w:line="272" w:lineRule="auto"/>
        <w:rPr>
          <w:sz w:val="20"/>
          <w:szCs w:val="20"/>
          <w:color w:val="auto"/>
        </w:rPr>
      </w:pPr>
      <w:r>
        <w:rPr>
          <w:rFonts w:ascii="Arial" w:cs="Arial" w:eastAsia="Arial" w:hAnsi="Arial"/>
          <w:sz w:val="19"/>
          <w:szCs w:val="19"/>
          <w:color w:val="auto"/>
        </w:rPr>
        <w:t>Nothing in the Plan, the Grant Notice, or this Agreement shall confer upon Participant any right to continue in the employ or service of the Company or any Affiliate or shall interfere with or restrict in any way the rights of the Company and any Affiliate, which rights are hereby expressly reserved, to discharge or terminate the services of Participant at any time for any reason whatsoever, except to the extent expressly provided otherwise in a written agreement between the Company or any Affiliate and Participant.</w:t>
      </w:r>
    </w:p>
    <w:p>
      <w:pPr>
        <w:spacing w:after="0" w:line="154" w:lineRule="exact"/>
        <w:rPr>
          <w:sz w:val="20"/>
          <w:szCs w:val="20"/>
          <w:color w:val="auto"/>
        </w:rPr>
      </w:pPr>
    </w:p>
    <w:p>
      <w:pPr>
        <w:jc w:val="both"/>
        <w:ind w:firstLine="597"/>
        <w:spacing w:after="0" w:line="251" w:lineRule="auto"/>
        <w:rPr>
          <w:sz w:val="20"/>
          <w:szCs w:val="20"/>
          <w:color w:val="auto"/>
        </w:rPr>
      </w:pPr>
      <w:r>
        <w:rPr>
          <w:rFonts w:ascii="Arial" w:cs="Arial" w:eastAsia="Arial" w:hAnsi="Arial"/>
          <w:sz w:val="20"/>
          <w:szCs w:val="20"/>
          <w:color w:val="auto"/>
        </w:rPr>
        <w:t>The grant of the Award is a one-time benefit and does not create any contractual or other right to receive a grant of Awards or benefits in lieu of Awards in the future. Future grants, if any, will be at the sole discretion of the Company. In addition, the value of the Award is an extraordinary item of compensation outside the scope of any employment contract. As such, the Award is not part of normal or expected compensation for purposes of calculating any severance, resignation, redundancy, end of service payments, bonuses, long-service awards, pension or retirement benefits or similar payments. The future value of the underlying Shares is unknown and cannot be predicted with certainty.</w:t>
      </w:r>
    </w:p>
    <w:p>
      <w:pPr>
        <w:spacing w:after="0" w:line="175" w:lineRule="exact"/>
        <w:rPr>
          <w:sz w:val="20"/>
          <w:szCs w:val="20"/>
          <w:color w:val="auto"/>
        </w:rPr>
      </w:pPr>
    </w:p>
    <w:p>
      <w:pPr>
        <w:jc w:val="both"/>
        <w:ind w:firstLine="597"/>
        <w:spacing w:after="0" w:line="278"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u w:val="single" w:color="auto"/>
          <w:color w:val="000000"/>
        </w:rPr>
        <w:t>Adjustments</w:t>
      </w:r>
      <w:r>
        <w:rPr>
          <w:rFonts w:ascii="Arial" w:cs="Arial" w:eastAsia="Arial" w:hAnsi="Arial"/>
          <w:sz w:val="19"/>
          <w:szCs w:val="19"/>
          <w:color w:val="000000"/>
        </w:rPr>
        <w:t>. Participant acknowledges that the Award, including the vesting of the Award and the number of Shares subject to</w:t>
      </w:r>
      <w:r>
        <w:rPr>
          <w:rFonts w:ascii="Arial" w:cs="Arial" w:eastAsia="Arial" w:hAnsi="Arial"/>
          <w:sz w:val="19"/>
          <w:szCs w:val="19"/>
          <w:color w:val="010000"/>
        </w:rPr>
        <w:t xml:space="preserve"> </w:t>
      </w:r>
      <w:r>
        <w:rPr>
          <w:rFonts w:ascii="Arial" w:cs="Arial" w:eastAsia="Arial" w:hAnsi="Arial"/>
          <w:sz w:val="19"/>
          <w:szCs w:val="19"/>
          <w:color w:val="000000"/>
        </w:rPr>
        <w:t>the Award, is subject to adjustment in the discretion of the Board (or any Committee to which administration of the Plan has been delegated by the Board) upon the occurrence of certain events as provided in this Agreement and Section 1.6.3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327" w:right="339" w:bottom="1440" w:gutter="0" w:footer="0" w:header="0"/>
        </w:sectPr>
      </w:pPr>
    </w:p>
    <w:bookmarkStart w:id="378" w:name="page379"/>
    <w:bookmarkEnd w:id="378"/>
    <w:p>
      <w:pPr>
        <w:jc w:val="both"/>
        <w:ind w:firstLine="597"/>
        <w:spacing w:after="0" w:line="271" w:lineRule="auto"/>
        <w:rPr>
          <w:sz w:val="20"/>
          <w:szCs w:val="20"/>
          <w:color w:val="auto"/>
        </w:rPr>
      </w:pPr>
      <w:r>
        <w:rPr>
          <w:rFonts w:ascii="Arial" w:cs="Arial" w:eastAsia="Arial" w:hAnsi="Arial"/>
          <w:sz w:val="20"/>
          <w:szCs w:val="20"/>
          <w:color w:val="010000"/>
        </w:rPr>
        <w:t xml:space="preserve">4.3 </w:t>
      </w:r>
      <w:r>
        <w:rPr>
          <w:rFonts w:ascii="Arial" w:cs="Arial" w:eastAsia="Arial" w:hAnsi="Arial"/>
          <w:sz w:val="20"/>
          <w:szCs w:val="20"/>
          <w:u w:val="single" w:color="auto"/>
          <w:color w:val="000000"/>
        </w:rPr>
        <w:t>Headings</w:t>
      </w:r>
      <w:r>
        <w:rPr>
          <w:rFonts w:ascii="Arial" w:cs="Arial" w:eastAsia="Arial" w:hAnsi="Arial"/>
          <w:sz w:val="20"/>
          <w:szCs w:val="20"/>
          <w:color w:val="000000"/>
        </w:rPr>
        <w:t>. Headings are provided herein for convenience only and are not intended to define or limit the construction of the</w:t>
      </w:r>
      <w:r>
        <w:rPr>
          <w:rFonts w:ascii="Arial" w:cs="Arial" w:eastAsia="Arial" w:hAnsi="Arial"/>
          <w:sz w:val="20"/>
          <w:szCs w:val="20"/>
          <w:color w:val="010000"/>
        </w:rPr>
        <w:t xml:space="preserve"> </w:t>
      </w:r>
      <w:r>
        <w:rPr>
          <w:rFonts w:ascii="Arial" w:cs="Arial" w:eastAsia="Arial" w:hAnsi="Arial"/>
          <w:sz w:val="20"/>
          <w:szCs w:val="20"/>
          <w:color w:val="000000"/>
        </w:rPr>
        <w:t>provisions hereof. to serve as a basis for interpretation or construction of this Agreement.</w:t>
      </w:r>
    </w:p>
    <w:p>
      <w:pPr>
        <w:spacing w:after="0" w:line="15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Governing Law; Venue</w:t>
      </w:r>
      <w:r>
        <w:rPr>
          <w:rFonts w:ascii="Arial" w:cs="Arial" w:eastAsia="Arial" w:hAnsi="Arial"/>
          <w:sz w:val="19"/>
          <w:szCs w:val="19"/>
          <w:color w:val="000000"/>
        </w:rPr>
        <w:t>. The laws of the Commonwealth of Virginia shall govern the interpretation, validity, administration,</w:t>
      </w:r>
      <w:r>
        <w:rPr>
          <w:rFonts w:ascii="Arial" w:cs="Arial" w:eastAsia="Arial" w:hAnsi="Arial"/>
          <w:sz w:val="19"/>
          <w:szCs w:val="19"/>
          <w:color w:val="010000"/>
        </w:rPr>
        <w:t xml:space="preserve"> </w:t>
      </w:r>
      <w:r>
        <w:rPr>
          <w:rFonts w:ascii="Arial" w:cs="Arial" w:eastAsia="Arial" w:hAnsi="Arial"/>
          <w:sz w:val="19"/>
          <w:szCs w:val="19"/>
          <w:color w:val="000000"/>
        </w:rPr>
        <w:t>enforcement and performance of the terms of this Agreement regardless of the law that might be applied under principles of conflicts of laws. The parties agree that any suit, action, or proceeding arising out of or relating to the Plan or this Agreement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this Agreement shall for any reason be held invalid or unenforceable, it is the specific intent of the parties that such provisions shall be modified to the minimum extent necessary to make it or its application valid and enforceable.</w:t>
      </w:r>
    </w:p>
    <w:p>
      <w:pPr>
        <w:spacing w:after="0" w:line="16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010000"/>
        </w:rPr>
        <w:t xml:space="preserve">4.5 </w:t>
      </w:r>
      <w:r>
        <w:rPr>
          <w:rFonts w:ascii="Arial" w:cs="Arial" w:eastAsia="Arial" w:hAnsi="Arial"/>
          <w:sz w:val="20"/>
          <w:szCs w:val="20"/>
          <w:u w:val="single" w:color="auto"/>
          <w:color w:val="000000"/>
        </w:rPr>
        <w:t>Conformity to Securities Laws</w:t>
      </w:r>
      <w:r>
        <w:rPr>
          <w:rFonts w:ascii="Arial" w:cs="Arial" w:eastAsia="Arial" w:hAnsi="Arial"/>
          <w:sz w:val="20"/>
          <w:szCs w:val="20"/>
          <w:color w:val="000000"/>
        </w:rPr>
        <w:t>. Participant acknowledges that the Plan, the Grant Notice and this Agreement are intended to</w:t>
      </w:r>
      <w:r>
        <w:rPr>
          <w:rFonts w:ascii="Arial" w:cs="Arial" w:eastAsia="Arial" w:hAnsi="Arial"/>
          <w:sz w:val="20"/>
          <w:szCs w:val="20"/>
          <w:color w:val="010000"/>
        </w:rPr>
        <w:t xml:space="preserve"> </w:t>
      </w:r>
      <w:r>
        <w:rPr>
          <w:rFonts w:ascii="Arial" w:cs="Arial" w:eastAsia="Arial" w:hAnsi="Arial"/>
          <w:sz w:val="20"/>
          <w:szCs w:val="20"/>
          <w:color w:val="000000"/>
        </w:rPr>
        <w:t>comply with all applicable provisions of the Securities Act and the Exchange Act and any and all regulations and rules promulgated thereunder by the United States Securities and Exchange Commission, including, without limitation, Rule 16b-3 under the Exchange Act. To the extent permitted by applicable law, the Plan, the Grant Notice and this Agreement shall be deemed amended to the extent necessary to conform to such laws, rules and regulations.</w:t>
      </w:r>
    </w:p>
    <w:p>
      <w:pPr>
        <w:spacing w:after="0" w:line="17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010000"/>
        </w:rPr>
        <w:t xml:space="preserve">4.6 </w:t>
      </w:r>
      <w:r>
        <w:rPr>
          <w:rFonts w:ascii="Arial" w:cs="Arial" w:eastAsia="Arial" w:hAnsi="Arial"/>
          <w:sz w:val="20"/>
          <w:szCs w:val="20"/>
          <w:u w:val="single" w:color="auto"/>
          <w:color w:val="000000"/>
        </w:rPr>
        <w:t>Tax Representations</w:t>
      </w:r>
      <w:r>
        <w:rPr>
          <w:rFonts w:ascii="Arial" w:cs="Arial" w:eastAsia="Arial" w:hAnsi="Arial"/>
          <w:sz w:val="20"/>
          <w:szCs w:val="20"/>
          <w:color w:val="000000"/>
        </w:rPr>
        <w:t>. Participant has reviewed with Participant’s own tax advisors the federal, state, local and foreign tax</w:t>
      </w:r>
      <w:r>
        <w:rPr>
          <w:rFonts w:ascii="Arial" w:cs="Arial" w:eastAsia="Arial" w:hAnsi="Arial"/>
          <w:sz w:val="20"/>
          <w:szCs w:val="20"/>
          <w:color w:val="010000"/>
        </w:rPr>
        <w:t xml:space="preserve"> </w:t>
      </w:r>
      <w:r>
        <w:rPr>
          <w:rFonts w:ascii="Arial" w:cs="Arial" w:eastAsia="Arial" w:hAnsi="Arial"/>
          <w:sz w:val="20"/>
          <w:szCs w:val="20"/>
          <w:color w:val="000000"/>
        </w:rPr>
        <w:t>consequences of this investment and the transactions contemplated by the Grant Notice and this Agreement. Participant is relying solely on such advisors and not on any statements or representations of the Company or any of its agents. Participant understands that Participant (and not the Company) shall be responsible for Participant’s own tax liability that may arise as a result of this investment or the transactions contemplated by this Agreement.</w:t>
      </w:r>
    </w:p>
    <w:p>
      <w:pPr>
        <w:spacing w:after="0" w:line="174"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010000"/>
        </w:rPr>
        <w:t xml:space="preserve">4.7 </w:t>
      </w:r>
      <w:r>
        <w:rPr>
          <w:rFonts w:ascii="Arial" w:cs="Arial" w:eastAsia="Arial" w:hAnsi="Arial"/>
          <w:sz w:val="20"/>
          <w:szCs w:val="20"/>
          <w:u w:val="single" w:color="auto"/>
          <w:color w:val="000000"/>
        </w:rPr>
        <w:t>Successors and Assigns</w:t>
      </w:r>
      <w:r>
        <w:rPr>
          <w:rFonts w:ascii="Arial" w:cs="Arial" w:eastAsia="Arial" w:hAnsi="Arial"/>
          <w:sz w:val="20"/>
          <w:szCs w:val="20"/>
          <w:color w:val="000000"/>
        </w:rPr>
        <w:t>. The Company may assign any of its rights under this Agreement, and this Agreement shall inure to the</w:t>
      </w:r>
      <w:r>
        <w:rPr>
          <w:rFonts w:ascii="Arial" w:cs="Arial" w:eastAsia="Arial" w:hAnsi="Arial"/>
          <w:sz w:val="20"/>
          <w:szCs w:val="20"/>
          <w:color w:val="010000"/>
        </w:rPr>
        <w:t xml:space="preserve"> </w:t>
      </w:r>
      <w:r>
        <w:rPr>
          <w:rFonts w:ascii="Arial" w:cs="Arial" w:eastAsia="Arial" w:hAnsi="Arial"/>
          <w:sz w:val="20"/>
          <w:szCs w:val="20"/>
          <w:color w:val="000000"/>
        </w:rPr>
        <w:t>benefit of the successors and assigns of the Company. Subject to the restrictions on transfer set forth herein, this Agreement shall be binding upon Participant and his or her heirs, executors, administrators, successors and assigns.</w:t>
      </w:r>
    </w:p>
    <w:p>
      <w:pPr>
        <w:spacing w:after="0" w:line="167"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010000"/>
        </w:rPr>
        <w:t xml:space="preserve">4.8 </w:t>
      </w:r>
      <w:r>
        <w:rPr>
          <w:rFonts w:ascii="Arial" w:cs="Arial" w:eastAsia="Arial" w:hAnsi="Arial"/>
          <w:sz w:val="20"/>
          <w:szCs w:val="20"/>
          <w:u w:val="single" w:color="auto"/>
          <w:color w:val="000000"/>
        </w:rPr>
        <w:t>Amendment</w:t>
      </w:r>
      <w:r>
        <w:rPr>
          <w:rFonts w:ascii="Arial" w:cs="Arial" w:eastAsia="Arial" w:hAnsi="Arial"/>
          <w:sz w:val="20"/>
          <w:szCs w:val="20"/>
          <w:color w:val="000000"/>
        </w:rPr>
        <w:t>. To the extent permitted by the Plan, this Agreement may be wholly or partially amended or otherwise modified,</w:t>
      </w:r>
      <w:r>
        <w:rPr>
          <w:rFonts w:ascii="Arial" w:cs="Arial" w:eastAsia="Arial" w:hAnsi="Arial"/>
          <w:sz w:val="20"/>
          <w:szCs w:val="20"/>
          <w:color w:val="010000"/>
        </w:rPr>
        <w:t xml:space="preserve"> </w:t>
      </w:r>
      <w:r>
        <w:rPr>
          <w:rFonts w:ascii="Arial" w:cs="Arial" w:eastAsia="Arial" w:hAnsi="Arial"/>
          <w:sz w:val="20"/>
          <w:szCs w:val="20"/>
          <w:color w:val="000000"/>
        </w:rPr>
        <w:t xml:space="preserve">suspended or terminated at any time or from time to time by the Board (or any Committee to which administration of the Plan has been delegated by the Board);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except as may otherwise be provided by the Plan, no amendment, modification, suspension or termination of this Agreement shall impair any rights or obligations of the Participant under this Agreement in any material way without the prior written consent of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327" w:right="339" w:bottom="1440" w:gutter="0" w:footer="0" w:header="0"/>
        </w:sectPr>
      </w:pPr>
    </w:p>
    <w:bookmarkStart w:id="379" w:name="page380"/>
    <w:bookmarkEnd w:id="379"/>
    <w:p>
      <w:pPr>
        <w:jc w:val="both"/>
        <w:ind w:firstLine="597"/>
        <w:spacing w:after="0" w:line="258" w:lineRule="auto"/>
        <w:rPr>
          <w:sz w:val="20"/>
          <w:szCs w:val="20"/>
          <w:color w:val="auto"/>
        </w:rPr>
      </w:pPr>
      <w:r>
        <w:rPr>
          <w:rFonts w:ascii="Arial" w:cs="Arial" w:eastAsia="Arial" w:hAnsi="Arial"/>
          <w:sz w:val="20"/>
          <w:szCs w:val="20"/>
          <w:color w:val="010000"/>
        </w:rPr>
        <w:t xml:space="preserve">4.9 </w:t>
      </w:r>
      <w:r>
        <w:rPr>
          <w:rFonts w:ascii="Arial" w:cs="Arial" w:eastAsia="Arial" w:hAnsi="Arial"/>
          <w:sz w:val="20"/>
          <w:szCs w:val="20"/>
          <w:u w:val="single" w:color="auto"/>
          <w:color w:val="000000"/>
        </w:rPr>
        <w:t>Paperless Administration</w:t>
      </w:r>
      <w:r>
        <w:rPr>
          <w:rFonts w:ascii="Arial" w:cs="Arial" w:eastAsia="Arial" w:hAnsi="Arial"/>
          <w:sz w:val="20"/>
          <w:szCs w:val="20"/>
          <w:color w:val="000000"/>
        </w:rPr>
        <w:t>. By accepting this Award, Participant hereby agrees to receive documentation related to the Award by</w:t>
      </w:r>
      <w:r>
        <w:rPr>
          <w:rFonts w:ascii="Arial" w:cs="Arial" w:eastAsia="Arial" w:hAnsi="Arial"/>
          <w:sz w:val="20"/>
          <w:szCs w:val="20"/>
          <w:color w:val="010000"/>
        </w:rPr>
        <w:t xml:space="preserve"> </w:t>
      </w:r>
      <w:r>
        <w:rPr>
          <w:rFonts w:ascii="Arial" w:cs="Arial" w:eastAsia="Arial" w:hAnsi="Arial"/>
          <w:sz w:val="20"/>
          <w:szCs w:val="20"/>
          <w:color w:val="000000"/>
        </w:rPr>
        <w:t>electronic delivery, such as a system using an internet website or interactive voice response, maintained by the Company or a third party designated by the Company.</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9"/>
          <w:szCs w:val="19"/>
          <w:color w:val="010000"/>
        </w:rPr>
        <w:t xml:space="preserve">4.10 </w:t>
      </w:r>
      <w:r>
        <w:rPr>
          <w:rFonts w:ascii="Arial" w:cs="Arial" w:eastAsia="Arial" w:hAnsi="Arial"/>
          <w:sz w:val="19"/>
          <w:szCs w:val="19"/>
          <w:u w:val="single" w:color="auto"/>
          <w:color w:val="000000"/>
        </w:rPr>
        <w:t>Severability; Entire Agreement</w:t>
      </w:r>
      <w:r>
        <w:rPr>
          <w:rFonts w:ascii="Arial" w:cs="Arial" w:eastAsia="Arial" w:hAnsi="Arial"/>
          <w:sz w:val="19"/>
          <w:szCs w:val="19"/>
          <w:color w:val="000000"/>
        </w:rPr>
        <w:t>. If any of the provisions of the Plan, the Grant Notice, or this Award Agreement is finally held</w:t>
      </w:r>
      <w:r>
        <w:rPr>
          <w:rFonts w:ascii="Arial" w:cs="Arial" w:eastAsia="Arial" w:hAnsi="Arial"/>
          <w:sz w:val="19"/>
          <w:szCs w:val="19"/>
          <w:color w:val="010000"/>
        </w:rPr>
        <w:t xml:space="preserve"> </w:t>
      </w:r>
      <w:r>
        <w:rPr>
          <w:rFonts w:ascii="Arial" w:cs="Arial" w:eastAsia="Arial" w:hAnsi="Arial"/>
          <w:sz w:val="19"/>
          <w:szCs w:val="19"/>
          <w:color w:val="000000"/>
        </w:rPr>
        <w:t xml:space="preserve">to be invalid, illegal or unenforceable (whether in whole or in part), such provision will be deemed modified to the extent, but only to the extent, of such invalidity, illegality or unenforceability and the remaining provisions will not be affected thereby; </w:t>
      </w:r>
      <w:r>
        <w:rPr>
          <w:rFonts w:ascii="Arial" w:cs="Arial" w:eastAsia="Arial" w:hAnsi="Arial"/>
          <w:sz w:val="19"/>
          <w:szCs w:val="19"/>
          <w:u w:val="single" w:color="auto"/>
          <w:color w:val="000000"/>
        </w:rPr>
        <w:t>provided that</w:t>
      </w:r>
      <w:r>
        <w:rPr>
          <w:rFonts w:ascii="Arial" w:cs="Arial" w:eastAsia="Arial" w:hAnsi="Arial"/>
          <w:sz w:val="19"/>
          <w:szCs w:val="19"/>
          <w:color w:val="000000"/>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the Grant Notice, and this Agreement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64"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color w:val="010000"/>
        </w:rPr>
        <w:t>4.11</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06" w:lineRule="exact"/>
        <w:rPr>
          <w:sz w:val="20"/>
          <w:szCs w:val="20"/>
          <w:color w:val="auto"/>
        </w:rPr>
      </w:pPr>
    </w:p>
    <w:p>
      <w:pPr>
        <w:jc w:val="both"/>
        <w:ind w:firstLine="1194"/>
        <w:spacing w:after="0" w:line="266" w:lineRule="auto"/>
        <w:tabs>
          <w:tab w:leader="none" w:pos="1652" w:val="left"/>
        </w:tabs>
        <w:numPr>
          <w:ilvl w:val="0"/>
          <w:numId w:val="258"/>
        </w:numPr>
        <w:rPr>
          <w:rFonts w:ascii="Arial" w:cs="Arial" w:eastAsia="Arial" w:hAnsi="Arial"/>
          <w:sz w:val="19"/>
          <w:szCs w:val="19"/>
          <w:color w:val="010000"/>
        </w:rPr>
      </w:pPr>
      <w:r>
        <w:rPr>
          <w:rFonts w:ascii="Arial" w:cs="Arial" w:eastAsia="Arial" w:hAnsi="Arial"/>
          <w:sz w:val="19"/>
          <w:szCs w:val="19"/>
          <w:color w:val="auto"/>
        </w:rPr>
        <w:t>This Agreement is not intended to provide for any deferral of compensation subject to Section 409A. Notwithstanding any other provision of the Plan, this Agreement or the Grant Notice, the Plan, this Agreement and the Grant Notice shall be interpreted in accordance with, and incorporate the terms and conditions required by, Section 409A. The Board (or any Committee to which administration of the Plan has been delegated by the Board) may, in its discretion, adopt such amendments to the Plan, this Agreement or the Grant Notice or adopt other policies and procedures (including amendments, policies and procedures with retroactive effect), or take any other actions, as the Board (or any Committee to which administration of the Plan has been delegated by the Board) determines are necessary or appropriate to comply with the requirements of Section 409A.</w:t>
      </w:r>
    </w:p>
    <w:p>
      <w:pPr>
        <w:spacing w:after="0" w:line="158" w:lineRule="exact"/>
        <w:rPr>
          <w:rFonts w:ascii="Arial" w:cs="Arial" w:eastAsia="Arial" w:hAnsi="Arial"/>
          <w:sz w:val="19"/>
          <w:szCs w:val="19"/>
          <w:color w:val="010000"/>
        </w:rPr>
      </w:pPr>
    </w:p>
    <w:p>
      <w:pPr>
        <w:ind w:left="1660" w:hanging="466"/>
        <w:spacing w:after="0"/>
        <w:tabs>
          <w:tab w:leader="none" w:pos="1660" w:val="left"/>
        </w:tabs>
        <w:numPr>
          <w:ilvl w:val="0"/>
          <w:numId w:val="258"/>
        </w:numPr>
        <w:rPr>
          <w:rFonts w:ascii="Arial" w:cs="Arial" w:eastAsia="Arial" w:hAnsi="Arial"/>
          <w:sz w:val="18"/>
          <w:szCs w:val="18"/>
          <w:color w:val="010000"/>
        </w:rPr>
      </w:pPr>
      <w:r>
        <w:rPr>
          <w:rFonts w:ascii="Arial" w:cs="Arial" w:eastAsia="Arial" w:hAnsi="Arial"/>
          <w:sz w:val="18"/>
          <w:szCs w:val="18"/>
          <w:color w:val="auto"/>
        </w:rPr>
        <w:t>For purposes of Section 409A (including, without limitation, for purposes of Treasury Regulation Section 1.409A-2(b)</w:t>
      </w:r>
    </w:p>
    <w:p>
      <w:pPr>
        <w:spacing w:after="0" w:line="45"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18"/>
          <w:szCs w:val="18"/>
          <w:color w:val="auto"/>
        </w:rPr>
        <w:t>(2)(iii)), each payment that Participant may be eligible to receive under this Agreement shall be treated as a separate and distinct payment.</w:t>
      </w:r>
    </w:p>
    <w:p>
      <w:pPr>
        <w:spacing w:after="0" w:line="213"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color w:val="010000"/>
        </w:rPr>
        <w:t>4.12</w:t>
      </w:r>
      <w:r>
        <w:rPr>
          <w:sz w:val="20"/>
          <w:szCs w:val="20"/>
          <w:color w:val="auto"/>
        </w:rPr>
        <w:tab/>
      </w:r>
      <w:r>
        <w:rPr>
          <w:rFonts w:ascii="Arial" w:cs="Arial" w:eastAsia="Arial" w:hAnsi="Arial"/>
          <w:sz w:val="18"/>
          <w:szCs w:val="18"/>
          <w:u w:val="single" w:color="auto"/>
          <w:color w:val="auto"/>
        </w:rPr>
        <w:t>Shortened Statute of Limitations.</w:t>
      </w:r>
    </w:p>
    <w:p>
      <w:pPr>
        <w:spacing w:after="0" w:line="206" w:lineRule="exact"/>
        <w:rPr>
          <w:sz w:val="20"/>
          <w:szCs w:val="20"/>
          <w:color w:val="auto"/>
        </w:rPr>
      </w:pPr>
    </w:p>
    <w:p>
      <w:pPr>
        <w:jc w:val="both"/>
        <w:ind w:firstLine="1195"/>
        <w:spacing w:after="0" w:line="292" w:lineRule="auto"/>
        <w:rPr>
          <w:sz w:val="20"/>
          <w:szCs w:val="20"/>
          <w:color w:val="auto"/>
        </w:rPr>
      </w:pPr>
      <w:r>
        <w:rPr>
          <w:rFonts w:ascii="Arial" w:cs="Arial" w:eastAsia="Arial" w:hAnsi="Arial"/>
          <w:sz w:val="18"/>
          <w:szCs w:val="18"/>
          <w:color w:val="auto"/>
        </w:rPr>
        <w:t>Each Participant agrees to shorten the applicable statute of limitations and agrees that no claims or causes of actions may be brought against the Company or any its Subsidiaries or Affiliates or any of their directors, officers, employees, controlling persons, agents or representatives based upon, directly or indirectly, any claim that arises under this Agreement or the Plan more than twelve (12) months after the date of the action that is the subject of the claim or lawsuit. Each Participant agrees to waive any statute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240"/>
          </w:cols>
          <w:pgMar w:left="320" w:top="1327" w:right="3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20"/>
          <w:szCs w:val="20"/>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RESTRICTED STOCK UNIT AWARD GRANT NOTICE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FOUNDERS AWARD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9019"/>
          </w:cols>
          <w:pgMar w:left="1440" w:top="1321" w:right="1440" w:bottom="1440" w:gutter="0" w:footer="0" w:header="0"/>
        </w:sectPr>
      </w:pPr>
    </w:p>
    <w:bookmarkStart w:id="381" w:name="page382"/>
    <w:bookmarkEnd w:id="381"/>
    <w:p>
      <w:pPr>
        <w:jc w:val="right"/>
        <w:spacing w:after="0"/>
        <w:rPr>
          <w:sz w:val="20"/>
          <w:szCs w:val="20"/>
          <w:color w:val="auto"/>
        </w:rPr>
      </w:pPr>
      <w:r>
        <w:rPr>
          <w:rFonts w:ascii="Arial" w:cs="Arial" w:eastAsia="Arial" w:hAnsi="Arial"/>
          <w:sz w:val="17"/>
          <w:szCs w:val="17"/>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 AGREEMENT</w:t>
      </w:r>
    </w:p>
    <w:p>
      <w:pPr>
        <w:spacing w:after="0" w:line="207" w:lineRule="exact"/>
        <w:rPr>
          <w:sz w:val="20"/>
          <w:szCs w:val="20"/>
          <w:color w:val="auto"/>
        </w:rPr>
      </w:pPr>
    </w:p>
    <w:p>
      <w:pPr>
        <w:ind w:right="100" w:firstLine="597"/>
        <w:spacing w:after="0" w:line="264" w:lineRule="auto"/>
        <w:rPr>
          <w:sz w:val="20"/>
          <w:szCs w:val="20"/>
          <w:color w:val="auto"/>
        </w:rPr>
      </w:pPr>
      <w:r>
        <w:rPr>
          <w:rFonts w:ascii="Arial" w:cs="Arial" w:eastAsia="Arial" w:hAnsi="Arial"/>
          <w:sz w:val="17"/>
          <w:szCs w:val="17"/>
          <w:color w:val="auto"/>
        </w:rPr>
        <w:t>This INDEMNIFICATION AGREEMENT is made this [l]th day of March, 2021 (“Agreement”), by and between Leonardo DRS,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_______________ (“</w:t>
      </w:r>
      <w:r>
        <w:rPr>
          <w:rFonts w:ascii="Arial" w:cs="Arial" w:eastAsia="Arial" w:hAnsi="Arial"/>
          <w:sz w:val="17"/>
          <w:szCs w:val="17"/>
          <w:u w:val="single" w:color="auto"/>
          <w:color w:val="auto"/>
        </w:rPr>
        <w:t>Indemnitee</w:t>
      </w:r>
      <w:r>
        <w:rPr>
          <w:rFonts w:ascii="Arial" w:cs="Arial" w:eastAsia="Arial" w:hAnsi="Arial"/>
          <w:sz w:val="17"/>
          <w:szCs w:val="17"/>
          <w:color w:val="auto"/>
        </w:rPr>
        <w:t>”).</w:t>
      </w:r>
    </w:p>
    <w:p>
      <w:pPr>
        <w:spacing w:after="0" w:line="167" w:lineRule="exact"/>
        <w:rPr>
          <w:sz w:val="20"/>
          <w:szCs w:val="20"/>
          <w:color w:val="auto"/>
        </w:rPr>
      </w:pPr>
    </w:p>
    <w:p>
      <w:pPr>
        <w:ind w:right="80" w:firstLine="597"/>
        <w:spacing w:after="0" w:line="264" w:lineRule="auto"/>
        <w:rPr>
          <w:sz w:val="20"/>
          <w:szCs w:val="20"/>
          <w:color w:val="auto"/>
        </w:rPr>
      </w:pPr>
      <w:r>
        <w:rPr>
          <w:rFonts w:ascii="Arial" w:cs="Arial" w:eastAsia="Arial" w:hAnsi="Arial"/>
          <w:sz w:val="17"/>
          <w:szCs w:val="17"/>
          <w:color w:val="auto"/>
        </w:rPr>
        <w:t>WHEREAS, Indemnitee is [a[n] [director] [officer] of Company] and [is serving and] may in the future serve at the request of Company as a director or officer of a subsidiary of the Company;</w:t>
      </w:r>
    </w:p>
    <w:p>
      <w:pPr>
        <w:spacing w:after="0" w:line="167" w:lineRule="exact"/>
        <w:rPr>
          <w:sz w:val="20"/>
          <w:szCs w:val="20"/>
          <w:color w:val="auto"/>
        </w:rPr>
      </w:pPr>
    </w:p>
    <w:p>
      <w:pPr>
        <w:ind w:right="40" w:firstLine="597"/>
        <w:spacing w:after="0" w:line="264" w:lineRule="auto"/>
        <w:rPr>
          <w:sz w:val="20"/>
          <w:szCs w:val="20"/>
          <w:color w:val="auto"/>
        </w:rPr>
      </w:pPr>
      <w:r>
        <w:rPr>
          <w:rFonts w:ascii="Arial" w:cs="Arial" w:eastAsia="Arial" w:hAnsi="Arial"/>
          <w:sz w:val="17"/>
          <w:szCs w:val="17"/>
          <w:color w:val="auto"/>
        </w:rPr>
        <w:t>WHEREAS, in consideration of Indemnitee acting in such position or positions and assuming the responsibilities attendant thereto, Company desires to provide Indemnitee the rights to indemnification and advance payment or reimbursement of expenses described below;</w:t>
      </w:r>
    </w:p>
    <w:p>
      <w:pPr>
        <w:spacing w:after="0" w:line="167" w:lineRule="exact"/>
        <w:rPr>
          <w:sz w:val="20"/>
          <w:szCs w:val="20"/>
          <w:color w:val="auto"/>
        </w:rPr>
      </w:pPr>
    </w:p>
    <w:p>
      <w:pPr>
        <w:ind w:right="960" w:firstLine="597"/>
        <w:spacing w:after="0" w:line="264" w:lineRule="auto"/>
        <w:rPr>
          <w:sz w:val="20"/>
          <w:szCs w:val="20"/>
          <w:color w:val="auto"/>
        </w:rPr>
      </w:pPr>
      <w:r>
        <w:rPr>
          <w:rFonts w:ascii="Arial" w:cs="Arial" w:eastAsia="Arial" w:hAnsi="Arial"/>
          <w:sz w:val="17"/>
          <w:szCs w:val="17"/>
          <w:color w:val="auto"/>
        </w:rPr>
        <w:t>NOW, THEREFORE, in consideration of the premises and other good and valuable consideration, the receipt and sufficiency of which are hereby acknowledged, Company and Indemnitee do hereby covenant and agree as follows: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Agreement:</w:t>
      </w:r>
    </w:p>
    <w:p>
      <w:pPr>
        <w:spacing w:after="0" w:line="203" w:lineRule="exact"/>
        <w:rPr>
          <w:sz w:val="20"/>
          <w:szCs w:val="20"/>
          <w:color w:val="auto"/>
        </w:rPr>
      </w:pPr>
    </w:p>
    <w:p>
      <w:pPr>
        <w:ind w:left="1540" w:hanging="346"/>
        <w:spacing w:after="0"/>
        <w:tabs>
          <w:tab w:leader="none" w:pos="15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Delaware General Corporation Law, as amended from time to time;</w:t>
      </w:r>
    </w:p>
    <w:p>
      <w:pPr>
        <w:spacing w:after="0" w:line="202" w:lineRule="exact"/>
        <w:rPr>
          <w:rFonts w:ascii="Arial" w:cs="Arial" w:eastAsia="Arial" w:hAnsi="Arial"/>
          <w:sz w:val="17"/>
          <w:szCs w:val="17"/>
          <w:color w:val="auto"/>
        </w:rPr>
      </w:pPr>
    </w:p>
    <w:p>
      <w:pPr>
        <w:ind w:right="40" w:firstLine="1194"/>
        <w:spacing w:after="0" w:line="251" w:lineRule="auto"/>
        <w:tabs>
          <w:tab w:leader="none" w:pos="1554" w:val="left"/>
        </w:tabs>
        <w:numPr>
          <w:ilvl w:val="1"/>
          <w:numId w:val="2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mean all reasonable out of pocket fees, costs and expenses, including attorney’s fees, retainers, court costs, transcript costs, fees of experts, witness fees, travel expenses, duplicating costs, printing and binding costs, telephone charges, postage, delivery service fees, Federal, state, local or foreign taxes imposed as a result of the actual or deemed receipt of any payments under this Agreement, and all other disbursements or expenses of the types customarily incurred in connection with involvement in the relevant type of Proceeding;</w:t>
      </w:r>
    </w:p>
    <w:p>
      <w:pPr>
        <w:spacing w:after="0" w:line="177" w:lineRule="exact"/>
        <w:rPr>
          <w:rFonts w:ascii="Arial" w:cs="Arial" w:eastAsia="Arial" w:hAnsi="Arial"/>
          <w:sz w:val="17"/>
          <w:szCs w:val="17"/>
          <w:color w:val="auto"/>
        </w:rPr>
      </w:pPr>
    </w:p>
    <w:p>
      <w:pPr>
        <w:ind w:right="180" w:firstLine="1194"/>
        <w:spacing w:after="0" w:line="264" w:lineRule="auto"/>
        <w:tabs>
          <w:tab w:leader="none" w:pos="1545" w:val="left"/>
        </w:tabs>
        <w:numPr>
          <w:ilvl w:val="1"/>
          <w:numId w:val="2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shall mean all Expenses, liabilities and loss (including attorney’s fees, judgments, fines, ERISA excise taxes or penalties and amounts paid in settlement), in each case reasonably incurred or suffered by Indemnitee in connection with a Proceeding;</w:t>
      </w:r>
    </w:p>
    <w:p>
      <w:pPr>
        <w:spacing w:after="0" w:line="167" w:lineRule="exact"/>
        <w:rPr>
          <w:rFonts w:ascii="Arial" w:cs="Arial" w:eastAsia="Arial" w:hAnsi="Arial"/>
          <w:sz w:val="17"/>
          <w:szCs w:val="17"/>
          <w:color w:val="auto"/>
        </w:rPr>
      </w:pPr>
    </w:p>
    <w:p>
      <w:pPr>
        <w:jc w:val="both"/>
        <w:ind w:right="80" w:firstLine="1194"/>
        <w:spacing w:after="0" w:line="295" w:lineRule="auto"/>
        <w:tabs>
          <w:tab w:leader="none" w:pos="1554" w:val="left"/>
        </w:tabs>
        <w:numPr>
          <w:ilvl w:val="1"/>
          <w:numId w:val="25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Proceeding</w:t>
      </w:r>
      <w:r>
        <w:rPr>
          <w:rFonts w:ascii="Arial" w:cs="Arial" w:eastAsia="Arial" w:hAnsi="Arial"/>
          <w:sz w:val="15"/>
          <w:szCs w:val="15"/>
          <w:color w:val="auto"/>
        </w:rPr>
        <w:t>” shall mean any actual or threatened action, suit or proceeding, whether civil, criminal, administrative or investigative, in which the Indemnitee is involved in any manner (including as a party or a witness) by reason of the fact that Indemnitee is or was a director, officer or employee of the Company, or, while a director officer or employee of the Company, is or was serving at the request of the Company as a director, officer, employee, agent or trustee of another corporation, partnership, joint venture, trust or other enterprise, including service with respect to an employee benefit plan;</w:t>
      </w:r>
    </w:p>
    <w:p>
      <w:pPr>
        <w:spacing w:after="0" w:line="147" w:lineRule="exact"/>
        <w:rPr>
          <w:rFonts w:ascii="Arial" w:cs="Arial" w:eastAsia="Arial" w:hAnsi="Arial"/>
          <w:sz w:val="15"/>
          <w:szCs w:val="15"/>
          <w:color w:val="auto"/>
        </w:rPr>
      </w:pPr>
    </w:p>
    <w:p>
      <w:pPr>
        <w:jc w:val="both"/>
        <w:ind w:right="160" w:firstLine="1194"/>
        <w:spacing w:after="0" w:line="329" w:lineRule="auto"/>
        <w:tabs>
          <w:tab w:leader="none" w:pos="1545" w:val="left"/>
        </w:tabs>
        <w:numPr>
          <w:ilvl w:val="1"/>
          <w:numId w:val="25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Standard of Conduct</w:t>
      </w:r>
      <w:r>
        <w:rPr>
          <w:rFonts w:ascii="Arial" w:cs="Arial" w:eastAsia="Arial" w:hAnsi="Arial"/>
          <w:sz w:val="13"/>
          <w:szCs w:val="13"/>
          <w:color w:val="auto"/>
        </w:rPr>
        <w:t>” shall mean (i) acting in good faith and in a manner reasonably believed by the Indemnitee to be in or not opposed to the best interests of Company and, with respect to any criminal action or proceeding, having had no reasonable cause to believe that Indemnitee’s conduct was unlawful or</w:t>
      </w:r>
    </w:p>
    <w:p>
      <w:pPr>
        <w:spacing w:after="0" w:line="1" w:lineRule="exact"/>
        <w:rPr>
          <w:rFonts w:ascii="Arial" w:cs="Arial" w:eastAsia="Arial" w:hAnsi="Arial"/>
          <w:sz w:val="13"/>
          <w:szCs w:val="13"/>
          <w:color w:val="auto"/>
        </w:rPr>
      </w:pPr>
    </w:p>
    <w:p>
      <w:pPr>
        <w:ind w:right="20"/>
        <w:spacing w:after="0" w:line="248" w:lineRule="auto"/>
        <w:tabs>
          <w:tab w:leader="none" w:pos="244"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if Section 145 (or any successor provision) of the Act shall be amended after the date of this Agreement to provide for a standard of conduct that is more favorable to the Indemnitee, the standard of conduct prescribed by the Act at the time of any assessment of Indemnitee’s conduct;</w:t>
      </w:r>
    </w:p>
    <w:p>
      <w:pPr>
        <w:spacing w:after="0" w:line="180" w:lineRule="exact"/>
        <w:rPr>
          <w:rFonts w:ascii="Arial" w:cs="Arial" w:eastAsia="Arial" w:hAnsi="Arial"/>
          <w:sz w:val="17"/>
          <w:szCs w:val="17"/>
          <w:color w:val="auto"/>
        </w:rPr>
      </w:pPr>
    </w:p>
    <w:p>
      <w:pPr>
        <w:ind w:left="1520" w:hanging="326"/>
        <w:spacing w:after="0"/>
        <w:tabs>
          <w:tab w:leader="none" w:pos="1520" w:val="left"/>
        </w:tabs>
        <w:numPr>
          <w:ilvl w:val="1"/>
          <w:numId w:val="260"/>
        </w:numPr>
        <w:rPr>
          <w:rFonts w:ascii="Arial" w:cs="Arial" w:eastAsia="Arial" w:hAnsi="Arial"/>
          <w:sz w:val="15"/>
          <w:szCs w:val="15"/>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Change in Control</w:t>
      </w:r>
      <w:r>
        <w:rPr>
          <w:rFonts w:ascii="Arial" w:cs="Arial" w:eastAsia="Arial" w:hAnsi="Arial"/>
          <w:sz w:val="15"/>
          <w:szCs w:val="15"/>
          <w:color w:val="auto"/>
        </w:rPr>
        <w:t>” shall have the meaning set forth in the Leonardo DRS, Inc. 2021 Omnibus Equity Compensation Plan, as amended from</w:t>
      </w:r>
    </w:p>
    <w:p>
      <w:pPr>
        <w:spacing w:after="0" w:line="3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time to time.</w:t>
      </w:r>
    </w:p>
    <w:p>
      <w:pPr>
        <w:spacing w:after="0" w:line="190" w:lineRule="exact"/>
        <w:rPr>
          <w:sz w:val="20"/>
          <w:szCs w:val="20"/>
          <w:color w:val="auto"/>
        </w:rPr>
      </w:pPr>
    </w:p>
    <w:p>
      <w:pPr>
        <w:jc w:val="both"/>
        <w:ind w:right="120" w:firstLine="597"/>
        <w:spacing w:after="0" w:line="254"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Indemnification — General</w:t>
      </w:r>
      <w:r>
        <w:rPr>
          <w:rFonts w:ascii="Arial" w:cs="Arial" w:eastAsia="Arial" w:hAnsi="Arial"/>
          <w:sz w:val="17"/>
          <w:szCs w:val="17"/>
          <w:color w:val="auto"/>
        </w:rPr>
        <w:t>. (a) Subject to the terms and conditions of this Agreement, and except as set forth in clauses (b) and (c) of this Section 2, the Company shall indemnify and hold harmless Indemnitee for all Losses to the fullest extent permitted by law as it presently exists or may hereafter be amended in connection with any Proceeding;</w:t>
      </w:r>
    </w:p>
    <w:p>
      <w:pPr>
        <w:sectPr>
          <w:pgSz w:w="11900" w:h="16838" w:orient="portrait"/>
          <w:cols w:equalWidth="0" w:num="1">
            <w:col w:w="11240"/>
          </w:cols>
          <w:pgMar w:left="320" w:top="123" w:right="339" w:bottom="1440" w:gutter="0" w:footer="0" w:header="0"/>
        </w:sectPr>
      </w:pPr>
    </w:p>
    <w:bookmarkStart w:id="382" w:name="page383"/>
    <w:bookmarkEnd w:id="382"/>
    <w:p>
      <w:pPr>
        <w:ind w:right="80" w:firstLine="1194"/>
        <w:spacing w:after="0" w:line="251" w:lineRule="auto"/>
        <w:tabs>
          <w:tab w:leader="none" w:pos="155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Company shall not provide indemnification with respect to Losses in connection with any Proceeding initiated by Indemnitee, except (i) a Proceeding with respect to which the Company, acting through the Board or a duly authorized committee thereof, has provided in advance its written consent to the initiation of such Proceeding by the Indemnitee, and (ii) counterclaims made by Indemnitee which directly respond to and negate the affirmative claim made against the Indemnitee in a Proceeding;</w:t>
      </w:r>
    </w:p>
    <w:p>
      <w:pPr>
        <w:spacing w:after="0" w:line="177" w:lineRule="exact"/>
        <w:rPr>
          <w:rFonts w:ascii="Arial" w:cs="Arial" w:eastAsia="Arial" w:hAnsi="Arial"/>
          <w:sz w:val="17"/>
          <w:szCs w:val="17"/>
          <w:color w:val="auto"/>
        </w:rPr>
      </w:pPr>
    </w:p>
    <w:p>
      <w:pPr>
        <w:jc w:val="both"/>
        <w:ind w:right="20" w:firstLine="1194"/>
        <w:spacing w:after="0" w:line="295" w:lineRule="auto"/>
        <w:tabs>
          <w:tab w:leader="none" w:pos="1541"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Company shall not provide indemnification in respect of any Proceeding by or in the right of the Company to procure a judgment in its favor in which Indemnitee shall have been adjudged to be liable to the Company unless, and only to the extent that, the Delaware Court of Chancery or the court in which such Proceeding was brought shall determine upon application that, despite the adjudication of liability but in view of all the circumstances of the case, Indemnitee is fairly and reasonably entitled to indemnity for such Expenses which the Delaware Court of Chancery or such other court shall deem proper.</w:t>
      </w:r>
    </w:p>
    <w:p>
      <w:pPr>
        <w:spacing w:after="0" w:line="147" w:lineRule="exact"/>
        <w:rPr>
          <w:sz w:val="20"/>
          <w:szCs w:val="20"/>
          <w:color w:val="auto"/>
        </w:rPr>
      </w:pPr>
    </w:p>
    <w:p>
      <w:pPr>
        <w:ind w:firstLine="597"/>
        <w:spacing w:after="0" w:line="287"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Advancement of Expenses</w:t>
      </w:r>
      <w:r>
        <w:rPr>
          <w:rFonts w:ascii="Arial" w:cs="Arial" w:eastAsia="Arial" w:hAnsi="Arial"/>
          <w:sz w:val="15"/>
          <w:szCs w:val="15"/>
          <w:color w:val="auto"/>
        </w:rPr>
        <w:t xml:space="preserve">. Subject to the terms and conditions of this Agreement, upon receipt by the Company of an undertaking by Indemnitee to repay Expenses if it shall ultimately be determined that Indemnitee is not entitled to receive payment or reimbursement of Expenses from the Company, the Company shall pay or reimburse Expenses actually and reasonably incurred by Indemnitee in appearing at, participating in or defending a Proceeding, in advance of any final disposition of the Proceeding and promptly after receipt of the statement with respect to such Expenses set forth in Section 14 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shall not have any obligation to pay or reimburse Expenses (in advance of any final disposition or otherwise) in respect of any Proceeding described in Section 2(b) hereof. Indemnitee’s obligation to reimburse the Company shall be unsecured and no interest shall be charged thereon.</w:t>
      </w:r>
    </w:p>
    <w:p>
      <w:pPr>
        <w:spacing w:after="0" w:line="156" w:lineRule="exact"/>
        <w:rPr>
          <w:sz w:val="20"/>
          <w:szCs w:val="20"/>
          <w:color w:val="auto"/>
        </w:rPr>
      </w:pPr>
    </w:p>
    <w:p>
      <w:pPr>
        <w:ind w:right="60" w:firstLine="597"/>
        <w:spacing w:after="0" w:line="24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Successful Defense</w:t>
      </w:r>
      <w:r>
        <w:rPr>
          <w:rFonts w:ascii="Arial" w:cs="Arial" w:eastAsia="Arial" w:hAnsi="Arial"/>
          <w:sz w:val="17"/>
          <w:szCs w:val="17"/>
          <w:color w:val="auto"/>
        </w:rPr>
        <w:t xml:space="preserve">. To the extent that Indemnitee has been successful in defense of any Proceeding on the merits or otherwise, Indemnitee shall, to the fullest extent permitted by law, be indemnified against Expenses actually and reasonably incurred by Indemnitee in connection with such Proceeding. Without limiting the foregoing, if any Proceeding is disposed of on the merits or otherwise (including a disposition without prejudice) without: (i) the final disposition being adverse to Indemnitee; (ii) a final adjudication that Indemnitee was liable to the Company; (iii)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by Indemnitee; or (iv) a final adjudication that Indemnitee did not meet the Standard of Conduct; then Indemnitee shall be considered for the purposes hereof to have been wholly successful with respect thereto.</w:t>
      </w:r>
    </w:p>
    <w:p>
      <w:pPr>
        <w:spacing w:after="0" w:line="182" w:lineRule="exact"/>
        <w:rPr>
          <w:sz w:val="20"/>
          <w:szCs w:val="20"/>
          <w:color w:val="auto"/>
        </w:rPr>
      </w:pPr>
    </w:p>
    <w:p>
      <w:pPr>
        <w:ind w:firstLine="597"/>
        <w:spacing w:after="0" w:line="25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Partial Indemnity</w:t>
      </w:r>
      <w:r>
        <w:rPr>
          <w:rFonts w:ascii="Arial" w:cs="Arial" w:eastAsia="Arial" w:hAnsi="Arial"/>
          <w:sz w:val="17"/>
          <w:szCs w:val="17"/>
          <w:color w:val="auto"/>
        </w:rPr>
        <w:t>. If Indemnitee is entitled under this Agreement to indemnification by the Company for some of the Losses actually and reasonably incurred by Indemnitee in connection with any Proceeding, but not for the total amount thereof because Indemnitee is not wholly successful, the Company shall nevertheless indemnify Indemnitee for the portion of such Losses in connection with or related to each successfully resolved claim, issue or matter to the fullest extent permitted by law.</w:t>
      </w:r>
    </w:p>
    <w:p>
      <w:pPr>
        <w:spacing w:after="0" w:line="178" w:lineRule="exact"/>
        <w:rPr>
          <w:sz w:val="20"/>
          <w:szCs w:val="20"/>
          <w:color w:val="auto"/>
        </w:rPr>
      </w:pPr>
    </w:p>
    <w:p>
      <w:pPr>
        <w:ind w:right="140" w:firstLine="597"/>
        <w:spacing w:after="0" w:line="264"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Standard of Conduct</w:t>
      </w:r>
      <w:r>
        <w:rPr>
          <w:rFonts w:ascii="Arial" w:cs="Arial" w:eastAsia="Arial" w:hAnsi="Arial"/>
          <w:sz w:val="17"/>
          <w:szCs w:val="17"/>
          <w:color w:val="auto"/>
        </w:rPr>
        <w:t>. (a) No claim for indemnification shall be paid by Company unless it has been determined that Indemnitee shall have met the Standard of Conduct.</w:t>
      </w:r>
    </w:p>
    <w:p>
      <w:pPr>
        <w:spacing w:after="0" w:line="167" w:lineRule="exact"/>
        <w:rPr>
          <w:sz w:val="20"/>
          <w:szCs w:val="20"/>
          <w:color w:val="auto"/>
        </w:rPr>
      </w:pPr>
    </w:p>
    <w:p>
      <w:pPr>
        <w:ind w:right="180" w:firstLine="1194"/>
        <w:spacing w:after="0" w:line="271" w:lineRule="auto"/>
        <w:tabs>
          <w:tab w:leader="none" w:pos="155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Unless a Change in Control shall have occurred, and unless otherwise ordered by a court, such determinations shall be made by (i) a majority vote of Company’s directors who are not parties to the Proceeding for which indemnification is sought, even though less than a quorum, (ii) by a committee of such directors designated by a majority vote of the Company’s directors, even though less than a quorum, (iii) if there are no such directors, or if such directors so direct, by independent legal counsel in a written opinion, or (iv) if the Board shall so direct, by the Company’s stockholders.</w:t>
      </w:r>
    </w:p>
    <w:p>
      <w:pPr>
        <w:spacing w:after="0" w:line="164" w:lineRule="exact"/>
        <w:rPr>
          <w:rFonts w:ascii="Arial" w:cs="Arial" w:eastAsia="Arial" w:hAnsi="Arial"/>
          <w:sz w:val="16"/>
          <w:szCs w:val="16"/>
          <w:color w:val="auto"/>
        </w:rPr>
      </w:pPr>
    </w:p>
    <w:p>
      <w:pPr>
        <w:ind w:left="1540" w:hanging="346"/>
        <w:spacing w:after="0"/>
        <w:tabs>
          <w:tab w:leader="none" w:pos="154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If a Change in Control shall have occurred, unless otherwise ordered by a court, such determination shall be made by independent legal counsel in</w:t>
      </w:r>
    </w:p>
    <w:p>
      <w:pPr>
        <w:spacing w:after="0" w:line="6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7"/>
          <w:szCs w:val="17"/>
          <w:color w:val="auto"/>
        </w:rPr>
        <w:t>a written opinion.</w:t>
      </w:r>
    </w:p>
    <w:p>
      <w:pPr>
        <w:spacing w:after="0" w:line="190" w:lineRule="exact"/>
        <w:rPr>
          <w:rFonts w:ascii="Arial" w:cs="Arial" w:eastAsia="Arial" w:hAnsi="Arial"/>
          <w:sz w:val="13"/>
          <w:szCs w:val="13"/>
          <w:color w:val="auto"/>
        </w:rPr>
      </w:pPr>
    </w:p>
    <w:p>
      <w:pPr>
        <w:jc w:val="both"/>
        <w:ind w:right="400" w:firstLine="1194"/>
        <w:spacing w:after="0" w:line="254" w:lineRule="auto"/>
        <w:tabs>
          <w:tab w:leader="none" w:pos="1554"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If any determination pursuant to this Section 6 shall be made by independent legal counsel, such counsel shall be selected, (i) if a Change in Control shall not have occurred, by the directors of the Company described in clause (b)(i) or (b)(ii) of this Section 6, in their sole discretion and (ii) if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21" w:right="339" w:bottom="1440" w:gutter="0" w:footer="0" w:header="0"/>
        </w:sectPr>
      </w:pPr>
    </w:p>
    <w:bookmarkStart w:id="383" w:name="page384"/>
    <w:bookmarkEnd w:id="383"/>
    <w:p>
      <w:pPr>
        <w:spacing w:after="0"/>
        <w:rPr>
          <w:sz w:val="20"/>
          <w:szCs w:val="20"/>
          <w:color w:val="auto"/>
        </w:rPr>
      </w:pPr>
      <w:r>
        <w:rPr>
          <w:rFonts w:ascii="Arial" w:cs="Arial" w:eastAsia="Arial" w:hAnsi="Arial"/>
          <w:sz w:val="16"/>
          <w:szCs w:val="16"/>
          <w:color w:val="auto"/>
        </w:rPr>
        <w:t>shall have occurred, by such directors, subject to the consent of Indemnitee, which consent may not be unreasonably withheld, conditioned or delayed.</w:t>
      </w:r>
    </w:p>
    <w:p>
      <w:pPr>
        <w:spacing w:after="0" w:line="214" w:lineRule="exact"/>
        <w:rPr>
          <w:sz w:val="20"/>
          <w:szCs w:val="20"/>
          <w:color w:val="auto"/>
        </w:rPr>
      </w:pPr>
    </w:p>
    <w:p>
      <w:pPr>
        <w:ind w:right="60" w:firstLine="1194"/>
        <w:spacing w:after="0" w:line="290" w:lineRule="auto"/>
        <w:tabs>
          <w:tab w:leader="none" w:pos="1544" w:val="left"/>
        </w:tabs>
        <w:numPr>
          <w:ilvl w:val="0"/>
          <w:numId w:val="263"/>
        </w:numPr>
        <w:rPr>
          <w:rFonts w:ascii="Arial" w:cs="Arial" w:eastAsia="Arial" w:hAnsi="Arial"/>
          <w:sz w:val="15"/>
          <w:szCs w:val="15"/>
          <w:color w:val="auto"/>
        </w:rPr>
      </w:pPr>
      <w:r>
        <w:rPr>
          <w:rFonts w:ascii="Arial" w:cs="Arial" w:eastAsia="Arial" w:hAnsi="Arial"/>
          <w:sz w:val="15"/>
          <w:szCs w:val="15"/>
          <w:color w:val="auto"/>
        </w:rPr>
        <w:t xml:space="preserve">Indemnitee shall be deemed to have met the relevant Standard of Conduct if a determination pursuant to clause (b) or (c) of this Section 6 has not been not made within sixty days of a demand by Indemnitee for indemnification of Losses. If the Indemnitee has been determined not to have met the Standard of Conduct, Indemnitee may commence litigation in the Delaware Court of Chancery seeking an initial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determination by the court or challenging any such determination or any aspect thereof, including the legal or factual bases therefor, and the Company hereby consents to service of process and agrees to appear in any such proceeding. Any determination under this Section 6 otherwise shall be conclusive and binding on the Company and Indemnitee.</w:t>
      </w:r>
    </w:p>
    <w:p>
      <w:pPr>
        <w:spacing w:after="0" w:line="152" w:lineRule="exact"/>
        <w:rPr>
          <w:rFonts w:ascii="Arial" w:cs="Arial" w:eastAsia="Arial" w:hAnsi="Arial"/>
          <w:sz w:val="15"/>
          <w:szCs w:val="15"/>
          <w:color w:val="auto"/>
        </w:rPr>
      </w:pPr>
    </w:p>
    <w:p>
      <w:pPr>
        <w:ind w:right="40" w:firstLine="1194"/>
        <w:spacing w:after="0" w:line="264" w:lineRule="auto"/>
        <w:tabs>
          <w:tab w:leader="none" w:pos="1526" w:val="left"/>
        </w:tabs>
        <w:numPr>
          <w:ilvl w:val="0"/>
          <w:numId w:val="263"/>
        </w:numPr>
        <w:rPr>
          <w:rFonts w:ascii="Arial" w:cs="Arial" w:eastAsia="Arial" w:hAnsi="Arial"/>
          <w:sz w:val="17"/>
          <w:szCs w:val="17"/>
          <w:color w:val="auto"/>
        </w:rPr>
      </w:pPr>
      <w:r>
        <w:rPr>
          <w:rFonts w:ascii="Arial" w:cs="Arial" w:eastAsia="Arial" w:hAnsi="Arial"/>
          <w:sz w:val="17"/>
          <w:szCs w:val="17"/>
          <w:color w:val="auto"/>
        </w:rPr>
        <w:t>No determination regarding the relevant Standard of Conduct shall be required before the Company advances Expenses to Indemnitee pursuant to Section 6 of this Agreement or shall otherwise affect the Company’s obligations under such Section.</w:t>
      </w:r>
    </w:p>
    <w:p>
      <w:pPr>
        <w:spacing w:after="0" w:line="167" w:lineRule="exact"/>
        <w:rPr>
          <w:sz w:val="20"/>
          <w:szCs w:val="20"/>
          <w:color w:val="auto"/>
        </w:rPr>
      </w:pPr>
    </w:p>
    <w:p>
      <w:pPr>
        <w:ind w:firstLine="597"/>
        <w:spacing w:after="0" w:line="26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To provide for just and equitable contribution when the indemnification provided for herein is held by a court of competent jurisdiction to be unavailable to Indemnitee in whole or in part, it is agreed that, in such event, the Company shall, to the fullest extent permitted by law, contribute to the payment of Indemnitee’s Losses with respect to any Proceeding, in an amount that is just and equitable in the circumstances, taking into account, among other things, contributions by other directors and officers of the Company or others pursuant to indemnification agreements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without limiting the generality of the foregoing, such contribution shall not be required where such holding by the court is due to: (i) the failure of Indemnitee to meet the Standard of Conduct or (ii) any limitation on indemnification set forth in Section 2(b).</w:t>
      </w:r>
    </w:p>
    <w:p>
      <w:pPr>
        <w:spacing w:after="0" w:line="170" w:lineRule="exact"/>
        <w:rPr>
          <w:sz w:val="20"/>
          <w:szCs w:val="20"/>
          <w:color w:val="auto"/>
        </w:rPr>
      </w:pPr>
    </w:p>
    <w:p>
      <w:pPr>
        <w:ind w:right="60" w:firstLine="597"/>
        <w:spacing w:after="0" w:line="282"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Defense of Proceeding</w:t>
      </w:r>
      <w:r>
        <w:rPr>
          <w:rFonts w:ascii="Arial" w:cs="Arial" w:eastAsia="Arial" w:hAnsi="Arial"/>
          <w:sz w:val="15"/>
          <w:szCs w:val="15"/>
          <w:color w:val="auto"/>
        </w:rPr>
        <w:t>. If any Proceeding asserted or commenced against Indemnitee is also asserted or commenced against the Company or an affiliate of the Company, the Company or the affiliate shall be entitled, except as otherwise provided herein below, to assume the defense thereof. After notice from the Company or its affiliate to Indemnitee of its election to assume the defense of any such Proceeding, Indemnitee shall have the right to employ Indemnitee’s own counsel in such Proceeding, but the Expenses of such counsel incurred after such notice to Indemnitee shall be at the expense of Indemnitee and the Company shall not be obligated to Indemnitee under this Agreement for any Expenses subsequently incurred by Indemnitee in connection therewith other than reasonable Expenses (not involving fees or expenses of counsel) arising out of Indemnitee’s participation in the defense of such Proceeding, unless (i) otherwise notified by the Company, (ii) Indemnitee’s counsel shall have reasonably concluded and so notified the Company that there is a conflict of interest between the Company or its affiliate and Indemnitee in the conduct of defense of such Proceeding, or (iii) the Company or its affiliate shall not in fact have employed counsel to assume the defense of such Proceeding, in any of which cases the Expenses of Indemnitee in such Proceeding shall be reimbursed or paid by the Company. The Company or its affiliate shall not be entitled to assume the defense of any Proceeding brought by or on behalf of the Company by its stockholders or as to which Indemnitee’s counsel shall have made the conclusion set forth in clause (ii) of the preceding sentence of this Section 8.</w:t>
      </w:r>
    </w:p>
    <w:p>
      <w:pPr>
        <w:spacing w:after="0" w:line="160" w:lineRule="exact"/>
        <w:rPr>
          <w:sz w:val="20"/>
          <w:szCs w:val="20"/>
          <w:color w:val="auto"/>
        </w:rPr>
      </w:pPr>
    </w:p>
    <w:p>
      <w:pPr>
        <w:jc w:val="both"/>
        <w:ind w:right="280" w:firstLine="597"/>
        <w:spacing w:after="0" w:line="295"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Settlements</w:t>
      </w:r>
      <w:r>
        <w:rPr>
          <w:rFonts w:ascii="Arial" w:cs="Arial" w:eastAsia="Arial" w:hAnsi="Arial"/>
          <w:sz w:val="15"/>
          <w:szCs w:val="15"/>
          <w:color w:val="auto"/>
        </w:rPr>
        <w:t>. Notwithstanding anything provided in Section 2 hereof, the Company shall have no obligation to indemnify Indemnitee under this Agreement for amounts paid in settlement of any Proceeding unless the Company shall have provided its prior written consent to the terms of such settlement, which consent shall not be unreasonably withheld, conditioned or delayed. The Company shall not settle any Proceeding in any manner that would impose any fine or other obligation on Indemnitee without Indemnitee’s prior written consent, which shall not be unreasonably withheld, conditioned or delayed.</w:t>
      </w:r>
    </w:p>
    <w:p>
      <w:pPr>
        <w:spacing w:after="0" w:line="147" w:lineRule="exact"/>
        <w:rPr>
          <w:sz w:val="20"/>
          <w:szCs w:val="20"/>
          <w:color w:val="auto"/>
        </w:rPr>
      </w:pPr>
    </w:p>
    <w:p>
      <w:pPr>
        <w:ind w:right="40" w:firstLine="597"/>
        <w:spacing w:after="0" w:line="254"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Confidentiality</w:t>
      </w:r>
      <w:r>
        <w:rPr>
          <w:rFonts w:ascii="Arial" w:cs="Arial" w:eastAsia="Arial" w:hAnsi="Arial"/>
          <w:sz w:val="17"/>
          <w:szCs w:val="17"/>
          <w:color w:val="auto"/>
        </w:rPr>
        <w:t>. Except as required by law or as otherwise becomes public, Indemnitee agrees to keep confidential any information that arises in connection with this Agreement, including but not limited to, claims for indemnification of Losses or the advance payment or reimbursement of Expenses, amounts paid or payable under this Agreement and any communications between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21" w:right="339" w:bottom="1440" w:gutter="0" w:footer="0" w:header="0"/>
        </w:sectPr>
      </w:pPr>
    </w:p>
    <w:bookmarkStart w:id="384" w:name="page385"/>
    <w:bookmarkEnd w:id="384"/>
    <w:p>
      <w:pPr>
        <w:ind w:right="80" w:firstLine="597"/>
        <w:spacing w:after="0" w:line="254"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Nonexclusivity</w:t>
      </w:r>
      <w:r>
        <w:rPr>
          <w:rFonts w:ascii="Arial" w:cs="Arial" w:eastAsia="Arial" w:hAnsi="Arial"/>
          <w:sz w:val="17"/>
          <w:szCs w:val="17"/>
          <w:color w:val="auto"/>
        </w:rPr>
        <w:t>. The rights of Indemnitee under this Agreement shall not be deemed exclusive and shall be in addition to, and not in lieu of, any right of indemnification of Losses or the advance payment or reimbursement of Expenses that Indemnitee may have under the Company’s certificate of incorporation or by-laws.</w:t>
      </w:r>
    </w:p>
    <w:p>
      <w:pPr>
        <w:spacing w:after="0" w:line="176" w:lineRule="exact"/>
        <w:rPr>
          <w:sz w:val="20"/>
          <w:szCs w:val="20"/>
          <w:color w:val="auto"/>
        </w:rPr>
      </w:pPr>
    </w:p>
    <w:p>
      <w:pPr>
        <w:jc w:val="both"/>
        <w:ind w:right="80" w:firstLine="597"/>
        <w:spacing w:after="0" w:line="254"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No Duplication of Payments</w:t>
      </w:r>
      <w:r>
        <w:rPr>
          <w:rFonts w:ascii="Arial" w:cs="Arial" w:eastAsia="Arial" w:hAnsi="Arial"/>
          <w:sz w:val="17"/>
          <w:szCs w:val="17"/>
          <w:color w:val="auto"/>
        </w:rPr>
        <w:t>. The Company shall not be liable under this Agreement to make any payment to Indemnitee under this Agreement to the extent that Indemnitee has otherwise actually received payment of such amounts, including pursuant to an insurance policy, from the Company (whether pursuant to a separate payment obligation or a voluntarily payment) or from any other source.</w:t>
      </w:r>
    </w:p>
    <w:p>
      <w:pPr>
        <w:spacing w:after="0" w:line="176" w:lineRule="exact"/>
        <w:rPr>
          <w:sz w:val="20"/>
          <w:szCs w:val="20"/>
          <w:color w:val="auto"/>
        </w:rPr>
      </w:pPr>
    </w:p>
    <w:p>
      <w:pPr>
        <w:ind w:right="40" w:firstLine="597"/>
        <w:spacing w:after="0" w:line="27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Subrogation</w:t>
      </w:r>
      <w:r>
        <w:rPr>
          <w:rFonts w:ascii="Arial" w:cs="Arial" w:eastAsia="Arial" w:hAnsi="Arial"/>
          <w:sz w:val="16"/>
          <w:szCs w:val="16"/>
          <w:color w:val="auto"/>
        </w:rPr>
        <w:t>. In the event of any payment under this Agreement, the Company shall be subrogated to the extent of such payment to all of the rights of recovery of Indemnitee (under any insurance policy or otherwise), who shall execute all papers required and shall do everything necessary to secure such rights, including the execution of such documents necessary to enable the Company to effectively bring suit to enforce such rights.</w:t>
      </w:r>
    </w:p>
    <w:p>
      <w:pPr>
        <w:spacing w:after="0" w:line="159" w:lineRule="exact"/>
        <w:rPr>
          <w:sz w:val="20"/>
          <w:szCs w:val="20"/>
          <w:color w:val="auto"/>
        </w:rPr>
      </w:pPr>
    </w:p>
    <w:p>
      <w:pPr>
        <w:ind w:firstLine="597"/>
        <w:spacing w:after="0" w:line="286" w:lineRule="auto"/>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u w:val="single" w:color="auto"/>
          <w:color w:val="auto"/>
        </w:rPr>
        <w:t>Notice by Indemnitee</w:t>
      </w:r>
      <w:r>
        <w:rPr>
          <w:rFonts w:ascii="Arial" w:cs="Arial" w:eastAsia="Arial" w:hAnsi="Arial"/>
          <w:sz w:val="15"/>
          <w:szCs w:val="15"/>
          <w:color w:val="auto"/>
        </w:rPr>
        <w:t>. Indemnitee shall promptly notify the Company in writing upon the sooner of (a) becoming aware of any Proceeding where indemnification of Losses or the advance payment or reimbursement of Expenses may be sought or (b) being served with any summons, citation, subpoena, complaint, indictment, information or other document relating to any matter which may be subject to indemnification of Losses or the advance payment or reimbursement of Expenses covered hereunder. As a condition to indemnification of Losses or the advance payment or reimbursement of Expenses, any demand for payment by Indemnitee hereunder shall be in writing and shall provide reasonable accounting, certified by Indemnitee’s legal counsel, for the Losses to be paid or the advance payment or reimbursement of Expenses by the Company. The failure of Indemnitee to so notify the Company or any delay in notification shall not relieve the Company of any obligation which it may have to Indemnitee pursuant to this Agreement, except to the extent that the Company shall have been prejudiced by such failure or delay.</w:t>
      </w:r>
    </w:p>
    <w:p>
      <w:pPr>
        <w:spacing w:after="0" w:line="154" w:lineRule="exact"/>
        <w:rPr>
          <w:sz w:val="20"/>
          <w:szCs w:val="20"/>
          <w:color w:val="auto"/>
        </w:rPr>
      </w:pPr>
    </w:p>
    <w:p>
      <w:pPr>
        <w:ind w:firstLine="597"/>
        <w:spacing w:after="0" w:line="264"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part of this Agreement.</w:t>
      </w:r>
    </w:p>
    <w:p>
      <w:pPr>
        <w:spacing w:after="0" w:line="167" w:lineRule="exact"/>
        <w:rPr>
          <w:sz w:val="20"/>
          <w:szCs w:val="20"/>
          <w:color w:val="auto"/>
        </w:rPr>
      </w:pPr>
    </w:p>
    <w:p>
      <w:pPr>
        <w:ind w:right="280" w:firstLine="597"/>
        <w:spacing w:after="0" w:line="264"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inure to the benefit of, Indemnitee and Indemnitee’s heirs, personal representatives, executors and administrators and upon the Company and its successors and assigns.</w:t>
      </w:r>
    </w:p>
    <w:p>
      <w:pPr>
        <w:spacing w:after="0" w:line="167" w:lineRule="exact"/>
        <w:rPr>
          <w:sz w:val="20"/>
          <w:szCs w:val="20"/>
          <w:color w:val="auto"/>
        </w:rPr>
      </w:pPr>
    </w:p>
    <w:p>
      <w:pPr>
        <w:ind w:right="160" w:firstLine="597"/>
        <w:spacing w:after="0" w:line="264"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for all purposes be deemed to be an original but all of which together shall constitute one and the same Agreement.</w:t>
      </w:r>
    </w:p>
    <w:p>
      <w:pPr>
        <w:spacing w:after="0" w:line="167" w:lineRule="exact"/>
        <w:rPr>
          <w:sz w:val="20"/>
          <w:szCs w:val="20"/>
          <w:color w:val="auto"/>
        </w:rPr>
      </w:pPr>
    </w:p>
    <w:p>
      <w:pPr>
        <w:ind w:right="240" w:firstLine="597"/>
        <w:spacing w:after="0" w:line="264"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the paragraphs of this Agreement are inserted for convenience only and shall not be deemed to constitute part of this Agreement or to affect the construction thereof.</w:t>
      </w:r>
    </w:p>
    <w:p>
      <w:pPr>
        <w:spacing w:after="0" w:line="167" w:lineRule="exact"/>
        <w:rPr>
          <w:sz w:val="20"/>
          <w:szCs w:val="20"/>
          <w:color w:val="auto"/>
        </w:rPr>
      </w:pPr>
    </w:p>
    <w:p>
      <w:pPr>
        <w:ind w:firstLine="597"/>
        <w:spacing w:after="0" w:line="254"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6" w:lineRule="exact"/>
        <w:rPr>
          <w:sz w:val="20"/>
          <w:szCs w:val="20"/>
          <w:color w:val="auto"/>
        </w:rPr>
      </w:pPr>
    </w:p>
    <w:p>
      <w:pPr>
        <w:ind w:right="60" w:firstLine="597"/>
        <w:spacing w:after="0" w:line="254"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hereunder shall be in writing and shall be deemed to have been duly given (i) if delivered by hand, on the date delivered, or (ii) if sent by guaranteed overnight courier service, with postage prepaid, on the business day after the date on which it is 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21" w:right="339" w:bottom="1440" w:gutter="0" w:footer="0" w:header="0"/>
        </w:sectPr>
      </w:pPr>
    </w:p>
    <w:bookmarkStart w:id="385" w:name="page386"/>
    <w:bookmarkEnd w:id="385"/>
    <w:p>
      <w:pPr>
        <w:ind w:left="1920" w:hanging="721"/>
        <w:spacing w:after="0"/>
        <w:tabs>
          <w:tab w:leader="none" w:pos="19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If to Indemnitee,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815975</wp:posOffset>
            </wp:positionV>
            <wp:extent cx="149352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93520" cy="7620"/>
                    </a:xfrm>
                    <a:prstGeom prst="rect">
                      <a:avLst/>
                    </a:prstGeom>
                    <a:noFill/>
                  </pic:spPr>
                </pic:pic>
              </a:graphicData>
            </a:graphic>
          </wp:anchor>
        </w:drawing>
        <w:drawing>
          <wp:anchor simplePos="0" relativeHeight="251657728" behindDoc="1" locked="0" layoutInCell="0" allowOverlap="1">
            <wp:simplePos x="0" y="0"/>
            <wp:positionH relativeFrom="column">
              <wp:posOffset>1216660</wp:posOffset>
            </wp:positionH>
            <wp:positionV relativeFrom="paragraph">
              <wp:posOffset>657860</wp:posOffset>
            </wp:positionV>
            <wp:extent cx="149352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93520" cy="7620"/>
                    </a:xfrm>
                    <a:prstGeom prst="rect">
                      <a:avLst/>
                    </a:prstGeom>
                    <a:noFill/>
                  </pic:spPr>
                </pic:pic>
              </a:graphicData>
            </a:graphic>
          </wp:anchor>
        </w:drawing>
        <w:drawing>
          <wp:anchor simplePos="0" relativeHeight="251657728" behindDoc="1" locked="0" layoutInCell="0" allowOverlap="1">
            <wp:simplePos x="0" y="0"/>
            <wp:positionH relativeFrom="column">
              <wp:posOffset>1216660</wp:posOffset>
            </wp:positionH>
            <wp:positionV relativeFrom="paragraph">
              <wp:posOffset>500380</wp:posOffset>
            </wp:positionV>
            <wp:extent cx="14935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93520" cy="7620"/>
                    </a:xfrm>
                    <a:prstGeom prst="rect">
                      <a:avLst/>
                    </a:prstGeom>
                    <a:noFill/>
                  </pic:spPr>
                </pic:pic>
              </a:graphicData>
            </a:graphic>
          </wp:anchor>
        </w:drawing>
        <w:drawing>
          <wp:anchor simplePos="0" relativeHeight="251657728" behindDoc="1" locked="0" layoutInCell="0" allowOverlap="1">
            <wp:simplePos x="0" y="0"/>
            <wp:positionH relativeFrom="column">
              <wp:posOffset>1216660</wp:posOffset>
            </wp:positionH>
            <wp:positionV relativeFrom="paragraph">
              <wp:posOffset>342265</wp:posOffset>
            </wp:positionV>
            <wp:extent cx="149352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935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00" w:hanging="701"/>
        <w:spacing w:after="0"/>
        <w:tabs>
          <w:tab w:leader="none" w:pos="190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If to Company, to:</w:t>
      </w:r>
    </w:p>
    <w:p>
      <w:pPr>
        <w:spacing w:after="0" w:line="30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Leonardo DRS, Inc.</w:t>
      </w:r>
    </w:p>
    <w:p>
      <w:pPr>
        <w:spacing w:after="0" w:line="5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2345 Crystal Drive, Suite 1000</w:t>
      </w:r>
    </w:p>
    <w:p>
      <w:pPr>
        <w:spacing w:after="0" w:line="5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Arlington, Virginia 22202</w:t>
      </w:r>
    </w:p>
    <w:p>
      <w:pPr>
        <w:spacing w:after="0" w:line="5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General Counsel</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may be furnished to Indemnitee by the Company or to the Company by Indemnitee, as the case may be.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and enforced in accordance with, the laws of the State of Delaware.</w:t>
      </w:r>
    </w:p>
    <w:p>
      <w:pPr>
        <w:spacing w:after="0" w:line="226" w:lineRule="exact"/>
        <w:rPr>
          <w:sz w:val="20"/>
          <w:szCs w:val="20"/>
          <w:color w:val="auto"/>
        </w:rPr>
      </w:pPr>
    </w:p>
    <w:p>
      <w:pPr>
        <w:ind w:firstLine="597"/>
        <w:spacing w:after="0" w:line="264"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Venue</w:t>
      </w:r>
      <w:r>
        <w:rPr>
          <w:rFonts w:ascii="Arial" w:cs="Arial" w:eastAsia="Arial" w:hAnsi="Arial"/>
          <w:sz w:val="17"/>
          <w:szCs w:val="17"/>
          <w:color w:val="auto"/>
        </w:rPr>
        <w:t>. Any action, suit or proceeding regarding indemnification of Losses or the advance payment or reimbursement of Expenses arising out of this Agreement or otherwise shall only be brought and heard in the Delaware Court of Chancery.</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20"/>
          </w:cols>
          <w:pgMar w:left="320" w:top="1371" w:right="559" w:bottom="1440" w:gutter="0" w:footer="0" w:header="0"/>
        </w:sectPr>
      </w:pPr>
    </w:p>
    <w:bookmarkStart w:id="386" w:name="page387"/>
    <w:bookmarkEnd w:id="386"/>
    <w:p>
      <w:pPr>
        <w:ind w:left="580"/>
        <w:spacing w:after="0"/>
        <w:rPr>
          <w:sz w:val="20"/>
          <w:szCs w:val="20"/>
          <w:color w:val="auto"/>
        </w:rPr>
      </w:pPr>
      <w:r>
        <w:rPr>
          <w:rFonts w:ascii="Arial" w:cs="Arial" w:eastAsia="Arial" w:hAnsi="Arial"/>
          <w:sz w:val="17"/>
          <w:szCs w:val="17"/>
          <w:color w:val="auto"/>
        </w:rPr>
        <w:t>IN WITNESS WHEREOF, the parties hereto have executed this Agreement on the day and year first above written.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LEONARDO DRS,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5494655</wp:posOffset>
            </wp:positionH>
            <wp:positionV relativeFrom="paragraph">
              <wp:posOffset>175895</wp:posOffset>
            </wp:positionV>
            <wp:extent cx="16357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270"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By:</w:t>
      </w:r>
    </w:p>
    <w:p>
      <w:pPr>
        <w:spacing w:after="0" w:line="5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Name:</w:t>
      </w:r>
    </w:p>
    <w:p>
      <w:pPr>
        <w:spacing w:after="0" w:line="5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Title:</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AGREED TO AND ACCEPTED BY:</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326390</wp:posOffset>
            </wp:positionV>
            <wp:extent cx="24339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33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Indemnification Agreement</w:t>
      </w:r>
      <w:r>
        <w:rPr>
          <w:rFonts w:ascii="Arial" w:cs="Arial" w:eastAsia="Arial" w:hAnsi="Arial"/>
          <w:sz w:val="17"/>
          <w:szCs w:val="17"/>
          <w:color w:val="auto"/>
        </w:rPr>
        <w:t>]</w:t>
      </w:r>
    </w:p>
    <w:p>
      <w:pPr>
        <w:sectPr>
          <w:pgSz w:w="11900" w:h="16838" w:orient="portrait"/>
          <w:cols w:equalWidth="0" w:num="1">
            <w:col w:w="10360"/>
          </w:cols>
          <w:pgMar w:left="340" w:top="1321" w:right="1199" w:bottom="1440" w:gutter="0" w:footer="0" w:header="0"/>
        </w:sectPr>
      </w:pPr>
    </w:p>
    <w:bookmarkStart w:id="387" w:name="page388"/>
    <w:bookmarkEnd w:id="387"/>
    <w:p>
      <w:pPr>
        <w:ind w:left="10300"/>
        <w:spacing w:after="0"/>
        <w:rPr>
          <w:sz w:val="20"/>
          <w:szCs w:val="20"/>
          <w:color w:val="auto"/>
        </w:rPr>
      </w:pPr>
      <w:r>
        <w:rPr>
          <w:rFonts w:ascii="Arial" w:cs="Arial" w:eastAsia="Arial" w:hAnsi="Arial"/>
          <w:sz w:val="15"/>
          <w:szCs w:val="15"/>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Leonardo DRS,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OMNIBUS EQUITY COMPENSATION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GRANT NOTICE</w:t>
      </w:r>
    </w:p>
    <w:p>
      <w:pPr>
        <w:spacing w:after="0" w:line="212"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20"/>
          <w:szCs w:val="20"/>
          <w:color w:val="auto"/>
        </w:rPr>
        <w:t>Leonardo DRS,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2021 Omnibus Equity Compensation Plan (the “</w:t>
      </w:r>
      <w:r>
        <w:rPr>
          <w:rFonts w:ascii="Arial" w:cs="Arial" w:eastAsia="Arial" w:hAnsi="Arial"/>
          <w:sz w:val="20"/>
          <w:szCs w:val="20"/>
          <w:u w:val="single" w:color="auto"/>
          <w:color w:val="auto"/>
        </w:rPr>
        <w:t>Plan</w:t>
      </w:r>
      <w:r>
        <w:rPr>
          <w:rFonts w:ascii="Arial" w:cs="Arial" w:eastAsia="Arial" w:hAnsi="Arial"/>
          <w:sz w:val="20"/>
          <w:szCs w:val="20"/>
          <w:color w:val="auto"/>
        </w:rPr>
        <w:t>”), hereby grants to the participant listed below (“</w:t>
      </w:r>
      <w:r>
        <w:rPr>
          <w:rFonts w:ascii="Arial" w:cs="Arial" w:eastAsia="Arial" w:hAnsi="Arial"/>
          <w:sz w:val="20"/>
          <w:szCs w:val="20"/>
          <w:u w:val="single" w:color="auto"/>
          <w:color w:val="auto"/>
        </w:rPr>
        <w:t>Participant</w:t>
      </w:r>
      <w:r>
        <w:rPr>
          <w:rFonts w:ascii="Arial" w:cs="Arial" w:eastAsia="Arial" w:hAnsi="Arial"/>
          <w:sz w:val="20"/>
          <w:szCs w:val="20"/>
          <w:color w:val="auto"/>
        </w:rPr>
        <w:t>”), an award of restricted stock units (“</w:t>
      </w:r>
      <w:r>
        <w:rPr>
          <w:rFonts w:ascii="Arial" w:cs="Arial" w:eastAsia="Arial" w:hAnsi="Arial"/>
          <w:sz w:val="20"/>
          <w:szCs w:val="20"/>
          <w:u w:val="single" w:color="auto"/>
          <w:color w:val="auto"/>
        </w:rPr>
        <w:t>Restricted Stock Units</w:t>
      </w:r>
      <w:r>
        <w:rPr>
          <w:rFonts w:ascii="Arial" w:cs="Arial" w:eastAsia="Arial" w:hAnsi="Arial"/>
          <w:sz w:val="20"/>
          <w:szCs w:val="20"/>
          <w:color w:val="auto"/>
        </w:rPr>
        <w:t>” or “</w:t>
      </w:r>
      <w:r>
        <w:rPr>
          <w:rFonts w:ascii="Arial" w:cs="Arial" w:eastAsia="Arial" w:hAnsi="Arial"/>
          <w:sz w:val="20"/>
          <w:szCs w:val="20"/>
          <w:u w:val="single" w:color="auto"/>
          <w:color w:val="auto"/>
        </w:rPr>
        <w:t>RSUs</w:t>
      </w:r>
      <w:r>
        <w:rPr>
          <w:rFonts w:ascii="Arial" w:cs="Arial" w:eastAsia="Arial" w:hAnsi="Arial"/>
          <w:sz w:val="20"/>
          <w:szCs w:val="20"/>
          <w:color w:val="auto"/>
        </w:rPr>
        <w:t>”) with respect to the number of shares of the Company’s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indicated below. This award for Restricted Stock Units (this “</w:t>
      </w:r>
      <w:r>
        <w:rPr>
          <w:rFonts w:ascii="Arial" w:cs="Arial" w:eastAsia="Arial" w:hAnsi="Arial"/>
          <w:sz w:val="20"/>
          <w:szCs w:val="20"/>
          <w:u w:val="single" w:color="auto"/>
          <w:color w:val="auto"/>
        </w:rPr>
        <w:t>Award</w:t>
      </w:r>
      <w:r>
        <w:rPr>
          <w:rFonts w:ascii="Arial" w:cs="Arial" w:eastAsia="Arial" w:hAnsi="Arial"/>
          <w:sz w:val="20"/>
          <w:szCs w:val="20"/>
          <w:color w:val="auto"/>
        </w:rPr>
        <w:t xml:space="preserve">”) is subject to all of the terms and conditions as set forth herein, in the Restricted Stock Unit Award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Restricted Stock Unit Agreement</w:t>
      </w:r>
      <w:r>
        <w:rPr>
          <w:rFonts w:ascii="Arial" w:cs="Arial" w:eastAsia="Arial" w:hAnsi="Arial"/>
          <w:sz w:val="20"/>
          <w:szCs w:val="20"/>
          <w:color w:val="auto"/>
        </w:rPr>
        <w:t>”) and in the Plan, each of which are incorporated herein by reference. Unless otherwise defined herein, the terms defined in the Plan shall have the same defined meanings in this Grant Notice and the Restricted Stock Unit Agreement.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328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28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280" w:type="dxa"/>
            <w:vAlign w:val="bottom"/>
          </w:tcPr>
          <w:p>
            <w:pPr>
              <w:spacing w:after="0"/>
              <w:rPr>
                <w:sz w:val="20"/>
                <w:szCs w:val="20"/>
                <w:color w:val="auto"/>
              </w:rPr>
            </w:pPr>
            <w:r>
              <w:rPr>
                <w:rFonts w:ascii="Arial" w:cs="Arial" w:eastAsia="Arial" w:hAnsi="Arial"/>
                <w:sz w:val="20"/>
                <w:szCs w:val="20"/>
                <w:b w:val="1"/>
                <w:bCs w:val="1"/>
                <w:color w:val="auto"/>
              </w:rPr>
              <w:t>Total Number of RSUs:</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280" w:type="dxa"/>
            <w:vAlign w:val="bottom"/>
          </w:tcPr>
          <w:p>
            <w:pPr>
              <w:spacing w:after="0"/>
              <w:rPr>
                <w:sz w:val="20"/>
                <w:szCs w:val="20"/>
                <w:color w:val="auto"/>
              </w:rPr>
            </w:pPr>
            <w:r>
              <w:rPr>
                <w:rFonts w:ascii="Arial" w:cs="Arial" w:eastAsia="Arial" w:hAnsi="Arial"/>
                <w:sz w:val="20"/>
                <w:szCs w:val="20"/>
                <w:b w:val="1"/>
                <w:bCs w:val="1"/>
                <w:color w:val="auto"/>
              </w:rPr>
              <w:t>Distribution Schedule:</w:t>
            </w:r>
          </w:p>
        </w:tc>
        <w:tc>
          <w:tcPr>
            <w:tcW w:w="7620" w:type="dxa"/>
            <w:vAlign w:val="bottom"/>
            <w:gridSpan w:val="4"/>
          </w:tcPr>
          <w:p>
            <w:pPr>
              <w:spacing w:after="0"/>
              <w:rPr>
                <w:sz w:val="20"/>
                <w:szCs w:val="20"/>
                <w:color w:val="auto"/>
              </w:rPr>
            </w:pPr>
            <w:r>
              <w:rPr>
                <w:rFonts w:ascii="Arial" w:cs="Arial" w:eastAsia="Arial" w:hAnsi="Arial"/>
                <w:sz w:val="20"/>
                <w:szCs w:val="20"/>
                <w:color w:val="auto"/>
                <w:w w:val="91"/>
              </w:rPr>
              <w:t>Subject to the terms of the Restricted Stock Unit Agreement, the RSUs shall be distributable in</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7620" w:type="dxa"/>
            <w:vAlign w:val="bottom"/>
            <w:gridSpan w:val="4"/>
          </w:tcPr>
          <w:p>
            <w:pPr>
              <w:spacing w:after="0" w:line="206" w:lineRule="exact"/>
              <w:rPr>
                <w:sz w:val="20"/>
                <w:szCs w:val="20"/>
                <w:color w:val="auto"/>
              </w:rPr>
            </w:pPr>
            <w:r>
              <w:rPr>
                <w:rFonts w:ascii="Arial" w:cs="Arial" w:eastAsia="Arial" w:hAnsi="Arial"/>
                <w:sz w:val="20"/>
                <w:szCs w:val="20"/>
                <w:color w:val="auto"/>
              </w:rPr>
              <w:t>accordance with Section 1.1 of the Restricted Stock Unit Agreement.</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20"/>
                <w:szCs w:val="20"/>
                <w:b w:val="1"/>
                <w:bCs w:val="1"/>
                <w:color w:val="auto"/>
              </w:rPr>
              <w:t>Vesting Schedule:</w:t>
            </w: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3280" w:type="dxa"/>
            <w:vAlign w:val="bottom"/>
            <w:vMerge w:val="continue"/>
          </w:tcPr>
          <w:p>
            <w:pPr>
              <w:spacing w:after="0"/>
              <w:rPr>
                <w:sz w:val="24"/>
                <w:szCs w:val="24"/>
                <w:color w:val="auto"/>
              </w:rPr>
            </w:pPr>
          </w:p>
        </w:tc>
        <w:tc>
          <w:tcPr>
            <w:tcW w:w="7620" w:type="dxa"/>
            <w:vAlign w:val="bottom"/>
            <w:gridSpan w:val="4"/>
          </w:tcPr>
          <w:p>
            <w:pPr>
              <w:spacing w:after="0"/>
              <w:rPr>
                <w:sz w:val="20"/>
                <w:szCs w:val="20"/>
                <w:color w:val="auto"/>
              </w:rPr>
            </w:pPr>
            <w:r>
              <w:rPr>
                <w:rFonts w:ascii="Arial" w:cs="Arial" w:eastAsia="Arial" w:hAnsi="Arial"/>
                <w:sz w:val="20"/>
                <w:szCs w:val="20"/>
                <w:color w:val="auto"/>
                <w:w w:val="89"/>
              </w:rPr>
              <w:t>Subject to the terms of the Restricted Stock Unit Agreement, the RSUs shall vest as set forth on</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7620" w:type="dxa"/>
            <w:vAlign w:val="bottom"/>
            <w:gridSpan w:val="4"/>
          </w:tcPr>
          <w:p>
            <w:pPr>
              <w:spacing w:after="0" w:line="206" w:lineRule="exact"/>
              <w:rPr>
                <w:sz w:val="20"/>
                <w:szCs w:val="20"/>
                <w:color w:val="auto"/>
              </w:rPr>
            </w:pPr>
            <w:r>
              <w:rPr>
                <w:rFonts w:ascii="Arial" w:cs="Arial" w:eastAsia="Arial" w:hAnsi="Arial"/>
                <w:sz w:val="20"/>
                <w:szCs w:val="20"/>
                <w:color w:val="auto"/>
              </w:rPr>
              <w:t>Exhibit B to this Grant Notice.</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597"/>
        <w:spacing w:after="0" w:line="280" w:lineRule="auto"/>
        <w:rPr>
          <w:sz w:val="20"/>
          <w:szCs w:val="20"/>
          <w:color w:val="auto"/>
        </w:rPr>
      </w:pPr>
      <w:r>
        <w:rPr>
          <w:rFonts w:ascii="Arial" w:cs="Arial" w:eastAsia="Arial" w:hAnsi="Arial"/>
          <w:sz w:val="18"/>
          <w:szCs w:val="18"/>
          <w:color w:val="auto"/>
        </w:rPr>
        <w:t>By electronically accepting this Restricted Stock Unit Agreement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Participant agrees to be bound by the terms and conditions of the Plan, the Restricted Stock Unit Agreement and this Grant Notice. In addition, Participant explicitly acknowledges and agrees to be bound by the Restrictive Covenants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of the Restricted Stock Unit Agreement. Participant has reviewed the Restricted Stock Unit Agreement, the Plan and this Grant Notice in their entirety, has had an opportunity to obtain the advice of counsel prior to executing this Grant Notice and fully understands all provisions of this Grant Notice, the Restricted Stock Unit Agreement and the Plan. Participant has been provided with a copy or electronic access to a copy of the prospectus for the Plan. Participant hereby agrees to accept as binding, conclusive and final all decisions or interpretations of the Board (or any Committee to which administration of the Plan has been delegated by the Board) upon any questions arising under the Plan, this Grant Notice or the Restricted Stock Unit Agreement. The Award is subject to the terms and conditions of the Plan which are incorporated herein by reference. In the event of any inconsistency between the Plan and the Restricted Stock Unit Agreement, the terms of the Plan shall control.</w:t>
      </w:r>
    </w:p>
    <w:p>
      <w:pPr>
        <w:spacing w:after="0" w:line="149"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auto"/>
        </w:rPr>
        <w:t>Participant acknowledges that his or her acceptance of the terms and conditions of the Plan, the Restricted Stock Unit Agreement and this Grant Notice by his or her signature or electronic acceptance of the Restricted Stock Unit Agreement is a condition to the receipt of this Award. As a result, unless otherwise determined by the Board (or any Committee to which</w:t>
      </w:r>
    </w:p>
    <w:p>
      <w:pPr>
        <w:sectPr>
          <w:pgSz w:w="11900" w:h="16838" w:orient="portrait"/>
          <w:cols w:equalWidth="0" w:num="1">
            <w:col w:w="11240"/>
          </w:cols>
          <w:pgMar w:left="320" w:top="123" w:right="339" w:bottom="1440" w:gutter="0" w:footer="0" w:header="0"/>
        </w:sectPr>
      </w:pPr>
    </w:p>
    <w:bookmarkStart w:id="388" w:name="page389"/>
    <w:bookmarkEnd w:id="388"/>
    <w:p>
      <w:pPr>
        <w:spacing w:after="0" w:line="298" w:lineRule="auto"/>
        <w:rPr>
          <w:sz w:val="20"/>
          <w:szCs w:val="20"/>
          <w:color w:val="auto"/>
        </w:rPr>
      </w:pPr>
      <w:r>
        <w:rPr>
          <w:rFonts w:ascii="Arial" w:cs="Arial" w:eastAsia="Arial" w:hAnsi="Arial"/>
          <w:sz w:val="19"/>
          <w:szCs w:val="19"/>
          <w:color w:val="auto"/>
        </w:rPr>
        <w:t>administration of the Plan has been delegated by the Board), in the event Participant does not sign or electronically accept this Grant Notice within thirty (30) days of the Grant Date, this Award shall be forfeited and Participant shall have no further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27" w:right="339" w:bottom="1440" w:gutter="0" w:footer="0" w:header="0"/>
        </w:sectPr>
      </w:pPr>
    </w:p>
    <w:bookmarkStart w:id="389" w:name="page390"/>
    <w:bookmarkEnd w:id="389"/>
    <w:p>
      <w:pPr>
        <w:jc w:val="center"/>
        <w:spacing w:after="0"/>
        <w:rPr>
          <w:sz w:val="20"/>
          <w:szCs w:val="20"/>
          <w:color w:val="auto"/>
        </w:rPr>
      </w:pPr>
      <w:r>
        <w:rPr>
          <w:rFonts w:ascii="Arial" w:cs="Arial" w:eastAsia="Arial" w:hAnsi="Arial"/>
          <w:sz w:val="20"/>
          <w:szCs w:val="20"/>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12"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auto"/>
        </w:rPr>
        <w:t>Pursuant to the Restricted Stock Unit Award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to which this Restricted Stock Unit Award Agreement (this “</w:t>
      </w:r>
      <w:r>
        <w:rPr>
          <w:rFonts w:ascii="Arial" w:cs="Arial" w:eastAsia="Arial" w:hAnsi="Arial"/>
          <w:sz w:val="20"/>
          <w:szCs w:val="20"/>
          <w:u w:val="single" w:color="auto"/>
          <w:color w:val="auto"/>
        </w:rPr>
        <w:t>Agreemen</w:t>
      </w:r>
      <w:r>
        <w:rPr>
          <w:rFonts w:ascii="Arial" w:cs="Arial" w:eastAsia="Arial" w:hAnsi="Arial"/>
          <w:sz w:val="20"/>
          <w:szCs w:val="20"/>
          <w:color w:val="auto"/>
        </w:rPr>
        <w:t>t”) is attached, the Company has granted to Participant the right to receive the number of RSUs set forth in the Grant Notice, subject to all of the terms and conditions set forth in this Agreement, the Grant Notice and the Plan.</w:t>
      </w:r>
    </w:p>
    <w:p>
      <w:pPr>
        <w:spacing w:after="0" w:line="161"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I</w:t>
      </w:r>
    </w:p>
    <w:p>
      <w:pPr>
        <w:spacing w:after="0" w:line="206"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AWARD OF RESTRICTED STOCK UNITS</w:t>
      </w:r>
    </w:p>
    <w:p>
      <w:pPr>
        <w:spacing w:after="0" w:line="212" w:lineRule="exact"/>
        <w:rPr>
          <w:sz w:val="20"/>
          <w:szCs w:val="20"/>
          <w:color w:val="auto"/>
        </w:rPr>
      </w:pPr>
    </w:p>
    <w:p>
      <w:pPr>
        <w:ind w:left="60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w:t>
      </w:r>
    </w:p>
    <w:p>
      <w:pPr>
        <w:spacing w:after="0" w:line="206" w:lineRule="exact"/>
        <w:rPr>
          <w:sz w:val="20"/>
          <w:szCs w:val="20"/>
          <w:color w:val="auto"/>
        </w:rPr>
      </w:pPr>
    </w:p>
    <w:p>
      <w:pPr>
        <w:jc w:val="both"/>
        <w:ind w:firstLine="597"/>
        <w:spacing w:after="0" w:line="292" w:lineRule="auto"/>
        <w:tabs>
          <w:tab w:leader="none" w:pos="1067" w:val="left"/>
        </w:tabs>
        <w:numPr>
          <w:ilvl w:val="0"/>
          <w:numId w:val="266"/>
        </w:numPr>
        <w:rPr>
          <w:rFonts w:ascii="Arial" w:cs="Arial" w:eastAsia="Arial" w:hAnsi="Arial"/>
          <w:sz w:val="18"/>
          <w:szCs w:val="18"/>
          <w:color w:val="010000"/>
        </w:rPr>
      </w:pPr>
      <w:r>
        <w:rPr>
          <w:rFonts w:ascii="Arial" w:cs="Arial" w:eastAsia="Arial" w:hAnsi="Arial"/>
          <w:sz w:val="18"/>
          <w:szCs w:val="18"/>
          <w:u w:val="single" w:color="auto"/>
          <w:color w:val="auto"/>
        </w:rPr>
        <w:t>Award</w:t>
      </w:r>
      <w:r>
        <w:rPr>
          <w:rFonts w:ascii="Arial" w:cs="Arial" w:eastAsia="Arial" w:hAnsi="Arial"/>
          <w:sz w:val="18"/>
          <w:szCs w:val="18"/>
          <w:color w:val="auto"/>
        </w:rPr>
        <w:t>. In consideration of Participant’s continued employment or service with the Company or any Affiliate thereof and for other good and valuable consideration, the Company hereby grants to Participant the right to receive the number of RSUs set forth in the Grant Notice, subject to the terms and conditions set forth in this Agreement, the Grant Notice and the Plan. Prior to actual issuance of any Shares, the Award represents an unsecured obligation of the Company, payable only from the general assets of the Company.</w:t>
      </w:r>
    </w:p>
    <w:p>
      <w:pPr>
        <w:spacing w:after="0" w:line="137" w:lineRule="exact"/>
        <w:rPr>
          <w:rFonts w:ascii="Arial" w:cs="Arial" w:eastAsia="Arial" w:hAnsi="Arial"/>
          <w:sz w:val="18"/>
          <w:szCs w:val="18"/>
          <w:color w:val="010000"/>
        </w:rPr>
      </w:pPr>
    </w:p>
    <w:p>
      <w:pPr>
        <w:jc w:val="both"/>
        <w:ind w:firstLine="597"/>
        <w:spacing w:after="0" w:line="250" w:lineRule="auto"/>
        <w:tabs>
          <w:tab w:leader="none" w:pos="1053" w:val="left"/>
        </w:tabs>
        <w:numPr>
          <w:ilvl w:val="0"/>
          <w:numId w:val="266"/>
        </w:numPr>
        <w:rPr>
          <w:rFonts w:ascii="Arial" w:cs="Arial" w:eastAsia="Arial" w:hAnsi="Arial"/>
          <w:sz w:val="20"/>
          <w:szCs w:val="20"/>
          <w:color w:val="010000"/>
        </w:rPr>
      </w:pP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The RSUs subject to the Award shall vest in accordance with the Vesting Schedule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Grant Notice. Unless and until the RSUs have vested in accordance with the Vesting Schedule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Grant Notice, Participant will have no right to any distribution with respect to such RSUs. Unless otherwise provided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Grant Notice or in an employment agreement or other arrangement of the Company or its Affiliates, in the event of Participant’s termination of Employment prior to the vesting of all of the RSUs, any unvested RSUs will terminate automatically without any further action by the Company and be forfeited without further notice and at no cost to the Company. Notwithstanding anything to the contrary herein or in Exhibit B to the Grant Notice, in the event Participant’s Employment is terminated due to death or Disability, the RSUs shall fully vest on the date of Participant’s death or Disability, as applicable.</w:t>
      </w:r>
    </w:p>
    <w:p>
      <w:pPr>
        <w:spacing w:after="0" w:line="174" w:lineRule="exact"/>
        <w:rPr>
          <w:rFonts w:ascii="Arial" w:cs="Arial" w:eastAsia="Arial" w:hAnsi="Arial"/>
          <w:sz w:val="20"/>
          <w:szCs w:val="20"/>
          <w:color w:val="010000"/>
        </w:rPr>
      </w:pPr>
    </w:p>
    <w:p>
      <w:pPr>
        <w:ind w:left="1020" w:hanging="423"/>
        <w:spacing w:after="0"/>
        <w:tabs>
          <w:tab w:leader="none" w:pos="1020" w:val="left"/>
        </w:tabs>
        <w:numPr>
          <w:ilvl w:val="0"/>
          <w:numId w:val="266"/>
        </w:numPr>
        <w:rPr>
          <w:rFonts w:ascii="Arial" w:cs="Arial" w:eastAsia="Arial" w:hAnsi="Arial"/>
          <w:sz w:val="20"/>
          <w:szCs w:val="20"/>
          <w:color w:val="010000"/>
        </w:rPr>
      </w:pPr>
      <w:r>
        <w:rPr>
          <w:rFonts w:ascii="Arial" w:cs="Arial" w:eastAsia="Arial" w:hAnsi="Arial"/>
          <w:sz w:val="20"/>
          <w:szCs w:val="20"/>
          <w:u w:val="single" w:color="auto"/>
          <w:color w:val="auto"/>
        </w:rPr>
        <w:t>Distribution of RSUs</w:t>
      </w:r>
      <w:r>
        <w:rPr>
          <w:rFonts w:ascii="Arial" w:cs="Arial" w:eastAsia="Arial" w:hAnsi="Arial"/>
          <w:sz w:val="20"/>
          <w:szCs w:val="20"/>
          <w:color w:val="auto"/>
        </w:rPr>
        <w:t>.</w:t>
      </w:r>
    </w:p>
    <w:p>
      <w:pPr>
        <w:spacing w:after="0" w:line="205" w:lineRule="exact"/>
        <w:rPr>
          <w:rFonts w:ascii="Arial" w:cs="Arial" w:eastAsia="Arial" w:hAnsi="Arial"/>
          <w:sz w:val="20"/>
          <w:szCs w:val="20"/>
          <w:color w:val="010000"/>
        </w:rPr>
      </w:pPr>
    </w:p>
    <w:p>
      <w:pPr>
        <w:jc w:val="both"/>
        <w:ind w:firstLine="1194"/>
        <w:spacing w:after="0" w:line="254" w:lineRule="auto"/>
        <w:tabs>
          <w:tab w:leader="none" w:pos="1693" w:val="left"/>
        </w:tabs>
        <w:numPr>
          <w:ilvl w:val="1"/>
          <w:numId w:val="266"/>
        </w:numPr>
        <w:rPr>
          <w:rFonts w:ascii="Arial" w:cs="Arial" w:eastAsia="Arial" w:hAnsi="Arial"/>
          <w:sz w:val="20"/>
          <w:szCs w:val="20"/>
          <w:color w:val="010000"/>
        </w:rPr>
      </w:pPr>
      <w:r>
        <w:rPr>
          <w:rFonts w:ascii="Arial" w:cs="Arial" w:eastAsia="Arial" w:hAnsi="Arial"/>
          <w:sz w:val="20"/>
          <w:szCs w:val="20"/>
          <w:color w:val="auto"/>
        </w:rPr>
        <w:t xml:space="preserve">Shares or cash equivalents, as determined by the Committee, shall be distributed to Participant (or in the event of Participant’s death, to his or her estate) with respect to Participant’s vested RSUs within sixty (60) days following the date on which such RSUs vest as specified in the Vesting Schedule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Grant Notice, subject to the terms and provisions of the Plan and this Agreement.</w:t>
      </w:r>
    </w:p>
    <w:p>
      <w:pPr>
        <w:spacing w:after="0" w:line="171" w:lineRule="exact"/>
        <w:rPr>
          <w:rFonts w:ascii="Arial" w:cs="Arial" w:eastAsia="Arial" w:hAnsi="Arial"/>
          <w:sz w:val="20"/>
          <w:szCs w:val="20"/>
          <w:color w:val="010000"/>
        </w:rPr>
      </w:pPr>
    </w:p>
    <w:p>
      <w:pPr>
        <w:ind w:firstLine="1194"/>
        <w:spacing w:after="0" w:line="271" w:lineRule="auto"/>
        <w:tabs>
          <w:tab w:leader="none" w:pos="1761" w:val="left"/>
        </w:tabs>
        <w:numPr>
          <w:ilvl w:val="1"/>
          <w:numId w:val="266"/>
        </w:numPr>
        <w:rPr>
          <w:rFonts w:ascii="Arial" w:cs="Arial" w:eastAsia="Arial" w:hAnsi="Arial"/>
          <w:sz w:val="20"/>
          <w:szCs w:val="20"/>
          <w:color w:val="010000"/>
        </w:rPr>
      </w:pPr>
      <w:r>
        <w:rPr>
          <w:rFonts w:ascii="Arial" w:cs="Arial" w:eastAsia="Arial" w:hAnsi="Arial"/>
          <w:sz w:val="20"/>
          <w:szCs w:val="20"/>
          <w:color w:val="auto"/>
        </w:rPr>
        <w:t>Neither the time nor form of distribution of Shares with respect to the RSUs may be changed, except as may be permitted by the Board (or any Committee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21" w:right="339" w:bottom="1440" w:gutter="0" w:footer="0" w:header="0"/>
        </w:sectPr>
      </w:pPr>
    </w:p>
    <w:bookmarkStart w:id="390" w:name="page391"/>
    <w:bookmarkEnd w:id="390"/>
    <w:p>
      <w:pPr>
        <w:spacing w:after="0" w:line="271" w:lineRule="auto"/>
        <w:rPr>
          <w:sz w:val="20"/>
          <w:szCs w:val="20"/>
          <w:color w:val="auto"/>
        </w:rPr>
      </w:pPr>
      <w:r>
        <w:rPr>
          <w:rFonts w:ascii="Arial" w:cs="Arial" w:eastAsia="Arial" w:hAnsi="Arial"/>
          <w:sz w:val="20"/>
          <w:szCs w:val="20"/>
          <w:color w:val="auto"/>
        </w:rPr>
        <w:t>administration of the Plan has been delegated by the Board) in accordance with the Plan and Section 409A and the Treasury Regulations thereunder.</w:t>
      </w:r>
    </w:p>
    <w:p>
      <w:pPr>
        <w:spacing w:after="0" w:line="153"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06" w:lineRule="exact"/>
        <w:rPr>
          <w:sz w:val="20"/>
          <w:szCs w:val="20"/>
          <w:color w:val="auto"/>
        </w:rPr>
      </w:pPr>
    </w:p>
    <w:p>
      <w:pPr>
        <w:jc w:val="both"/>
        <w:ind w:firstLine="597"/>
        <w:spacing w:after="0" w:line="258" w:lineRule="auto"/>
        <w:tabs>
          <w:tab w:leader="none" w:pos="1055" w:val="left"/>
        </w:tabs>
        <w:numPr>
          <w:ilvl w:val="0"/>
          <w:numId w:val="267"/>
        </w:numPr>
        <w:rPr>
          <w:rFonts w:ascii="Arial" w:cs="Arial" w:eastAsia="Arial" w:hAnsi="Arial"/>
          <w:sz w:val="20"/>
          <w:szCs w:val="20"/>
          <w:color w:val="010000"/>
        </w:rPr>
      </w:pPr>
      <w:r>
        <w:rPr>
          <w:rFonts w:ascii="Arial" w:cs="Arial" w:eastAsia="Arial" w:hAnsi="Arial"/>
          <w:sz w:val="20"/>
          <w:szCs w:val="20"/>
          <w:color w:val="auto"/>
        </w:rPr>
        <w:t>The Company shall have the right to withhold from any delivery of Shares or cash due under the Plan and this Agreement an amount equal to the applicable required withholding obligation in respect of any federal, state or local tax and may satisfy such withholding obligation through any other method contemplated by Section 3.2 of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RESTRICTIONS</w:t>
      </w:r>
    </w:p>
    <w:p>
      <w:pPr>
        <w:spacing w:after="0" w:line="212" w:lineRule="exact"/>
        <w:rPr>
          <w:sz w:val="20"/>
          <w:szCs w:val="20"/>
          <w:color w:val="auto"/>
        </w:rPr>
      </w:pPr>
    </w:p>
    <w:p>
      <w:pPr>
        <w:jc w:val="both"/>
        <w:ind w:firstLine="597"/>
        <w:spacing w:after="0" w:line="28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Award and Interests Not Transferable</w:t>
      </w:r>
      <w:r>
        <w:rPr>
          <w:rFonts w:ascii="Arial" w:cs="Arial" w:eastAsia="Arial" w:hAnsi="Arial"/>
          <w:sz w:val="18"/>
          <w:szCs w:val="18"/>
          <w:color w:val="auto"/>
        </w:rPr>
        <w:t>. This Award, including the RSUs awarded hereunder, may not be sold, pledged, assigned or transferred in any manner other than by will or the laws of descent and distribution, unless and until the Shares issuable pursuant to the Award have been issued, and all restrictions applicable to such Shares have lapsed. This Award and the rights and privileges conferred hereby, including the RSUs awarded hereunder, shall not be liable for the debts, contracts or engagements of Participant or his or her successors in interest and shall not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52" w:lineRule="exact"/>
        <w:rPr>
          <w:sz w:val="20"/>
          <w:szCs w:val="20"/>
          <w:color w:val="auto"/>
        </w:rPr>
      </w:pPr>
    </w:p>
    <w:p>
      <w:pPr>
        <w:jc w:val="both"/>
        <w:ind w:firstLine="597"/>
        <w:spacing w:after="0" w:line="28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shall have any of the rights or privileges of a stockholder of the Company in respect of any Shares issuable hereunder unless and until certificates representing such Shares (which may be in uncertificated form) will have been issued and recorded on the books and records of the Company or its transfer agents or registrars, and delivered to Participant (including through electronic delivery to a brokerage account).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148"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Trading Restrictions</w:t>
      </w:r>
      <w:r>
        <w:rPr>
          <w:rFonts w:ascii="Arial" w:cs="Arial" w:eastAsia="Arial" w:hAnsi="Arial"/>
          <w:sz w:val="20"/>
          <w:szCs w:val="20"/>
          <w:color w:val="auto"/>
        </w:rPr>
        <w:t>. The Company may establish periods from time to time during which Participant’s ability to engage in transactions involving the Company’s Shares is subject to specific restrictions (“</w:t>
      </w:r>
      <w:r>
        <w:rPr>
          <w:rFonts w:ascii="Arial" w:cs="Arial" w:eastAsia="Arial" w:hAnsi="Arial"/>
          <w:sz w:val="20"/>
          <w:szCs w:val="20"/>
          <w:u w:val="single" w:color="auto"/>
          <w:color w:val="auto"/>
        </w:rPr>
        <w:t>Restricted Periods</w:t>
      </w:r>
      <w:r>
        <w:rPr>
          <w:rFonts w:ascii="Arial" w:cs="Arial" w:eastAsia="Arial" w:hAnsi="Arial"/>
          <w:sz w:val="20"/>
          <w:szCs w:val="20"/>
          <w:color w:val="auto"/>
        </w:rPr>
        <w:t>”). Participant may be subject to restrictions giving rise to a Restricted Period for any reason that the Company determines appropriate, including restrictions generally applicable to employees or groups of employees or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327" w:right="339" w:bottom="1440" w:gutter="0" w:footer="0" w:header="0"/>
        </w:sectPr>
      </w:pPr>
    </w:p>
    <w:bookmarkStart w:id="391" w:name="page392"/>
    <w:bookmarkEnd w:id="391"/>
    <w:p>
      <w:pPr>
        <w:jc w:val="both"/>
        <w:spacing w:after="0" w:line="271" w:lineRule="auto"/>
        <w:rPr>
          <w:sz w:val="20"/>
          <w:szCs w:val="20"/>
          <w:color w:val="auto"/>
        </w:rPr>
      </w:pPr>
      <w:r>
        <w:rPr>
          <w:rFonts w:ascii="Arial" w:cs="Arial" w:eastAsia="Arial" w:hAnsi="Arial"/>
          <w:sz w:val="20"/>
          <w:szCs w:val="20"/>
          <w:color w:val="auto"/>
        </w:rPr>
        <w:t>applicable to Participant during an investigation of allegations of misconduct or conduct detrimental to the Company or any Affiliate by Participant.</w:t>
      </w:r>
    </w:p>
    <w:p>
      <w:pPr>
        <w:spacing w:after="0" w:line="153" w:lineRule="exact"/>
        <w:rPr>
          <w:sz w:val="20"/>
          <w:szCs w:val="20"/>
          <w:color w:val="auto"/>
        </w:rPr>
      </w:pPr>
    </w:p>
    <w:p>
      <w:pPr>
        <w:jc w:val="both"/>
        <w:ind w:firstLine="597"/>
        <w:spacing w:after="0" w:line="27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Award Subject to Clawback</w:t>
      </w:r>
      <w:r>
        <w:rPr>
          <w:rFonts w:ascii="Arial" w:cs="Arial" w:eastAsia="Arial" w:hAnsi="Arial"/>
          <w:sz w:val="19"/>
          <w:szCs w:val="19"/>
          <w:color w:val="auto"/>
        </w:rPr>
        <w:t xml:space="preserve">. This Award, including the RSUs awarded hereunder, and any Shares issuable upon vesting of the RSUs, are subject to forfeiture, recovery by the Company or other action pursuant to, in addition to the provisions set forth in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of this Agreement, any clawback or recoupment policy which the Company may adopt from time to time pursuant to laws or regulations, including without limitation, any such policy which the Company may be required to adopt under applicable law.</w:t>
      </w:r>
    </w:p>
    <w:p>
      <w:pPr>
        <w:spacing w:after="0" w:line="154" w:lineRule="exact"/>
        <w:rPr>
          <w:sz w:val="20"/>
          <w:szCs w:val="20"/>
          <w:color w:val="auto"/>
        </w:rPr>
      </w:pPr>
    </w:p>
    <w:p>
      <w:pPr>
        <w:jc w:val="both"/>
        <w:ind w:firstLine="597"/>
        <w:spacing w:after="0" w:line="280"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Conditions to Issuance of Shares or Settlement of Award</w:t>
      </w:r>
      <w:r>
        <w:rPr>
          <w:rFonts w:ascii="Arial" w:cs="Arial" w:eastAsia="Arial" w:hAnsi="Arial"/>
          <w:sz w:val="18"/>
          <w:szCs w:val="18"/>
          <w:color w:val="auto"/>
        </w:rPr>
        <w:t>. The Company shall not be required to issue or deliver any Shares issuable upon the vesting of the RSUs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United States Securities and Exchange Commission or other governmental regulatory body, which the Board (or any Committee to which administration of the Plan has been delegated by the Board) shall, in its sole and absolute discretion, deem necessary and advisable, (c) the obtaining of any approval or other clearance from any state or federal governmental agency that the Board (or any Committee to which administration of the Plan has been delegated by the Board) shall, in its absolute discretion, determine to be necessary or advisable, (d) the lapse of any such reasonable period of time following the date the RSUs vest as the Board (or any Committee to which administration of the Plan has been delegated by the Board) may from time to time establish for reasons of administrative convenience, and (e) the satisfaction of any applicable withholding tax.</w:t>
      </w:r>
    </w:p>
    <w:p>
      <w:pPr>
        <w:spacing w:after="0" w:line="149"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7"/>
          <w:szCs w:val="17"/>
          <w:u w:val="single" w:color="auto"/>
          <w:color w:val="auto"/>
        </w:rPr>
        <w:t>Restrictive Covenants</w:t>
      </w:r>
      <w:r>
        <w:rPr>
          <w:rFonts w:ascii="Arial" w:cs="Arial" w:eastAsia="Arial" w:hAnsi="Arial"/>
          <w:sz w:val="17"/>
          <w:szCs w:val="17"/>
          <w:color w:val="auto"/>
        </w:rPr>
        <w:t>.</w:t>
      </w:r>
    </w:p>
    <w:p>
      <w:pPr>
        <w:spacing w:after="0" w:line="206" w:lineRule="exact"/>
        <w:rPr>
          <w:sz w:val="20"/>
          <w:szCs w:val="20"/>
          <w:color w:val="auto"/>
        </w:rPr>
      </w:pPr>
    </w:p>
    <w:p>
      <w:pPr>
        <w:jc w:val="both"/>
        <w:ind w:firstLine="597"/>
        <w:spacing w:after="0" w:line="250" w:lineRule="auto"/>
        <w:tabs>
          <w:tab w:leader="none" w:pos="1030" w:val="left"/>
        </w:tabs>
        <w:numPr>
          <w:ilvl w:val="0"/>
          <w:numId w:val="268"/>
        </w:numPr>
        <w:rPr>
          <w:rFonts w:ascii="Arial" w:cs="Arial" w:eastAsia="Arial" w:hAnsi="Arial"/>
          <w:sz w:val="20"/>
          <w:szCs w:val="20"/>
          <w:color w:val="010000"/>
        </w:rPr>
      </w:pPr>
      <w:r>
        <w:rPr>
          <w:rFonts w:ascii="Arial" w:cs="Arial" w:eastAsia="Arial" w:hAnsi="Arial"/>
          <w:sz w:val="20"/>
          <w:szCs w:val="20"/>
          <w:u w:val="single" w:color="auto"/>
          <w:color w:val="auto"/>
        </w:rPr>
        <w:t>Certain Covenants</w:t>
      </w:r>
      <w:r>
        <w:rPr>
          <w:rFonts w:ascii="Arial" w:cs="Arial" w:eastAsia="Arial" w:hAnsi="Arial"/>
          <w:sz w:val="20"/>
          <w:szCs w:val="20"/>
          <w:color w:val="auto"/>
        </w:rPr>
        <w:t>. Participant acknowledges that, to assist Participant in the performance of Participant’s duties, the Company agrees to provide and shall provide and has provided Participant with Confidential Information (as defined below) and materials. Due to the sensitive nature of this Confidential Information, Participant acknowledges that the Company has legitimate business and competitive interests and legal rights to require non-disclosure of the Confidential Information to other companies and/or individuals and to require that the Confidential Information be used only for the benefit of the Company. Therefore, in order to protect the Company’s Confidential Information and the Company’s business goodwill and competitive position, and in exchange for the Company providing Participant the consideration set forth herein, and in order to protect the value of the equity-based compensation provided to Participant in this Agreement, Participant agrees:</w:t>
      </w:r>
    </w:p>
    <w:p>
      <w:pPr>
        <w:spacing w:after="0" w:line="174" w:lineRule="exact"/>
        <w:rPr>
          <w:rFonts w:ascii="Arial" w:cs="Arial" w:eastAsia="Arial" w:hAnsi="Arial"/>
          <w:sz w:val="20"/>
          <w:szCs w:val="20"/>
          <w:color w:val="010000"/>
        </w:rPr>
      </w:pPr>
    </w:p>
    <w:p>
      <w:pPr>
        <w:jc w:val="both"/>
        <w:ind w:firstLine="1194"/>
        <w:spacing w:after="0" w:line="254" w:lineRule="auto"/>
        <w:tabs>
          <w:tab w:leader="none" w:pos="1669" w:val="left"/>
        </w:tabs>
        <w:numPr>
          <w:ilvl w:val="1"/>
          <w:numId w:val="268"/>
        </w:numPr>
        <w:rPr>
          <w:rFonts w:ascii="Arial" w:cs="Arial" w:eastAsia="Arial" w:hAnsi="Arial"/>
          <w:sz w:val="20"/>
          <w:szCs w:val="20"/>
          <w:color w:val="010000"/>
        </w:rPr>
      </w:pPr>
      <w:r>
        <w:rPr>
          <w:rFonts w:ascii="Arial" w:cs="Arial" w:eastAsia="Arial" w:hAnsi="Arial"/>
          <w:sz w:val="20"/>
          <w:szCs w:val="20"/>
          <w:color w:val="auto"/>
        </w:rPr>
        <w:t>At any time during the term of Participant’s service to the Company and thereafter for so long as such Confidential Information remains confidential, other than by reason of its wrongful disclosure (whether directly or indirectly) by Participant, Participant will not use, disclose or allow to be disclosed to any person, firm, or corporation, the Company’s Confidential Information, unless previously authorized by the Company for use in the pursuit of Company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327" w:right="339" w:bottom="1440" w:gutter="0" w:footer="0" w:header="0"/>
        </w:sectPr>
      </w:pPr>
    </w:p>
    <w:bookmarkStart w:id="392" w:name="page393"/>
    <w:bookmarkEnd w:id="392"/>
    <w:p>
      <w:pPr>
        <w:jc w:val="both"/>
        <w:ind w:firstLine="1194"/>
        <w:spacing w:after="0" w:line="278" w:lineRule="auto"/>
        <w:tabs>
          <w:tab w:leader="none" w:pos="1799" w:val="left"/>
        </w:tabs>
        <w:numPr>
          <w:ilvl w:val="2"/>
          <w:numId w:val="269"/>
        </w:numPr>
        <w:rPr>
          <w:rFonts w:ascii="Arial" w:cs="Arial" w:eastAsia="Arial" w:hAnsi="Arial"/>
          <w:sz w:val="18"/>
          <w:szCs w:val="18"/>
          <w:color w:val="010000"/>
        </w:rPr>
      </w:pPr>
      <w:r>
        <w:rPr>
          <w:rFonts w:ascii="Arial" w:cs="Arial" w:eastAsia="Arial" w:hAnsi="Arial"/>
          <w:sz w:val="18"/>
          <w:szCs w:val="18"/>
          <w:color w:val="auto"/>
        </w:rPr>
        <w:t>During the term of Participant’s service to the Company and for a period of twelve (12) months following the Participant’s termination of Employment, the Participant will not, directly or indirectly, either on Participant’s own behalf or 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(collectively, “</w:t>
      </w:r>
      <w:r>
        <w:rPr>
          <w:rFonts w:ascii="Arial" w:cs="Arial" w:eastAsia="Arial" w:hAnsi="Arial"/>
          <w:sz w:val="18"/>
          <w:szCs w:val="18"/>
          <w:u w:val="single" w:color="auto"/>
          <w:color w:val="auto"/>
        </w:rPr>
        <w:t>Covered Employee</w:t>
      </w:r>
      <w:r>
        <w:rPr>
          <w:rFonts w:ascii="Arial" w:cs="Arial" w:eastAsia="Arial" w:hAnsi="Arial"/>
          <w:sz w:val="18"/>
          <w:szCs w:val="18"/>
          <w:color w:val="auto"/>
        </w:rPr>
        <w:t>”) to leave the employment of the Company or cease performing services for the Company; (ii) hire or engage or assist any third party in hiring or engaging, any Covered Employee; or (iii) Solicit, induce or assist any third party in Soliciting or inducing any other person or entity (including, without limitation, any third-party service provider or distributor) to terminate its relationship with the Company or otherwise interfere with such relationship. This non-solicitation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and any other social media platform, whether or not in existence at the time of entering into the Plan. However, it will not be deemed a violation of this section if the Participant merely updates the Participant’s LinkedIn profile or connects with a Covered Employee on Facebook, LinkedIn, or other social media platform without engaging in any other substantive communication, by social media or otherwise, that is prohibited by this Section.</w:t>
      </w:r>
    </w:p>
    <w:p>
      <w:pPr>
        <w:spacing w:after="0" w:line="155" w:lineRule="exact"/>
        <w:rPr>
          <w:rFonts w:ascii="Arial" w:cs="Arial" w:eastAsia="Arial" w:hAnsi="Arial"/>
          <w:sz w:val="18"/>
          <w:szCs w:val="18"/>
          <w:color w:val="010000"/>
        </w:rPr>
      </w:pPr>
    </w:p>
    <w:p>
      <w:pPr>
        <w:jc w:val="both"/>
        <w:ind w:firstLine="1194"/>
        <w:spacing w:after="0" w:line="278" w:lineRule="auto"/>
        <w:tabs>
          <w:tab w:leader="none" w:pos="1842" w:val="left"/>
        </w:tabs>
        <w:numPr>
          <w:ilvl w:val="2"/>
          <w:numId w:val="269"/>
        </w:numPr>
        <w:rPr>
          <w:rFonts w:ascii="Arial" w:cs="Arial" w:eastAsia="Arial" w:hAnsi="Arial"/>
          <w:sz w:val="18"/>
          <w:szCs w:val="18"/>
          <w:color w:val="010000"/>
        </w:rPr>
      </w:pPr>
      <w:r>
        <w:rPr>
          <w:rFonts w:ascii="Arial" w:cs="Arial" w:eastAsia="Arial" w:hAnsi="Arial"/>
          <w:sz w:val="18"/>
          <w:szCs w:val="18"/>
          <w:color w:val="auto"/>
        </w:rPr>
        <w:t>During the term of Participant’s service to the Company and for a period of twelve (12) months following the Participant’s termination of Employment, the Participant will not, directly or indirectly, either on Participant’s own behalf or on behalf of any other individual or commercial enterprise (i) Solicit any Client to transact business with a Competitive Enterprise or to reduce or refrain from doing any business with the Company; (ii) transact business with any Client that would cause you to be a Competitive Enterprise or</w:t>
      </w:r>
    </w:p>
    <w:p>
      <w:pPr>
        <w:spacing w:after="0" w:line="2" w:lineRule="exact"/>
        <w:rPr>
          <w:rFonts w:ascii="Arial" w:cs="Arial" w:eastAsia="Arial" w:hAnsi="Arial"/>
          <w:sz w:val="18"/>
          <w:szCs w:val="18"/>
          <w:color w:val="010000"/>
        </w:rPr>
      </w:pPr>
    </w:p>
    <w:p>
      <w:pPr>
        <w:spacing w:after="0" w:line="254" w:lineRule="auto"/>
        <w:tabs>
          <w:tab w:leader="none" w:pos="364"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interfere with or damage any relationship between the Company and a Client,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3.6(a)(iii)</w:t>
      </w:r>
      <w:r>
        <w:rPr>
          <w:rFonts w:ascii="Arial" w:cs="Arial" w:eastAsia="Arial" w:hAnsi="Arial"/>
          <w:sz w:val="20"/>
          <w:szCs w:val="20"/>
          <w:color w:val="auto"/>
        </w:rPr>
        <w:t xml:space="preserve"> shall not apply to any non-employee directors.</w:t>
      </w:r>
    </w:p>
    <w:p>
      <w:pPr>
        <w:spacing w:after="0" w:line="169" w:lineRule="exact"/>
        <w:rPr>
          <w:rFonts w:ascii="Arial" w:cs="Arial" w:eastAsia="Arial" w:hAnsi="Arial"/>
          <w:sz w:val="20"/>
          <w:szCs w:val="20"/>
          <w:color w:val="auto"/>
        </w:rPr>
      </w:pPr>
    </w:p>
    <w:p>
      <w:pPr>
        <w:jc w:val="both"/>
        <w:ind w:firstLine="597"/>
        <w:spacing w:after="0" w:line="254" w:lineRule="auto"/>
        <w:tabs>
          <w:tab w:leader="none" w:pos="1203" w:val="left"/>
        </w:tabs>
        <w:numPr>
          <w:ilvl w:val="1"/>
          <w:numId w:val="270"/>
        </w:numPr>
        <w:rPr>
          <w:rFonts w:ascii="Arial" w:cs="Arial" w:eastAsia="Arial" w:hAnsi="Arial"/>
          <w:sz w:val="20"/>
          <w:szCs w:val="20"/>
          <w:color w:val="010000"/>
        </w:rPr>
      </w:pPr>
      <w:r>
        <w:rPr>
          <w:rFonts w:ascii="Arial" w:cs="Arial" w:eastAsia="Arial" w:hAnsi="Arial"/>
          <w:sz w:val="20"/>
          <w:szCs w:val="20"/>
          <w:u w:val="single" w:color="auto"/>
          <w:color w:val="auto"/>
        </w:rPr>
        <w:t>Return of Company Property</w:t>
      </w:r>
      <w:r>
        <w:rPr>
          <w:rFonts w:ascii="Arial" w:cs="Arial" w:eastAsia="Arial" w:hAnsi="Arial"/>
          <w:sz w:val="20"/>
          <w:szCs w:val="20"/>
          <w:color w:val="auto"/>
        </w:rPr>
        <w:t>. Immediately upon the Participant’s termination of Employment for any reason, or upon Company’s request at any other time, Participant will deliver to Company all Company Property. Following Participant’s termination of Employment, Participant shall not retain, copy, or remove (either physically or electronically) any Company Property from Company premises, computers, or other electronic equipment or storage devices.</w:t>
      </w:r>
    </w:p>
    <w:p>
      <w:pPr>
        <w:spacing w:after="0" w:line="171" w:lineRule="exact"/>
        <w:rPr>
          <w:rFonts w:ascii="Arial" w:cs="Arial" w:eastAsia="Arial" w:hAnsi="Arial"/>
          <w:sz w:val="20"/>
          <w:szCs w:val="20"/>
          <w:color w:val="010000"/>
        </w:rPr>
      </w:pPr>
    </w:p>
    <w:p>
      <w:pPr>
        <w:ind w:left="1020" w:hanging="423"/>
        <w:spacing w:after="0"/>
        <w:tabs>
          <w:tab w:leader="none" w:pos="1020" w:val="left"/>
        </w:tabs>
        <w:numPr>
          <w:ilvl w:val="1"/>
          <w:numId w:val="270"/>
        </w:numPr>
        <w:rPr>
          <w:rFonts w:ascii="Arial" w:cs="Arial" w:eastAsia="Arial" w:hAnsi="Arial"/>
          <w:sz w:val="20"/>
          <w:szCs w:val="20"/>
          <w:color w:val="010000"/>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3.6</w:t>
      </w:r>
      <w:r>
        <w:rPr>
          <w:rFonts w:ascii="Arial" w:cs="Arial" w:eastAsia="Arial" w:hAnsi="Arial"/>
          <w:sz w:val="20"/>
          <w:szCs w:val="20"/>
          <w:color w:val="auto"/>
        </w:rPr>
        <w:t>:</w:t>
      </w:r>
    </w:p>
    <w:p>
      <w:pPr>
        <w:spacing w:after="0" w:line="205" w:lineRule="exact"/>
        <w:rPr>
          <w:rFonts w:ascii="Arial" w:cs="Arial" w:eastAsia="Arial" w:hAnsi="Arial"/>
          <w:sz w:val="20"/>
          <w:szCs w:val="20"/>
          <w:color w:val="010000"/>
        </w:rPr>
      </w:pPr>
    </w:p>
    <w:p>
      <w:pPr>
        <w:jc w:val="both"/>
        <w:ind w:firstLine="1194"/>
        <w:spacing w:after="0" w:line="301" w:lineRule="auto"/>
        <w:tabs>
          <w:tab w:leader="none" w:pos="1594" w:val="left"/>
        </w:tabs>
        <w:numPr>
          <w:ilvl w:val="2"/>
          <w:numId w:val="270"/>
        </w:numPr>
        <w:rPr>
          <w:rFonts w:ascii="Arial" w:cs="Arial" w:eastAsia="Arial" w:hAnsi="Arial"/>
          <w:sz w:val="18"/>
          <w:szCs w:val="18"/>
          <w:color w:val="010000"/>
        </w:rPr>
      </w:pPr>
      <w:r>
        <w:rPr>
          <w:rFonts w:ascii="Arial" w:cs="Arial" w:eastAsia="Arial" w:hAnsi="Arial"/>
          <w:sz w:val="18"/>
          <w:szCs w:val="18"/>
          <w:color w:val="auto"/>
        </w:rPr>
        <w:t>The term “</w:t>
      </w:r>
      <w:r>
        <w:rPr>
          <w:rFonts w:ascii="Arial" w:cs="Arial" w:eastAsia="Arial" w:hAnsi="Arial"/>
          <w:sz w:val="18"/>
          <w:szCs w:val="18"/>
          <w:u w:val="single" w:color="auto"/>
          <w:color w:val="auto"/>
        </w:rPr>
        <w:t>Client</w:t>
      </w:r>
      <w:r>
        <w:rPr>
          <w:rFonts w:ascii="Arial" w:cs="Arial" w:eastAsia="Arial" w:hAnsi="Arial"/>
          <w:sz w:val="18"/>
          <w:szCs w:val="18"/>
          <w:color w:val="auto"/>
        </w:rPr>
        <w:t>” means, in the past twenty-four (24) months, any client or prospective client of the Company to whom Participant provided services, or for whom Participant transacted business, or whose identity became known to Participant in connection with Participant’s relationship with or employment by the Company with which the Company wanted or intended to do business with.</w:t>
      </w:r>
    </w:p>
    <w:p>
      <w:pPr>
        <w:spacing w:after="0" w:line="129" w:lineRule="exact"/>
        <w:rPr>
          <w:rFonts w:ascii="Arial" w:cs="Arial" w:eastAsia="Arial" w:hAnsi="Arial"/>
          <w:sz w:val="18"/>
          <w:szCs w:val="18"/>
          <w:color w:val="010000"/>
        </w:rPr>
      </w:pPr>
    </w:p>
    <w:p>
      <w:pPr>
        <w:ind w:left="1640" w:hanging="446"/>
        <w:spacing w:after="0"/>
        <w:tabs>
          <w:tab w:leader="none" w:pos="1640" w:val="left"/>
        </w:tabs>
        <w:numPr>
          <w:ilvl w:val="2"/>
          <w:numId w:val="270"/>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Company</w:t>
      </w:r>
      <w:r>
        <w:rPr>
          <w:rFonts w:ascii="Arial" w:cs="Arial" w:eastAsia="Arial" w:hAnsi="Arial"/>
          <w:sz w:val="20"/>
          <w:szCs w:val="20"/>
          <w:color w:val="auto"/>
        </w:rPr>
        <w:t>” means the Company, its subsidiaries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327" w:right="339" w:bottom="1440" w:gutter="0" w:footer="0" w:header="0"/>
        </w:sectPr>
      </w:pPr>
    </w:p>
    <w:bookmarkStart w:id="393" w:name="page394"/>
    <w:bookmarkEnd w:id="393"/>
    <w:p>
      <w:pPr>
        <w:jc w:val="both"/>
        <w:ind w:firstLine="1194"/>
        <w:spacing w:after="0" w:line="252" w:lineRule="auto"/>
        <w:tabs>
          <w:tab w:leader="none" w:pos="1742" w:val="left"/>
        </w:tabs>
        <w:numPr>
          <w:ilvl w:val="1"/>
          <w:numId w:val="271"/>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Company Property</w:t>
      </w:r>
      <w:r>
        <w:rPr>
          <w:rFonts w:ascii="Arial" w:cs="Arial" w:eastAsia="Arial" w:hAnsi="Arial"/>
          <w:sz w:val="20"/>
          <w:szCs w:val="20"/>
          <w:color w:val="auto"/>
        </w:rPr>
        <w:t>” means any and all documents, computer and computer-related hardware and software items, disks, telephones, customer and prospect lists, marketing, planning, financial and business strategy materials and all other materials or other things in your possession, custody or control that were produced by, received by or otherwise submitted to you by anyone during your employment by the Company relating to the Company’s business or a customer of the Company or that otherwise are the property of the Company.</w:t>
      </w:r>
    </w:p>
    <w:p>
      <w:pPr>
        <w:spacing w:after="0" w:line="173" w:lineRule="exact"/>
        <w:rPr>
          <w:rFonts w:ascii="Arial" w:cs="Arial" w:eastAsia="Arial" w:hAnsi="Arial"/>
          <w:sz w:val="20"/>
          <w:szCs w:val="20"/>
          <w:color w:val="010000"/>
        </w:rPr>
      </w:pPr>
    </w:p>
    <w:p>
      <w:pPr>
        <w:ind w:firstLine="1194"/>
        <w:spacing w:after="0" w:line="271" w:lineRule="auto"/>
        <w:tabs>
          <w:tab w:leader="none" w:pos="1693" w:val="left"/>
        </w:tabs>
        <w:numPr>
          <w:ilvl w:val="1"/>
          <w:numId w:val="271"/>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Competitive Enterprise</w:t>
      </w:r>
      <w:r>
        <w:rPr>
          <w:rFonts w:ascii="Arial" w:cs="Arial" w:eastAsia="Arial" w:hAnsi="Arial"/>
          <w:sz w:val="20"/>
          <w:szCs w:val="20"/>
          <w:color w:val="auto"/>
        </w:rPr>
        <w:t>” means any business enterprise that engages in any activity that competes anywhere with any activity in which the Company is engaged.</w:t>
      </w:r>
    </w:p>
    <w:p>
      <w:pPr>
        <w:spacing w:after="0" w:line="152" w:lineRule="exact"/>
        <w:rPr>
          <w:rFonts w:ascii="Arial" w:cs="Arial" w:eastAsia="Arial" w:hAnsi="Arial"/>
          <w:sz w:val="20"/>
          <w:szCs w:val="20"/>
          <w:color w:val="010000"/>
        </w:rPr>
      </w:pPr>
    </w:p>
    <w:p>
      <w:pPr>
        <w:jc w:val="both"/>
        <w:ind w:firstLine="1194"/>
        <w:spacing w:after="0" w:line="284" w:lineRule="auto"/>
        <w:tabs>
          <w:tab w:leader="none" w:pos="1626" w:val="left"/>
        </w:tabs>
        <w:numPr>
          <w:ilvl w:val="1"/>
          <w:numId w:val="271"/>
        </w:numPr>
        <w:rPr>
          <w:rFonts w:ascii="Arial" w:cs="Arial" w:eastAsia="Arial" w:hAnsi="Arial"/>
          <w:sz w:val="18"/>
          <w:szCs w:val="18"/>
          <w:color w:val="010000"/>
        </w:rPr>
      </w:pPr>
      <w:r>
        <w:rPr>
          <w:rFonts w:ascii="Arial" w:cs="Arial" w:eastAsia="Arial" w:hAnsi="Arial"/>
          <w:sz w:val="18"/>
          <w:szCs w:val="18"/>
          <w:color w:val="auto"/>
        </w:rPr>
        <w:t>The term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non-public information of the Company's business and its customers and affiliates of such customers, including but not limited to, the pendency or contemplation of certain transactions, the identity of the Company's customers, the kinds of services provided by the Company to customers and offered to be performed for potential customers, computer software applications and other programs, personnel information and other trade secrets. “Confidential Information” does not include information that (i) is or becomes available to the public generally (other than as a result of the Participant’s disclosure) or (ii) becomes available to the Participant on a non-confidential basis from a source other than the Company.</w:t>
      </w:r>
    </w:p>
    <w:p>
      <w:pPr>
        <w:spacing w:after="0" w:line="148" w:lineRule="exact"/>
        <w:rPr>
          <w:rFonts w:ascii="Arial" w:cs="Arial" w:eastAsia="Arial" w:hAnsi="Arial"/>
          <w:sz w:val="18"/>
          <w:szCs w:val="18"/>
          <w:color w:val="010000"/>
        </w:rPr>
      </w:pPr>
    </w:p>
    <w:p>
      <w:pPr>
        <w:jc w:val="both"/>
        <w:ind w:firstLine="1194"/>
        <w:spacing w:after="0" w:line="254" w:lineRule="auto"/>
        <w:tabs>
          <w:tab w:leader="none" w:pos="1706" w:val="left"/>
        </w:tabs>
        <w:numPr>
          <w:ilvl w:val="1"/>
          <w:numId w:val="271"/>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Restrictive Covenants</w:t>
      </w:r>
      <w:r>
        <w:rPr>
          <w:rFonts w:ascii="Arial" w:cs="Arial" w:eastAsia="Arial" w:hAnsi="Arial"/>
          <w:sz w:val="20"/>
          <w:szCs w:val="20"/>
          <w:color w:val="auto"/>
        </w:rPr>
        <w:t xml:space="preserve">” means the restrictions set forth in this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and, if Participant is a party to, or participant in, an employment agreement, severance agreement or other agreement or plan with the Company, which agreement sets forth provisions regarding Confidential Information, non-solicitation or non-competition, the provisions set forth in such employment agreement, severance agreement or other agreement or plan.</w:t>
      </w:r>
    </w:p>
    <w:p>
      <w:pPr>
        <w:spacing w:after="0" w:line="171" w:lineRule="exact"/>
        <w:rPr>
          <w:rFonts w:ascii="Arial" w:cs="Arial" w:eastAsia="Arial" w:hAnsi="Arial"/>
          <w:sz w:val="20"/>
          <w:szCs w:val="20"/>
          <w:color w:val="010000"/>
        </w:rPr>
      </w:pPr>
    </w:p>
    <w:p>
      <w:pPr>
        <w:ind w:firstLine="1194"/>
        <w:spacing w:after="0" w:line="271" w:lineRule="auto"/>
        <w:tabs>
          <w:tab w:leader="none" w:pos="1774" w:val="left"/>
        </w:tabs>
        <w:numPr>
          <w:ilvl w:val="1"/>
          <w:numId w:val="271"/>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Solicit</w:t>
      </w:r>
      <w:r>
        <w:rPr>
          <w:rFonts w:ascii="Arial" w:cs="Arial" w:eastAsia="Arial" w:hAnsi="Arial"/>
          <w:sz w:val="20"/>
          <w:szCs w:val="20"/>
          <w:color w:val="auto"/>
        </w:rPr>
        <w:t>” means any direct or indirect communication of any kind, regardless of who initiates it, that in any way invites, advises, encourages or requests any person to take or refrain from taking any action.</w:t>
      </w:r>
    </w:p>
    <w:p>
      <w:pPr>
        <w:spacing w:after="0" w:line="152" w:lineRule="exact"/>
        <w:rPr>
          <w:rFonts w:ascii="Arial" w:cs="Arial" w:eastAsia="Arial" w:hAnsi="Arial"/>
          <w:sz w:val="20"/>
          <w:szCs w:val="20"/>
          <w:color w:val="010000"/>
        </w:rPr>
      </w:pPr>
    </w:p>
    <w:p>
      <w:pPr>
        <w:jc w:val="both"/>
        <w:ind w:firstLine="597"/>
        <w:spacing w:after="0" w:line="272" w:lineRule="auto"/>
        <w:tabs>
          <w:tab w:leader="none" w:pos="1066" w:val="left"/>
        </w:tabs>
        <w:numPr>
          <w:ilvl w:val="0"/>
          <w:numId w:val="272"/>
        </w:numPr>
        <w:rPr>
          <w:rFonts w:ascii="Arial" w:cs="Arial" w:eastAsia="Arial" w:hAnsi="Arial"/>
          <w:sz w:val="19"/>
          <w:szCs w:val="19"/>
          <w:color w:val="010000"/>
        </w:rPr>
      </w:pPr>
      <w:r>
        <w:rPr>
          <w:rFonts w:ascii="Arial" w:cs="Arial" w:eastAsia="Arial" w:hAnsi="Arial"/>
          <w:sz w:val="19"/>
          <w:szCs w:val="19"/>
          <w:u w:val="single" w:color="auto"/>
          <w:color w:val="auto"/>
        </w:rPr>
        <w:t>Reasonableness of Restrictions</w:t>
      </w:r>
      <w:r>
        <w:rPr>
          <w:rFonts w:ascii="Arial" w:cs="Arial" w:eastAsia="Arial" w:hAnsi="Arial"/>
          <w:sz w:val="19"/>
          <w:szCs w:val="19"/>
          <w:color w:val="auto"/>
        </w:rPr>
        <w:t>. Participant has carefully read and considered the Restrictive Covenants, and, having done so, agrees and acknowledges that the Restrictive Covenants limit Participant’s ability to engage in competition during the period provided for above. Participant expressly warrants and represents that these restrictions with respect to time and scope of activity are reasonable and necessary to protect the Confidential Information and the Company’s business goodwill and competitive position.</w:t>
      </w:r>
    </w:p>
    <w:p>
      <w:pPr>
        <w:spacing w:after="0" w:line="154" w:lineRule="exact"/>
        <w:rPr>
          <w:rFonts w:ascii="Arial" w:cs="Arial" w:eastAsia="Arial" w:hAnsi="Arial"/>
          <w:sz w:val="19"/>
          <w:szCs w:val="19"/>
          <w:color w:val="010000"/>
        </w:rPr>
      </w:pPr>
    </w:p>
    <w:p>
      <w:pPr>
        <w:jc w:val="both"/>
        <w:ind w:firstLine="597"/>
        <w:spacing w:after="0" w:line="252" w:lineRule="auto"/>
        <w:tabs>
          <w:tab w:leader="none" w:pos="1079" w:val="left"/>
        </w:tabs>
        <w:numPr>
          <w:ilvl w:val="0"/>
          <w:numId w:val="272"/>
        </w:numPr>
        <w:rPr>
          <w:rFonts w:ascii="Arial" w:cs="Arial" w:eastAsia="Arial" w:hAnsi="Arial"/>
          <w:sz w:val="20"/>
          <w:szCs w:val="20"/>
          <w:color w:val="010000"/>
        </w:rPr>
      </w:pPr>
      <w:r>
        <w:rPr>
          <w:rFonts w:ascii="Arial" w:cs="Arial" w:eastAsia="Arial" w:hAnsi="Arial"/>
          <w:sz w:val="20"/>
          <w:szCs w:val="20"/>
          <w:u w:val="single" w:color="auto"/>
          <w:color w:val="auto"/>
        </w:rPr>
        <w:t>Forfeiture for Violation of Restrictive Covenants</w:t>
      </w:r>
      <w:r>
        <w:rPr>
          <w:rFonts w:ascii="Arial" w:cs="Arial" w:eastAsia="Arial" w:hAnsi="Arial"/>
          <w:sz w:val="20"/>
          <w:szCs w:val="20"/>
          <w:color w:val="auto"/>
        </w:rPr>
        <w:t>. The grant of the RSUs provided herein and Participant’s agreement to the Restrictive Covenants are intended to be mutually dependent promises and in the event Participant breaches or threatens to breach the Restrictive Covenants, then to the greatest extent permitted by applicable law: (i) RSUs that have not yet been settled (whether vested or unvested) shall immediately be cancelled; (ii) any Shares issued upon settlement of the RSUs during the time period that is twelve (12) months prior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327" w:right="339" w:bottom="1440" w:gutter="0" w:footer="0" w:header="0"/>
        </w:sectPr>
      </w:pPr>
    </w:p>
    <w:bookmarkStart w:id="394" w:name="page395"/>
    <w:bookmarkEnd w:id="394"/>
    <w:p>
      <w:pPr>
        <w:spacing w:after="0" w:line="283" w:lineRule="auto"/>
        <w:rPr>
          <w:sz w:val="20"/>
          <w:szCs w:val="20"/>
          <w:color w:val="auto"/>
        </w:rPr>
      </w:pPr>
      <w:r>
        <w:rPr>
          <w:rFonts w:ascii="Arial" w:cs="Arial" w:eastAsia="Arial" w:hAnsi="Arial"/>
          <w:sz w:val="18"/>
          <w:szCs w:val="18"/>
          <w:color w:val="auto"/>
        </w:rPr>
        <w:t>twelve (12) months following Participant’s termination of Employment that have not yet been sold by Participant shall be forfeited back to the Company for no consideration; and (iii) if Participant received Shares upon settlement of the RSUs during the time period that is twelve</w:t>
      </w:r>
    </w:p>
    <w:p>
      <w:pPr>
        <w:spacing w:after="0" w:line="1" w:lineRule="exact"/>
        <w:rPr>
          <w:sz w:val="20"/>
          <w:szCs w:val="20"/>
          <w:color w:val="auto"/>
        </w:rPr>
      </w:pPr>
    </w:p>
    <w:p>
      <w:pPr>
        <w:jc w:val="both"/>
        <w:spacing w:after="0" w:line="266" w:lineRule="auto"/>
        <w:tabs>
          <w:tab w:leader="none" w:pos="426" w:val="left"/>
        </w:tabs>
        <w:numPr>
          <w:ilvl w:val="0"/>
          <w:numId w:val="273"/>
        </w:numPr>
        <w:rPr>
          <w:rFonts w:ascii="Arial" w:cs="Arial" w:eastAsia="Arial" w:hAnsi="Arial"/>
          <w:sz w:val="19"/>
          <w:szCs w:val="19"/>
          <w:color w:val="auto"/>
        </w:rPr>
      </w:pPr>
      <w:r>
        <w:rPr>
          <w:rFonts w:ascii="Arial" w:cs="Arial" w:eastAsia="Arial" w:hAnsi="Arial"/>
          <w:sz w:val="19"/>
          <w:szCs w:val="19"/>
          <w:color w:val="auto"/>
        </w:rPr>
        <w:t>months prior to and twelve (12) months following Participant’s termination of Employment and subsequently sold the received Share(s), any gain represented by the fair market value of the Shares issued upon settlement of the RSUs on the settlement date multiplied by the number of Shares issued to Participant upon settlement of the RSUs shall be paid by Participant to the Company, in cash, without regard to any market price decrease or increase subsequent to the settlement of the RSUs.</w:t>
      </w:r>
    </w:p>
    <w:p>
      <w:pPr>
        <w:spacing w:after="0" w:line="160" w:lineRule="exact"/>
        <w:rPr>
          <w:rFonts w:ascii="Arial" w:cs="Arial" w:eastAsia="Arial" w:hAnsi="Arial"/>
          <w:sz w:val="19"/>
          <w:szCs w:val="19"/>
          <w:color w:val="auto"/>
        </w:rPr>
      </w:pPr>
    </w:p>
    <w:p>
      <w:pPr>
        <w:jc w:val="both"/>
        <w:ind w:firstLine="597"/>
        <w:spacing w:after="0" w:line="287" w:lineRule="auto"/>
        <w:tabs>
          <w:tab w:leader="none" w:pos="1045" w:val="left"/>
        </w:tabs>
        <w:numPr>
          <w:ilvl w:val="1"/>
          <w:numId w:val="273"/>
        </w:numPr>
        <w:rPr>
          <w:rFonts w:ascii="Arial" w:cs="Arial" w:eastAsia="Arial" w:hAnsi="Arial"/>
          <w:sz w:val="18"/>
          <w:szCs w:val="18"/>
          <w:color w:val="010000"/>
        </w:rPr>
      </w:pPr>
      <w:r>
        <w:rPr>
          <w:rFonts w:ascii="Arial" w:cs="Arial" w:eastAsia="Arial" w:hAnsi="Arial"/>
          <w:sz w:val="18"/>
          <w:szCs w:val="18"/>
          <w:u w:val="single" w:color="auto"/>
          <w:color w:val="auto"/>
        </w:rPr>
        <w:t>Remedies for Breach</w:t>
      </w:r>
      <w:r>
        <w:rPr>
          <w:rFonts w:ascii="Arial" w:cs="Arial" w:eastAsia="Arial" w:hAnsi="Arial"/>
          <w:sz w:val="18"/>
          <w:szCs w:val="18"/>
          <w:color w:val="auto"/>
        </w:rPr>
        <w:t xml:space="preserve">. In the event of a breach of any of the Restrictive Covenants, in addition to the forfeiture provisions set forth in </w:t>
      </w:r>
      <w:r>
        <w:rPr>
          <w:rFonts w:ascii="Arial" w:cs="Arial" w:eastAsia="Arial" w:hAnsi="Arial"/>
          <w:sz w:val="18"/>
          <w:szCs w:val="18"/>
          <w:u w:val="single" w:color="auto"/>
          <w:color w:val="auto"/>
        </w:rPr>
        <w:t>Section 3.6(e)</w:t>
      </w:r>
      <w:r>
        <w:rPr>
          <w:rFonts w:ascii="Arial" w:cs="Arial" w:eastAsia="Arial" w:hAnsi="Arial"/>
          <w:sz w:val="18"/>
          <w:szCs w:val="18"/>
          <w:color w:val="auto"/>
        </w:rPr>
        <w:t>, the Company shall have the right to seek monetary damages for any such breach. In addition, in the event of a breach or threatened breach of any of the Restrictive Covenants, the Company shall have the right to seek equitable relief, including specific performance by means of an injunction against Participant or against Participant’s partners, agents, representatives, servants, employers, employees, and/or any and all persons acting directly or indirectly by or with him or her, to prevent or restrain any such breach.</w:t>
      </w:r>
    </w:p>
    <w:p>
      <w:pPr>
        <w:spacing w:after="0" w:line="143" w:lineRule="exact"/>
        <w:rPr>
          <w:rFonts w:ascii="Arial" w:cs="Arial" w:eastAsia="Arial" w:hAnsi="Arial"/>
          <w:sz w:val="18"/>
          <w:szCs w:val="18"/>
          <w:color w:val="010000"/>
        </w:rPr>
      </w:pPr>
    </w:p>
    <w:p>
      <w:pPr>
        <w:jc w:val="both"/>
        <w:ind w:firstLine="597"/>
        <w:spacing w:after="0" w:line="272" w:lineRule="auto"/>
        <w:tabs>
          <w:tab w:leader="none" w:pos="1041" w:val="left"/>
        </w:tabs>
        <w:numPr>
          <w:ilvl w:val="1"/>
          <w:numId w:val="273"/>
        </w:numPr>
        <w:rPr>
          <w:rFonts w:ascii="Arial" w:cs="Arial" w:eastAsia="Arial" w:hAnsi="Arial"/>
          <w:sz w:val="19"/>
          <w:szCs w:val="19"/>
          <w:color w:val="010000"/>
        </w:rPr>
      </w:pPr>
      <w:r>
        <w:rPr>
          <w:rFonts w:ascii="Arial" w:cs="Arial" w:eastAsia="Arial" w:hAnsi="Arial"/>
          <w:sz w:val="19"/>
          <w:szCs w:val="19"/>
          <w:u w:val="single" w:color="auto"/>
          <w:color w:val="auto"/>
        </w:rPr>
        <w:t>Blue Penciling</w:t>
      </w:r>
      <w:r>
        <w:rPr>
          <w:rFonts w:ascii="Arial" w:cs="Arial" w:eastAsia="Arial" w:hAnsi="Arial"/>
          <w:sz w:val="19"/>
          <w:szCs w:val="19"/>
          <w:color w:val="auto"/>
        </w:rPr>
        <w:t>. In the event a court of competent jurisdiction determines that the geographic area, duration, or scope of activity of any restriction under this Agreement is more extensive than is necessary to protect the legitimate business interests of the Company and its affiliates or are otherwise unenforceable, the Company may, in its sole discretion, reform and modify the restrictions under this Agreement to the minimum extent required to render them valid and enforceable under applicable law.</w:t>
      </w:r>
    </w:p>
    <w:p>
      <w:pPr>
        <w:spacing w:after="0" w:line="148"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IV</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OTHER PROVISIONS</w:t>
      </w:r>
    </w:p>
    <w:p>
      <w:pPr>
        <w:spacing w:after="0" w:line="21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No Right to Continued Employment, Service or Awards</w:t>
      </w:r>
      <w:r>
        <w:rPr>
          <w:rFonts w:ascii="Arial" w:cs="Arial" w:eastAsia="Arial" w:hAnsi="Arial"/>
          <w:sz w:val="18"/>
          <w:szCs w:val="18"/>
          <w:color w:val="auto"/>
        </w:rPr>
        <w:t>.</w:t>
      </w:r>
    </w:p>
    <w:p>
      <w:pPr>
        <w:spacing w:after="0" w:line="206" w:lineRule="exact"/>
        <w:rPr>
          <w:sz w:val="20"/>
          <w:szCs w:val="20"/>
          <w:color w:val="auto"/>
        </w:rPr>
      </w:pPr>
    </w:p>
    <w:p>
      <w:pPr>
        <w:jc w:val="both"/>
        <w:ind w:firstLine="597"/>
        <w:spacing w:after="0" w:line="272" w:lineRule="auto"/>
        <w:rPr>
          <w:sz w:val="20"/>
          <w:szCs w:val="20"/>
          <w:color w:val="auto"/>
        </w:rPr>
      </w:pPr>
      <w:r>
        <w:rPr>
          <w:rFonts w:ascii="Arial" w:cs="Arial" w:eastAsia="Arial" w:hAnsi="Arial"/>
          <w:sz w:val="19"/>
          <w:szCs w:val="19"/>
          <w:color w:val="auto"/>
        </w:rPr>
        <w:t>Nothing in the Plan, the Grant Notice, or this Agreement shall confer upon Participant any right to continue in the employ or service of the Company or any Affiliate or shall interfere with or restrict in any way the rights of the Company and any Affiliate, which rights are hereby expressly reserved, to discharge or terminate the services of Participant at any time for any reason whatsoever, except to the extent expressly provided otherwise in a written agreement between the Company or any Affiliate and Participant.</w:t>
      </w:r>
    </w:p>
    <w:p>
      <w:pPr>
        <w:spacing w:after="0" w:line="15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auto"/>
        </w:rPr>
        <w:t>The grant of the Award is a one-time benefit and does not create any contractual or other right to receive a grant of Awards or benefits in lieu of Awards in the future. Future grants, if any, will be at the sole discretion of the Company. In addition, the value of the Award is an extraordinary item of compensation outside the scope of any employment contract. As such, the Award is not part of normal or expected compensation for purposes of calculating any severance, resignation, redundancy, end of service payments, bonuses, long-service awards, pension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327" w:right="339" w:bottom="1440" w:gutter="0" w:footer="0" w:header="0"/>
        </w:sectPr>
      </w:pPr>
    </w:p>
    <w:bookmarkStart w:id="395" w:name="page396"/>
    <w:bookmarkEnd w:id="395"/>
    <w:p>
      <w:pPr>
        <w:spacing w:after="0"/>
        <w:rPr>
          <w:sz w:val="20"/>
          <w:szCs w:val="20"/>
          <w:color w:val="auto"/>
        </w:rPr>
      </w:pPr>
      <w:r>
        <w:rPr>
          <w:rFonts w:ascii="Arial" w:cs="Arial" w:eastAsia="Arial" w:hAnsi="Arial"/>
          <w:sz w:val="19"/>
          <w:szCs w:val="19"/>
          <w:color w:val="auto"/>
        </w:rPr>
        <w:t>retirement benefits or similar payments. The future value of the underlying Shares is unknown and cannot be predicted with certainty.</w:t>
      </w:r>
    </w:p>
    <w:p>
      <w:pPr>
        <w:spacing w:after="0" w:line="217" w:lineRule="exact"/>
        <w:rPr>
          <w:sz w:val="20"/>
          <w:szCs w:val="20"/>
          <w:color w:val="auto"/>
        </w:rPr>
      </w:pPr>
    </w:p>
    <w:p>
      <w:pPr>
        <w:jc w:val="both"/>
        <w:ind w:firstLine="597"/>
        <w:spacing w:after="0" w:line="278"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Adjustments</w:t>
      </w:r>
      <w:r>
        <w:rPr>
          <w:rFonts w:ascii="Arial" w:cs="Arial" w:eastAsia="Arial" w:hAnsi="Arial"/>
          <w:sz w:val="19"/>
          <w:szCs w:val="19"/>
          <w:color w:val="auto"/>
        </w:rPr>
        <w:t>. Participant acknowledges that the Award, including the vesting of the Award and the number of Shares subject to the Award, is subject to adjustment in the discretion of the Board (or any Committee to which administration of the Plan has been delegated by the Board) upon the occurrence of certain events as provided in this Agreement and Section 1.6.3 of the Plan.</w:t>
      </w:r>
    </w:p>
    <w:p>
      <w:pPr>
        <w:spacing w:after="0" w:line="149"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Headings</w:t>
      </w:r>
      <w:r>
        <w:rPr>
          <w:rFonts w:ascii="Arial" w:cs="Arial" w:eastAsia="Arial" w:hAnsi="Arial"/>
          <w:sz w:val="20"/>
          <w:szCs w:val="20"/>
          <w:color w:val="auto"/>
        </w:rPr>
        <w:t>. Headings are provided herein for convenience only and are not intended to define or limit the construction of the provisions hereof. to serve as a basis for interpretation or construction of this Agreement.</w:t>
      </w:r>
    </w:p>
    <w:p>
      <w:pPr>
        <w:spacing w:after="0" w:line="15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Governing Law; Venue</w:t>
      </w:r>
      <w:r>
        <w:rPr>
          <w:rFonts w:ascii="Arial" w:cs="Arial" w:eastAsia="Arial" w:hAnsi="Arial"/>
          <w:sz w:val="19"/>
          <w:szCs w:val="19"/>
          <w:color w:val="auto"/>
        </w:rPr>
        <w:t>. The laws of the Commonwealth of Virginia shall govern the interpretation, validity, administration, enforcement and performance of the terms of this Agreement regardless of the law that might be applied under principles of conflicts of laws. The parties agree that any suit, action, or proceeding arising out of or relating to the Plan or this Agreement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this Agreement shall for any reason be held invalid or unenforceable, it is the specific intent of the parties that such provisions shall be modified to the minimum extent necessary to make it or its application valid and enforceable.</w:t>
      </w:r>
    </w:p>
    <w:p>
      <w:pPr>
        <w:spacing w:after="0" w:line="16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comply with all applicable provisions of the Securities Act and the Exchange Act and any and all regulations and rules promulgated thereunder by the United States Securities and Exchange Commission, including, without limitation, Rule 16b-3 under the Exchange Act. To the extent permitted by applicable law, the Plan, the Grant Notice and this Agreement shall be deemed amended to the extent necessary to conform to such laws, rules and regulations.</w:t>
      </w:r>
    </w:p>
    <w:p>
      <w:pPr>
        <w:spacing w:after="0" w:line="17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Tax Representations</w:t>
      </w:r>
      <w:r>
        <w:rPr>
          <w:rFonts w:ascii="Arial" w:cs="Arial" w:eastAsia="Arial" w:hAnsi="Arial"/>
          <w:sz w:val="20"/>
          <w:szCs w:val="20"/>
          <w:color w:val="auto"/>
        </w:rPr>
        <w:t>. Participant has reviewed with Participant’s own tax advisors the federal, state, local and foreign tax consequences of this investment and the transactions contemplated by the Grant Notice and this Agreement. Participant is relying solely on such advisors and not on any statements or representations of the Company or any of its agents. Participant understands that Participant (and not the Company) shall be responsible for Participant’s own tax liability that may arise as a result of this investment or the transactions contemplated by this Agreement.</w:t>
      </w:r>
    </w:p>
    <w:p>
      <w:pPr>
        <w:spacing w:after="0" w:line="174"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and this Agreement shall inure to the benefit of the successors and assigns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327" w:right="339" w:bottom="1440" w:gutter="0" w:footer="0" w:header="0"/>
        </w:sectPr>
      </w:pPr>
    </w:p>
    <w:bookmarkStart w:id="396" w:name="page397"/>
    <w:bookmarkEnd w:id="396"/>
    <w:p>
      <w:pPr>
        <w:jc w:val="both"/>
        <w:spacing w:after="0" w:line="271" w:lineRule="auto"/>
        <w:rPr>
          <w:sz w:val="20"/>
          <w:szCs w:val="20"/>
          <w:color w:val="auto"/>
        </w:rPr>
      </w:pPr>
      <w:r>
        <w:rPr>
          <w:rFonts w:ascii="Arial" w:cs="Arial" w:eastAsia="Arial" w:hAnsi="Arial"/>
          <w:sz w:val="20"/>
          <w:szCs w:val="20"/>
          <w:color w:val="auto"/>
        </w:rPr>
        <w:t>Company. Subject to the restrictions on transfer set forth herein, this Agreement shall be binding upon Participant and his or her heirs, executors, administrators, successors and assigns.</w:t>
      </w:r>
    </w:p>
    <w:p>
      <w:pPr>
        <w:spacing w:after="0" w:line="153"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To the extent permitted by the Plan, this Agreement may be wholly or partially amended or otherwise modified, suspended or terminated at any time or from time to time by the Board (or any Committee to which administration of the Plan has been delegated by the Board);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except as may otherwise be provided by the Plan, no amendment, modification, suspension or termination of this Agreement shall impair any rights or obligations of the Participant under this Agreement in any material way without the prior written consent of Participant.</w:t>
      </w:r>
    </w:p>
    <w:p>
      <w:pPr>
        <w:spacing w:after="0" w:line="174"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Paperless Administration</w:t>
      </w:r>
      <w:r>
        <w:rPr>
          <w:rFonts w:ascii="Arial" w:cs="Arial" w:eastAsia="Arial" w:hAnsi="Arial"/>
          <w:sz w:val="20"/>
          <w:szCs w:val="20"/>
          <w:color w:val="auto"/>
        </w:rPr>
        <w:t>. By accepting this Award, Participant hereby agrees to receive documentation related to the Award by electronic delivery, such as a system using an internet website or interactive voice response, maintained by the Company or a third party designated by the Company.</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Severability; Entire Agreement</w:t>
      </w:r>
      <w:r>
        <w:rPr>
          <w:rFonts w:ascii="Arial" w:cs="Arial" w:eastAsia="Arial" w:hAnsi="Arial"/>
          <w:sz w:val="19"/>
          <w:szCs w:val="19"/>
          <w:color w:val="auto"/>
        </w:rPr>
        <w:t xml:space="preserve">. If any of the provisions of the Plan, the Grant Notice, or this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the Grant Notice, and this Agreement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64"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06" w:lineRule="exact"/>
        <w:rPr>
          <w:sz w:val="20"/>
          <w:szCs w:val="20"/>
          <w:color w:val="auto"/>
        </w:rPr>
      </w:pPr>
    </w:p>
    <w:p>
      <w:pPr>
        <w:jc w:val="both"/>
        <w:ind w:firstLine="1194"/>
        <w:spacing w:after="0" w:line="266" w:lineRule="auto"/>
        <w:tabs>
          <w:tab w:leader="none" w:pos="1652" w:val="left"/>
        </w:tabs>
        <w:numPr>
          <w:ilvl w:val="0"/>
          <w:numId w:val="274"/>
        </w:numPr>
        <w:rPr>
          <w:rFonts w:ascii="Arial" w:cs="Arial" w:eastAsia="Arial" w:hAnsi="Arial"/>
          <w:sz w:val="19"/>
          <w:szCs w:val="19"/>
          <w:color w:val="010000"/>
        </w:rPr>
      </w:pPr>
      <w:r>
        <w:rPr>
          <w:rFonts w:ascii="Arial" w:cs="Arial" w:eastAsia="Arial" w:hAnsi="Arial"/>
          <w:sz w:val="19"/>
          <w:szCs w:val="19"/>
          <w:color w:val="auto"/>
        </w:rPr>
        <w:t>This Agreement is not intended to provide for any deferral of compensation subject to Section 409A. Notwithstanding any other provision of the Plan, this Agreement or the Grant Notice, the Plan, this Agreement and the Grant Notice shall be interpreted in accordance with, and incorporate the terms and conditions required by, Section 409A. The Board (or any Committee to which administration of the Plan has been delegated by the Board) may, in its discretion, adopt such amendments to the Plan, this Agreement or the Grant Notice or adopt other policies and procedures (including amendments, policies and procedures with retroactive effect), or take any other actions, as the Board (or any Committee to which administration of the Plan has been delegated by the Board) determines are necessary or appropriate to comply with the requirements of Section 409A.</w:t>
      </w:r>
    </w:p>
    <w:p>
      <w:pPr>
        <w:spacing w:after="0" w:line="158" w:lineRule="exact"/>
        <w:rPr>
          <w:rFonts w:ascii="Arial" w:cs="Arial" w:eastAsia="Arial" w:hAnsi="Arial"/>
          <w:sz w:val="19"/>
          <w:szCs w:val="19"/>
          <w:color w:val="010000"/>
        </w:rPr>
      </w:pPr>
    </w:p>
    <w:p>
      <w:pPr>
        <w:ind w:left="1660" w:hanging="466"/>
        <w:spacing w:after="0"/>
        <w:tabs>
          <w:tab w:leader="none" w:pos="1660" w:val="left"/>
        </w:tabs>
        <w:numPr>
          <w:ilvl w:val="0"/>
          <w:numId w:val="274"/>
        </w:numPr>
        <w:rPr>
          <w:rFonts w:ascii="Arial" w:cs="Arial" w:eastAsia="Arial" w:hAnsi="Arial"/>
          <w:sz w:val="18"/>
          <w:szCs w:val="18"/>
          <w:color w:val="010000"/>
        </w:rPr>
      </w:pPr>
      <w:r>
        <w:rPr>
          <w:rFonts w:ascii="Arial" w:cs="Arial" w:eastAsia="Arial" w:hAnsi="Arial"/>
          <w:sz w:val="18"/>
          <w:szCs w:val="18"/>
          <w:color w:val="auto"/>
        </w:rPr>
        <w:t>For purposes of Section 409A (including, without limitation, for purposes of Treasury Regulation Section 1.409A-2(b)</w:t>
      </w:r>
    </w:p>
    <w:p>
      <w:pPr>
        <w:spacing w:after="0" w:line="45"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18"/>
          <w:szCs w:val="18"/>
          <w:color w:val="auto"/>
        </w:rPr>
        <w:t>(2)(iii)), each payment that Participant may be eligible to receive under this Agreement shall be treated as a separate and distinct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240"/>
          </w:cols>
          <w:pgMar w:left="320" w:top="1327" w:right="339" w:bottom="1440" w:gutter="0" w:footer="0" w:header="0"/>
        </w:sectPr>
      </w:pPr>
    </w:p>
    <w:bookmarkStart w:id="397" w:name="page398"/>
    <w:bookmarkEnd w:id="397"/>
    <w:p>
      <w:pPr>
        <w:ind w:left="600"/>
        <w:spacing w:after="0"/>
        <w:tabs>
          <w:tab w:leader="none" w:pos="118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8"/>
          <w:szCs w:val="18"/>
          <w:u w:val="single" w:color="auto"/>
          <w:color w:val="auto"/>
        </w:rPr>
        <w:t>Shortened Statute of Limitations.</w:t>
      </w:r>
    </w:p>
    <w:p>
      <w:pPr>
        <w:spacing w:after="0" w:line="206" w:lineRule="exact"/>
        <w:rPr>
          <w:sz w:val="20"/>
          <w:szCs w:val="20"/>
          <w:color w:val="auto"/>
        </w:rPr>
      </w:pPr>
    </w:p>
    <w:p>
      <w:pPr>
        <w:jc w:val="both"/>
        <w:ind w:firstLine="1195"/>
        <w:spacing w:after="0" w:line="292" w:lineRule="auto"/>
        <w:rPr>
          <w:sz w:val="20"/>
          <w:szCs w:val="20"/>
          <w:color w:val="auto"/>
        </w:rPr>
      </w:pPr>
      <w:r>
        <w:rPr>
          <w:rFonts w:ascii="Arial" w:cs="Arial" w:eastAsia="Arial" w:hAnsi="Arial"/>
          <w:sz w:val="18"/>
          <w:szCs w:val="18"/>
          <w:color w:val="auto"/>
        </w:rPr>
        <w:t>Each Participant agrees to shorten the applicable statute of limitations and agrees that no claims or causes of actions may be brought against the Company or any its Subsidiaries or Affiliates or any of their directors, officers, employees, controlling persons, agents or representatives based upon, directly or indirectly, any claim that arises under this Agreement or the Plan more than twelve (12) months after the date of the action that is the subject of the claim or lawsuit. Each Participant agrees to waive any statute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240"/>
          </w:cols>
          <w:pgMar w:left="320" w:top="1327" w:right="3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20"/>
          <w:szCs w:val="20"/>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RESTRICTED STOCK UNIT AWARD GRANT NOTICE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9019"/>
          </w:cols>
          <w:pgMar w:left="1440" w:top="1321" w:right="1440" w:bottom="1440" w:gutter="0" w:footer="0" w:header="0"/>
        </w:sectPr>
      </w:pPr>
    </w:p>
    <w:bookmarkStart w:id="399" w:name="page400"/>
    <w:bookmarkEnd w:id="399"/>
    <w:p>
      <w:pPr>
        <w:jc w:val="right"/>
        <w:spacing w:after="0"/>
        <w:rPr>
          <w:sz w:val="20"/>
          <w:szCs w:val="20"/>
          <w:color w:val="auto"/>
        </w:rPr>
      </w:pPr>
      <w:r>
        <w:rPr>
          <w:rFonts w:ascii="Arial" w:cs="Arial" w:eastAsia="Arial" w:hAnsi="Arial"/>
          <w:sz w:val="17"/>
          <w:szCs w:val="17"/>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Leonardo DRS,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OMNIBUS EQUITY COMPENSATION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AWARD GRANT NOTICE</w:t>
      </w:r>
    </w:p>
    <w:p>
      <w:pPr>
        <w:spacing w:after="0" w:line="212" w:lineRule="exact"/>
        <w:rPr>
          <w:sz w:val="20"/>
          <w:szCs w:val="20"/>
          <w:color w:val="auto"/>
        </w:rPr>
      </w:pPr>
    </w:p>
    <w:p>
      <w:pPr>
        <w:jc w:val="both"/>
        <w:ind w:firstLine="586"/>
        <w:spacing w:after="0" w:line="283" w:lineRule="auto"/>
        <w:rPr>
          <w:sz w:val="20"/>
          <w:szCs w:val="20"/>
          <w:color w:val="auto"/>
        </w:rPr>
      </w:pPr>
      <w:r>
        <w:rPr>
          <w:rFonts w:ascii="Arial" w:cs="Arial" w:eastAsia="Arial" w:hAnsi="Arial"/>
          <w:sz w:val="18"/>
          <w:szCs w:val="18"/>
          <w:color w:val="auto"/>
        </w:rPr>
        <w:t>Leonardo DRS,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2021 Omnibus 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participant listed below (“</w:t>
      </w:r>
      <w:r>
        <w:rPr>
          <w:rFonts w:ascii="Arial" w:cs="Arial" w:eastAsia="Arial" w:hAnsi="Arial"/>
          <w:sz w:val="18"/>
          <w:szCs w:val="18"/>
          <w:u w:val="single" w:color="auto"/>
          <w:color w:val="auto"/>
        </w:rPr>
        <w:t>Participan</w:t>
      </w:r>
      <w:r>
        <w:rPr>
          <w:rFonts w:ascii="Arial" w:cs="Arial" w:eastAsia="Arial" w:hAnsi="Arial"/>
          <w:sz w:val="18"/>
          <w:szCs w:val="18"/>
          <w:color w:val="auto"/>
        </w:rPr>
        <w:t>t”), an award of performance based restricted stock units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or “</w:t>
      </w:r>
      <w:r>
        <w:rPr>
          <w:rFonts w:ascii="Arial" w:cs="Arial" w:eastAsia="Arial" w:hAnsi="Arial"/>
          <w:sz w:val="18"/>
          <w:szCs w:val="18"/>
          <w:u w:val="single" w:color="auto"/>
          <w:color w:val="auto"/>
        </w:rPr>
        <w:t>PRSUs</w:t>
      </w:r>
      <w:r>
        <w:rPr>
          <w:rFonts w:ascii="Arial" w:cs="Arial" w:eastAsia="Arial" w:hAnsi="Arial"/>
          <w:sz w:val="18"/>
          <w:szCs w:val="18"/>
          <w:color w:val="auto"/>
        </w:rPr>
        <w:t>”) with respect to the number of shares of the Company’s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indicated below. This award for Performance Restricted Stock Units (this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is subject to all of the terms and conditions as set forth herein, in the Performance Restricted Stock Unit Award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Performance Restricted Stock Unit Agreement</w:t>
      </w:r>
      <w:r>
        <w:rPr>
          <w:rFonts w:ascii="Arial" w:cs="Arial" w:eastAsia="Arial" w:hAnsi="Arial"/>
          <w:sz w:val="18"/>
          <w:szCs w:val="18"/>
          <w:color w:val="auto"/>
        </w:rPr>
        <w:t>”) and in the Plan, each of which are incorporated herein by reference. Unless otherwise defined herein, the terms defined in the Plan shall have the same defined meanings in this Grant Notice and the Performance Restricted Stock Unit Agreement.</w:t>
      </w:r>
    </w:p>
    <w:p>
      <w:pPr>
        <w:sectPr>
          <w:pgSz w:w="11900" w:h="16838" w:orient="portrait"/>
          <w:cols w:equalWidth="0" w:num="1">
            <w:col w:w="11240"/>
          </w:cols>
          <w:pgMar w:left="320" w:top="123"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Participant: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Grant Date:</w:t>
      </w:r>
    </w:p>
    <w:p>
      <w:pPr>
        <w:spacing w:after="0" w:line="118" w:lineRule="exact"/>
        <w:rPr>
          <w:sz w:val="20"/>
          <w:szCs w:val="20"/>
          <w:color w:val="auto"/>
        </w:rPr>
      </w:pPr>
    </w:p>
    <w:p>
      <w:pPr>
        <w:ind w:left="20"/>
        <w:spacing w:after="0" w:line="275" w:lineRule="auto"/>
        <w:rPr>
          <w:sz w:val="20"/>
          <w:szCs w:val="20"/>
          <w:color w:val="auto"/>
        </w:rPr>
      </w:pPr>
      <w:r>
        <w:rPr>
          <w:rFonts w:ascii="Arial" w:cs="Arial" w:eastAsia="Arial" w:hAnsi="Arial"/>
          <w:sz w:val="20"/>
          <w:szCs w:val="20"/>
          <w:b w:val="1"/>
          <w:bCs w:val="1"/>
          <w:color w:val="auto"/>
        </w:rPr>
        <w:t>Target Number of PRSUs (as may be adjusted from time to time pursuant to Article II and Section 4.2 of the Performance Restricted Stock Unit Agreement):</w:t>
      </w:r>
    </w:p>
    <w:p>
      <w:pPr>
        <w:spacing w:after="0" w:line="56" w:lineRule="exact"/>
        <w:rPr>
          <w:sz w:val="20"/>
          <w:szCs w:val="20"/>
          <w:color w:val="auto"/>
        </w:rPr>
      </w:pPr>
    </w:p>
    <w:p>
      <w:pPr>
        <w:ind w:left="20" w:right="180"/>
        <w:spacing w:after="0" w:line="275" w:lineRule="auto"/>
        <w:rPr>
          <w:sz w:val="20"/>
          <w:szCs w:val="20"/>
          <w:color w:val="auto"/>
        </w:rPr>
      </w:pPr>
      <w:r>
        <w:rPr>
          <w:rFonts w:ascii="Arial" w:cs="Arial" w:eastAsia="Arial" w:hAnsi="Arial"/>
          <w:sz w:val="20"/>
          <w:szCs w:val="20"/>
          <w:b w:val="1"/>
          <w:bCs w:val="1"/>
          <w:color w:val="auto"/>
        </w:rPr>
        <w:t>Maximum % of PRSUs (as may be adjusted from time to time pursuant to Article II and Section 4.2 of the Performance Restricted Stock Unit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shares granted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200% of Target Number of PRSUs</w:t>
      </w:r>
    </w:p>
    <w:p>
      <w:pPr>
        <w:spacing w:after="0" w:line="384" w:lineRule="exact"/>
        <w:rPr>
          <w:sz w:val="20"/>
          <w:szCs w:val="20"/>
          <w:color w:val="auto"/>
        </w:rPr>
      </w:pPr>
    </w:p>
    <w:p>
      <w:pPr>
        <w:sectPr>
          <w:pgSz w:w="11900" w:h="16838" w:orient="portrait"/>
          <w:cols w:equalWidth="0" w:num="2">
            <w:col w:w="5460" w:space="60"/>
            <w:col w:w="5720"/>
          </w:cols>
          <w:pgMar w:left="320" w:top="123" w:right="339" w:bottom="1440" w:gutter="0" w:footer="0" w:header="0"/>
          <w:type w:val="continuous"/>
        </w:sectPr>
      </w:pPr>
    </w:p>
    <w:tbl>
      <w:tblPr>
        <w:tblLayout w:type="fixed"/>
        <w:tblInd w:w="20" w:type="dxa"/>
        <w:tblCellMar>
          <w:top w:w="0" w:type="dxa"/>
          <w:left w:w="0" w:type="dxa"/>
          <w:bottom w:w="0" w:type="dxa"/>
          <w:right w:w="0" w:type="dxa"/>
        </w:tblCellMar>
      </w:tblPr>
      <w:tr>
        <w:trPr>
          <w:trHeight w:val="242"/>
        </w:trPr>
        <w:tc>
          <w:tcPr>
            <w:tcW w:w="5500" w:type="dxa"/>
            <w:vAlign w:val="bottom"/>
          </w:tcPr>
          <w:p>
            <w:pPr>
              <w:spacing w:after="0"/>
              <w:rPr>
                <w:sz w:val="20"/>
                <w:szCs w:val="20"/>
                <w:color w:val="auto"/>
              </w:rPr>
            </w:pPr>
            <w:r>
              <w:rPr>
                <w:rFonts w:ascii="Arial" w:cs="Arial" w:eastAsia="Arial" w:hAnsi="Arial"/>
                <w:sz w:val="20"/>
                <w:szCs w:val="20"/>
                <w:b w:val="1"/>
                <w:bCs w:val="1"/>
                <w:color w:val="auto"/>
              </w:rPr>
              <w:t>Distribution Schedule:</w:t>
            </w:r>
          </w:p>
        </w:tc>
        <w:tc>
          <w:tcPr>
            <w:tcW w:w="5480" w:type="dxa"/>
            <w:vAlign w:val="bottom"/>
            <w:gridSpan w:val="4"/>
          </w:tcPr>
          <w:p>
            <w:pPr>
              <w:spacing w:after="0"/>
              <w:rPr>
                <w:sz w:val="20"/>
                <w:szCs w:val="20"/>
                <w:color w:val="auto"/>
              </w:rPr>
            </w:pPr>
            <w:r>
              <w:rPr>
                <w:rFonts w:ascii="Arial" w:cs="Arial" w:eastAsia="Arial" w:hAnsi="Arial"/>
                <w:sz w:val="20"/>
                <w:szCs w:val="20"/>
                <w:color w:val="auto"/>
              </w:rPr>
              <w:t>Subject to the terms of the Performance Restricted Stock Unit</w:t>
            </w:r>
          </w:p>
        </w:tc>
        <w:tc>
          <w:tcPr>
            <w:tcW w:w="0" w:type="dxa"/>
            <w:vAlign w:val="bottom"/>
          </w:tcPr>
          <w:p>
            <w:pPr>
              <w:spacing w:after="0"/>
              <w:rPr>
                <w:sz w:val="1"/>
                <w:szCs w:val="1"/>
                <w:color w:val="auto"/>
              </w:rPr>
            </w:pPr>
          </w:p>
        </w:tc>
      </w:tr>
      <w:tr>
        <w:trPr>
          <w:trHeight w:val="236"/>
        </w:trPr>
        <w:tc>
          <w:tcPr>
            <w:tcW w:w="5500" w:type="dxa"/>
            <w:vAlign w:val="bottom"/>
          </w:tcPr>
          <w:p>
            <w:pPr>
              <w:spacing w:after="0"/>
              <w:rPr>
                <w:sz w:val="20"/>
                <w:szCs w:val="20"/>
                <w:color w:val="auto"/>
              </w:rPr>
            </w:pPr>
          </w:p>
        </w:tc>
        <w:tc>
          <w:tcPr>
            <w:tcW w:w="5480" w:type="dxa"/>
            <w:vAlign w:val="bottom"/>
            <w:gridSpan w:val="4"/>
          </w:tcPr>
          <w:p>
            <w:pPr>
              <w:spacing w:after="0"/>
              <w:rPr>
                <w:sz w:val="20"/>
                <w:szCs w:val="20"/>
                <w:color w:val="auto"/>
              </w:rPr>
            </w:pPr>
            <w:r>
              <w:rPr>
                <w:rFonts w:ascii="Arial" w:cs="Arial" w:eastAsia="Arial" w:hAnsi="Arial"/>
                <w:sz w:val="20"/>
                <w:szCs w:val="20"/>
                <w:color w:val="auto"/>
                <w:w w:val="96"/>
              </w:rPr>
              <w:t>Agreement, the PRSUs shall be distributable in accordance with</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17"/>
                <w:szCs w:val="17"/>
                <w:color w:val="auto"/>
              </w:rPr>
            </w:pPr>
          </w:p>
        </w:tc>
        <w:tc>
          <w:tcPr>
            <w:tcW w:w="5480" w:type="dxa"/>
            <w:vAlign w:val="bottom"/>
            <w:gridSpan w:val="4"/>
          </w:tcPr>
          <w:p>
            <w:pPr>
              <w:spacing w:after="0" w:line="206" w:lineRule="exact"/>
              <w:rPr>
                <w:sz w:val="20"/>
                <w:szCs w:val="20"/>
                <w:color w:val="auto"/>
              </w:rPr>
            </w:pPr>
            <w:r>
              <w:rPr>
                <w:rFonts w:ascii="Arial" w:cs="Arial" w:eastAsia="Arial" w:hAnsi="Arial"/>
                <w:sz w:val="20"/>
                <w:szCs w:val="20"/>
                <w:color w:val="auto"/>
                <w:w w:val="94"/>
              </w:rPr>
              <w:t>Section 1.1 of the Performance Restricted Stock Unit Agreement.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20"/>
                <w:szCs w:val="20"/>
                <w:b w:val="1"/>
                <w:bCs w:val="1"/>
                <w:color w:val="auto"/>
              </w:rPr>
              <w:t>Vesting Schedule:</w:t>
            </w:r>
          </w:p>
        </w:tc>
        <w:tc>
          <w:tcPr>
            <w:tcW w:w="9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500" w:type="dxa"/>
            <w:vAlign w:val="bottom"/>
            <w:vMerge w:val="continue"/>
          </w:tcPr>
          <w:p>
            <w:pPr>
              <w:spacing w:after="0"/>
              <w:rPr>
                <w:sz w:val="24"/>
                <w:szCs w:val="24"/>
                <w:color w:val="auto"/>
              </w:rPr>
            </w:pPr>
          </w:p>
        </w:tc>
        <w:tc>
          <w:tcPr>
            <w:tcW w:w="5480" w:type="dxa"/>
            <w:vAlign w:val="bottom"/>
            <w:gridSpan w:val="4"/>
          </w:tcPr>
          <w:p>
            <w:pPr>
              <w:spacing w:after="0"/>
              <w:rPr>
                <w:sz w:val="20"/>
                <w:szCs w:val="20"/>
                <w:color w:val="auto"/>
              </w:rPr>
            </w:pPr>
            <w:r>
              <w:rPr>
                <w:rFonts w:ascii="Arial" w:cs="Arial" w:eastAsia="Arial" w:hAnsi="Arial"/>
                <w:sz w:val="20"/>
                <w:szCs w:val="20"/>
                <w:color w:val="auto"/>
              </w:rPr>
              <w:t>Subject to the terms of the Performance Restricted Stock Unit</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17"/>
                <w:szCs w:val="17"/>
                <w:color w:val="auto"/>
              </w:rPr>
            </w:pPr>
          </w:p>
        </w:tc>
        <w:tc>
          <w:tcPr>
            <w:tcW w:w="5480" w:type="dxa"/>
            <w:vAlign w:val="bottom"/>
            <w:gridSpan w:val="4"/>
          </w:tcPr>
          <w:p>
            <w:pPr>
              <w:spacing w:after="0" w:line="206" w:lineRule="exact"/>
              <w:rPr>
                <w:sz w:val="20"/>
                <w:szCs w:val="20"/>
                <w:color w:val="auto"/>
              </w:rPr>
            </w:pPr>
            <w:r>
              <w:rPr>
                <w:rFonts w:ascii="Arial" w:cs="Arial" w:eastAsia="Arial" w:hAnsi="Arial"/>
                <w:sz w:val="20"/>
                <w:szCs w:val="20"/>
                <w:color w:val="auto"/>
                <w:w w:val="95"/>
              </w:rPr>
              <w:t>Agreement, the PRSUs shall vest as set forth on Exhibit B to this</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4100" w:type="dxa"/>
            <w:vAlign w:val="bottom"/>
            <w:gridSpan w:val="2"/>
          </w:tcPr>
          <w:p>
            <w:pPr>
              <w:spacing w:after="0"/>
              <w:rPr>
                <w:sz w:val="20"/>
                <w:szCs w:val="20"/>
                <w:color w:val="auto"/>
              </w:rPr>
            </w:pPr>
            <w:r>
              <w:rPr>
                <w:rFonts w:ascii="Arial" w:cs="Arial" w:eastAsia="Arial" w:hAnsi="Arial"/>
                <w:sz w:val="20"/>
                <w:szCs w:val="20"/>
                <w:color w:val="auto"/>
              </w:rPr>
              <w:t>Grant Notice.</w:t>
            </w:r>
          </w:p>
        </w:tc>
        <w:tc>
          <w:tcPr>
            <w:tcW w:w="780" w:type="dxa"/>
            <w:vAlign w:val="bottom"/>
            <w:tcBorders>
              <w:top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586"/>
        <w:spacing w:after="0" w:line="258" w:lineRule="auto"/>
        <w:rPr>
          <w:sz w:val="20"/>
          <w:szCs w:val="20"/>
          <w:color w:val="auto"/>
        </w:rPr>
      </w:pPr>
      <w:r>
        <w:rPr>
          <w:rFonts w:ascii="Arial" w:cs="Arial" w:eastAsia="Arial" w:hAnsi="Arial"/>
          <w:sz w:val="20"/>
          <w:szCs w:val="20"/>
          <w:color w:val="auto"/>
        </w:rPr>
        <w:t>By electronically accepting this Performance Restricted Stock Unit Agreement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Participant agrees to be bound by the terms and conditions of the Plan, the Performance Restricted Stock Unit Agreement and this Grant Notice. In addition, Participant explicitly acknowledges and agrees to be bound by the Restrictive Covenants set</w:t>
      </w:r>
    </w:p>
    <w:p>
      <w:pPr>
        <w:sectPr>
          <w:pgSz w:w="11900" w:h="16838" w:orient="portrait"/>
          <w:cols w:equalWidth="0" w:num="1">
            <w:col w:w="11240"/>
          </w:cols>
          <w:pgMar w:left="320" w:top="123" w:right="339" w:bottom="1440" w:gutter="0" w:footer="0" w:header="0"/>
          <w:type w:val="continuous"/>
        </w:sectPr>
      </w:pPr>
    </w:p>
    <w:bookmarkStart w:id="400" w:name="page401"/>
    <w:bookmarkEnd w:id="400"/>
    <w:p>
      <w:pPr>
        <w:jc w:val="both"/>
        <w:spacing w:after="0" w:line="281" w:lineRule="auto"/>
        <w:rPr>
          <w:sz w:val="20"/>
          <w:szCs w:val="20"/>
          <w:color w:val="auto"/>
        </w:rPr>
      </w:pP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of the Performance Restricted Stock Unit Agreement. Participant has reviewed the Performance Restricted Stock Unit Agreement, the Plan and this Grant Notice in their entirety, has had an opportunity to obtain the advice of counsel prior to executing this Grant Notice and fully understands all provisions of this Grant Notice, the Performance Restricted Stock Unit Agreement and the Plan. Participant has been provided with a copy or electronic access to a copy of the prospectus for the Plan. Participant hereby agrees to accept as binding, conclusive and final all decisions or interpretations of the Board (or any Committee to which administration of the Plan has been delegated by the Board) upon any questions arising under the Plan, this Grant Notice or the Performance Restricted Stock Unit Agreement. The Award is subject to the terms and conditions of the Plan which are incorporated herein by reference. In the event of any inconsistency between the Plan and the Performance Restricted Stock Unit Agreement, the terms of the Plan shall control.</w:t>
      </w:r>
    </w:p>
    <w:p>
      <w:pPr>
        <w:spacing w:after="0" w:line="152" w:lineRule="exact"/>
        <w:rPr>
          <w:sz w:val="20"/>
          <w:szCs w:val="20"/>
          <w:color w:val="auto"/>
        </w:rPr>
      </w:pPr>
    </w:p>
    <w:p>
      <w:pPr>
        <w:jc w:val="both"/>
        <w:ind w:firstLine="586"/>
        <w:spacing w:after="0" w:line="269" w:lineRule="auto"/>
        <w:rPr>
          <w:sz w:val="20"/>
          <w:szCs w:val="20"/>
          <w:color w:val="auto"/>
        </w:rPr>
      </w:pPr>
      <w:r>
        <w:rPr>
          <w:rFonts w:ascii="Arial" w:cs="Arial" w:eastAsia="Arial" w:hAnsi="Arial"/>
          <w:sz w:val="19"/>
          <w:szCs w:val="19"/>
          <w:color w:val="auto"/>
        </w:rPr>
        <w:t>Participant acknowledges that his or her acceptance of the terms and conditions of the Plan, the Performance Restricted Stock Unit Agreement and this Grant Notice by his or her signature or electronic acceptance of the Performance Restricted Stock Unit Agreement is a condition to the receipt of this Award. As a result, unless otherwise determined by the Board (or any Committee to which administration of the Plan has been delegated by the Board), in the event Participant does not sign or electronically accept this Grant Notice within thirty (30) days of the Grant Date, this Award shall be forfeited and Participant shall have no further rights thereto.</w:t>
      </w:r>
    </w:p>
    <w:p>
      <w:pPr>
        <w:sectPr>
          <w:pgSz w:w="11900" w:h="16838" w:orient="portrait"/>
          <w:cols w:equalWidth="0" w:num="1">
            <w:col w:w="11240"/>
          </w:cols>
          <w:pgMar w:left="320" w:top="1327" w:right="339" w:bottom="1440" w:gutter="0" w:footer="0" w:header="0"/>
        </w:sectPr>
      </w:pPr>
    </w:p>
    <w:bookmarkStart w:id="401" w:name="page402"/>
    <w:bookmarkEnd w:id="401"/>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AWARD AGREEMENT</w:t>
      </w:r>
    </w:p>
    <w:p>
      <w:pPr>
        <w:spacing w:after="0" w:line="212" w:lineRule="exact"/>
        <w:rPr>
          <w:sz w:val="20"/>
          <w:szCs w:val="20"/>
          <w:color w:val="auto"/>
        </w:rPr>
      </w:pPr>
    </w:p>
    <w:p>
      <w:pPr>
        <w:jc w:val="both"/>
        <w:ind w:firstLine="586"/>
        <w:spacing w:after="0" w:line="301" w:lineRule="auto"/>
        <w:rPr>
          <w:sz w:val="20"/>
          <w:szCs w:val="20"/>
          <w:color w:val="auto"/>
        </w:rPr>
      </w:pPr>
      <w:r>
        <w:rPr>
          <w:rFonts w:ascii="Arial" w:cs="Arial" w:eastAsia="Arial" w:hAnsi="Arial"/>
          <w:sz w:val="18"/>
          <w:szCs w:val="18"/>
          <w:color w:val="auto"/>
        </w:rPr>
        <w:t>Pursuant to the Performance Restricted Stock Unit Award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to which this Performance Restricted Stock Unit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attached, the Company has granted to Participant the right to receive the number of PRSUs set forth in the Grant Notice, subject to all of the terms and conditions set forth in this Agreement, the Grant Notice and the Plan.</w:t>
      </w:r>
    </w:p>
    <w:p>
      <w:pPr>
        <w:spacing w:after="0" w:line="124"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I</w:t>
      </w:r>
    </w:p>
    <w:p>
      <w:pPr>
        <w:spacing w:after="0" w:line="206"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AWARD OF PERFORMANCE RESTRICTED STOCK UNITS</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010000"/>
        </w:rPr>
        <w:t>1.1</w:t>
      </w:r>
      <w:r>
        <w:rPr>
          <w:sz w:val="20"/>
          <w:szCs w:val="20"/>
          <w:color w:val="auto"/>
        </w:rPr>
        <w:tab/>
      </w: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w:t>
      </w:r>
    </w:p>
    <w:p>
      <w:pPr>
        <w:spacing w:after="0" w:line="206" w:lineRule="exact"/>
        <w:rPr>
          <w:sz w:val="20"/>
          <w:szCs w:val="20"/>
          <w:color w:val="auto"/>
        </w:rPr>
      </w:pPr>
    </w:p>
    <w:p>
      <w:pPr>
        <w:jc w:val="both"/>
        <w:ind w:firstLine="1194"/>
        <w:spacing w:after="0" w:line="292" w:lineRule="auto"/>
        <w:tabs>
          <w:tab w:leader="none" w:pos="1614" w:val="left"/>
        </w:tabs>
        <w:numPr>
          <w:ilvl w:val="0"/>
          <w:numId w:val="275"/>
        </w:numPr>
        <w:rPr>
          <w:rFonts w:ascii="Arial" w:cs="Arial" w:eastAsia="Arial" w:hAnsi="Arial"/>
          <w:sz w:val="18"/>
          <w:szCs w:val="18"/>
          <w:color w:val="010000"/>
        </w:rPr>
      </w:pPr>
      <w:r>
        <w:rPr>
          <w:rFonts w:ascii="Arial" w:cs="Arial" w:eastAsia="Arial" w:hAnsi="Arial"/>
          <w:sz w:val="18"/>
          <w:szCs w:val="18"/>
          <w:u w:val="single" w:color="auto"/>
          <w:color w:val="auto"/>
        </w:rPr>
        <w:t>Award</w:t>
      </w:r>
      <w:r>
        <w:rPr>
          <w:rFonts w:ascii="Arial" w:cs="Arial" w:eastAsia="Arial" w:hAnsi="Arial"/>
          <w:sz w:val="18"/>
          <w:szCs w:val="18"/>
          <w:color w:val="auto"/>
        </w:rPr>
        <w:t>. In consideration of Participant’s continued employment or service with the Company or any Affiliate thereof and for other good and valuable consideration, the Company hereby grants to Participant the right to receive the number of PRSUs set forth in the Grant Notice, subject to the terms and conditions set forth in this Agreement, the Grant Notice and the Plan. Prior to actual issuance of any Shares, the Award represents an unsecured obligation of the Company, payable only from the general assets of the Company.</w:t>
      </w:r>
    </w:p>
    <w:p>
      <w:pPr>
        <w:spacing w:after="0" w:line="137" w:lineRule="exact"/>
        <w:rPr>
          <w:rFonts w:ascii="Arial" w:cs="Arial" w:eastAsia="Arial" w:hAnsi="Arial"/>
          <w:sz w:val="18"/>
          <w:szCs w:val="18"/>
          <w:color w:val="010000"/>
        </w:rPr>
      </w:pPr>
    </w:p>
    <w:p>
      <w:pPr>
        <w:jc w:val="both"/>
        <w:ind w:firstLine="1194"/>
        <w:spacing w:after="0" w:line="265" w:lineRule="auto"/>
        <w:tabs>
          <w:tab w:leader="none" w:pos="1626" w:val="left"/>
        </w:tabs>
        <w:numPr>
          <w:ilvl w:val="0"/>
          <w:numId w:val="275"/>
        </w:numPr>
        <w:rPr>
          <w:rFonts w:ascii="Arial" w:cs="Arial" w:eastAsia="Arial" w:hAnsi="Arial"/>
          <w:sz w:val="19"/>
          <w:szCs w:val="19"/>
          <w:color w:val="010000"/>
        </w:rPr>
      </w:pP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The PRSUs subject to the Award shall vest in accordance with the Vesting Schedule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Grant Notice. Unless and until the PRSUs have vested in accordance with the Vesting Schedule set forth in </w:t>
      </w:r>
      <w:r>
        <w:rPr>
          <w:rFonts w:ascii="Arial" w:cs="Arial" w:eastAsia="Arial" w:hAnsi="Arial"/>
          <w:sz w:val="19"/>
          <w:szCs w:val="19"/>
          <w:u w:val="single" w:color="auto"/>
          <w:color w:val="auto"/>
        </w:rPr>
        <w:t>Exhibit B to</w:t>
      </w:r>
      <w:r>
        <w:rPr>
          <w:rFonts w:ascii="Arial" w:cs="Arial" w:eastAsia="Arial" w:hAnsi="Arial"/>
          <w:sz w:val="19"/>
          <w:szCs w:val="19"/>
          <w:color w:val="auto"/>
        </w:rPr>
        <w:t xml:space="preserve"> the Grant Notice, Participant will have no right to any distribution with respect to such PRSUs. Unless otherwise provided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Grant Notice or in an employment agreement or other arrangement of the Company or its Affiliates, in the event of Participant’s termination of Employment prior to the vesting of all of the PRSUs, any unvested PRSUs will terminate automatically without any further action by the Company and be forfeited without further notice and at no cost to the Company. Notwithstanding anything to the contrary herein or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Grant Notice, in the event Participant’s Employment is terminated due to death or Disability, the PRSUs shall fully vest on the date of Participant’s death or Disability, as applicable.</w:t>
      </w:r>
    </w:p>
    <w:p>
      <w:pPr>
        <w:spacing w:after="0" w:line="160" w:lineRule="exact"/>
        <w:rPr>
          <w:rFonts w:ascii="Arial" w:cs="Arial" w:eastAsia="Arial" w:hAnsi="Arial"/>
          <w:sz w:val="19"/>
          <w:szCs w:val="19"/>
          <w:color w:val="010000"/>
        </w:rPr>
      </w:pPr>
    </w:p>
    <w:p>
      <w:pPr>
        <w:ind w:left="1620" w:hanging="426"/>
        <w:spacing w:after="0"/>
        <w:tabs>
          <w:tab w:leader="none" w:pos="1620" w:val="left"/>
        </w:tabs>
        <w:numPr>
          <w:ilvl w:val="0"/>
          <w:numId w:val="275"/>
        </w:numPr>
        <w:rPr>
          <w:rFonts w:ascii="Arial" w:cs="Arial" w:eastAsia="Arial" w:hAnsi="Arial"/>
          <w:sz w:val="20"/>
          <w:szCs w:val="20"/>
          <w:color w:val="010000"/>
        </w:rPr>
      </w:pPr>
      <w:r>
        <w:rPr>
          <w:rFonts w:ascii="Arial" w:cs="Arial" w:eastAsia="Arial" w:hAnsi="Arial"/>
          <w:sz w:val="20"/>
          <w:szCs w:val="20"/>
          <w:u w:val="single" w:color="auto"/>
          <w:color w:val="auto"/>
        </w:rPr>
        <w:t>Distribution of PRSUs</w:t>
      </w:r>
      <w:r>
        <w:rPr>
          <w:rFonts w:ascii="Arial" w:cs="Arial" w:eastAsia="Arial" w:hAnsi="Arial"/>
          <w:sz w:val="20"/>
          <w:szCs w:val="20"/>
          <w:color w:val="auto"/>
        </w:rPr>
        <w:t>.</w:t>
      </w:r>
    </w:p>
    <w:p>
      <w:pPr>
        <w:spacing w:after="0" w:line="205" w:lineRule="exact"/>
        <w:rPr>
          <w:rFonts w:ascii="Arial" w:cs="Arial" w:eastAsia="Arial" w:hAnsi="Arial"/>
          <w:sz w:val="20"/>
          <w:szCs w:val="20"/>
          <w:color w:val="010000"/>
        </w:rPr>
      </w:pPr>
    </w:p>
    <w:p>
      <w:pPr>
        <w:jc w:val="both"/>
        <w:ind w:firstLine="1791"/>
        <w:spacing w:after="0" w:line="254" w:lineRule="auto"/>
        <w:tabs>
          <w:tab w:leader="none" w:pos="2191" w:val="left"/>
        </w:tabs>
        <w:numPr>
          <w:ilvl w:val="1"/>
          <w:numId w:val="275"/>
        </w:numPr>
        <w:rPr>
          <w:rFonts w:ascii="Arial" w:cs="Arial" w:eastAsia="Arial" w:hAnsi="Arial"/>
          <w:sz w:val="20"/>
          <w:szCs w:val="20"/>
          <w:color w:val="010000"/>
        </w:rPr>
      </w:pPr>
      <w:r>
        <w:rPr>
          <w:rFonts w:ascii="Arial" w:cs="Arial" w:eastAsia="Arial" w:hAnsi="Arial"/>
          <w:sz w:val="20"/>
          <w:szCs w:val="20"/>
          <w:color w:val="auto"/>
        </w:rPr>
        <w:t xml:space="preserve">Shares or cash equivalents, as determined by the Committee, shall be distributed to Participant (or in the event of Participant’s death, to his or her estate) with respect to Participant’s vested PRSUs within sixty (60) days following the date on which such PRSUs vest as specified in the Vesting Schedule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Grant Notice, subject to the terms and provisions of the Plan and this Agreement.</w:t>
      </w:r>
    </w:p>
    <w:p>
      <w:pPr>
        <w:spacing w:after="0" w:line="171" w:lineRule="exact"/>
        <w:rPr>
          <w:rFonts w:ascii="Arial" w:cs="Arial" w:eastAsia="Arial" w:hAnsi="Arial"/>
          <w:sz w:val="20"/>
          <w:szCs w:val="20"/>
          <w:color w:val="010000"/>
        </w:rPr>
      </w:pPr>
    </w:p>
    <w:p>
      <w:pPr>
        <w:ind w:firstLine="1791"/>
        <w:spacing w:after="0" w:line="271" w:lineRule="auto"/>
        <w:tabs>
          <w:tab w:leader="none" w:pos="2234" w:val="left"/>
        </w:tabs>
        <w:numPr>
          <w:ilvl w:val="1"/>
          <w:numId w:val="275"/>
        </w:numPr>
        <w:rPr>
          <w:rFonts w:ascii="Arial" w:cs="Arial" w:eastAsia="Arial" w:hAnsi="Arial"/>
          <w:sz w:val="20"/>
          <w:szCs w:val="20"/>
          <w:color w:val="010000"/>
        </w:rPr>
      </w:pPr>
      <w:r>
        <w:rPr>
          <w:rFonts w:ascii="Arial" w:cs="Arial" w:eastAsia="Arial" w:hAnsi="Arial"/>
          <w:sz w:val="20"/>
          <w:szCs w:val="20"/>
          <w:color w:val="auto"/>
        </w:rPr>
        <w:t>Neither the time nor form of distribution of Shares with respect to the PRSUs may be changed, except as may be permitted by the Board (or any Committee to</w:t>
      </w:r>
    </w:p>
    <w:p>
      <w:pPr>
        <w:sectPr>
          <w:pgSz w:w="11900" w:h="16838" w:orient="portrait"/>
          <w:cols w:equalWidth="0" w:num="1">
            <w:col w:w="11240"/>
          </w:cols>
          <w:pgMar w:left="320" w:top="1321" w:right="339" w:bottom="1440" w:gutter="0" w:footer="0" w:header="0"/>
        </w:sectPr>
      </w:pPr>
    </w:p>
    <w:bookmarkStart w:id="402" w:name="page403"/>
    <w:bookmarkEnd w:id="402"/>
    <w:p>
      <w:pPr>
        <w:spacing w:after="0" w:line="271" w:lineRule="auto"/>
        <w:rPr>
          <w:sz w:val="20"/>
          <w:szCs w:val="20"/>
          <w:color w:val="auto"/>
        </w:rPr>
      </w:pPr>
      <w:r>
        <w:rPr>
          <w:rFonts w:ascii="Arial" w:cs="Arial" w:eastAsia="Arial" w:hAnsi="Arial"/>
          <w:sz w:val="20"/>
          <w:szCs w:val="20"/>
          <w:color w:val="auto"/>
        </w:rPr>
        <w:t>which administration of the Plan has been delegated by the Board) in accordance with the Plan and Section 409A and the Treasury Regulations thereunder.</w:t>
      </w:r>
    </w:p>
    <w:p>
      <w:pPr>
        <w:spacing w:after="0" w:line="153"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010000"/>
        </w:rPr>
        <w:t>1.2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06" w:lineRule="exact"/>
        <w:rPr>
          <w:sz w:val="20"/>
          <w:szCs w:val="20"/>
          <w:color w:val="auto"/>
        </w:rPr>
      </w:pPr>
    </w:p>
    <w:p>
      <w:pPr>
        <w:jc w:val="both"/>
        <w:ind w:firstLine="1194"/>
        <w:spacing w:after="0" w:line="258" w:lineRule="auto"/>
        <w:tabs>
          <w:tab w:leader="none" w:pos="1751" w:val="left"/>
        </w:tabs>
        <w:numPr>
          <w:ilvl w:val="0"/>
          <w:numId w:val="276"/>
        </w:numPr>
        <w:rPr>
          <w:rFonts w:ascii="Arial" w:cs="Arial" w:eastAsia="Arial" w:hAnsi="Arial"/>
          <w:sz w:val="20"/>
          <w:szCs w:val="20"/>
          <w:color w:val="010000"/>
        </w:rPr>
      </w:pPr>
      <w:r>
        <w:rPr>
          <w:rFonts w:ascii="Arial" w:cs="Arial" w:eastAsia="Arial" w:hAnsi="Arial"/>
          <w:sz w:val="20"/>
          <w:szCs w:val="20"/>
          <w:color w:val="auto"/>
        </w:rPr>
        <w:t>The Company shall have the right to withhold from any delivery of Shares or cash due under the Plan and this Agreement an amount equal to the applicable required withholding obligation in respect of any federal, state or local tax and may satisfy such withholding obligation through any other method contemplated by Section 3.2 of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RESTRICTIONS</w:t>
      </w:r>
    </w:p>
    <w:p>
      <w:pPr>
        <w:spacing w:after="0" w:line="212" w:lineRule="exact"/>
        <w:rPr>
          <w:sz w:val="20"/>
          <w:szCs w:val="20"/>
          <w:color w:val="auto"/>
        </w:rPr>
      </w:pPr>
    </w:p>
    <w:p>
      <w:pPr>
        <w:jc w:val="both"/>
        <w:ind w:firstLine="597"/>
        <w:spacing w:after="0" w:line="281"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Award and Interests Not Transferable</w:t>
      </w:r>
      <w:r>
        <w:rPr>
          <w:rFonts w:ascii="Arial" w:cs="Arial" w:eastAsia="Arial" w:hAnsi="Arial"/>
          <w:sz w:val="18"/>
          <w:szCs w:val="18"/>
          <w:color w:val="000000"/>
        </w:rPr>
        <w:t>. This Award, including the PRSUs awarded hereunder, may not be sold, pledged,</w:t>
      </w:r>
      <w:r>
        <w:rPr>
          <w:rFonts w:ascii="Arial" w:cs="Arial" w:eastAsia="Arial" w:hAnsi="Arial"/>
          <w:sz w:val="18"/>
          <w:szCs w:val="18"/>
          <w:color w:val="010000"/>
        </w:rPr>
        <w:t xml:space="preserve"> </w:t>
      </w:r>
      <w:r>
        <w:rPr>
          <w:rFonts w:ascii="Arial" w:cs="Arial" w:eastAsia="Arial" w:hAnsi="Arial"/>
          <w:sz w:val="18"/>
          <w:szCs w:val="18"/>
          <w:color w:val="000000"/>
        </w:rPr>
        <w:t>assigned or transferred in any manner other than by will or the laws of descent and distribution, unless and until the Shares issuable pursuant to the Award have been issued, and all restrictions applicable to such Shares have lapsed. This Award and the rights and privileges conferred hereby, including the PRSUs awarded hereunder, shall not be liable for the debts, contracts or engagements of Participant or his or her successors in interest and shall not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52" w:lineRule="exact"/>
        <w:rPr>
          <w:sz w:val="20"/>
          <w:szCs w:val="20"/>
          <w:color w:val="auto"/>
        </w:rPr>
      </w:pPr>
    </w:p>
    <w:p>
      <w:pPr>
        <w:jc w:val="both"/>
        <w:ind w:firstLine="597"/>
        <w:spacing w:after="0" w:line="284"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Rights as Stockholder</w:t>
      </w:r>
      <w:r>
        <w:rPr>
          <w:rFonts w:ascii="Arial" w:cs="Arial" w:eastAsia="Arial" w:hAnsi="Arial"/>
          <w:sz w:val="18"/>
          <w:szCs w:val="18"/>
          <w:color w:val="000000"/>
        </w:rPr>
        <w:t>. Neither Participant nor any person claiming under or through Participant shall have any of the rights or</w:t>
      </w:r>
      <w:r>
        <w:rPr>
          <w:rFonts w:ascii="Arial" w:cs="Arial" w:eastAsia="Arial" w:hAnsi="Arial"/>
          <w:sz w:val="18"/>
          <w:szCs w:val="18"/>
          <w:color w:val="010000"/>
        </w:rPr>
        <w:t xml:space="preserve"> </w:t>
      </w:r>
      <w:r>
        <w:rPr>
          <w:rFonts w:ascii="Arial" w:cs="Arial" w:eastAsia="Arial" w:hAnsi="Arial"/>
          <w:sz w:val="18"/>
          <w:szCs w:val="18"/>
          <w:color w:val="000000"/>
        </w:rPr>
        <w:t>privileges of a stockholder of the Company in respect of any Shares issuable hereunder unless and until certificates representing such Shares (which may be in uncertificated form) will have been issued and recorded on the books and records of the Company or its transfer agents or registrars, and delivered to Participant (including through electronic delivery to a brokerage account).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148"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20"/>
          <w:szCs w:val="20"/>
          <w:color w:val="010000"/>
        </w:rPr>
        <w:t xml:space="preserve">3.3 </w:t>
      </w:r>
      <w:r>
        <w:rPr>
          <w:rFonts w:ascii="Arial" w:cs="Arial" w:eastAsia="Arial" w:hAnsi="Arial"/>
          <w:sz w:val="20"/>
          <w:szCs w:val="20"/>
          <w:u w:val="single" w:color="auto"/>
          <w:color w:val="000000"/>
        </w:rPr>
        <w:t>Trading Restrictions</w:t>
      </w:r>
      <w:r>
        <w:rPr>
          <w:rFonts w:ascii="Arial" w:cs="Arial" w:eastAsia="Arial" w:hAnsi="Arial"/>
          <w:sz w:val="20"/>
          <w:szCs w:val="20"/>
          <w:color w:val="000000"/>
        </w:rPr>
        <w:t>. The Company may establish periods from time to time during which Participant’s ability to engage in</w:t>
      </w:r>
      <w:r>
        <w:rPr>
          <w:rFonts w:ascii="Arial" w:cs="Arial" w:eastAsia="Arial" w:hAnsi="Arial"/>
          <w:sz w:val="20"/>
          <w:szCs w:val="20"/>
          <w:color w:val="010000"/>
        </w:rPr>
        <w:t xml:space="preserve"> </w:t>
      </w:r>
      <w:r>
        <w:rPr>
          <w:rFonts w:ascii="Arial" w:cs="Arial" w:eastAsia="Arial" w:hAnsi="Arial"/>
          <w:sz w:val="20"/>
          <w:szCs w:val="20"/>
          <w:color w:val="000000"/>
        </w:rPr>
        <w:t>transactions involving the Company’s Shares is subject to specific restrictions (“</w:t>
      </w:r>
      <w:r>
        <w:rPr>
          <w:rFonts w:ascii="Arial" w:cs="Arial" w:eastAsia="Arial" w:hAnsi="Arial"/>
          <w:sz w:val="20"/>
          <w:szCs w:val="20"/>
          <w:u w:val="single" w:color="auto"/>
          <w:color w:val="000000"/>
        </w:rPr>
        <w:t>Restricted Periods</w:t>
      </w:r>
      <w:r>
        <w:rPr>
          <w:rFonts w:ascii="Arial" w:cs="Arial" w:eastAsia="Arial" w:hAnsi="Arial"/>
          <w:sz w:val="20"/>
          <w:szCs w:val="20"/>
          <w:color w:val="000000"/>
        </w:rPr>
        <w:t>”). Participant may be subject to restrictions giving rise to a Restricted Period for any reason that the Company determines appropriate, including, restrictions generally applicable to employees or groups of employees or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327" w:right="339" w:bottom="1440" w:gutter="0" w:footer="0" w:header="0"/>
        </w:sectPr>
      </w:pPr>
    </w:p>
    <w:bookmarkStart w:id="403" w:name="page404"/>
    <w:bookmarkEnd w:id="403"/>
    <w:p>
      <w:pPr>
        <w:jc w:val="both"/>
        <w:spacing w:after="0" w:line="271" w:lineRule="auto"/>
        <w:rPr>
          <w:sz w:val="20"/>
          <w:szCs w:val="20"/>
          <w:color w:val="auto"/>
        </w:rPr>
      </w:pPr>
      <w:r>
        <w:rPr>
          <w:rFonts w:ascii="Arial" w:cs="Arial" w:eastAsia="Arial" w:hAnsi="Arial"/>
          <w:sz w:val="20"/>
          <w:szCs w:val="20"/>
          <w:color w:val="auto"/>
        </w:rPr>
        <w:t>applicable to Participant during an investigation of allegations of misconduct or conduct detrimental to the Company or any Affiliate by Participant.</w:t>
      </w:r>
    </w:p>
    <w:p>
      <w:pPr>
        <w:spacing w:after="0" w:line="153" w:lineRule="exact"/>
        <w:rPr>
          <w:sz w:val="20"/>
          <w:szCs w:val="20"/>
          <w:color w:val="auto"/>
        </w:rPr>
      </w:pPr>
    </w:p>
    <w:p>
      <w:pPr>
        <w:jc w:val="both"/>
        <w:ind w:firstLine="597"/>
        <w:spacing w:after="0" w:line="272" w:lineRule="auto"/>
        <w:rPr>
          <w:sz w:val="20"/>
          <w:szCs w:val="20"/>
          <w:color w:val="auto"/>
        </w:rPr>
      </w:pPr>
      <w:r>
        <w:rPr>
          <w:rFonts w:ascii="Arial" w:cs="Arial" w:eastAsia="Arial" w:hAnsi="Arial"/>
          <w:sz w:val="19"/>
          <w:szCs w:val="19"/>
          <w:color w:val="010000"/>
        </w:rPr>
        <w:t xml:space="preserve">3.4 </w:t>
      </w:r>
      <w:r>
        <w:rPr>
          <w:rFonts w:ascii="Arial" w:cs="Arial" w:eastAsia="Arial" w:hAnsi="Arial"/>
          <w:sz w:val="19"/>
          <w:szCs w:val="19"/>
          <w:u w:val="single" w:color="auto"/>
          <w:color w:val="000000"/>
        </w:rPr>
        <w:t>Award Subject to Clawback</w:t>
      </w:r>
      <w:r>
        <w:rPr>
          <w:rFonts w:ascii="Arial" w:cs="Arial" w:eastAsia="Arial" w:hAnsi="Arial"/>
          <w:sz w:val="19"/>
          <w:szCs w:val="19"/>
          <w:color w:val="000000"/>
        </w:rPr>
        <w:t>. This Award, including the PRSUs awarded hereunder, and any Shares issuable upon vesting of the</w:t>
      </w:r>
      <w:r>
        <w:rPr>
          <w:rFonts w:ascii="Arial" w:cs="Arial" w:eastAsia="Arial" w:hAnsi="Arial"/>
          <w:sz w:val="19"/>
          <w:szCs w:val="19"/>
          <w:color w:val="010000"/>
        </w:rPr>
        <w:t xml:space="preserve"> </w:t>
      </w:r>
      <w:r>
        <w:rPr>
          <w:rFonts w:ascii="Arial" w:cs="Arial" w:eastAsia="Arial" w:hAnsi="Arial"/>
          <w:sz w:val="19"/>
          <w:szCs w:val="19"/>
          <w:color w:val="000000"/>
        </w:rPr>
        <w:t xml:space="preserve">PRSUs, are subject to forfeiture, recovery by the Company or other action pursuant to, in addition to the provisions set forth in </w:t>
      </w:r>
      <w:r>
        <w:rPr>
          <w:rFonts w:ascii="Arial" w:cs="Arial" w:eastAsia="Arial" w:hAnsi="Arial"/>
          <w:sz w:val="19"/>
          <w:szCs w:val="19"/>
          <w:u w:val="single" w:color="auto"/>
          <w:color w:val="000000"/>
        </w:rPr>
        <w:t>Section 3.6</w:t>
      </w:r>
      <w:r>
        <w:rPr>
          <w:rFonts w:ascii="Arial" w:cs="Arial" w:eastAsia="Arial" w:hAnsi="Arial"/>
          <w:sz w:val="19"/>
          <w:szCs w:val="19"/>
          <w:color w:val="000000"/>
        </w:rPr>
        <w:t xml:space="preserve"> of this Agreement, any clawback or recoupment policy which the Company may adopt from time to time pursuant to laws or regulations, including without limitation, any such policy which the Company may be required to adopt under applicable law.</w:t>
      </w:r>
    </w:p>
    <w:p>
      <w:pPr>
        <w:spacing w:after="0" w:line="154" w:lineRule="exact"/>
        <w:rPr>
          <w:sz w:val="20"/>
          <w:szCs w:val="20"/>
          <w:color w:val="auto"/>
        </w:rPr>
      </w:pPr>
    </w:p>
    <w:p>
      <w:pPr>
        <w:jc w:val="both"/>
        <w:ind w:firstLine="597"/>
        <w:spacing w:after="0" w:line="280"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Conditions to Issuance of Shares or Settlement of Award</w:t>
      </w:r>
      <w:r>
        <w:rPr>
          <w:rFonts w:ascii="Arial" w:cs="Arial" w:eastAsia="Arial" w:hAnsi="Arial"/>
          <w:sz w:val="18"/>
          <w:szCs w:val="18"/>
          <w:color w:val="000000"/>
        </w:rPr>
        <w:t>. The Company shall not be required to issue or deliver any Shares</w:t>
      </w:r>
      <w:r>
        <w:rPr>
          <w:rFonts w:ascii="Arial" w:cs="Arial" w:eastAsia="Arial" w:hAnsi="Arial"/>
          <w:sz w:val="18"/>
          <w:szCs w:val="18"/>
          <w:color w:val="010000"/>
        </w:rPr>
        <w:t xml:space="preserve"> </w:t>
      </w:r>
      <w:r>
        <w:rPr>
          <w:rFonts w:ascii="Arial" w:cs="Arial" w:eastAsia="Arial" w:hAnsi="Arial"/>
          <w:sz w:val="18"/>
          <w:szCs w:val="18"/>
          <w:color w:val="000000"/>
        </w:rPr>
        <w:t>issuable upon the vesting of the PRSUs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United States Securities and Exchange Commission or other governmental regulatory body, which the Board (or any Committee to which administration of the Plan has been delegated by the Board) shall, in its sole and absolute discretion, deem necessary and advisable, (c) the obtaining of any approval or other clearance from any state or federal governmental agency that the Board (or any Committee to which administration of the Plan has been delegated by the Board) shall, in its absolute discretion, determine to be necessary or advisable, (d) the lapse of any such reasonable period of time following the date the PRSUs vest as the Board (or any Committee to which administration of the Plan has been delegated by the Board) may from time to time establish for reasons of administrative convenience, and (e) the satisfaction of any applicable withholding tax.</w:t>
      </w:r>
    </w:p>
    <w:p>
      <w:pPr>
        <w:spacing w:after="0" w:line="149"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010000"/>
        </w:rPr>
        <w:t>3.6</w:t>
      </w:r>
      <w:r>
        <w:rPr>
          <w:sz w:val="20"/>
          <w:szCs w:val="20"/>
          <w:color w:val="auto"/>
        </w:rPr>
        <w:tab/>
      </w:r>
      <w:r>
        <w:rPr>
          <w:rFonts w:ascii="Arial" w:cs="Arial" w:eastAsia="Arial" w:hAnsi="Arial"/>
          <w:sz w:val="17"/>
          <w:szCs w:val="17"/>
          <w:u w:val="single" w:color="auto"/>
          <w:color w:val="auto"/>
        </w:rPr>
        <w:t>Restrictive Covenants</w:t>
      </w:r>
      <w:r>
        <w:rPr>
          <w:rFonts w:ascii="Arial" w:cs="Arial" w:eastAsia="Arial" w:hAnsi="Arial"/>
          <w:sz w:val="17"/>
          <w:szCs w:val="17"/>
          <w:color w:val="auto"/>
        </w:rPr>
        <w:t>.</w:t>
      </w:r>
    </w:p>
    <w:p>
      <w:pPr>
        <w:spacing w:after="0" w:line="206" w:lineRule="exact"/>
        <w:rPr>
          <w:sz w:val="20"/>
          <w:szCs w:val="20"/>
          <w:color w:val="auto"/>
        </w:rPr>
      </w:pPr>
    </w:p>
    <w:p>
      <w:pPr>
        <w:jc w:val="both"/>
        <w:ind w:firstLine="1194"/>
        <w:spacing w:after="0" w:line="250" w:lineRule="auto"/>
        <w:tabs>
          <w:tab w:leader="none" w:pos="1689" w:val="left"/>
        </w:tabs>
        <w:numPr>
          <w:ilvl w:val="0"/>
          <w:numId w:val="277"/>
        </w:numPr>
        <w:rPr>
          <w:rFonts w:ascii="Arial" w:cs="Arial" w:eastAsia="Arial" w:hAnsi="Arial"/>
          <w:sz w:val="20"/>
          <w:szCs w:val="20"/>
          <w:color w:val="010000"/>
        </w:rPr>
      </w:pPr>
      <w:r>
        <w:rPr>
          <w:rFonts w:ascii="Arial" w:cs="Arial" w:eastAsia="Arial" w:hAnsi="Arial"/>
          <w:sz w:val="20"/>
          <w:szCs w:val="20"/>
          <w:u w:val="single" w:color="auto"/>
          <w:color w:val="auto"/>
        </w:rPr>
        <w:t>Certain Covenants</w:t>
      </w:r>
      <w:r>
        <w:rPr>
          <w:rFonts w:ascii="Arial" w:cs="Arial" w:eastAsia="Arial" w:hAnsi="Arial"/>
          <w:sz w:val="20"/>
          <w:szCs w:val="20"/>
          <w:color w:val="auto"/>
        </w:rPr>
        <w:t>. Participant acknowledges that, to assist Participant in the performance of Participant’s duties, the Company agrees to provide and shall provide and has provided Participant with Confidential Information (as defined below) and materials. Due to the sensitive nature of this Confidential Information, Participant acknowledges that the Company has legitimate business and competitive interests and legal rights to require non-disclosure of the Confidential Information to other companies and/or individuals and to require that the Confidential Information be used only for the benefit of the Company. Therefore, in order to protect the Company’s Confidential Information and the Company’s business goodwill and competitive position, and in exchange for the Company providing Participant the consideration set forth herein, and in order to protect the value of the equity-based compensation provided to Participant in this Agreement, Participant agrees:</w:t>
      </w:r>
    </w:p>
    <w:p>
      <w:pPr>
        <w:spacing w:after="0" w:line="174" w:lineRule="exact"/>
        <w:rPr>
          <w:rFonts w:ascii="Arial" w:cs="Arial" w:eastAsia="Arial" w:hAnsi="Arial"/>
          <w:sz w:val="20"/>
          <w:szCs w:val="20"/>
          <w:color w:val="010000"/>
        </w:rPr>
      </w:pPr>
    </w:p>
    <w:p>
      <w:pPr>
        <w:jc w:val="both"/>
        <w:ind w:firstLine="1791"/>
        <w:spacing w:after="0" w:line="254" w:lineRule="auto"/>
        <w:tabs>
          <w:tab w:leader="none" w:pos="2353" w:val="left"/>
        </w:tabs>
        <w:numPr>
          <w:ilvl w:val="1"/>
          <w:numId w:val="277"/>
        </w:numPr>
        <w:rPr>
          <w:rFonts w:ascii="Arial" w:cs="Arial" w:eastAsia="Arial" w:hAnsi="Arial"/>
          <w:sz w:val="20"/>
          <w:szCs w:val="20"/>
          <w:color w:val="010000"/>
        </w:rPr>
      </w:pPr>
      <w:r>
        <w:rPr>
          <w:rFonts w:ascii="Arial" w:cs="Arial" w:eastAsia="Arial" w:hAnsi="Arial"/>
          <w:sz w:val="20"/>
          <w:szCs w:val="20"/>
          <w:color w:val="auto"/>
        </w:rPr>
        <w:t>At any time during the term of Participant’s service to the Company and thereafter for so long as such Confidential Information remains confidential, other than by reason of its wrongful disclosure (whether directly or indirectly) by Participant, Participant will not use, disclose or allow to be disclosed to any person, firm, or corporation, the Company’s Confidential Information, unless previously authorized by the Company for use in the pursuit of Company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327" w:right="339" w:bottom="1440" w:gutter="0" w:footer="0" w:header="0"/>
        </w:sectPr>
      </w:pPr>
    </w:p>
    <w:bookmarkStart w:id="404" w:name="page405"/>
    <w:bookmarkEnd w:id="404"/>
    <w:p>
      <w:pPr>
        <w:jc w:val="both"/>
        <w:ind w:firstLine="1791"/>
        <w:spacing w:after="0" w:line="278" w:lineRule="auto"/>
        <w:tabs>
          <w:tab w:leader="none" w:pos="2284" w:val="left"/>
        </w:tabs>
        <w:numPr>
          <w:ilvl w:val="2"/>
          <w:numId w:val="278"/>
        </w:numPr>
        <w:rPr>
          <w:rFonts w:ascii="Arial" w:cs="Arial" w:eastAsia="Arial" w:hAnsi="Arial"/>
          <w:sz w:val="18"/>
          <w:szCs w:val="18"/>
          <w:color w:val="010000"/>
        </w:rPr>
      </w:pPr>
      <w:r>
        <w:rPr>
          <w:rFonts w:ascii="Arial" w:cs="Arial" w:eastAsia="Arial" w:hAnsi="Arial"/>
          <w:sz w:val="18"/>
          <w:szCs w:val="18"/>
          <w:color w:val="auto"/>
        </w:rPr>
        <w:t>During the term of Participant’s service to the Company and for a period of twelve (12) months following the Participant’s termination of Employment, the Participant will not, directly or indirectly, either on Participant’s own behalf or 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(collectively, “</w:t>
      </w:r>
      <w:r>
        <w:rPr>
          <w:rFonts w:ascii="Arial" w:cs="Arial" w:eastAsia="Arial" w:hAnsi="Arial"/>
          <w:sz w:val="18"/>
          <w:szCs w:val="18"/>
          <w:u w:val="single" w:color="auto"/>
          <w:color w:val="auto"/>
        </w:rPr>
        <w:t>Covered Employee</w:t>
      </w:r>
      <w:r>
        <w:rPr>
          <w:rFonts w:ascii="Arial" w:cs="Arial" w:eastAsia="Arial" w:hAnsi="Arial"/>
          <w:sz w:val="18"/>
          <w:szCs w:val="18"/>
          <w:color w:val="auto"/>
        </w:rPr>
        <w:t>”) to leave the employment of the Company or cease performing services for the Company; (ii) hire or engage or assist any third party in hiring or engaging, any Covered Employee; or (iii) Solicit, induce or assist any third party in Soliciting or inducing any other person or entity (including, without limitation, any third-party service provider or distributor) to terminate its relationship with the Company or otherwise interfere with such relationship. This non-solicitation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and any other social media platform, whether or not in existence at the time of entering into the Plan. However, it will not be deemed a violation of this section if the Participant merely updates the Participant’s LinkedIn profile or connects with a Covered Employee on Facebook, LinkedIn, or other social media platform without engaging in any other substantive communication, by social media or otherwise, that is prohibited by this Section.</w:t>
      </w:r>
    </w:p>
    <w:p>
      <w:pPr>
        <w:spacing w:after="0" w:line="155" w:lineRule="exact"/>
        <w:rPr>
          <w:rFonts w:ascii="Arial" w:cs="Arial" w:eastAsia="Arial" w:hAnsi="Arial"/>
          <w:sz w:val="18"/>
          <w:szCs w:val="18"/>
          <w:color w:val="010000"/>
        </w:rPr>
      </w:pPr>
    </w:p>
    <w:p>
      <w:pPr>
        <w:jc w:val="both"/>
        <w:ind w:firstLine="1791"/>
        <w:spacing w:after="0" w:line="278" w:lineRule="auto"/>
        <w:tabs>
          <w:tab w:leader="none" w:pos="2327" w:val="left"/>
        </w:tabs>
        <w:numPr>
          <w:ilvl w:val="2"/>
          <w:numId w:val="278"/>
        </w:numPr>
        <w:rPr>
          <w:rFonts w:ascii="Arial" w:cs="Arial" w:eastAsia="Arial" w:hAnsi="Arial"/>
          <w:sz w:val="18"/>
          <w:szCs w:val="18"/>
          <w:color w:val="010000"/>
        </w:rPr>
      </w:pPr>
      <w:r>
        <w:rPr>
          <w:rFonts w:ascii="Arial" w:cs="Arial" w:eastAsia="Arial" w:hAnsi="Arial"/>
          <w:sz w:val="18"/>
          <w:szCs w:val="18"/>
          <w:color w:val="auto"/>
        </w:rPr>
        <w:t>During the term of Participant’s service to the Company and for a period of twelve (12) months following the Participant’s termination of Employment, the Participant will not, directly or indirectly, either on Participant’s own behalf or on behalf of any other individual or commercial enterprise (i) Solicit any Client to transact business with a Competitive Enterprise or to reduce or refrain from doing any business with the Company; (ii) transact business with any Client that would cause you to be a Competitive Enterprise or</w:t>
      </w:r>
    </w:p>
    <w:p>
      <w:pPr>
        <w:spacing w:after="0" w:line="2" w:lineRule="exact"/>
        <w:rPr>
          <w:rFonts w:ascii="Arial" w:cs="Arial" w:eastAsia="Arial" w:hAnsi="Arial"/>
          <w:sz w:val="18"/>
          <w:szCs w:val="18"/>
          <w:color w:val="010000"/>
        </w:rPr>
      </w:pPr>
    </w:p>
    <w:p>
      <w:pPr>
        <w:spacing w:after="0" w:line="254" w:lineRule="auto"/>
        <w:tabs>
          <w:tab w:leader="none" w:pos="364" w:val="left"/>
        </w:tabs>
        <w:numPr>
          <w:ilvl w:val="0"/>
          <w:numId w:val="279"/>
        </w:numPr>
        <w:rPr>
          <w:rFonts w:ascii="Arial" w:cs="Arial" w:eastAsia="Arial" w:hAnsi="Arial"/>
          <w:sz w:val="20"/>
          <w:szCs w:val="20"/>
          <w:color w:val="auto"/>
        </w:rPr>
      </w:pPr>
      <w:r>
        <w:rPr>
          <w:rFonts w:ascii="Arial" w:cs="Arial" w:eastAsia="Arial" w:hAnsi="Arial"/>
          <w:sz w:val="20"/>
          <w:szCs w:val="20"/>
          <w:color w:val="auto"/>
        </w:rPr>
        <w:t xml:space="preserve">interfere with or damage any relationship between the Company and a Client,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3.6(a)(iii)</w:t>
      </w:r>
      <w:r>
        <w:rPr>
          <w:rFonts w:ascii="Arial" w:cs="Arial" w:eastAsia="Arial" w:hAnsi="Arial"/>
          <w:sz w:val="20"/>
          <w:szCs w:val="20"/>
          <w:color w:val="auto"/>
        </w:rPr>
        <w:t xml:space="preserve"> shall not apply to any non-employee directors.</w:t>
      </w:r>
    </w:p>
    <w:p>
      <w:pPr>
        <w:spacing w:after="0" w:line="169" w:lineRule="exact"/>
        <w:rPr>
          <w:rFonts w:ascii="Arial" w:cs="Arial" w:eastAsia="Arial" w:hAnsi="Arial"/>
          <w:sz w:val="20"/>
          <w:szCs w:val="20"/>
          <w:color w:val="auto"/>
        </w:rPr>
      </w:pPr>
    </w:p>
    <w:p>
      <w:pPr>
        <w:jc w:val="both"/>
        <w:ind w:firstLine="1194"/>
        <w:spacing w:after="0" w:line="254" w:lineRule="auto"/>
        <w:tabs>
          <w:tab w:leader="none" w:pos="1676" w:val="left"/>
        </w:tabs>
        <w:numPr>
          <w:ilvl w:val="1"/>
          <w:numId w:val="279"/>
        </w:numPr>
        <w:rPr>
          <w:rFonts w:ascii="Arial" w:cs="Arial" w:eastAsia="Arial" w:hAnsi="Arial"/>
          <w:sz w:val="20"/>
          <w:szCs w:val="20"/>
          <w:color w:val="010000"/>
        </w:rPr>
      </w:pPr>
      <w:r>
        <w:rPr>
          <w:rFonts w:ascii="Arial" w:cs="Arial" w:eastAsia="Arial" w:hAnsi="Arial"/>
          <w:sz w:val="20"/>
          <w:szCs w:val="20"/>
          <w:u w:val="single" w:color="auto"/>
          <w:color w:val="auto"/>
        </w:rPr>
        <w:t>Return of Company Property</w:t>
      </w:r>
      <w:r>
        <w:rPr>
          <w:rFonts w:ascii="Arial" w:cs="Arial" w:eastAsia="Arial" w:hAnsi="Arial"/>
          <w:sz w:val="20"/>
          <w:szCs w:val="20"/>
          <w:color w:val="auto"/>
        </w:rPr>
        <w:t>. Immediately upon the Participant’s termination of Employment for any reason, or upon Company’s request at any other time, Participant will deliver to Company all Company Property. Following Participant’s termination of Employment, Participant shall not retain, copy, or remove (either physically or electronically) any Company Property from Company premises, computers, or other electronic equipment or storage devices.</w:t>
      </w:r>
    </w:p>
    <w:p>
      <w:pPr>
        <w:spacing w:after="0" w:line="171" w:lineRule="exact"/>
        <w:rPr>
          <w:rFonts w:ascii="Arial" w:cs="Arial" w:eastAsia="Arial" w:hAnsi="Arial"/>
          <w:sz w:val="20"/>
          <w:szCs w:val="20"/>
          <w:color w:val="010000"/>
        </w:rPr>
      </w:pPr>
    </w:p>
    <w:p>
      <w:pPr>
        <w:ind w:left="1620" w:hanging="426"/>
        <w:spacing w:after="0"/>
        <w:tabs>
          <w:tab w:leader="none" w:pos="1620" w:val="left"/>
        </w:tabs>
        <w:numPr>
          <w:ilvl w:val="1"/>
          <w:numId w:val="279"/>
        </w:numPr>
        <w:rPr>
          <w:rFonts w:ascii="Arial" w:cs="Arial" w:eastAsia="Arial" w:hAnsi="Arial"/>
          <w:sz w:val="20"/>
          <w:szCs w:val="20"/>
          <w:color w:val="010000"/>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3.6</w:t>
      </w:r>
      <w:r>
        <w:rPr>
          <w:rFonts w:ascii="Arial" w:cs="Arial" w:eastAsia="Arial" w:hAnsi="Arial"/>
          <w:sz w:val="20"/>
          <w:szCs w:val="20"/>
          <w:color w:val="auto"/>
        </w:rPr>
        <w:t>:</w:t>
      </w:r>
    </w:p>
    <w:p>
      <w:pPr>
        <w:spacing w:after="0" w:line="205" w:lineRule="exact"/>
        <w:rPr>
          <w:rFonts w:ascii="Arial" w:cs="Arial" w:eastAsia="Arial" w:hAnsi="Arial"/>
          <w:sz w:val="20"/>
          <w:szCs w:val="20"/>
          <w:color w:val="010000"/>
        </w:rPr>
      </w:pPr>
    </w:p>
    <w:p>
      <w:pPr>
        <w:jc w:val="both"/>
        <w:ind w:firstLine="1791"/>
        <w:spacing w:after="0" w:line="254" w:lineRule="auto"/>
        <w:tabs>
          <w:tab w:leader="none" w:pos="2179" w:val="left"/>
        </w:tabs>
        <w:numPr>
          <w:ilvl w:val="2"/>
          <w:numId w:val="279"/>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Client</w:t>
      </w:r>
      <w:r>
        <w:rPr>
          <w:rFonts w:ascii="Arial" w:cs="Arial" w:eastAsia="Arial" w:hAnsi="Arial"/>
          <w:sz w:val="20"/>
          <w:szCs w:val="20"/>
          <w:color w:val="auto"/>
        </w:rPr>
        <w:t>” means, in the past twenty-four (24) months, any client or prospective client of the Company to whom Participant provided services, or for whom Participant transacted business, or whose identity became known to Participant in connection with Participant’s relationship with or employment by the Company with which the Company wanted or intended to do business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327" w:right="339" w:bottom="1440" w:gutter="0" w:footer="0" w:header="0"/>
        </w:sectPr>
      </w:pPr>
    </w:p>
    <w:bookmarkStart w:id="405" w:name="page406"/>
    <w:bookmarkEnd w:id="405"/>
    <w:p>
      <w:pPr>
        <w:ind w:left="2240" w:hanging="449"/>
        <w:spacing w:after="0"/>
        <w:tabs>
          <w:tab w:leader="none" w:pos="2240" w:val="left"/>
        </w:tabs>
        <w:numPr>
          <w:ilvl w:val="1"/>
          <w:numId w:val="280"/>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Company</w:t>
      </w:r>
      <w:r>
        <w:rPr>
          <w:rFonts w:ascii="Arial" w:cs="Arial" w:eastAsia="Arial" w:hAnsi="Arial"/>
          <w:sz w:val="20"/>
          <w:szCs w:val="20"/>
          <w:color w:val="auto"/>
        </w:rPr>
        <w:t>” means the Company, its subsidiaries and its Affiliates.</w:t>
      </w:r>
    </w:p>
    <w:p>
      <w:pPr>
        <w:spacing w:after="0" w:line="205" w:lineRule="exact"/>
        <w:rPr>
          <w:rFonts w:ascii="Arial" w:cs="Arial" w:eastAsia="Arial" w:hAnsi="Arial"/>
          <w:sz w:val="20"/>
          <w:szCs w:val="20"/>
          <w:color w:val="010000"/>
        </w:rPr>
      </w:pPr>
    </w:p>
    <w:p>
      <w:pPr>
        <w:jc w:val="both"/>
        <w:ind w:firstLine="1791"/>
        <w:spacing w:after="0" w:line="252" w:lineRule="auto"/>
        <w:tabs>
          <w:tab w:leader="none" w:pos="2376" w:val="left"/>
        </w:tabs>
        <w:numPr>
          <w:ilvl w:val="1"/>
          <w:numId w:val="280"/>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Company Property</w:t>
      </w:r>
      <w:r>
        <w:rPr>
          <w:rFonts w:ascii="Arial" w:cs="Arial" w:eastAsia="Arial" w:hAnsi="Arial"/>
          <w:sz w:val="20"/>
          <w:szCs w:val="20"/>
          <w:color w:val="auto"/>
        </w:rPr>
        <w:t>” means any and all documents, computer and computer-related hardware and software items, disks, telephones, customer and prospect lists, marketing, planning, financial and business strategy materials and all other materials or other things in your possession, custody or control that were produced by, received by or otherwise submitted to you by anyone during your employment by the Company relating to the Company’s business or a customer of the Company or that otherwise are the property of the Company</w:t>
      </w:r>
    </w:p>
    <w:p>
      <w:pPr>
        <w:spacing w:after="0" w:line="173" w:lineRule="exact"/>
        <w:rPr>
          <w:rFonts w:ascii="Arial" w:cs="Arial" w:eastAsia="Arial" w:hAnsi="Arial"/>
          <w:sz w:val="20"/>
          <w:szCs w:val="20"/>
          <w:color w:val="010000"/>
        </w:rPr>
      </w:pPr>
    </w:p>
    <w:p>
      <w:pPr>
        <w:ind w:firstLine="1791"/>
        <w:spacing w:after="0" w:line="271" w:lineRule="auto"/>
        <w:tabs>
          <w:tab w:leader="none" w:pos="2340" w:val="left"/>
        </w:tabs>
        <w:numPr>
          <w:ilvl w:val="1"/>
          <w:numId w:val="280"/>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Competitive Enterprise</w:t>
      </w:r>
      <w:r>
        <w:rPr>
          <w:rFonts w:ascii="Arial" w:cs="Arial" w:eastAsia="Arial" w:hAnsi="Arial"/>
          <w:sz w:val="20"/>
          <w:szCs w:val="20"/>
          <w:color w:val="auto"/>
        </w:rPr>
        <w:t>” means any business enterprise that engages in any activity that competes anywhere with any activity in which the Company is engaged.</w:t>
      </w:r>
    </w:p>
    <w:p>
      <w:pPr>
        <w:spacing w:after="0" w:line="152" w:lineRule="exact"/>
        <w:rPr>
          <w:rFonts w:ascii="Arial" w:cs="Arial" w:eastAsia="Arial" w:hAnsi="Arial"/>
          <w:sz w:val="20"/>
          <w:szCs w:val="20"/>
          <w:color w:val="010000"/>
        </w:rPr>
      </w:pPr>
    </w:p>
    <w:p>
      <w:pPr>
        <w:jc w:val="both"/>
        <w:ind w:firstLine="1791"/>
        <w:spacing w:after="0" w:line="284" w:lineRule="auto"/>
        <w:tabs>
          <w:tab w:leader="none" w:pos="2360" w:val="left"/>
        </w:tabs>
        <w:numPr>
          <w:ilvl w:val="1"/>
          <w:numId w:val="280"/>
        </w:numPr>
        <w:rPr>
          <w:rFonts w:ascii="Arial" w:cs="Arial" w:eastAsia="Arial" w:hAnsi="Arial"/>
          <w:sz w:val="18"/>
          <w:szCs w:val="18"/>
          <w:color w:val="010000"/>
        </w:rPr>
      </w:pPr>
      <w:r>
        <w:rPr>
          <w:rFonts w:ascii="Arial" w:cs="Arial" w:eastAsia="Arial" w:hAnsi="Arial"/>
          <w:sz w:val="18"/>
          <w:szCs w:val="18"/>
          <w:color w:val="auto"/>
        </w:rPr>
        <w:t>The term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non-public information of the Company's business and its customers and affiliates of such customers, including but not limited to, the pendency or contemplation of certain transactions, the identity of the Company's customers, the kinds of services provided by the Company to customers and offered to be performed for potential customers, computer software applications and other programs, personnel information and other trade secrets. “Confidential Information” does not include information that (i) is or becomes available to the public generally (other than as a result of the Participant’s disclosure) or (ii) becomes available to the Participant on a non-confidential basis from a source other than the Company.</w:t>
      </w:r>
    </w:p>
    <w:p>
      <w:pPr>
        <w:spacing w:after="0" w:line="148" w:lineRule="exact"/>
        <w:rPr>
          <w:rFonts w:ascii="Arial" w:cs="Arial" w:eastAsia="Arial" w:hAnsi="Arial"/>
          <w:sz w:val="18"/>
          <w:szCs w:val="18"/>
          <w:color w:val="010000"/>
        </w:rPr>
      </w:pPr>
    </w:p>
    <w:p>
      <w:pPr>
        <w:jc w:val="both"/>
        <w:ind w:firstLine="1791"/>
        <w:spacing w:after="0" w:line="254" w:lineRule="auto"/>
        <w:tabs>
          <w:tab w:leader="none" w:pos="2278" w:val="left"/>
        </w:tabs>
        <w:numPr>
          <w:ilvl w:val="1"/>
          <w:numId w:val="280"/>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Restrictive Covenants</w:t>
      </w:r>
      <w:r>
        <w:rPr>
          <w:rFonts w:ascii="Arial" w:cs="Arial" w:eastAsia="Arial" w:hAnsi="Arial"/>
          <w:sz w:val="20"/>
          <w:szCs w:val="20"/>
          <w:color w:val="auto"/>
        </w:rPr>
        <w:t xml:space="preserve">” means the restrictions set forth in this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and, if Participant is a party to, or participant in, an employment agreement, severance agreement or other agreement or plan with the Company, which agreement sets forth provisions regarding Confidential Information, non-solicitation or non-competition, the provisions set forth in such employment agreement, severance agreement or other agreement or plan.</w:t>
      </w:r>
    </w:p>
    <w:p>
      <w:pPr>
        <w:spacing w:after="0" w:line="171" w:lineRule="exact"/>
        <w:rPr>
          <w:rFonts w:ascii="Arial" w:cs="Arial" w:eastAsia="Arial" w:hAnsi="Arial"/>
          <w:sz w:val="20"/>
          <w:szCs w:val="20"/>
          <w:color w:val="010000"/>
        </w:rPr>
      </w:pPr>
    </w:p>
    <w:p>
      <w:pPr>
        <w:ind w:firstLine="1791"/>
        <w:spacing w:after="0" w:line="271" w:lineRule="auto"/>
        <w:tabs>
          <w:tab w:leader="none" w:pos="2359" w:val="left"/>
        </w:tabs>
        <w:numPr>
          <w:ilvl w:val="1"/>
          <w:numId w:val="280"/>
        </w:numPr>
        <w:rPr>
          <w:rFonts w:ascii="Arial" w:cs="Arial" w:eastAsia="Arial" w:hAnsi="Arial"/>
          <w:sz w:val="20"/>
          <w:szCs w:val="20"/>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Solicit</w:t>
      </w:r>
      <w:r>
        <w:rPr>
          <w:rFonts w:ascii="Arial" w:cs="Arial" w:eastAsia="Arial" w:hAnsi="Arial"/>
          <w:sz w:val="20"/>
          <w:szCs w:val="20"/>
          <w:color w:val="auto"/>
        </w:rPr>
        <w:t>” means any direct or indirect communication of any kind, regardless of who initiates it, that in any way invites, advises, encourages or requests any person to take or refrain from taking any action.</w:t>
      </w:r>
    </w:p>
    <w:p>
      <w:pPr>
        <w:spacing w:after="0" w:line="152" w:lineRule="exact"/>
        <w:rPr>
          <w:rFonts w:ascii="Arial" w:cs="Arial" w:eastAsia="Arial" w:hAnsi="Arial"/>
          <w:sz w:val="20"/>
          <w:szCs w:val="20"/>
          <w:color w:val="010000"/>
        </w:rPr>
      </w:pPr>
    </w:p>
    <w:p>
      <w:pPr>
        <w:jc w:val="both"/>
        <w:ind w:firstLine="1194"/>
        <w:spacing w:after="0" w:line="292" w:lineRule="auto"/>
        <w:tabs>
          <w:tab w:leader="none" w:pos="1700" w:val="left"/>
        </w:tabs>
        <w:numPr>
          <w:ilvl w:val="0"/>
          <w:numId w:val="281"/>
        </w:numPr>
        <w:rPr>
          <w:rFonts w:ascii="Arial" w:cs="Arial" w:eastAsia="Arial" w:hAnsi="Arial"/>
          <w:sz w:val="18"/>
          <w:szCs w:val="18"/>
          <w:color w:val="010000"/>
        </w:rPr>
      </w:pPr>
      <w:r>
        <w:rPr>
          <w:rFonts w:ascii="Arial" w:cs="Arial" w:eastAsia="Arial" w:hAnsi="Arial"/>
          <w:sz w:val="18"/>
          <w:szCs w:val="18"/>
          <w:u w:val="single" w:color="auto"/>
          <w:color w:val="auto"/>
        </w:rPr>
        <w:t>Reasonableness of Restrictions</w:t>
      </w:r>
      <w:r>
        <w:rPr>
          <w:rFonts w:ascii="Arial" w:cs="Arial" w:eastAsia="Arial" w:hAnsi="Arial"/>
          <w:sz w:val="18"/>
          <w:szCs w:val="18"/>
          <w:color w:val="auto"/>
        </w:rPr>
        <w:t>. Participant has carefully read and considered the Restrictive Covenants, and, having done so, agrees and acknowledges that the Restrictive Covenants limit Participant’s ability to engage in competition during the period provided for above. Participant expressly warrants and represents that these restrictions with respect to time and scope of activity are reasonable and necessary to protect the Confidential Information and the Company’s business goodwill and competitive position.</w:t>
      </w:r>
    </w:p>
    <w:p>
      <w:pPr>
        <w:spacing w:after="0" w:line="137" w:lineRule="exact"/>
        <w:rPr>
          <w:rFonts w:ascii="Arial" w:cs="Arial" w:eastAsia="Arial" w:hAnsi="Arial"/>
          <w:sz w:val="18"/>
          <w:szCs w:val="18"/>
          <w:color w:val="010000"/>
        </w:rPr>
      </w:pPr>
    </w:p>
    <w:p>
      <w:pPr>
        <w:ind w:firstLine="1194"/>
        <w:spacing w:after="0" w:line="327" w:lineRule="auto"/>
        <w:tabs>
          <w:tab w:leader="none" w:pos="1627" w:val="left"/>
        </w:tabs>
        <w:numPr>
          <w:ilvl w:val="0"/>
          <w:numId w:val="281"/>
        </w:numPr>
        <w:rPr>
          <w:rFonts w:ascii="Arial" w:cs="Arial" w:eastAsia="Arial" w:hAnsi="Arial"/>
          <w:sz w:val="18"/>
          <w:szCs w:val="18"/>
          <w:color w:val="010000"/>
        </w:rPr>
      </w:pPr>
      <w:r>
        <w:rPr>
          <w:rFonts w:ascii="Arial" w:cs="Arial" w:eastAsia="Arial" w:hAnsi="Arial"/>
          <w:sz w:val="18"/>
          <w:szCs w:val="18"/>
          <w:u w:val="single" w:color="auto"/>
          <w:color w:val="auto"/>
        </w:rPr>
        <w:t>Forfeiture for Violation of Restrictive Covenants</w:t>
      </w:r>
      <w:r>
        <w:rPr>
          <w:rFonts w:ascii="Arial" w:cs="Arial" w:eastAsia="Arial" w:hAnsi="Arial"/>
          <w:sz w:val="18"/>
          <w:szCs w:val="18"/>
          <w:color w:val="auto"/>
        </w:rPr>
        <w:t>. The grant of the RSUs provided herein and Participant’s agreement to the Restrictive Covenants are intended to be mutually dependent promises and in the event Participant breaches or threatens to breach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327" w:right="339" w:bottom="1440" w:gutter="0" w:footer="0" w:header="0"/>
        </w:sectPr>
      </w:pPr>
    </w:p>
    <w:bookmarkStart w:id="406" w:name="page407"/>
    <w:bookmarkEnd w:id="406"/>
    <w:p>
      <w:pPr>
        <w:jc w:val="both"/>
        <w:spacing w:after="0" w:line="281" w:lineRule="auto"/>
        <w:rPr>
          <w:sz w:val="20"/>
          <w:szCs w:val="20"/>
          <w:color w:val="auto"/>
        </w:rPr>
      </w:pPr>
      <w:r>
        <w:rPr>
          <w:rFonts w:ascii="Arial" w:cs="Arial" w:eastAsia="Arial" w:hAnsi="Arial"/>
          <w:sz w:val="18"/>
          <w:szCs w:val="18"/>
          <w:color w:val="auto"/>
        </w:rPr>
        <w:t>Restrictive Covenants, then to the greatest extent permitted by applicable law: (i) RSUs that have not yet been settled (whether vested or unvested) shall immediately be cancelled; (ii) any Shares issued upon settlement of the RSUs during the time period that is twelve (12) months prior to and twelve (12) months following Participant’s termination of Employment that have not yet been sold by Participant shall be forfeited back to the Company for no consideration; and (iii) if Participant received Shares upon settlement of the RSUs during the time period that is twelve (12) months prior to and twelve (12) months following Participant’s termination of Employment and subsequently sold the received Share(s), any gain represented by the fair market value of the Shares issued upon settlement of the RSUs on the settlement date multiplied by the number of Shares issued to Participant upon settlement of the RSUs shall be paid by Participant to the Company, in cash, without regard to any market price decrease or increase subsequent to the settlement of the RSUs.</w:t>
      </w:r>
    </w:p>
    <w:p>
      <w:pPr>
        <w:spacing w:after="0" w:line="152" w:lineRule="exact"/>
        <w:rPr>
          <w:sz w:val="20"/>
          <w:szCs w:val="20"/>
          <w:color w:val="auto"/>
        </w:rPr>
      </w:pPr>
    </w:p>
    <w:p>
      <w:pPr>
        <w:jc w:val="both"/>
        <w:ind w:firstLine="1194"/>
        <w:spacing w:after="0" w:line="251" w:lineRule="auto"/>
        <w:tabs>
          <w:tab w:leader="none" w:pos="1593" w:val="left"/>
        </w:tabs>
        <w:numPr>
          <w:ilvl w:val="0"/>
          <w:numId w:val="282"/>
        </w:numPr>
        <w:rPr>
          <w:rFonts w:ascii="Arial" w:cs="Arial" w:eastAsia="Arial" w:hAnsi="Arial"/>
          <w:sz w:val="20"/>
          <w:szCs w:val="20"/>
          <w:color w:val="010000"/>
        </w:rPr>
      </w:pPr>
      <w:r>
        <w:rPr>
          <w:rFonts w:ascii="Arial" w:cs="Arial" w:eastAsia="Arial" w:hAnsi="Arial"/>
          <w:sz w:val="20"/>
          <w:szCs w:val="20"/>
          <w:u w:val="single" w:color="auto"/>
          <w:color w:val="auto"/>
        </w:rPr>
        <w:t>Remedies for Breach</w:t>
      </w:r>
      <w:r>
        <w:rPr>
          <w:rFonts w:ascii="Arial" w:cs="Arial" w:eastAsia="Arial" w:hAnsi="Arial"/>
          <w:sz w:val="20"/>
          <w:szCs w:val="20"/>
          <w:color w:val="auto"/>
        </w:rPr>
        <w:t xml:space="preserve">. In the event of a breach or threatened breach of any of the Restrictive Covenants, in addition to the forfeiture provisions set forth in </w:t>
      </w:r>
      <w:r>
        <w:rPr>
          <w:rFonts w:ascii="Arial" w:cs="Arial" w:eastAsia="Arial" w:hAnsi="Arial"/>
          <w:sz w:val="20"/>
          <w:szCs w:val="20"/>
          <w:u w:val="single" w:color="auto"/>
          <w:color w:val="auto"/>
        </w:rPr>
        <w:t>Section 3.6(e)</w:t>
      </w:r>
      <w:r>
        <w:rPr>
          <w:rFonts w:ascii="Arial" w:cs="Arial" w:eastAsia="Arial" w:hAnsi="Arial"/>
          <w:sz w:val="20"/>
          <w:szCs w:val="20"/>
          <w:color w:val="auto"/>
        </w:rPr>
        <w:t>, the Company shall have the right to seek monetary damages for any such breach. In addition, in the event of breach or threatened breach of any of the Restrictive Covenants, the Company shall have a right to seek equitable relief, including specific performance by means of an injunction against Participant or against Participant’s partners, agents, representatives, servants, employers, employees, and/or any and all persons acting directly or indirectly by or with him or her, to prevent or restrain any such breach.</w:t>
      </w:r>
    </w:p>
    <w:p>
      <w:pPr>
        <w:spacing w:after="0" w:line="174" w:lineRule="exact"/>
        <w:rPr>
          <w:rFonts w:ascii="Arial" w:cs="Arial" w:eastAsia="Arial" w:hAnsi="Arial"/>
          <w:sz w:val="20"/>
          <w:szCs w:val="20"/>
          <w:color w:val="010000"/>
        </w:rPr>
      </w:pPr>
    </w:p>
    <w:p>
      <w:pPr>
        <w:jc w:val="both"/>
        <w:ind w:firstLine="1194"/>
        <w:spacing w:after="0" w:line="272" w:lineRule="auto"/>
        <w:tabs>
          <w:tab w:leader="none" w:pos="1638" w:val="left"/>
        </w:tabs>
        <w:numPr>
          <w:ilvl w:val="0"/>
          <w:numId w:val="282"/>
        </w:numPr>
        <w:rPr>
          <w:rFonts w:ascii="Arial" w:cs="Arial" w:eastAsia="Arial" w:hAnsi="Arial"/>
          <w:sz w:val="19"/>
          <w:szCs w:val="19"/>
          <w:color w:val="010000"/>
        </w:rPr>
      </w:pPr>
      <w:r>
        <w:rPr>
          <w:rFonts w:ascii="Arial" w:cs="Arial" w:eastAsia="Arial" w:hAnsi="Arial"/>
          <w:sz w:val="19"/>
          <w:szCs w:val="19"/>
          <w:u w:val="single" w:color="auto"/>
          <w:color w:val="auto"/>
        </w:rPr>
        <w:t>Blue Penciling</w:t>
      </w:r>
      <w:r>
        <w:rPr>
          <w:rFonts w:ascii="Arial" w:cs="Arial" w:eastAsia="Arial" w:hAnsi="Arial"/>
          <w:sz w:val="19"/>
          <w:szCs w:val="19"/>
          <w:color w:val="auto"/>
        </w:rPr>
        <w:t>. In the event a court of competent jurisdiction determines that the geographic area, duration, or scope of activity of any restriction under this Agreement is more extensive than is necessary to protect the legitimate business interests of the Company and its affiliates or are otherwise unenforceable, the Company may, in its sole discretion, reform and modify the restrictions under this Agreement to the minimum extent required to render them valid and enforceable under applicable law.</w:t>
      </w:r>
    </w:p>
    <w:p>
      <w:pPr>
        <w:spacing w:after="0" w:line="148"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IV</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OTHER PROVISIONS</w:t>
      </w:r>
    </w:p>
    <w:p>
      <w:pPr>
        <w:spacing w:after="0" w:line="212"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010000"/>
        </w:rPr>
        <w:t>4.1</w:t>
      </w:r>
      <w:r>
        <w:rPr>
          <w:sz w:val="20"/>
          <w:szCs w:val="20"/>
          <w:color w:val="auto"/>
        </w:rPr>
        <w:tab/>
      </w:r>
      <w:r>
        <w:rPr>
          <w:rFonts w:ascii="Arial" w:cs="Arial" w:eastAsia="Arial" w:hAnsi="Arial"/>
          <w:sz w:val="18"/>
          <w:szCs w:val="18"/>
          <w:u w:val="single" w:color="auto"/>
          <w:color w:val="auto"/>
        </w:rPr>
        <w:t>No Right to Continued Employment, Service or Awards</w:t>
      </w:r>
      <w:r>
        <w:rPr>
          <w:rFonts w:ascii="Arial" w:cs="Arial" w:eastAsia="Arial" w:hAnsi="Arial"/>
          <w:sz w:val="18"/>
          <w:szCs w:val="18"/>
          <w:color w:val="auto"/>
        </w:rPr>
        <w:t>.</w:t>
      </w:r>
    </w:p>
    <w:p>
      <w:pPr>
        <w:spacing w:after="0" w:line="206" w:lineRule="exact"/>
        <w:rPr>
          <w:sz w:val="20"/>
          <w:szCs w:val="20"/>
          <w:color w:val="auto"/>
        </w:rPr>
      </w:pPr>
    </w:p>
    <w:p>
      <w:pPr>
        <w:jc w:val="both"/>
        <w:ind w:firstLine="586"/>
        <w:spacing w:after="0" w:line="272" w:lineRule="auto"/>
        <w:rPr>
          <w:sz w:val="20"/>
          <w:szCs w:val="20"/>
          <w:color w:val="auto"/>
        </w:rPr>
      </w:pPr>
      <w:r>
        <w:rPr>
          <w:rFonts w:ascii="Arial" w:cs="Arial" w:eastAsia="Arial" w:hAnsi="Arial"/>
          <w:sz w:val="19"/>
          <w:szCs w:val="19"/>
          <w:color w:val="auto"/>
        </w:rPr>
        <w:t>Nothing in the Plan, the Grant Notice, or this Agreement shall confer upon Participant any right to continue in the employ or service of the Company or any Affiliate or shall interfere with or restrict in any way the rights of the Company and any Affiliate, which rights are hereby expressly reserved, to discharge or terminate the services of Participant at any time for any reason whatsoever, except to the extent expressly provided otherwise in a written agreement between the Company or any Affiliate and Participant.</w:t>
      </w:r>
    </w:p>
    <w:p>
      <w:pPr>
        <w:spacing w:after="0" w:line="154" w:lineRule="exact"/>
        <w:rPr>
          <w:sz w:val="20"/>
          <w:szCs w:val="20"/>
          <w:color w:val="auto"/>
        </w:rPr>
      </w:pPr>
    </w:p>
    <w:p>
      <w:pPr>
        <w:jc w:val="both"/>
        <w:ind w:firstLine="586"/>
        <w:spacing w:after="0" w:line="278" w:lineRule="auto"/>
        <w:rPr>
          <w:sz w:val="20"/>
          <w:szCs w:val="20"/>
          <w:color w:val="auto"/>
        </w:rPr>
      </w:pPr>
      <w:r>
        <w:rPr>
          <w:rFonts w:ascii="Arial" w:cs="Arial" w:eastAsia="Arial" w:hAnsi="Arial"/>
          <w:sz w:val="19"/>
          <w:szCs w:val="19"/>
          <w:color w:val="auto"/>
        </w:rPr>
        <w:t>The grant of the Award is a one-time benefit and does not create any contractual or other right to receive a grant of Awards or benefits in lieu of Awards in the future. Future grants, if any, will be at the sole discretion of the Company. In addition, the value of the Award is an extraordinary item of compensation outside the scope of any employment contract. As such,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327" w:right="339" w:bottom="1440" w:gutter="0" w:footer="0" w:header="0"/>
        </w:sectPr>
      </w:pPr>
    </w:p>
    <w:bookmarkStart w:id="407" w:name="page408"/>
    <w:bookmarkEnd w:id="407"/>
    <w:p>
      <w:pPr>
        <w:jc w:val="both"/>
        <w:spacing w:after="0" w:line="258" w:lineRule="auto"/>
        <w:rPr>
          <w:sz w:val="20"/>
          <w:szCs w:val="20"/>
          <w:color w:val="auto"/>
        </w:rPr>
      </w:pPr>
      <w:r>
        <w:rPr>
          <w:rFonts w:ascii="Arial" w:cs="Arial" w:eastAsia="Arial" w:hAnsi="Arial"/>
          <w:sz w:val="20"/>
          <w:szCs w:val="20"/>
          <w:color w:val="auto"/>
        </w:rPr>
        <w:t>Award is not part of normal or expected compensation for purposes of calculating any severance, resignation, redundancy, end of service payments, bonuses, long-service awards, pension or retirement benefits or similar payments. The future value of the underlying Shares is unknown and cannot be predicted with certainty.</w:t>
      </w:r>
    </w:p>
    <w:p>
      <w:pPr>
        <w:spacing w:after="0" w:line="167" w:lineRule="exact"/>
        <w:rPr>
          <w:sz w:val="20"/>
          <w:szCs w:val="20"/>
          <w:color w:val="auto"/>
        </w:rPr>
      </w:pPr>
    </w:p>
    <w:p>
      <w:pPr>
        <w:jc w:val="both"/>
        <w:ind w:firstLine="597"/>
        <w:spacing w:after="0" w:line="278"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u w:val="single" w:color="auto"/>
          <w:color w:val="000000"/>
        </w:rPr>
        <w:t>Adjustments</w:t>
      </w:r>
      <w:r>
        <w:rPr>
          <w:rFonts w:ascii="Arial" w:cs="Arial" w:eastAsia="Arial" w:hAnsi="Arial"/>
          <w:sz w:val="19"/>
          <w:szCs w:val="19"/>
          <w:color w:val="000000"/>
        </w:rPr>
        <w:t>. Participant acknowledges that the Award, including the vesting of the Award and the number of Shares subject to</w:t>
      </w:r>
      <w:r>
        <w:rPr>
          <w:rFonts w:ascii="Arial" w:cs="Arial" w:eastAsia="Arial" w:hAnsi="Arial"/>
          <w:sz w:val="19"/>
          <w:szCs w:val="19"/>
          <w:color w:val="010000"/>
        </w:rPr>
        <w:t xml:space="preserve"> </w:t>
      </w:r>
      <w:r>
        <w:rPr>
          <w:rFonts w:ascii="Arial" w:cs="Arial" w:eastAsia="Arial" w:hAnsi="Arial"/>
          <w:sz w:val="19"/>
          <w:szCs w:val="19"/>
          <w:color w:val="000000"/>
        </w:rPr>
        <w:t>the Award, is subject to adjustment in the discretion of the Board (or any Committee to which administration of the Plan has been delegated by the Board) upon the occurrence of certain events as provided in this Agreement and Section 1.6.3 of the Plan.</w:t>
      </w:r>
    </w:p>
    <w:p>
      <w:pPr>
        <w:spacing w:after="0" w:line="149"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20"/>
          <w:szCs w:val="20"/>
          <w:color w:val="010000"/>
        </w:rPr>
        <w:t xml:space="preserve">4.3 </w:t>
      </w:r>
      <w:r>
        <w:rPr>
          <w:rFonts w:ascii="Arial" w:cs="Arial" w:eastAsia="Arial" w:hAnsi="Arial"/>
          <w:sz w:val="20"/>
          <w:szCs w:val="20"/>
          <w:u w:val="single" w:color="auto"/>
          <w:color w:val="000000"/>
        </w:rPr>
        <w:t>Headings</w:t>
      </w:r>
      <w:r>
        <w:rPr>
          <w:rFonts w:ascii="Arial" w:cs="Arial" w:eastAsia="Arial" w:hAnsi="Arial"/>
          <w:sz w:val="20"/>
          <w:szCs w:val="20"/>
          <w:color w:val="000000"/>
        </w:rPr>
        <w:t>. Headings are provided herein for convenience only and are not intended to define or limit the construction of the</w:t>
      </w:r>
      <w:r>
        <w:rPr>
          <w:rFonts w:ascii="Arial" w:cs="Arial" w:eastAsia="Arial" w:hAnsi="Arial"/>
          <w:sz w:val="20"/>
          <w:szCs w:val="20"/>
          <w:color w:val="010000"/>
        </w:rPr>
        <w:t xml:space="preserve"> </w:t>
      </w:r>
      <w:r>
        <w:rPr>
          <w:rFonts w:ascii="Arial" w:cs="Arial" w:eastAsia="Arial" w:hAnsi="Arial"/>
          <w:sz w:val="20"/>
          <w:szCs w:val="20"/>
          <w:color w:val="000000"/>
        </w:rPr>
        <w:t>provisions hereof. to serve as a basis for interpretation or construction of this Agreement.</w:t>
      </w:r>
    </w:p>
    <w:p>
      <w:pPr>
        <w:spacing w:after="0" w:line="15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Governing Law; Venue</w:t>
      </w:r>
      <w:r>
        <w:rPr>
          <w:rFonts w:ascii="Arial" w:cs="Arial" w:eastAsia="Arial" w:hAnsi="Arial"/>
          <w:sz w:val="19"/>
          <w:szCs w:val="19"/>
          <w:color w:val="000000"/>
        </w:rPr>
        <w:t>. The laws of the Commonwealth of Virginia shall govern the interpretation, validity, administration,</w:t>
      </w:r>
      <w:r>
        <w:rPr>
          <w:rFonts w:ascii="Arial" w:cs="Arial" w:eastAsia="Arial" w:hAnsi="Arial"/>
          <w:sz w:val="19"/>
          <w:szCs w:val="19"/>
          <w:color w:val="010000"/>
        </w:rPr>
        <w:t xml:space="preserve"> </w:t>
      </w:r>
      <w:r>
        <w:rPr>
          <w:rFonts w:ascii="Arial" w:cs="Arial" w:eastAsia="Arial" w:hAnsi="Arial"/>
          <w:sz w:val="19"/>
          <w:szCs w:val="19"/>
          <w:color w:val="000000"/>
        </w:rPr>
        <w:t>enforcement and performance of the terms of this Agreement regardless of the law that might be applied under principles of conflicts of laws. The parties agree that any suit, action, or proceeding arising out of or relating to the Plan or this Agreement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this Agreement shall for any reason be held invalid or unenforceable, it is the specific intent of the parties that such provisions shall be modified to the minimum extent necessary to make it or its application valid and enforceable.</w:t>
      </w:r>
    </w:p>
    <w:p>
      <w:pPr>
        <w:spacing w:after="0" w:line="16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010000"/>
        </w:rPr>
        <w:t xml:space="preserve">4.5 </w:t>
      </w:r>
      <w:r>
        <w:rPr>
          <w:rFonts w:ascii="Arial" w:cs="Arial" w:eastAsia="Arial" w:hAnsi="Arial"/>
          <w:sz w:val="20"/>
          <w:szCs w:val="20"/>
          <w:u w:val="single" w:color="auto"/>
          <w:color w:val="000000"/>
        </w:rPr>
        <w:t>Conformity to Securities Laws</w:t>
      </w:r>
      <w:r>
        <w:rPr>
          <w:rFonts w:ascii="Arial" w:cs="Arial" w:eastAsia="Arial" w:hAnsi="Arial"/>
          <w:sz w:val="20"/>
          <w:szCs w:val="20"/>
          <w:color w:val="000000"/>
        </w:rPr>
        <w:t>. Participant acknowledges that the Plan, the Grant Notice and this Agreement are intended to</w:t>
      </w:r>
      <w:r>
        <w:rPr>
          <w:rFonts w:ascii="Arial" w:cs="Arial" w:eastAsia="Arial" w:hAnsi="Arial"/>
          <w:sz w:val="20"/>
          <w:szCs w:val="20"/>
          <w:color w:val="010000"/>
        </w:rPr>
        <w:t xml:space="preserve"> </w:t>
      </w:r>
      <w:r>
        <w:rPr>
          <w:rFonts w:ascii="Arial" w:cs="Arial" w:eastAsia="Arial" w:hAnsi="Arial"/>
          <w:sz w:val="20"/>
          <w:szCs w:val="20"/>
          <w:color w:val="000000"/>
        </w:rPr>
        <w:t>comply with all applicable provisions of the Securities Act and the Exchange Act and any and all regulations and rules promulgated thereunder by the United States Securities and Exchange Commission, including, without limitation, Rule 16b-3 under the Exchange Act. To the extent permitted by applicable law, the Plan, the Grant Notice and this Agreement shall be deemed amended to the extent necessary to conform to such laws, rules and regulations.</w:t>
      </w:r>
    </w:p>
    <w:p>
      <w:pPr>
        <w:spacing w:after="0" w:line="17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010000"/>
        </w:rPr>
        <w:t xml:space="preserve">4.6 </w:t>
      </w:r>
      <w:r>
        <w:rPr>
          <w:rFonts w:ascii="Arial" w:cs="Arial" w:eastAsia="Arial" w:hAnsi="Arial"/>
          <w:sz w:val="20"/>
          <w:szCs w:val="20"/>
          <w:u w:val="single" w:color="auto"/>
          <w:color w:val="000000"/>
        </w:rPr>
        <w:t>Tax Representations</w:t>
      </w:r>
      <w:r>
        <w:rPr>
          <w:rFonts w:ascii="Arial" w:cs="Arial" w:eastAsia="Arial" w:hAnsi="Arial"/>
          <w:sz w:val="20"/>
          <w:szCs w:val="20"/>
          <w:color w:val="000000"/>
        </w:rPr>
        <w:t>. Participant has reviewed with Participant’s own tax advisors the federal, state, local and foreign tax</w:t>
      </w:r>
      <w:r>
        <w:rPr>
          <w:rFonts w:ascii="Arial" w:cs="Arial" w:eastAsia="Arial" w:hAnsi="Arial"/>
          <w:sz w:val="20"/>
          <w:szCs w:val="20"/>
          <w:color w:val="010000"/>
        </w:rPr>
        <w:t xml:space="preserve"> </w:t>
      </w:r>
      <w:r>
        <w:rPr>
          <w:rFonts w:ascii="Arial" w:cs="Arial" w:eastAsia="Arial" w:hAnsi="Arial"/>
          <w:sz w:val="20"/>
          <w:szCs w:val="20"/>
          <w:color w:val="000000"/>
        </w:rPr>
        <w:t>consequences of this investment and the transactions contemplated by the Grant Notice and this Agreement. Participant is relying solely on such advisors and not on any statements or representations of the Company or any of its agents. Participant understands that Participant (and not the Company) shall be responsible for Participant’s own tax liability that may arise as a result of this investment or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327" w:right="339" w:bottom="1440" w:gutter="0" w:footer="0" w:header="0"/>
        </w:sectPr>
      </w:pPr>
    </w:p>
    <w:bookmarkStart w:id="408" w:name="page409"/>
    <w:bookmarkEnd w:id="408"/>
    <w:p>
      <w:pPr>
        <w:jc w:val="both"/>
        <w:ind w:firstLine="597"/>
        <w:spacing w:after="0" w:line="258" w:lineRule="auto"/>
        <w:rPr>
          <w:sz w:val="20"/>
          <w:szCs w:val="20"/>
          <w:color w:val="auto"/>
        </w:rPr>
      </w:pPr>
      <w:r>
        <w:rPr>
          <w:rFonts w:ascii="Arial" w:cs="Arial" w:eastAsia="Arial" w:hAnsi="Arial"/>
          <w:sz w:val="20"/>
          <w:szCs w:val="20"/>
          <w:color w:val="010000"/>
        </w:rPr>
        <w:t xml:space="preserve">4.7 </w:t>
      </w:r>
      <w:r>
        <w:rPr>
          <w:rFonts w:ascii="Arial" w:cs="Arial" w:eastAsia="Arial" w:hAnsi="Arial"/>
          <w:sz w:val="20"/>
          <w:szCs w:val="20"/>
          <w:u w:val="single" w:color="auto"/>
          <w:color w:val="000000"/>
        </w:rPr>
        <w:t>Successors and Assigns</w:t>
      </w:r>
      <w:r>
        <w:rPr>
          <w:rFonts w:ascii="Arial" w:cs="Arial" w:eastAsia="Arial" w:hAnsi="Arial"/>
          <w:sz w:val="20"/>
          <w:szCs w:val="20"/>
          <w:color w:val="000000"/>
        </w:rPr>
        <w:t>. The Company may assign any of its rights under this Agreement, and this Agreement shall inure to the</w:t>
      </w:r>
      <w:r>
        <w:rPr>
          <w:rFonts w:ascii="Arial" w:cs="Arial" w:eastAsia="Arial" w:hAnsi="Arial"/>
          <w:sz w:val="20"/>
          <w:szCs w:val="20"/>
          <w:color w:val="010000"/>
        </w:rPr>
        <w:t xml:space="preserve"> </w:t>
      </w:r>
      <w:r>
        <w:rPr>
          <w:rFonts w:ascii="Arial" w:cs="Arial" w:eastAsia="Arial" w:hAnsi="Arial"/>
          <w:sz w:val="20"/>
          <w:szCs w:val="20"/>
          <w:color w:val="000000"/>
        </w:rPr>
        <w:t>benefit of the successors and assigns of the Company. Subject to the restrictions on transfer set forth herein, this Agreement shall be binding upon Participant and his or her heirs, executors, administrators, successors and assigns.</w:t>
      </w:r>
    </w:p>
    <w:p>
      <w:pPr>
        <w:spacing w:after="0" w:line="167"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20"/>
          <w:szCs w:val="20"/>
          <w:color w:val="010000"/>
        </w:rPr>
        <w:t xml:space="preserve">4.8 </w:t>
      </w:r>
      <w:r>
        <w:rPr>
          <w:rFonts w:ascii="Arial" w:cs="Arial" w:eastAsia="Arial" w:hAnsi="Arial"/>
          <w:sz w:val="20"/>
          <w:szCs w:val="20"/>
          <w:u w:val="single" w:color="auto"/>
          <w:color w:val="000000"/>
        </w:rPr>
        <w:t>Amendment</w:t>
      </w:r>
      <w:r>
        <w:rPr>
          <w:rFonts w:ascii="Arial" w:cs="Arial" w:eastAsia="Arial" w:hAnsi="Arial"/>
          <w:sz w:val="20"/>
          <w:szCs w:val="20"/>
          <w:color w:val="000000"/>
        </w:rPr>
        <w:t>. To the extent permitted by the Plan, this Agreement may be wholly or partially amended or otherwise modified,</w:t>
      </w:r>
      <w:r>
        <w:rPr>
          <w:rFonts w:ascii="Arial" w:cs="Arial" w:eastAsia="Arial" w:hAnsi="Arial"/>
          <w:sz w:val="20"/>
          <w:szCs w:val="20"/>
          <w:color w:val="010000"/>
        </w:rPr>
        <w:t xml:space="preserve"> </w:t>
      </w:r>
      <w:r>
        <w:rPr>
          <w:rFonts w:ascii="Arial" w:cs="Arial" w:eastAsia="Arial" w:hAnsi="Arial"/>
          <w:sz w:val="20"/>
          <w:szCs w:val="20"/>
          <w:color w:val="000000"/>
        </w:rPr>
        <w:t>suspended or terminated at any time or from time to time by the Board (or any Committee to which administration of the Plan has been delegated by the Board); provided that, except as may otherwise be provided by the Plan, no amendment, modification, suspension or termination of this Agreement shall impair any rights or obligations of the Participant under this Agreement in any material way without the prior written consent of Participant.</w:t>
      </w:r>
    </w:p>
    <w:p>
      <w:pPr>
        <w:spacing w:after="0" w:line="174"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010000"/>
        </w:rPr>
        <w:t xml:space="preserve">4.9 </w:t>
      </w:r>
      <w:r>
        <w:rPr>
          <w:rFonts w:ascii="Arial" w:cs="Arial" w:eastAsia="Arial" w:hAnsi="Arial"/>
          <w:sz w:val="20"/>
          <w:szCs w:val="20"/>
          <w:u w:val="single" w:color="auto"/>
          <w:color w:val="000000"/>
        </w:rPr>
        <w:t>Paperless Administration</w:t>
      </w:r>
      <w:r>
        <w:rPr>
          <w:rFonts w:ascii="Arial" w:cs="Arial" w:eastAsia="Arial" w:hAnsi="Arial"/>
          <w:sz w:val="20"/>
          <w:szCs w:val="20"/>
          <w:color w:val="000000"/>
        </w:rPr>
        <w:t>. By accepting this Award, Participant hereby agrees to receive documentation related to the Award by</w:t>
      </w:r>
      <w:r>
        <w:rPr>
          <w:rFonts w:ascii="Arial" w:cs="Arial" w:eastAsia="Arial" w:hAnsi="Arial"/>
          <w:sz w:val="20"/>
          <w:szCs w:val="20"/>
          <w:color w:val="010000"/>
        </w:rPr>
        <w:t xml:space="preserve"> </w:t>
      </w:r>
      <w:r>
        <w:rPr>
          <w:rFonts w:ascii="Arial" w:cs="Arial" w:eastAsia="Arial" w:hAnsi="Arial"/>
          <w:sz w:val="20"/>
          <w:szCs w:val="20"/>
          <w:color w:val="000000"/>
        </w:rPr>
        <w:t>electronic delivery, such as a system using an internet website or interactive voice response, maintained by the Company or a third party designated by the Company.</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9"/>
          <w:szCs w:val="19"/>
          <w:color w:val="010000"/>
        </w:rPr>
        <w:t xml:space="preserve">4.10 </w:t>
      </w:r>
      <w:r>
        <w:rPr>
          <w:rFonts w:ascii="Arial" w:cs="Arial" w:eastAsia="Arial" w:hAnsi="Arial"/>
          <w:sz w:val="19"/>
          <w:szCs w:val="19"/>
          <w:u w:val="single" w:color="auto"/>
          <w:color w:val="000000"/>
        </w:rPr>
        <w:t>Severability; Entire Agreement</w:t>
      </w:r>
      <w:r>
        <w:rPr>
          <w:rFonts w:ascii="Arial" w:cs="Arial" w:eastAsia="Arial" w:hAnsi="Arial"/>
          <w:sz w:val="19"/>
          <w:szCs w:val="19"/>
          <w:color w:val="000000"/>
        </w:rPr>
        <w:t>. If any of the provisions of the Plan, the Grant Notice, or this Award Agreement is finally held</w:t>
      </w:r>
      <w:r>
        <w:rPr>
          <w:rFonts w:ascii="Arial" w:cs="Arial" w:eastAsia="Arial" w:hAnsi="Arial"/>
          <w:sz w:val="19"/>
          <w:szCs w:val="19"/>
          <w:color w:val="010000"/>
        </w:rPr>
        <w:t xml:space="preserve"> </w:t>
      </w:r>
      <w:r>
        <w:rPr>
          <w:rFonts w:ascii="Arial" w:cs="Arial" w:eastAsia="Arial" w:hAnsi="Arial"/>
          <w:sz w:val="19"/>
          <w:szCs w:val="19"/>
          <w:color w:val="000000"/>
        </w:rPr>
        <w:t>to be invalid, illegal or unenforceable (whether in whole or in part), such provision will be deemed modified to the extent, but only to the extent, of such invalidity, illegality or unenforceability and the remaining provisions will not be affected thereby; provided that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the Grant Notice, and this Agreement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64"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color w:val="010000"/>
        </w:rPr>
        <w:t>4.11</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06" w:lineRule="exact"/>
        <w:rPr>
          <w:sz w:val="20"/>
          <w:szCs w:val="20"/>
          <w:color w:val="auto"/>
        </w:rPr>
      </w:pPr>
    </w:p>
    <w:p>
      <w:pPr>
        <w:jc w:val="both"/>
        <w:ind w:firstLine="1194"/>
        <w:spacing w:after="0" w:line="266" w:lineRule="auto"/>
        <w:tabs>
          <w:tab w:leader="none" w:pos="1652" w:val="left"/>
        </w:tabs>
        <w:numPr>
          <w:ilvl w:val="0"/>
          <w:numId w:val="283"/>
        </w:numPr>
        <w:rPr>
          <w:rFonts w:ascii="Arial" w:cs="Arial" w:eastAsia="Arial" w:hAnsi="Arial"/>
          <w:sz w:val="19"/>
          <w:szCs w:val="19"/>
          <w:color w:val="010000"/>
        </w:rPr>
      </w:pPr>
      <w:r>
        <w:rPr>
          <w:rFonts w:ascii="Arial" w:cs="Arial" w:eastAsia="Arial" w:hAnsi="Arial"/>
          <w:sz w:val="19"/>
          <w:szCs w:val="19"/>
          <w:color w:val="auto"/>
        </w:rPr>
        <w:t>This Agreement is not intended to provide for any deferral of compensation subject to Section 409A. Notwithstanding any other provision of the Plan, this Agreement or the Grant Notice, the Plan, this Agreement and the Grant Notice shall be interpreted in accordance with, and incorporate the terms and conditions required by, Section 409A. The Board (or any Committee to which administration of the Plan has been delegated by the Board) may, in its discretion, adopt such amendments to the Plan, this Agreement or the Grant Notice or adopt other policies and procedures (including amendments, policies and procedures with retroactive effect), or take any other actions, as the Board (or any Committee to which administration of the Plan has been delegated by the Board) determines are necessary or appropriate to comply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240"/>
          </w:cols>
          <w:pgMar w:left="320" w:top="1327" w:right="339" w:bottom="1440" w:gutter="0" w:footer="0" w:header="0"/>
        </w:sectPr>
      </w:pPr>
    </w:p>
    <w:bookmarkStart w:id="409" w:name="page410"/>
    <w:bookmarkEnd w:id="409"/>
    <w:p>
      <w:pPr>
        <w:ind w:left="1660" w:hanging="466"/>
        <w:spacing w:after="0"/>
        <w:tabs>
          <w:tab w:leader="none" w:pos="1660" w:val="left"/>
        </w:tabs>
        <w:numPr>
          <w:ilvl w:val="0"/>
          <w:numId w:val="284"/>
        </w:numPr>
        <w:rPr>
          <w:rFonts w:ascii="Arial" w:cs="Arial" w:eastAsia="Arial" w:hAnsi="Arial"/>
          <w:sz w:val="18"/>
          <w:szCs w:val="18"/>
          <w:color w:val="010000"/>
        </w:rPr>
      </w:pPr>
      <w:r>
        <w:rPr>
          <w:rFonts w:ascii="Arial" w:cs="Arial" w:eastAsia="Arial" w:hAnsi="Arial"/>
          <w:sz w:val="18"/>
          <w:szCs w:val="18"/>
          <w:color w:val="auto"/>
        </w:rPr>
        <w:t>For purposes of Section 409A (including, without limitation, for purposes of Treasury Regulation Section 1.409A-2(b)</w:t>
      </w:r>
    </w:p>
    <w:p>
      <w:pPr>
        <w:spacing w:after="0" w:line="45"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18"/>
          <w:szCs w:val="18"/>
          <w:color w:val="auto"/>
        </w:rPr>
        <w:t>(2)(iii)), each payment that Participant may be eligible to receive under this Agreement shall be treated as a separate and distinct payment.</w:t>
      </w:r>
    </w:p>
    <w:p>
      <w:pPr>
        <w:spacing w:after="0" w:line="213"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color w:val="010000"/>
        </w:rPr>
        <w:t>4.12</w:t>
      </w:r>
      <w:r>
        <w:rPr>
          <w:sz w:val="20"/>
          <w:szCs w:val="20"/>
          <w:color w:val="auto"/>
        </w:rPr>
        <w:tab/>
      </w:r>
      <w:r>
        <w:rPr>
          <w:rFonts w:ascii="Arial" w:cs="Arial" w:eastAsia="Arial" w:hAnsi="Arial"/>
          <w:sz w:val="18"/>
          <w:szCs w:val="18"/>
          <w:u w:val="single" w:color="auto"/>
          <w:color w:val="auto"/>
        </w:rPr>
        <w:t>Shortened Statute of Limitations.</w:t>
      </w:r>
    </w:p>
    <w:p>
      <w:pPr>
        <w:spacing w:after="0" w:line="206" w:lineRule="exact"/>
        <w:rPr>
          <w:sz w:val="20"/>
          <w:szCs w:val="20"/>
          <w:color w:val="auto"/>
        </w:rPr>
      </w:pPr>
    </w:p>
    <w:p>
      <w:pPr>
        <w:jc w:val="both"/>
        <w:ind w:firstLine="1195"/>
        <w:spacing w:after="0" w:line="292" w:lineRule="auto"/>
        <w:rPr>
          <w:sz w:val="20"/>
          <w:szCs w:val="20"/>
          <w:color w:val="auto"/>
        </w:rPr>
      </w:pPr>
      <w:r>
        <w:rPr>
          <w:rFonts w:ascii="Arial" w:cs="Arial" w:eastAsia="Arial" w:hAnsi="Arial"/>
          <w:sz w:val="18"/>
          <w:szCs w:val="18"/>
          <w:color w:val="auto"/>
        </w:rPr>
        <w:t>Each Participant agrees to shorten the applicable statute of limitations and agrees that no claims or causes of actions may be brought against the Company or any its Subsidiaries or Affiliates or any of their directors, officers, employees, controlling persons, agents or representatives based upon, directly or indirectly, any claim that arises under this Agreement or the Plan more than twelve (12) months after the date of the action that is the subject of the claim or lawsuit. Each Participant agrees to waive any statute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240"/>
          </w:cols>
          <w:pgMar w:left="320" w:top="1327" w:right="339" w:bottom="1440" w:gutter="0" w:footer="0" w:header="0"/>
        </w:sectPr>
      </w:pPr>
    </w:p>
    <w:bookmarkStart w:id="410" w:name="page411"/>
    <w:bookmarkEnd w:id="410"/>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AWARD GRANT NOTICE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9019"/>
          </w:cols>
          <w:pgMar w:left="1440" w:top="1321" w:right="1440" w:bottom="1440" w:gutter="0" w:footer="0" w:header="0"/>
        </w:sectPr>
      </w:pPr>
    </w:p>
    <w:bookmarkStart w:id="411" w:name="page412"/>
    <w:bookmarkEnd w:id="411"/>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7660" w:type="dxa"/>
            <w:vAlign w:val="bottom"/>
            <w:gridSpan w:val="3"/>
          </w:tcPr>
          <w:p>
            <w:pPr>
              <w:ind w:left="640"/>
              <w:spacing w:after="0"/>
              <w:rPr>
                <w:sz w:val="20"/>
                <w:szCs w:val="20"/>
                <w:color w:val="auto"/>
              </w:rPr>
            </w:pPr>
            <w:r>
              <w:rPr>
                <w:rFonts w:ascii="Arial" w:cs="Arial" w:eastAsia="Arial" w:hAnsi="Arial"/>
                <w:sz w:val="17"/>
                <w:szCs w:val="17"/>
                <w:b w:val="1"/>
                <w:bCs w:val="1"/>
                <w:color w:val="auto"/>
              </w:rPr>
              <w:t>SUBSIDIARIES OF LEONARDO DRS, INC.</w:t>
            </w:r>
          </w:p>
        </w:tc>
      </w:tr>
      <w:tr>
        <w:trPr>
          <w:trHeight w:val="448"/>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Company Name</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State/Country of Incorporation</w:t>
            </w:r>
          </w:p>
        </w:tc>
      </w:tr>
      <w:tr>
        <w:trPr>
          <w:trHeight w:val="25"/>
        </w:trPr>
        <w:tc>
          <w:tcPr>
            <w:tcW w:w="3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17"/>
        </w:trPr>
        <w:tc>
          <w:tcPr>
            <w:tcW w:w="3360" w:type="dxa"/>
            <w:vAlign w:val="bottom"/>
          </w:tcPr>
          <w:p>
            <w:pPr>
              <w:ind w:left="20"/>
              <w:spacing w:after="0"/>
              <w:rPr>
                <w:sz w:val="20"/>
                <w:szCs w:val="20"/>
                <w:color w:val="auto"/>
              </w:rPr>
            </w:pPr>
            <w:r>
              <w:rPr>
                <w:rFonts w:ascii="Arial" w:cs="Arial" w:eastAsia="Arial" w:hAnsi="Arial"/>
                <w:sz w:val="17"/>
                <w:szCs w:val="17"/>
                <w:color w:val="auto"/>
              </w:rPr>
              <w:t>3083683 Nova Scotia Limited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Nova Scotia, Canada</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Advanced Acoustic Concepts,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Daylight Defense,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CA</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Daylight Solutions,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CA</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Advanced ISR,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C3 &amp; Aviation Company</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Defense Solutions,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Environmental Systems,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Global Enterprise Solutions,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MD</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Homeland Security Solutions,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International,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Naval Power Systems,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Network &amp; Imaging Systems,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Radar Systems,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Signal Solutions,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Surveillance Support Systems,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Sustainment Systems,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Systems Management,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Systems,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Technologies Canada,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Technologies Canada, Ltd.</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Ontario, Canada</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Technologies Verwaltungs GMBH</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Germany</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Training &amp; Control Systems,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FL</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TSI International,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DRS Unmanned Technologies,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Engineered Coil Company</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MO</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Engineered Support Systems,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MO</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ESSI Resources,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KY</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Global Network Services,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Laurel Technologies Partnership</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Oto Melara North America,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DE</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Pivotal Power Inc.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Nova Scotia, Canada</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Tech-Sym, LLC</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NV</w:t>
            </w:r>
          </w:p>
        </w:tc>
      </w:tr>
      <w:tr>
        <w:trPr>
          <w:trHeight w:val="249"/>
        </w:trPr>
        <w:tc>
          <w:tcPr>
            <w:tcW w:w="3360" w:type="dxa"/>
            <w:vAlign w:val="bottom"/>
          </w:tcPr>
          <w:p>
            <w:pPr>
              <w:ind w:left="20"/>
              <w:spacing w:after="0"/>
              <w:rPr>
                <w:sz w:val="20"/>
                <w:szCs w:val="20"/>
                <w:color w:val="auto"/>
              </w:rPr>
            </w:pPr>
            <w:r>
              <w:rPr>
                <w:rFonts w:ascii="Arial" w:cs="Arial" w:eastAsia="Arial" w:hAnsi="Arial"/>
                <w:sz w:val="17"/>
                <w:szCs w:val="17"/>
                <w:color w:val="auto"/>
              </w:rPr>
              <w:t>T-S Holding Corporation</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TX</w:t>
            </w:r>
          </w:p>
        </w:tc>
      </w:tr>
    </w:tbl>
    <w:p>
      <w:pPr>
        <w:sectPr>
          <w:pgSz w:w="11900" w:h="16838" w:orient="portrait"/>
          <w:cols w:equalWidth="0" w:num="1">
            <w:col w:w="11240"/>
          </w:cols>
          <w:pgMar w:left="320" w:top="123" w:right="3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Leonardo DRS, Inc.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of our report included herein and to the reference to our firm under the heading ‘Experts’ in the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Our report refers to a change to the method of accounting for leases.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McLean, VA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2021</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16F8C4"/>
    <w:multiLevelType w:val="hybridMultilevel"/>
    <w:lvl w:ilvl="0">
      <w:lvlJc w:val="left"/>
      <w:lvlText w:val="•"/>
      <w:numFmt w:val="bullet"/>
      <w:start w:val="1"/>
    </w:lvl>
  </w:abstractNum>
  <w:abstractNum w:abstractNumId="1">
    <w:nsid w:val="37DF2233"/>
    <w:multiLevelType w:val="hybridMultilevel"/>
    <w:lvl w:ilvl="0">
      <w:lvlJc w:val="left"/>
      <w:lvlText w:val="•"/>
      <w:numFmt w:val="bullet"/>
      <w:start w:val="1"/>
    </w:lvl>
  </w:abstractNum>
  <w:abstractNum w:abstractNumId="2">
    <w:nsid w:val="7AB49DAF"/>
    <w:multiLevelType w:val="hybridMultilevel"/>
    <w:lvl w:ilvl="0">
      <w:lvlJc w:val="left"/>
      <w:lvlText w:val="•"/>
      <w:numFmt w:val="bullet"/>
      <w:start w:val="1"/>
    </w:lvl>
  </w:abstractNum>
  <w:abstractNum w:abstractNumId="3">
    <w:nsid w:val="759F82CD"/>
    <w:multiLevelType w:val="hybridMultilevel"/>
    <w:lvl w:ilvl="0">
      <w:lvlJc w:val="left"/>
      <w:lvlText w:val="•"/>
      <w:numFmt w:val="bullet"/>
      <w:start w:val="1"/>
    </w:lvl>
  </w:abstractNum>
  <w:abstractNum w:abstractNumId="4">
    <w:nsid w:val="61E74EA3"/>
    <w:multiLevelType w:val="hybridMultilevel"/>
    <w:lvl w:ilvl="0">
      <w:lvlJc w:val="left"/>
      <w:lvlText w:val="•"/>
      <w:numFmt w:val="bullet"/>
      <w:start w:val="1"/>
    </w:lvl>
  </w:abstractNum>
  <w:abstractNum w:abstractNumId="5">
    <w:nsid w:val="597B4D84"/>
    <w:multiLevelType w:val="hybridMultilevel"/>
    <w:lvl w:ilvl="0">
      <w:lvlJc w:val="left"/>
      <w:lvlText w:val="•"/>
      <w:numFmt w:val="bullet"/>
      <w:start w:val="1"/>
    </w:lvl>
  </w:abstractNum>
  <w:abstractNum w:abstractNumId="6">
    <w:nsid w:val="F819E7F"/>
    <w:multiLevelType w:val="hybridMultilevel"/>
    <w:lvl w:ilvl="0">
      <w:lvlJc w:val="left"/>
      <w:lvlText w:val="•"/>
      <w:numFmt w:val="bullet"/>
      <w:start w:val="1"/>
    </w:lvl>
  </w:abstractNum>
  <w:abstractNum w:abstractNumId="7">
    <w:nsid w:val="57C7D42D"/>
    <w:multiLevelType w:val="hybridMultilevel"/>
    <w:lvl w:ilvl="0">
      <w:lvlJc w:val="left"/>
      <w:lvlText w:val="•"/>
      <w:numFmt w:val="bullet"/>
      <w:start w:val="1"/>
    </w:lvl>
  </w:abstractNum>
  <w:abstractNum w:abstractNumId="8">
    <w:nsid w:val="312167AD"/>
    <w:multiLevelType w:val="hybridMultilevel"/>
    <w:lvl w:ilvl="0">
      <w:lvlJc w:val="left"/>
      <w:lvlText w:val="•"/>
      <w:numFmt w:val="bullet"/>
      <w:start w:val="1"/>
    </w:lvl>
  </w:abstractNum>
  <w:abstractNum w:abstractNumId="9">
    <w:nsid w:val="631B64D4"/>
    <w:multiLevelType w:val="hybridMultilevel"/>
    <w:lvl w:ilvl="0">
      <w:lvlJc w:val="left"/>
      <w:lvlText w:val="•"/>
      <w:numFmt w:val="bullet"/>
      <w:start w:val="1"/>
    </w:lvl>
  </w:abstractNum>
  <w:abstractNum w:abstractNumId="10">
    <w:nsid w:val="78B5E776"/>
    <w:multiLevelType w:val="hybridMultilevel"/>
    <w:lvl w:ilvl="0">
      <w:lvlJc w:val="left"/>
      <w:lvlText w:val="•"/>
      <w:numFmt w:val="bullet"/>
      <w:start w:val="1"/>
    </w:lvl>
  </w:abstractNum>
  <w:abstractNum w:abstractNumId="11">
    <w:nsid w:val="75486E47"/>
    <w:multiLevelType w:val="hybridMultilevel"/>
    <w:lvl w:ilvl="0">
      <w:lvlJc w:val="left"/>
      <w:lvlText w:val="•"/>
      <w:numFmt w:val="bullet"/>
      <w:start w:val="1"/>
    </w:lvl>
  </w:abstractNum>
  <w:abstractNum w:abstractNumId="12">
    <w:nsid w:val="6E534CDE"/>
    <w:multiLevelType w:val="hybridMultilevel"/>
    <w:lvl w:ilvl="0">
      <w:lvlJc w:val="left"/>
      <w:lvlText w:val="(%1)"/>
      <w:numFmt w:val="decimal"/>
      <w:start w:val="1"/>
    </w:lvl>
  </w:abstractNum>
  <w:abstractNum w:abstractNumId="13">
    <w:nsid w:val="1A0DDE32"/>
    <w:multiLevelType w:val="hybridMultilevel"/>
    <w:lvl w:ilvl="0">
      <w:lvlJc w:val="left"/>
      <w:lvlText w:val="•"/>
      <w:numFmt w:val="bullet"/>
      <w:start w:val="1"/>
    </w:lvl>
  </w:abstractNum>
  <w:abstractNum w:abstractNumId="14">
    <w:nsid w:val="65968C1C"/>
    <w:multiLevelType w:val="hybridMultilevel"/>
    <w:lvl w:ilvl="0">
      <w:lvlJc w:val="left"/>
      <w:lvlText w:val="•"/>
      <w:numFmt w:val="bullet"/>
      <w:start w:val="1"/>
    </w:lvl>
  </w:abstractNum>
  <w:abstractNum w:abstractNumId="15">
    <w:nsid w:val="46263DEC"/>
    <w:multiLevelType w:val="hybridMultilevel"/>
    <w:lvl w:ilvl="0">
      <w:lvlJc w:val="left"/>
      <w:lvlText w:val="$"/>
      <w:numFmt w:val="bullet"/>
      <w:start w:val="1"/>
    </w:lvl>
  </w:abstractNum>
  <w:abstractNum w:abstractNumId="16">
    <w:nsid w:val="260D8C4A"/>
    <w:multiLevelType w:val="hybridMultilevel"/>
    <w:lvl w:ilvl="0">
      <w:lvlJc w:val="left"/>
      <w:lvlText w:val="•"/>
      <w:numFmt w:val="bullet"/>
      <w:start w:val="1"/>
    </w:lvl>
  </w:abstractNum>
  <w:abstractNum w:abstractNumId="17">
    <w:nsid w:val="73D4D3C4"/>
    <w:multiLevelType w:val="hybridMultilevel"/>
    <w:lvl w:ilvl="0">
      <w:lvlJc w:val="left"/>
      <w:lvlText w:val="•"/>
      <w:numFmt w:val="bullet"/>
      <w:start w:val="1"/>
    </w:lvl>
  </w:abstractNum>
  <w:abstractNum w:abstractNumId="18">
    <w:nsid w:val="746F2E30"/>
    <w:multiLevelType w:val="hybridMultilevel"/>
    <w:lvl w:ilvl="0">
      <w:lvlJc w:val="left"/>
      <w:lvlText w:val="•"/>
      <w:numFmt w:val="bullet"/>
      <w:start w:val="1"/>
    </w:lvl>
  </w:abstractNum>
  <w:abstractNum w:abstractNumId="19">
    <w:nsid w:val="6FDE8AF6"/>
    <w:multiLevelType w:val="hybridMultilevel"/>
    <w:lvl w:ilvl="0">
      <w:lvlJc w:val="left"/>
      <w:lvlText w:val="•"/>
      <w:numFmt w:val="bullet"/>
      <w:start w:val="1"/>
    </w:lvl>
  </w:abstractNum>
  <w:abstractNum w:abstractNumId="20">
    <w:nsid w:val="3FC32E20"/>
    <w:multiLevelType w:val="hybridMultilevel"/>
    <w:lvl w:ilvl="0">
      <w:lvlJc w:val="left"/>
      <w:lvlText w:val="•"/>
      <w:numFmt w:val="bullet"/>
      <w:start w:val="1"/>
    </w:lvl>
  </w:abstractNum>
  <w:abstractNum w:abstractNumId="21">
    <w:nsid w:val="49C0E823"/>
    <w:multiLevelType w:val="hybridMultilevel"/>
    <w:lvl w:ilvl="0">
      <w:lvlJc w:val="left"/>
      <w:lvlText w:val="•"/>
      <w:numFmt w:val="bullet"/>
      <w:start w:val="1"/>
    </w:lvl>
  </w:abstractNum>
  <w:abstractNum w:abstractNumId="22">
    <w:nsid w:val="14D53685"/>
    <w:multiLevelType w:val="hybridMultilevel"/>
    <w:lvl w:ilvl="0">
      <w:lvlJc w:val="left"/>
      <w:lvlText w:val="•"/>
      <w:numFmt w:val="bullet"/>
      <w:start w:val="1"/>
    </w:lvl>
  </w:abstractNum>
  <w:abstractNum w:abstractNumId="23">
    <w:nsid w:val="230F856C"/>
    <w:multiLevelType w:val="hybridMultilevel"/>
    <w:lvl w:ilvl="0">
      <w:lvlJc w:val="left"/>
      <w:lvlText w:val="•"/>
      <w:numFmt w:val="bullet"/>
      <w:start w:val="1"/>
    </w:lvl>
  </w:abstractNum>
  <w:abstractNum w:abstractNumId="24">
    <w:nsid w:val="6EAA85FB"/>
    <w:multiLevelType w:val="hybridMultilevel"/>
    <w:lvl w:ilvl="0">
      <w:lvlJc w:val="left"/>
      <w:lvlText w:val="%"/>
      <w:numFmt w:val="bullet"/>
      <w:start w:val="1"/>
    </w:lvl>
  </w:abstractNum>
  <w:abstractNum w:abstractNumId="25">
    <w:nsid w:val="3F06ECB2"/>
    <w:multiLevelType w:val="hybridMultilevel"/>
    <w:lvl w:ilvl="0">
      <w:lvlJc w:val="left"/>
      <w:lvlText w:val="•"/>
      <w:numFmt w:val="bullet"/>
      <w:start w:val="1"/>
    </w:lvl>
  </w:abstractNum>
  <w:abstractNum w:abstractNumId="26">
    <w:nsid w:val="3B594807"/>
    <w:multiLevelType w:val="hybridMultilevel"/>
    <w:lvl w:ilvl="0">
      <w:lvlJc w:val="left"/>
      <w:lvlText w:val="•"/>
      <w:numFmt w:val="bullet"/>
      <w:start w:val="1"/>
    </w:lvl>
  </w:abstractNum>
  <w:abstractNum w:abstractNumId="27">
    <w:nsid w:val="6CAA2304"/>
    <w:multiLevelType w:val="hybridMultilevel"/>
    <w:lvl w:ilvl="0">
      <w:lvlJc w:val="left"/>
      <w:lvlText w:val="•"/>
      <w:numFmt w:val="bullet"/>
      <w:start w:val="1"/>
    </w:lvl>
  </w:abstractNum>
  <w:abstractNum w:abstractNumId="28">
    <w:nsid w:val="3F7C2FF4"/>
    <w:multiLevelType w:val="hybridMultilevel"/>
    <w:lvl w:ilvl="0">
      <w:lvlJc w:val="left"/>
      <w:lvlText w:val="•"/>
      <w:numFmt w:val="bullet"/>
      <w:start w:val="1"/>
    </w:lvl>
  </w:abstractNum>
  <w:abstractNum w:abstractNumId="29">
    <w:nsid w:val="25413BEC"/>
    <w:multiLevelType w:val="hybridMultilevel"/>
    <w:lvl w:ilvl="0">
      <w:lvlJc w:val="left"/>
      <w:lvlText w:val="•"/>
      <w:numFmt w:val="bullet"/>
      <w:start w:val="1"/>
    </w:lvl>
  </w:abstractNum>
  <w:abstractNum w:abstractNumId="30">
    <w:nsid w:val="17180B0B"/>
    <w:multiLevelType w:val="hybridMultilevel"/>
    <w:lvl w:ilvl="0">
      <w:lvlJc w:val="left"/>
      <w:lvlText w:val="•"/>
      <w:numFmt w:val="bullet"/>
      <w:start w:val="1"/>
    </w:lvl>
  </w:abstractNum>
  <w:abstractNum w:abstractNumId="31">
    <w:nsid w:val="579328B9"/>
    <w:multiLevelType w:val="hybridMultilevel"/>
    <w:lvl w:ilvl="0">
      <w:lvlJc w:val="left"/>
      <w:lvlText w:val="•"/>
      <w:numFmt w:val="bullet"/>
      <w:start w:val="1"/>
    </w:lvl>
  </w:abstractNum>
  <w:abstractNum w:abstractNumId="32">
    <w:nsid w:val="5D205E20"/>
    <w:multiLevelType w:val="hybridMultilevel"/>
    <w:lvl w:ilvl="0">
      <w:lvlJc w:val="left"/>
      <w:lvlText w:val="•"/>
      <w:numFmt w:val="bullet"/>
      <w:start w:val="1"/>
    </w:lvl>
  </w:abstractNum>
  <w:abstractNum w:abstractNumId="33">
    <w:nsid w:val="11CCA8BA"/>
    <w:multiLevelType w:val="hybridMultilevel"/>
    <w:lvl w:ilvl="0">
      <w:lvlJc w:val="left"/>
      <w:lvlText w:val="•"/>
      <w:numFmt w:val="bullet"/>
      <w:start w:val="1"/>
    </w:lvl>
  </w:abstractNum>
  <w:abstractNum w:abstractNumId="34">
    <w:nsid w:val="4D32AB86"/>
    <w:multiLevelType w:val="hybridMultilevel"/>
    <w:lvl w:ilvl="0">
      <w:lvlJc w:val="left"/>
      <w:lvlText w:val="•"/>
      <w:numFmt w:val="bullet"/>
      <w:start w:val="1"/>
    </w:lvl>
  </w:abstractNum>
  <w:abstractNum w:abstractNumId="35">
    <w:nsid w:val="3F07ACC3"/>
    <w:multiLevelType w:val="hybridMultilevel"/>
    <w:lvl w:ilvl="0">
      <w:lvlJc w:val="left"/>
      <w:lvlText w:val="•"/>
      <w:numFmt w:val="bullet"/>
      <w:start w:val="1"/>
    </w:lvl>
  </w:abstractNum>
  <w:abstractNum w:abstractNumId="36">
    <w:nsid w:val="6B47F63E"/>
    <w:multiLevelType w:val="hybridMultilevel"/>
    <w:lvl w:ilvl="0">
      <w:lvlJc w:val="left"/>
      <w:lvlText w:val="•"/>
      <w:numFmt w:val="bullet"/>
      <w:start w:val="1"/>
    </w:lvl>
  </w:abstractNum>
  <w:abstractNum w:abstractNumId="37">
    <w:nsid w:val="5CB44A05"/>
    <w:multiLevelType w:val="hybridMultilevel"/>
    <w:lvl w:ilvl="0">
      <w:lvlJc w:val="left"/>
      <w:lvlText w:val="(%1)"/>
      <w:numFmt w:val="decimal"/>
      <w:start w:val="1"/>
    </w:lvl>
  </w:abstractNum>
  <w:abstractNum w:abstractNumId="38">
    <w:nsid w:val="16CF80F1"/>
    <w:multiLevelType w:val="hybridMultilevel"/>
    <w:lvl w:ilvl="0">
      <w:lvlJc w:val="left"/>
      <w:lvlText w:val="•"/>
      <w:numFmt w:val="bullet"/>
      <w:start w:val="1"/>
    </w:lvl>
  </w:abstractNum>
  <w:abstractNum w:abstractNumId="39">
    <w:nsid w:val="1C695DEC"/>
    <w:multiLevelType w:val="hybridMultilevel"/>
    <w:lvl w:ilvl="0">
      <w:lvlJc w:val="left"/>
      <w:lvlText w:val="•"/>
      <w:numFmt w:val="bullet"/>
      <w:start w:val="1"/>
    </w:lvl>
  </w:abstractNum>
  <w:abstractNum w:abstractNumId="40">
    <w:nsid w:val="3FCFAED9"/>
    <w:multiLevelType w:val="hybridMultilevel"/>
    <w:lvl w:ilvl="0">
      <w:lvlJc w:val="left"/>
      <w:lvlText w:val="(%1)"/>
      <w:numFmt w:val="decimal"/>
      <w:start w:val="1"/>
    </w:lvl>
  </w:abstractNum>
  <w:abstractNum w:abstractNumId="41">
    <w:nsid w:val="F856867"/>
    <w:multiLevelType w:val="hybridMultilevel"/>
    <w:lvl w:ilvl="0">
      <w:lvlJc w:val="left"/>
      <w:lvlText w:val="(%1)"/>
      <w:numFmt w:val="decimal"/>
      <w:start w:val="3"/>
    </w:lvl>
  </w:abstractNum>
  <w:abstractNum w:abstractNumId="42">
    <w:nsid w:val="11B1CC33"/>
    <w:multiLevelType w:val="hybridMultilevel"/>
    <w:lvl w:ilvl="0">
      <w:lvlJc w:val="left"/>
      <w:lvlText w:val="(%1)"/>
      <w:numFmt w:val="decimal"/>
      <w:start w:val="1"/>
    </w:lvl>
  </w:abstractNum>
  <w:abstractNum w:abstractNumId="43">
    <w:nsid w:val="2E22FBB7"/>
    <w:multiLevelType w:val="hybridMultilevel"/>
    <w:lvl w:ilvl="0">
      <w:lvlJc w:val="left"/>
      <w:lvlText w:val="•"/>
      <w:numFmt w:val="bullet"/>
      <w:start w:val="1"/>
    </w:lvl>
  </w:abstractNum>
  <w:abstractNum w:abstractNumId="44">
    <w:nsid w:val="29934699"/>
    <w:multiLevelType w:val="hybridMultilevel"/>
    <w:lvl w:ilvl="0">
      <w:lvlJc w:val="left"/>
      <w:lvlText w:val="(%1)"/>
      <w:numFmt w:val="decimal"/>
      <w:start w:val="1"/>
    </w:lvl>
    <w:lvl w:ilvl="1">
      <w:lvlJc w:val="left"/>
      <w:lvlText w:val="(%2)"/>
      <w:numFmt w:val="lowerLetter"/>
      <w:start w:val="3"/>
    </w:lvl>
  </w:abstractNum>
  <w:abstractNum w:abstractNumId="45">
    <w:nsid w:val="77485850"/>
    <w:multiLevelType w:val="hybridMultilevel"/>
    <w:lvl w:ilvl="0">
      <w:lvlJc w:val="left"/>
      <w:lvlText w:val="(%1)"/>
      <w:numFmt w:val="decimal"/>
      <w:start w:val="1"/>
    </w:lvl>
  </w:abstractNum>
  <w:abstractNum w:abstractNumId="46">
    <w:nsid w:val="744939A3"/>
    <w:multiLevelType w:val="hybridMultilevel"/>
    <w:lvl w:ilvl="0">
      <w:lvlJc w:val="left"/>
      <w:lvlText w:val="(%1)"/>
      <w:numFmt w:val="decimal"/>
      <w:start w:val="1"/>
    </w:lvl>
  </w:abstractNum>
  <w:abstractNum w:abstractNumId="47">
    <w:nsid w:val="4FA0D2E3"/>
    <w:multiLevelType w:val="hybridMultilevel"/>
    <w:lvl w:ilvl="0">
      <w:lvlJc w:val="left"/>
      <w:lvlText w:val="(%1)"/>
      <w:numFmt w:val="decimal"/>
      <w:start w:val="1"/>
    </w:lvl>
  </w:abstractNum>
  <w:abstractNum w:abstractNumId="48">
    <w:nsid w:val="6B1D2C14"/>
    <w:multiLevelType w:val="hybridMultilevel"/>
    <w:lvl w:ilvl="0">
      <w:lvlJc w:val="left"/>
      <w:lvlText w:val="(%1)"/>
      <w:numFmt w:val="decimal"/>
      <w:start w:val="1"/>
    </w:lvl>
  </w:abstractNum>
  <w:abstractNum w:abstractNumId="49">
    <w:nsid w:val="68B867D3"/>
    <w:multiLevelType w:val="hybridMultilevel"/>
    <w:lvl w:ilvl="0">
      <w:lvlJc w:val="left"/>
      <w:lvlText w:val="•"/>
      <w:numFmt w:val="bullet"/>
      <w:start w:val="1"/>
    </w:lvl>
  </w:abstractNum>
  <w:abstractNum w:abstractNumId="50">
    <w:nsid w:val="3F7F5DD9"/>
    <w:multiLevelType w:val="hybridMultilevel"/>
    <w:lvl w:ilvl="0">
      <w:lvlJc w:val="left"/>
      <w:lvlText w:val="(%1)"/>
      <w:numFmt w:val="decimal"/>
      <w:start w:val="1"/>
    </w:lvl>
  </w:abstractNum>
  <w:abstractNum w:abstractNumId="51">
    <w:nsid w:val="2AE05A34"/>
    <w:multiLevelType w:val="hybridMultilevel"/>
    <w:lvl w:ilvl="0">
      <w:lvlJc w:val="left"/>
      <w:lvlText w:val="(%1)"/>
      <w:numFmt w:val="decimal"/>
      <w:start w:val="3"/>
    </w:lvl>
  </w:abstractNum>
  <w:abstractNum w:abstractNumId="52">
    <w:nsid w:val="32794FF7"/>
    <w:multiLevelType w:val="hybridMultilevel"/>
    <w:lvl w:ilvl="0">
      <w:lvlJc w:val="left"/>
      <w:lvlText w:val="•"/>
      <w:numFmt w:val="bullet"/>
      <w:start w:val="1"/>
    </w:lvl>
  </w:abstractNum>
  <w:abstractNum w:abstractNumId="53">
    <w:nsid w:val="5454945E"/>
    <w:multiLevelType w:val="hybridMultilevel"/>
    <w:lvl w:ilvl="0">
      <w:lvlJc w:val="left"/>
      <w:lvlText w:val="•"/>
      <w:numFmt w:val="bullet"/>
      <w:start w:val="1"/>
    </w:lvl>
  </w:abstractNum>
  <w:abstractNum w:abstractNumId="54">
    <w:nsid w:val="4DEFDFA0"/>
    <w:multiLevelType w:val="hybridMultilevel"/>
    <w:lvl w:ilvl="0">
      <w:lvlJc w:val="left"/>
      <w:lvlText w:val="•"/>
      <w:numFmt w:val="bullet"/>
      <w:start w:val="1"/>
    </w:lvl>
  </w:abstractNum>
  <w:abstractNum w:abstractNumId="55">
    <w:nsid w:val="2123D5F2"/>
    <w:multiLevelType w:val="hybridMultilevel"/>
    <w:lvl w:ilvl="0">
      <w:lvlJc w:val="left"/>
      <w:lvlText w:val="(%1)"/>
      <w:numFmt w:val="decimal"/>
      <w:start w:val="1"/>
    </w:lvl>
  </w:abstractNum>
  <w:abstractNum w:abstractNumId="56">
    <w:nsid w:val="135B8110"/>
    <w:multiLevelType w:val="hybridMultilevel"/>
    <w:lvl w:ilvl="0">
      <w:lvlJc w:val="left"/>
      <w:lvlText w:val="(%1)"/>
      <w:numFmt w:val="decimal"/>
      <w:start w:val="1"/>
    </w:lvl>
  </w:abstractNum>
  <w:abstractNum w:abstractNumId="57">
    <w:nsid w:val="94927A8"/>
    <w:multiLevelType w:val="hybridMultilevel"/>
    <w:lvl w:ilvl="0">
      <w:lvlJc w:val="left"/>
      <w:lvlText w:val="(%1)"/>
      <w:numFmt w:val="decimal"/>
      <w:start w:val="1"/>
    </w:lvl>
  </w:abstractNum>
  <w:abstractNum w:abstractNumId="58">
    <w:nsid w:val="DCDF8F6"/>
    <w:multiLevelType w:val="hybridMultilevel"/>
    <w:lvl w:ilvl="0">
      <w:lvlJc w:val="left"/>
      <w:lvlText w:val="•"/>
      <w:numFmt w:val="bullet"/>
      <w:start w:val="1"/>
    </w:lvl>
  </w:abstractNum>
  <w:abstractNum w:abstractNumId="59">
    <w:nsid w:val="52D7B105"/>
    <w:multiLevelType w:val="hybridMultilevel"/>
    <w:lvl w:ilvl="0">
      <w:lvlJc w:val="left"/>
      <w:lvlText w:val="•"/>
      <w:numFmt w:val="bullet"/>
      <w:start w:val="1"/>
    </w:lvl>
  </w:abstractNum>
  <w:abstractNum w:abstractNumId="60">
    <w:nsid w:val="2E8A6394"/>
    <w:multiLevelType w:val="hybridMultilevel"/>
    <w:lvl w:ilvl="0">
      <w:lvlJc w:val="left"/>
      <w:lvlText w:val="•"/>
      <w:numFmt w:val="bullet"/>
      <w:start w:val="1"/>
    </w:lvl>
  </w:abstractNum>
  <w:abstractNum w:abstractNumId="61">
    <w:nsid w:val="24E60401"/>
    <w:multiLevelType w:val="hybridMultilevel"/>
    <w:lvl w:ilvl="0">
      <w:lvlJc w:val="left"/>
      <w:lvlText w:val="•"/>
      <w:numFmt w:val="bullet"/>
      <w:start w:val="1"/>
    </w:lvl>
  </w:abstractNum>
  <w:abstractNum w:abstractNumId="62">
    <w:nsid w:val="2A6AD9BE"/>
    <w:multiLevelType w:val="hybridMultilevel"/>
    <w:lvl w:ilvl="0">
      <w:lvlJc w:val="left"/>
      <w:lvlText w:val="•"/>
      <w:numFmt w:val="bullet"/>
      <w:start w:val="1"/>
    </w:lvl>
  </w:abstractNum>
  <w:abstractNum w:abstractNumId="63">
    <w:nsid w:val="BAAC1B4"/>
    <w:multiLevelType w:val="hybridMultilevel"/>
    <w:lvl w:ilvl="0">
      <w:lvlJc w:val="left"/>
      <w:lvlText w:val="•"/>
      <w:numFmt w:val="bullet"/>
      <w:start w:val="1"/>
    </w:lvl>
  </w:abstractNum>
  <w:abstractNum w:abstractNumId="64">
    <w:nsid w:val="36B2ACBC"/>
    <w:multiLevelType w:val="hybridMultilevel"/>
    <w:lvl w:ilvl="0">
      <w:lvlJc w:val="left"/>
      <w:lvlText w:val="•"/>
      <w:numFmt w:val="bullet"/>
      <w:start w:val="1"/>
    </w:lvl>
  </w:abstractNum>
  <w:abstractNum w:abstractNumId="65">
    <w:nsid w:val="779D8544"/>
    <w:multiLevelType w:val="hybridMultilevel"/>
    <w:lvl w:ilvl="0">
      <w:lvlJc w:val="left"/>
      <w:lvlText w:val="(%1)"/>
      <w:numFmt w:val="decimal"/>
      <w:start w:val="1"/>
    </w:lvl>
  </w:abstractNum>
  <w:abstractNum w:abstractNumId="66">
    <w:nsid w:val="4AB26E78"/>
    <w:multiLevelType w:val="hybridMultilevel"/>
    <w:lvl w:ilvl="0">
      <w:lvlJc w:val="left"/>
      <w:lvlText w:val="*"/>
      <w:numFmt w:val="bullet"/>
      <w:start w:val="1"/>
    </w:lvl>
  </w:abstractNum>
  <w:abstractNum w:abstractNumId="67">
    <w:nsid w:val="21FAA2FA"/>
    <w:multiLevelType w:val="hybridMultilevel"/>
    <w:lvl w:ilvl="0">
      <w:lvlJc w:val="left"/>
      <w:lvlText w:val="•"/>
      <w:numFmt w:val="bullet"/>
      <w:start w:val="1"/>
    </w:lvl>
  </w:abstractNum>
  <w:abstractNum w:abstractNumId="68">
    <w:nsid w:val="5451CF49"/>
    <w:multiLevelType w:val="hybridMultilevel"/>
    <w:lvl w:ilvl="0">
      <w:lvlJc w:val="left"/>
      <w:lvlText w:val="(%1)"/>
      <w:numFmt w:val="lowerLetter"/>
      <w:start w:val="4"/>
    </w:lvl>
  </w:abstractNum>
  <w:abstractNum w:abstractNumId="69">
    <w:nsid w:val="6181EF69"/>
    <w:multiLevelType w:val="hybridMultilevel"/>
    <w:lvl w:ilvl="0">
      <w:lvlJc w:val="left"/>
      <w:lvlText w:val="•"/>
      <w:numFmt w:val="bullet"/>
      <w:start w:val="1"/>
    </w:lvl>
  </w:abstractNum>
  <w:abstractNum w:abstractNumId="70">
    <w:nsid w:val="3E6400E6"/>
    <w:multiLevelType w:val="hybridMultilevel"/>
    <w:lvl w:ilvl="0">
      <w:lvlJc w:val="left"/>
      <w:lvlText w:val="*"/>
      <w:numFmt w:val="bullet"/>
      <w:start w:val="1"/>
    </w:lvl>
  </w:abstractNum>
  <w:abstractNum w:abstractNumId="71">
    <w:nsid w:val="14217E23"/>
    <w:multiLevelType w:val="hybridMultilevel"/>
    <w:lvl w:ilvl="0">
      <w:lvlJc w:val="left"/>
      <w:lvlText w:val="ü"/>
      <w:numFmt w:val="bullet"/>
      <w:start w:val="1"/>
    </w:lvl>
  </w:abstractNum>
  <w:abstractNum w:abstractNumId="72">
    <w:nsid w:val="710757D0"/>
    <w:multiLevelType w:val="hybridMultilevel"/>
    <w:lvl w:ilvl="0">
      <w:lvlJc w:val="left"/>
      <w:lvlText w:val="û"/>
      <w:numFmt w:val="bullet"/>
      <w:start w:val="1"/>
    </w:lvl>
  </w:abstractNum>
  <w:abstractNum w:abstractNumId="73">
    <w:nsid w:val="5015CD1A"/>
    <w:multiLevelType w:val="hybridMultilevel"/>
    <w:lvl w:ilvl="0">
      <w:lvlJc w:val="left"/>
      <w:lvlText w:val="ü"/>
      <w:numFmt w:val="bullet"/>
      <w:start w:val="1"/>
    </w:lvl>
  </w:abstractNum>
  <w:abstractNum w:abstractNumId="74">
    <w:nsid w:val="424479DA"/>
    <w:multiLevelType w:val="hybridMultilevel"/>
    <w:lvl w:ilvl="0">
      <w:lvlJc w:val="left"/>
      <w:lvlText w:val="•"/>
      <w:numFmt w:val="bullet"/>
      <w:start w:val="1"/>
    </w:lvl>
  </w:abstractNum>
  <w:abstractNum w:abstractNumId="75">
    <w:nsid w:val="1A9A9E69"/>
    <w:multiLevelType w:val="hybridMultilevel"/>
    <w:lvl w:ilvl="0">
      <w:lvlJc w:val="left"/>
      <w:lvlText w:val="•"/>
      <w:numFmt w:val="bullet"/>
      <w:start w:val="1"/>
    </w:lvl>
  </w:abstractNum>
  <w:abstractNum w:abstractNumId="76">
    <w:nsid w:val="475E256A"/>
    <w:multiLevelType w:val="hybridMultilevel"/>
    <w:lvl w:ilvl="0">
      <w:lvlJc w:val="left"/>
      <w:lvlText w:val="•"/>
      <w:numFmt w:val="bullet"/>
      <w:start w:val="1"/>
    </w:lvl>
  </w:abstractNum>
  <w:abstractNum w:abstractNumId="77">
    <w:nsid w:val="368DB37E"/>
    <w:multiLevelType w:val="hybridMultilevel"/>
    <w:lvl w:ilvl="0">
      <w:lvlJc w:val="left"/>
      <w:lvlText w:val="•"/>
      <w:numFmt w:val="bullet"/>
      <w:start w:val="1"/>
    </w:lvl>
  </w:abstractNum>
  <w:abstractNum w:abstractNumId="78">
    <w:nsid w:val="6A3B714C"/>
    <w:multiLevelType w:val="hybridMultilevel"/>
    <w:lvl w:ilvl="0">
      <w:lvlJc w:val="left"/>
      <w:lvlText w:val="(%1)"/>
      <w:numFmt w:val="decimal"/>
      <w:start w:val="1"/>
    </w:lvl>
  </w:abstractNum>
  <w:abstractNum w:abstractNumId="79">
    <w:nsid w:val="327B517E"/>
    <w:multiLevelType w:val="hybridMultilevel"/>
    <w:lvl w:ilvl="0">
      <w:lvlJc w:val="left"/>
      <w:lvlText w:val="(%1)"/>
      <w:numFmt w:val="decimal"/>
      <w:start w:val="3"/>
    </w:lvl>
  </w:abstractNum>
  <w:abstractNum w:abstractNumId="80">
    <w:nsid w:val="1F461B51"/>
    <w:multiLevelType w:val="hybridMultilevel"/>
    <w:lvl w:ilvl="0">
      <w:lvlJc w:val="left"/>
      <w:lvlText w:val="(%1)"/>
      <w:numFmt w:val="decimal"/>
      <w:start w:val="1"/>
    </w:lvl>
  </w:abstractNum>
  <w:abstractNum w:abstractNumId="81">
    <w:nsid w:val="29BACF25"/>
    <w:multiLevelType w:val="hybridMultilevel"/>
    <w:lvl w:ilvl="0">
      <w:lvlJc w:val="left"/>
      <w:lvlText w:val="(%1)"/>
      <w:numFmt w:val="decimal"/>
      <w:start w:val="1"/>
    </w:lvl>
  </w:abstractNum>
  <w:abstractNum w:abstractNumId="82">
    <w:nsid w:val="5D5BABB3"/>
    <w:multiLevelType w:val="hybridMultilevel"/>
    <w:lvl w:ilvl="0">
      <w:lvlJc w:val="left"/>
      <w:lvlText w:val="(%1)"/>
      <w:numFmt w:val="decimal"/>
      <w:start w:val="1"/>
    </w:lvl>
  </w:abstractNum>
  <w:abstractNum w:abstractNumId="83">
    <w:nsid w:val="51BF6B48"/>
    <w:multiLevelType w:val="hybridMultilevel"/>
    <w:lvl w:ilvl="0">
      <w:lvlJc w:val="left"/>
      <w:lvlText w:val="(%1)"/>
      <w:numFmt w:val="decimal"/>
      <w:start w:val="1"/>
    </w:lvl>
  </w:abstractNum>
  <w:abstractNum w:abstractNumId="84">
    <w:nsid w:val="7E0F6384"/>
    <w:multiLevelType w:val="hybridMultilevel"/>
    <w:lvl w:ilvl="0">
      <w:lvlJc w:val="left"/>
      <w:lvlText w:val="(%1)"/>
      <w:numFmt w:val="decimal"/>
      <w:start w:val="1"/>
    </w:lvl>
  </w:abstractNum>
  <w:abstractNum w:abstractNumId="85">
    <w:nsid w:val="2B4B8B53"/>
    <w:multiLevelType w:val="hybridMultilevel"/>
    <w:lvl w:ilvl="0">
      <w:lvlJc w:val="left"/>
      <w:lvlText w:val="(%1)"/>
      <w:numFmt w:val="decimal"/>
      <w:start w:val="1"/>
    </w:lvl>
  </w:abstractNum>
  <w:abstractNum w:abstractNumId="86">
    <w:nsid w:val="72E3413A"/>
    <w:multiLevelType w:val="hybridMultilevel"/>
    <w:lvl w:ilvl="0">
      <w:lvlJc w:val="left"/>
      <w:lvlText w:val="(%1)"/>
      <w:numFmt w:val="decimal"/>
      <w:start w:val="1"/>
    </w:lvl>
  </w:abstractNum>
  <w:abstractNum w:abstractNumId="87">
    <w:nsid w:val="116AE494"/>
    <w:multiLevelType w:val="hybridMultilevel"/>
    <w:lvl w:ilvl="0">
      <w:lvlJc w:val="left"/>
      <w:lvlText w:val="(%1)"/>
      <w:numFmt w:val="lowerLetter"/>
      <w:start w:val="1"/>
    </w:lvl>
  </w:abstractNum>
  <w:abstractNum w:abstractNumId="88">
    <w:nsid w:val="3494B2FB"/>
    <w:multiLevelType w:val="hybridMultilevel"/>
    <w:lvl w:ilvl="0">
      <w:lvlJc w:val="left"/>
      <w:lvlText w:val="(%1)"/>
      <w:numFmt w:val="decimal"/>
      <w:start w:val="1"/>
    </w:lvl>
  </w:abstractNum>
  <w:abstractNum w:abstractNumId="89">
    <w:nsid w:val="B13A31"/>
    <w:multiLevelType w:val="hybridMultilevel"/>
    <w:lvl w:ilvl="0">
      <w:lvlJc w:val="left"/>
      <w:lvlText w:val="(%1)"/>
      <w:numFmt w:val="decimal"/>
      <w:start w:val="1"/>
    </w:lvl>
  </w:abstractNum>
  <w:abstractNum w:abstractNumId="90">
    <w:nsid w:val="64429599"/>
    <w:multiLevelType w:val="hybridMultilevel"/>
    <w:lvl w:ilvl="0">
      <w:lvlJc w:val="left"/>
      <w:lvlText w:val="•"/>
      <w:numFmt w:val="bullet"/>
      <w:start w:val="1"/>
    </w:lvl>
  </w:abstractNum>
  <w:abstractNum w:abstractNumId="91">
    <w:nsid w:val="631F1690"/>
    <w:multiLevelType w:val="hybridMultilevel"/>
    <w:lvl w:ilvl="0">
      <w:lvlJc w:val="left"/>
      <w:lvlText w:val="•"/>
      <w:numFmt w:val="bullet"/>
      <w:start w:val="1"/>
    </w:lvl>
  </w:abstractNum>
  <w:abstractNum w:abstractNumId="92">
    <w:nsid w:val="25973E32"/>
    <w:multiLevelType w:val="hybridMultilevel"/>
    <w:lvl w:ilvl="0">
      <w:lvlJc w:val="left"/>
      <w:lvlText w:val="•"/>
      <w:numFmt w:val="bullet"/>
      <w:start w:val="1"/>
    </w:lvl>
  </w:abstractNum>
  <w:abstractNum w:abstractNumId="93">
    <w:nsid w:val="EAD6F57"/>
    <w:multiLevelType w:val="hybridMultilevel"/>
    <w:lvl w:ilvl="0">
      <w:lvlJc w:val="left"/>
      <w:lvlText w:val="*"/>
      <w:numFmt w:val="bullet"/>
      <w:start w:val="1"/>
    </w:lvl>
  </w:abstractNum>
  <w:abstractNum w:abstractNumId="94">
    <w:nsid w:val="6EC9D844"/>
    <w:multiLevelType w:val="hybridMultilevel"/>
    <w:lvl w:ilvl="0">
      <w:lvlJc w:val="left"/>
      <w:lvlText w:val="(%1)"/>
      <w:numFmt w:val="decimal"/>
      <w:start w:val="2"/>
    </w:lvl>
  </w:abstractNum>
  <w:abstractNum w:abstractNumId="95">
    <w:nsid w:val="5C49EAEE"/>
    <w:multiLevelType w:val="hybridMultilevel"/>
    <w:lvl w:ilvl="0">
      <w:lvlJc w:val="left"/>
      <w:lvlText w:val="•"/>
      <w:numFmt w:val="bullet"/>
      <w:start w:val="1"/>
    </w:lvl>
  </w:abstractNum>
  <w:abstractNum w:abstractNumId="96">
    <w:nsid w:val="64AF49B"/>
    <w:multiLevelType w:val="hybridMultilevel"/>
    <w:lvl w:ilvl="0">
      <w:lvlJc w:val="left"/>
      <w:lvlText w:val="•"/>
      <w:numFmt w:val="bullet"/>
      <w:start w:val="1"/>
    </w:lvl>
  </w:abstractNum>
  <w:abstractNum w:abstractNumId="97">
    <w:nsid w:val="397C46BC"/>
    <w:multiLevelType w:val="hybridMultilevel"/>
    <w:lvl w:ilvl="0">
      <w:lvlJc w:val="left"/>
      <w:lvlText w:val="•"/>
      <w:numFmt w:val="bullet"/>
      <w:start w:val="1"/>
    </w:lvl>
  </w:abstractNum>
  <w:abstractNum w:abstractNumId="98">
    <w:nsid w:val="7E448DE9"/>
    <w:multiLevelType w:val="hybridMultilevel"/>
    <w:lvl w:ilvl="0">
      <w:lvlJc w:val="left"/>
      <w:lvlText w:val="(%1)"/>
      <w:numFmt w:val="lowerRoman"/>
      <w:start w:val="2"/>
    </w:lvl>
  </w:abstractNum>
  <w:abstractNum w:abstractNumId="99">
    <w:nsid w:val="5A9CC3E5"/>
    <w:multiLevelType w:val="hybridMultilevel"/>
    <w:lvl w:ilvl="0">
      <w:lvlJc w:val="left"/>
      <w:lvlText w:val="•"/>
      <w:numFmt w:val="bullet"/>
      <w:start w:val="1"/>
    </w:lvl>
  </w:abstractNum>
  <w:abstractNum w:abstractNumId="100">
    <w:nsid w:val="1AFE3625"/>
    <w:multiLevelType w:val="hybridMultilevel"/>
    <w:lvl w:ilvl="0">
      <w:lvlJc w:val="left"/>
      <w:lvlText w:val="(%1)"/>
      <w:numFmt w:val="lowerLetter"/>
      <w:start w:val="1"/>
    </w:lvl>
  </w:abstractNum>
  <w:abstractNum w:abstractNumId="101">
    <w:nsid w:val="3CA88ECF"/>
    <w:multiLevelType w:val="hybridMultilevel"/>
    <w:lvl w:ilvl="0">
      <w:lvlJc w:val="left"/>
      <w:lvlText w:val="•"/>
      <w:numFmt w:val="bullet"/>
      <w:start w:val="1"/>
    </w:lvl>
  </w:abstractNum>
  <w:abstractNum w:abstractNumId="102">
    <w:nsid w:val="6EBE4208"/>
    <w:multiLevelType w:val="hybridMultilevel"/>
    <w:lvl w:ilvl="0">
      <w:lvlJc w:val="left"/>
      <w:lvlText w:val="•"/>
      <w:numFmt w:val="bullet"/>
      <w:start w:val="1"/>
    </w:lvl>
  </w:abstractNum>
  <w:abstractNum w:abstractNumId="103">
    <w:nsid w:val="C058DF5"/>
    <w:multiLevelType w:val="hybridMultilevel"/>
    <w:lvl w:ilvl="0">
      <w:lvlJc w:val="left"/>
      <w:lvlText w:val="•"/>
      <w:numFmt w:val="bullet"/>
      <w:start w:val="1"/>
    </w:lvl>
  </w:abstractNum>
  <w:abstractNum w:abstractNumId="104">
    <w:nsid w:val="CBE5BE9"/>
    <w:multiLevelType w:val="hybridMultilevel"/>
    <w:lvl w:ilvl="0">
      <w:lvlJc w:val="left"/>
      <w:lvlText w:val="•"/>
      <w:numFmt w:val="bullet"/>
      <w:start w:val="1"/>
    </w:lvl>
  </w:abstractNum>
  <w:abstractNum w:abstractNumId="105">
    <w:nsid w:val="3102BBE2"/>
    <w:multiLevelType w:val="hybridMultilevel"/>
    <w:lvl w:ilvl="0">
      <w:lvlJc w:val="left"/>
      <w:lvlText w:val="•"/>
      <w:numFmt w:val="bullet"/>
      <w:start w:val="1"/>
    </w:lvl>
  </w:abstractNum>
  <w:abstractNum w:abstractNumId="106">
    <w:nsid w:val="26A02C5E"/>
    <w:multiLevelType w:val="hybridMultilevel"/>
    <w:lvl w:ilvl="0">
      <w:lvlJc w:val="left"/>
      <w:lvlText w:val="•"/>
      <w:numFmt w:val="bullet"/>
      <w:start w:val="1"/>
    </w:lvl>
  </w:abstractNum>
  <w:abstractNum w:abstractNumId="107">
    <w:nsid w:val="541C8153"/>
    <w:multiLevelType w:val="hybridMultilevel"/>
    <w:lvl w:ilvl="0">
      <w:lvlJc w:val="left"/>
      <w:lvlText w:val="•"/>
      <w:numFmt w:val="bullet"/>
      <w:start w:val="1"/>
    </w:lvl>
  </w:abstractNum>
  <w:abstractNum w:abstractNumId="108">
    <w:nsid w:val="67906F60"/>
    <w:multiLevelType w:val="hybridMultilevel"/>
    <w:lvl w:ilvl="0">
      <w:lvlJc w:val="left"/>
      <w:lvlText w:val="•"/>
      <w:numFmt w:val="bullet"/>
      <w:start w:val="1"/>
    </w:lvl>
  </w:abstractNum>
  <w:abstractNum w:abstractNumId="109">
    <w:nsid w:val="10DB9DAA"/>
    <w:multiLevelType w:val="hybridMultilevel"/>
    <w:lvl w:ilvl="0">
      <w:lvlJc w:val="left"/>
      <w:lvlText w:val="(%1)"/>
      <w:numFmt w:val="lowerRoman"/>
      <w:start w:val="1"/>
    </w:lvl>
  </w:abstractNum>
  <w:abstractNum w:abstractNumId="110">
    <w:nsid w:val="697D2D2"/>
    <w:multiLevelType w:val="hybridMultilevel"/>
    <w:lvl w:ilvl="0">
      <w:lvlJc w:val="left"/>
      <w:lvlText w:val="(%1)"/>
      <w:numFmt w:val="lowerLetter"/>
      <w:start w:val="1"/>
    </w:lvl>
  </w:abstractNum>
  <w:abstractNum w:abstractNumId="111">
    <w:nsid w:val="6D68AB2"/>
    <w:multiLevelType w:val="hybridMultilevel"/>
    <w:lvl w:ilvl="0">
      <w:lvlJc w:val="left"/>
      <w:lvlText w:val="(%1)"/>
      <w:numFmt w:val="lowerLetter"/>
      <w:start w:val="1"/>
    </w:lvl>
  </w:abstractNum>
  <w:abstractNum w:abstractNumId="112">
    <w:nsid w:val="3A966CD0"/>
    <w:multiLevelType w:val="hybridMultilevel"/>
    <w:lvl w:ilvl="0">
      <w:lvlJc w:val="left"/>
      <w:lvlText w:val="(%1)"/>
      <w:numFmt w:val="lowerLetter"/>
      <w:start w:val="1"/>
    </w:lvl>
  </w:abstractNum>
  <w:abstractNum w:abstractNumId="113">
    <w:nsid w:val="63F37E85"/>
    <w:multiLevelType w:val="hybridMultilevel"/>
    <w:lvl w:ilvl="0">
      <w:lvlJc w:val="left"/>
      <w:lvlText w:val="(%1)"/>
      <w:numFmt w:val="lowerLetter"/>
      <w:start w:val="3"/>
    </w:lvl>
  </w:abstractNum>
  <w:abstractNum w:abstractNumId="114">
    <w:nsid w:val="5895F5FA"/>
    <w:multiLevelType w:val="hybridMultilevel"/>
    <w:lvl w:ilvl="0">
      <w:lvlJc w:val="left"/>
      <w:lvlText w:val="•"/>
      <w:numFmt w:val="bullet"/>
      <w:start w:val="1"/>
    </w:lvl>
  </w:abstractNum>
  <w:abstractNum w:abstractNumId="115">
    <w:nsid w:val="38A5D054"/>
    <w:multiLevelType w:val="hybridMultilevel"/>
    <w:lvl w:ilvl="0">
      <w:lvlJc w:val="left"/>
      <w:lvlText w:val="%1."/>
      <w:numFmt w:val="upperLetter"/>
      <w:start w:val="1"/>
    </w:lvl>
  </w:abstractNum>
  <w:abstractNum w:abstractNumId="116">
    <w:nsid w:val="F3F09D8"/>
    <w:multiLevelType w:val="hybridMultilevel"/>
    <w:lvl w:ilvl="0">
      <w:lvlJc w:val="left"/>
      <w:lvlText w:val="%1."/>
      <w:numFmt w:val="upperLetter"/>
      <w:start w:val="2"/>
    </w:lvl>
  </w:abstractNum>
  <w:abstractNum w:abstractNumId="117">
    <w:nsid w:val="4B793735"/>
    <w:multiLevelType w:val="hybridMultilevel"/>
    <w:lvl w:ilvl="0">
      <w:lvlJc w:val="left"/>
      <w:lvlText w:val="%1."/>
      <w:numFmt w:val="upperLetter"/>
      <w:start w:val="3"/>
    </w:lvl>
  </w:abstractNum>
  <w:abstractNum w:abstractNumId="118">
    <w:nsid w:val="4A10B4E8"/>
    <w:multiLevelType w:val="hybridMultilevel"/>
    <w:lvl w:ilvl="0">
      <w:lvlJc w:val="left"/>
      <w:lvlText w:val="%1."/>
      <w:numFmt w:val="upperLetter"/>
      <w:start w:val="4"/>
    </w:lvl>
  </w:abstractNum>
  <w:abstractNum w:abstractNumId="119">
    <w:nsid w:val="43D3BCD4"/>
    <w:multiLevelType w:val="hybridMultilevel"/>
    <w:lvl w:ilvl="0">
      <w:lvlJc w:val="left"/>
      <w:lvlText w:val="%1."/>
      <w:numFmt w:val="upperLetter"/>
      <w:start w:val="5"/>
    </w:lvl>
  </w:abstractNum>
  <w:abstractNum w:abstractNumId="120">
    <w:nsid w:val="4C2A7166"/>
    <w:multiLevelType w:val="hybridMultilevel"/>
    <w:lvl w:ilvl="0">
      <w:lvlJc w:val="left"/>
      <w:lvlText w:val="%1."/>
      <w:numFmt w:val="upperLetter"/>
      <w:start w:val="6"/>
    </w:lvl>
  </w:abstractNum>
  <w:abstractNum w:abstractNumId="121">
    <w:nsid w:val="2E534A82"/>
    <w:multiLevelType w:val="hybridMultilevel"/>
    <w:lvl w:ilvl="0">
      <w:lvlJc w:val="left"/>
      <w:lvlText w:val="%1."/>
      <w:numFmt w:val="upperLetter"/>
      <w:start w:val="7"/>
    </w:lvl>
  </w:abstractNum>
  <w:abstractNum w:abstractNumId="122">
    <w:nsid w:val="26F2D364"/>
    <w:multiLevelType w:val="hybridMultilevel"/>
    <w:lvl w:ilvl="0">
      <w:lvlJc w:val="left"/>
      <w:lvlText w:val="%1."/>
      <w:numFmt w:val="upperLetter"/>
      <w:start w:val="8"/>
    </w:lvl>
  </w:abstractNum>
  <w:abstractNum w:abstractNumId="123">
    <w:nsid w:val="71C1AF98"/>
    <w:multiLevelType w:val="hybridMultilevel"/>
    <w:lvl w:ilvl="0">
      <w:lvlJc w:val="left"/>
      <w:lvlText w:val="%1."/>
      <w:numFmt w:val="upperLetter"/>
      <w:start w:val="9"/>
    </w:lvl>
  </w:abstractNum>
  <w:abstractNum w:abstractNumId="124">
    <w:nsid w:val="3D00B9D9"/>
    <w:multiLevelType w:val="hybridMultilevel"/>
    <w:lvl w:ilvl="0">
      <w:lvlJc w:val="left"/>
      <w:lvlText w:val="%1."/>
      <w:numFmt w:val="upperLetter"/>
      <w:start w:val="10"/>
    </w:lvl>
  </w:abstractNum>
  <w:abstractNum w:abstractNumId="125">
    <w:nsid w:val="15BCABA8"/>
    <w:multiLevelType w:val="hybridMultilevel"/>
    <w:lvl w:ilvl="0">
      <w:lvlJc w:val="left"/>
      <w:lvlText w:val="%1."/>
      <w:numFmt w:val="upperLetter"/>
      <w:start w:val="11"/>
    </w:lvl>
  </w:abstractNum>
  <w:abstractNum w:abstractNumId="126">
    <w:nsid w:val="4E0B9A87"/>
    <w:multiLevelType w:val="hybridMultilevel"/>
    <w:lvl w:ilvl="0">
      <w:lvlJc w:val="left"/>
      <w:lvlText w:val="%1."/>
      <w:numFmt w:val="upperLetter"/>
      <w:start w:val="12"/>
    </w:lvl>
  </w:abstractNum>
  <w:abstractNum w:abstractNumId="127">
    <w:nsid w:val="434BAE75"/>
    <w:multiLevelType w:val="hybridMultilevel"/>
    <w:lvl w:ilvl="0">
      <w:lvlJc w:val="left"/>
      <w:lvlText w:val="%1."/>
      <w:numFmt w:val="decimal"/>
      <w:start w:val="31"/>
    </w:lvl>
  </w:abstractNum>
  <w:abstractNum w:abstractNumId="128">
    <w:nsid w:val="4F38F265"/>
    <w:multiLevelType w:val="hybridMultilevel"/>
    <w:lvl w:ilvl="0">
      <w:lvlJc w:val="left"/>
      <w:lvlText w:val="%1."/>
      <w:numFmt w:val="upperLetter"/>
      <w:start w:val="13"/>
    </w:lvl>
  </w:abstractNum>
  <w:abstractNum w:abstractNumId="129">
    <w:nsid w:val="4C502870"/>
    <w:multiLevelType w:val="hybridMultilevel"/>
    <w:lvl w:ilvl="0">
      <w:lvlJc w:val="left"/>
      <w:lvlText w:val="%1."/>
      <w:numFmt w:val="upperLetter"/>
      <w:start w:val="14"/>
    </w:lvl>
  </w:abstractNum>
  <w:abstractNum w:abstractNumId="130">
    <w:nsid w:val="1DE8725A"/>
    <w:multiLevelType w:val="hybridMultilevel"/>
    <w:lvl w:ilvl="0">
      <w:lvlJc w:val="left"/>
      <w:lvlText w:val="%1."/>
      <w:numFmt w:val="upperLetter"/>
      <w:start w:val="15"/>
    </w:lvl>
  </w:abstractNum>
  <w:abstractNum w:abstractNumId="131">
    <w:nsid w:val="6A37288A"/>
    <w:multiLevelType w:val="hybridMultilevel"/>
    <w:lvl w:ilvl="0">
      <w:lvlJc w:val="left"/>
      <w:lvlText w:val="%1."/>
      <w:numFmt w:val="upperLetter"/>
      <w:start w:val="16"/>
    </w:lvl>
  </w:abstractNum>
  <w:abstractNum w:abstractNumId="132">
    <w:nsid w:val="8F8B73F"/>
    <w:multiLevelType w:val="hybridMultilevel"/>
    <w:lvl w:ilvl="0">
      <w:lvlJc w:val="left"/>
      <w:lvlText w:val="%1."/>
      <w:numFmt w:val="upperLetter"/>
      <w:start w:val="17"/>
    </w:lvl>
  </w:abstractNum>
  <w:abstractNum w:abstractNumId="133">
    <w:nsid w:val="CA6B462"/>
    <w:multiLevelType w:val="hybridMultilevel"/>
    <w:lvl w:ilvl="0">
      <w:lvlJc w:val="left"/>
      <w:lvlText w:val="%1."/>
      <w:numFmt w:val="upperLetter"/>
      <w:start w:val="18"/>
    </w:lvl>
  </w:abstractNum>
  <w:abstractNum w:abstractNumId="134">
    <w:nsid w:val="763CB680"/>
    <w:multiLevelType w:val="hybridMultilevel"/>
    <w:lvl w:ilvl="0">
      <w:lvlJc w:val="left"/>
      <w:lvlText w:val="%1."/>
      <w:numFmt w:val="upperLetter"/>
      <w:start w:val="19"/>
    </w:lvl>
  </w:abstractNum>
  <w:abstractNum w:abstractNumId="135">
    <w:nsid w:val="15B71329"/>
    <w:multiLevelType w:val="hybridMultilevel"/>
    <w:lvl w:ilvl="0">
      <w:lvlJc w:val="left"/>
      <w:lvlText w:val="%1."/>
      <w:numFmt w:val="upperLetter"/>
      <w:start w:val="20"/>
    </w:lvl>
  </w:abstractNum>
  <w:abstractNum w:abstractNumId="136">
    <w:nsid w:val="3DA97044"/>
    <w:multiLevelType w:val="hybridMultilevel"/>
    <w:lvl w:ilvl="0">
      <w:lvlJc w:val="left"/>
      <w:lvlText w:val="%1."/>
      <w:numFmt w:val="upperLetter"/>
      <w:start w:val="21"/>
    </w:lvl>
  </w:abstractNum>
  <w:abstractNum w:abstractNumId="137">
    <w:nsid w:val="1CDCE2DE"/>
    <w:multiLevelType w:val="hybridMultilevel"/>
    <w:lvl w:ilvl="0">
      <w:lvlJc w:val="left"/>
      <w:lvlText w:val="•"/>
      <w:numFmt w:val="bullet"/>
      <w:start w:val="1"/>
    </w:lvl>
  </w:abstractNum>
  <w:abstractNum w:abstractNumId="138">
    <w:nsid w:val="69D3947C"/>
    <w:multiLevelType w:val="hybridMultilevel"/>
    <w:lvl w:ilvl="0">
      <w:lvlJc w:val="left"/>
      <w:lvlText w:val="(%1)"/>
      <w:numFmt w:val="decimal"/>
      <w:start w:val="1"/>
    </w:lvl>
  </w:abstractNum>
  <w:abstractNum w:abstractNumId="139">
    <w:nsid w:val="2539DFA5"/>
    <w:multiLevelType w:val="hybridMultilevel"/>
    <w:lvl w:ilvl="0">
      <w:lvlJc w:val="left"/>
      <w:lvlText w:val="(%1)"/>
      <w:numFmt w:val="decimal"/>
      <w:start w:val="1"/>
    </w:lvl>
  </w:abstractNum>
  <w:abstractNum w:abstractNumId="140">
    <w:nsid w:val="2DB88089"/>
    <w:multiLevelType w:val="hybridMultilevel"/>
    <w:lvl w:ilvl="0">
      <w:lvlJc w:val="left"/>
      <w:lvlText w:val="(%1)"/>
      <w:numFmt w:val="decimal"/>
      <w:start w:val="1"/>
    </w:lvl>
  </w:abstractNum>
  <w:abstractNum w:abstractNumId="141">
    <w:nsid w:val="706B674E"/>
    <w:multiLevelType w:val="hybridMultilevel"/>
    <w:lvl w:ilvl="0">
      <w:lvlJc w:val="left"/>
      <w:lvlText w:val="(%1)"/>
      <w:numFmt w:val="decimal"/>
      <w:start w:val="1"/>
    </w:lvl>
  </w:abstractNum>
  <w:abstractNum w:abstractNumId="142">
    <w:nsid w:val="2C106A57"/>
    <w:multiLevelType w:val="hybridMultilevel"/>
    <w:lvl w:ilvl="0">
      <w:lvlJc w:val="left"/>
      <w:lvlText w:val="(%1)"/>
      <w:numFmt w:val="decimal"/>
      <w:start w:val="1"/>
    </w:lvl>
  </w:abstractNum>
  <w:abstractNum w:abstractNumId="143">
    <w:nsid w:val="684EED59"/>
    <w:multiLevelType w:val="hybridMultilevel"/>
    <w:lvl w:ilvl="0">
      <w:lvlJc w:val="left"/>
      <w:lvlText w:val="•"/>
      <w:numFmt w:val="bullet"/>
      <w:start w:val="1"/>
    </w:lvl>
  </w:abstractNum>
  <w:abstractNum w:abstractNumId="144">
    <w:nsid w:val="545EE5D3"/>
    <w:multiLevelType w:val="hybridMultilevel"/>
    <w:lvl w:ilvl="0">
      <w:lvlJc w:val="left"/>
      <w:lvlText w:val="*"/>
      <w:numFmt w:val="bullet"/>
      <w:start w:val="1"/>
    </w:lvl>
  </w:abstractNum>
  <w:abstractNum w:abstractNumId="145">
    <w:nsid w:val="4A66051"/>
    <w:multiLevelType w:val="hybridMultilevel"/>
    <w:lvl w:ilvl="0">
      <w:lvlJc w:val="left"/>
      <w:lvlText w:val="†"/>
      <w:numFmt w:val="bullet"/>
      <w:start w:val="1"/>
    </w:lvl>
    <w:lvl w:ilvl="1">
      <w:lvlJc w:val="left"/>
      <w:lvlText w:val="(%2)"/>
      <w:numFmt w:val="lowerLetter"/>
      <w:start w:val="2"/>
    </w:lvl>
  </w:abstractNum>
  <w:abstractNum w:abstractNumId="146">
    <w:nsid w:val="20F4BDAD"/>
    <w:multiLevelType w:val="hybridMultilevel"/>
    <w:lvl w:ilvl="0">
      <w:lvlJc w:val="left"/>
      <w:lvlText w:val="(%1)"/>
      <w:numFmt w:val="decimal"/>
      <w:start w:val="1"/>
    </w:lvl>
  </w:abstractNum>
  <w:abstractNum w:abstractNumId="147">
    <w:nsid w:val="639DEFAC"/>
    <w:multiLevelType w:val="hybridMultilevel"/>
    <w:lvl w:ilvl="0">
      <w:lvlJc w:val="left"/>
      <w:lvlText w:val="(%1)"/>
      <w:numFmt w:val="lowerRoman"/>
      <w:start w:val="1"/>
    </w:lvl>
  </w:abstractNum>
  <w:abstractNum w:abstractNumId="148">
    <w:nsid w:val="501F9786"/>
    <w:multiLevelType w:val="hybridMultilevel"/>
    <w:lvl w:ilvl="0">
      <w:lvlJc w:val="left"/>
      <w:lvlText w:val="%1"/>
      <w:numFmt w:val="decimal"/>
      <w:start w:val="1"/>
    </w:lvl>
    <w:lvl w:ilvl="1">
      <w:lvlJc w:val="left"/>
      <w:lvlText w:val="(%2)"/>
      <w:numFmt w:val="lowerLetter"/>
      <w:start w:val="2"/>
    </w:lvl>
  </w:abstractNum>
  <w:abstractNum w:abstractNumId="149">
    <w:nsid w:val="6B057295"/>
    <w:multiLevelType w:val="hybridMultilevel"/>
    <w:lvl w:ilvl="0">
      <w:lvlJc w:val="left"/>
      <w:lvlText w:val="(%1)"/>
      <w:numFmt w:val="decimal"/>
      <w:start w:val="2"/>
    </w:lvl>
    <w:lvl w:ilvl="1">
      <w:lvlJc w:val="left"/>
      <w:lvlText w:val="%2"/>
      <w:numFmt w:val="lowerLetter"/>
      <w:start w:val="1"/>
    </w:lvl>
  </w:abstractNum>
  <w:abstractNum w:abstractNumId="150">
    <w:nsid w:val="2771AC80"/>
    <w:multiLevelType w:val="hybridMultilevel"/>
    <w:lvl w:ilvl="0">
      <w:lvlJc w:val="left"/>
      <w:lvlText w:val="(%1)"/>
      <w:numFmt w:val="lowerLetter"/>
      <w:start w:val="5"/>
    </w:lvl>
  </w:abstractNum>
  <w:abstractNum w:abstractNumId="151">
    <w:nsid w:val="1C4A08EC"/>
    <w:multiLevelType w:val="hybridMultilevel"/>
    <w:lvl w:ilvl="0">
      <w:lvlJc w:val="left"/>
      <w:lvlText w:val="%1."/>
      <w:numFmt w:val="decimal"/>
      <w:start w:val="1"/>
    </w:lvl>
  </w:abstractNum>
  <w:abstractNum w:abstractNumId="152">
    <w:nsid w:val="1958BD17"/>
    <w:multiLevelType w:val="hybridMultilevel"/>
    <w:lvl w:ilvl="0">
      <w:lvlJc w:val="left"/>
      <w:lvlText w:val="%1."/>
      <w:numFmt w:val="decimal"/>
      <w:start w:val="2"/>
    </w:lvl>
  </w:abstractNum>
  <w:abstractNum w:abstractNumId="153">
    <w:nsid w:val="4E647FE4"/>
    <w:multiLevelType w:val="hybridMultilevel"/>
    <w:lvl w:ilvl="0">
      <w:lvlJc w:val="left"/>
      <w:lvlText w:val="(%1)"/>
      <w:numFmt w:val="decimal"/>
      <w:start w:val="1"/>
    </w:lvl>
  </w:abstractNum>
  <w:abstractNum w:abstractNumId="154">
    <w:nsid w:val="E0BB885"/>
    <w:multiLevelType w:val="hybridMultilevel"/>
    <w:lvl w:ilvl="0">
      <w:lvlJc w:val="left"/>
      <w:lvlText w:val="(%1)"/>
      <w:numFmt w:val="lowerRoman"/>
      <w:start w:val="4"/>
    </w:lvl>
  </w:abstractNum>
  <w:abstractNum w:abstractNumId="155">
    <w:nsid w:val="565976F1"/>
    <w:multiLevelType w:val="hybridMultilevel"/>
    <w:lvl w:ilvl="0">
      <w:lvlJc w:val="left"/>
      <w:lvlText w:val="(%1)"/>
      <w:numFmt w:val="lowerRoman"/>
      <w:start w:val="1"/>
    </w:lvl>
  </w:abstractNum>
  <w:abstractNum w:abstractNumId="156">
    <w:nsid w:val="64212B8C"/>
    <w:multiLevelType w:val="hybridMultilevel"/>
    <w:lvl w:ilvl="0">
      <w:lvlJc w:val="left"/>
      <w:lvlText w:val="(%1)"/>
      <w:numFmt w:val="lowerLetter"/>
      <w:start w:val="1"/>
    </w:lvl>
  </w:abstractNum>
  <w:abstractNum w:abstractNumId="157">
    <w:nsid w:val="5C17530C"/>
    <w:multiLevelType w:val="hybridMultilevel"/>
    <w:lvl w:ilvl="0">
      <w:lvlJc w:val="left"/>
      <w:lvlText w:val="(%1)"/>
      <w:numFmt w:val="lowerLetter"/>
      <w:start w:val="1"/>
    </w:lvl>
  </w:abstractNum>
  <w:abstractNum w:abstractNumId="158">
    <w:nsid w:val="19A52566"/>
    <w:multiLevelType w:val="hybridMultilevel"/>
    <w:lvl w:ilvl="0">
      <w:lvlJc w:val="left"/>
      <w:lvlText w:val="(%1)"/>
      <w:numFmt w:val="lowerLetter"/>
      <w:start w:val="2"/>
    </w:lvl>
  </w:abstractNum>
  <w:abstractNum w:abstractNumId="159">
    <w:nsid w:val="335A1DF1"/>
    <w:multiLevelType w:val="hybridMultilevel"/>
    <w:lvl w:ilvl="0">
      <w:lvlJc w:val="left"/>
      <w:lvlText w:val="(%1)"/>
      <w:numFmt w:val="lowerLetter"/>
      <w:start w:val="1"/>
    </w:lvl>
  </w:abstractNum>
  <w:abstractNum w:abstractNumId="160">
    <w:nsid w:val="28677B7C"/>
    <w:multiLevelType w:val="hybridMultilevel"/>
    <w:lvl w:ilvl="0">
      <w:lvlJc w:val="left"/>
      <w:lvlText w:val="(%1)"/>
      <w:numFmt w:val="lowerLetter"/>
      <w:start w:val="1"/>
    </w:lvl>
  </w:abstractNum>
  <w:abstractNum w:abstractNumId="161">
    <w:nsid w:val="378D97C0"/>
    <w:multiLevelType w:val="hybridMultilevel"/>
    <w:lvl w:ilvl="0">
      <w:lvlJc w:val="left"/>
      <w:lvlText w:val="(%1)"/>
      <w:numFmt w:val="lowerLetter"/>
      <w:start w:val="1"/>
    </w:lvl>
  </w:abstractNum>
  <w:abstractNum w:abstractNumId="162">
    <w:nsid w:val="1D91467C"/>
    <w:multiLevelType w:val="hybridMultilevel"/>
    <w:lvl w:ilvl="0">
      <w:lvlJc w:val="left"/>
      <w:lvlText w:val="(%1)"/>
      <w:numFmt w:val="lowerLetter"/>
      <w:start w:val="2"/>
    </w:lvl>
  </w:abstractNum>
  <w:abstractNum w:abstractNumId="163">
    <w:nsid w:val="316032BB"/>
    <w:multiLevelType w:val="hybridMultilevel"/>
    <w:lvl w:ilvl="0">
      <w:lvlJc w:val="left"/>
      <w:lvlText w:val="(%1)"/>
      <w:numFmt w:val="lowerLetter"/>
      <w:start w:val="5"/>
    </w:lvl>
  </w:abstractNum>
  <w:abstractNum w:abstractNumId="164">
    <w:nsid w:val="44344C22"/>
    <w:multiLevelType w:val="hybridMultilevel"/>
    <w:lvl w:ilvl="0">
      <w:lvlJc w:val="left"/>
      <w:lvlText w:val="(%1)"/>
      <w:numFmt w:val="lowerLetter"/>
      <w:start w:val="9"/>
    </w:lvl>
  </w:abstractNum>
  <w:abstractNum w:abstractNumId="165">
    <w:nsid w:val="13CDFCFC"/>
    <w:multiLevelType w:val="hybridMultilevel"/>
    <w:lvl w:ilvl="0">
      <w:lvlJc w:val="left"/>
      <w:lvlText w:val="(%1)"/>
      <w:numFmt w:val="lowerLetter"/>
      <w:start w:val="14"/>
    </w:lvl>
  </w:abstractNum>
  <w:abstractNum w:abstractNumId="166">
    <w:nsid w:val="471745E4"/>
    <w:multiLevelType w:val="hybridMultilevel"/>
    <w:lvl w:ilvl="0">
      <w:lvlJc w:val="left"/>
      <w:lvlText w:val="(%1)"/>
      <w:numFmt w:val="lowerLetter"/>
      <w:start w:val="19"/>
    </w:lvl>
  </w:abstractNum>
  <w:abstractNum w:abstractNumId="167">
    <w:nsid w:val="1DDBC66"/>
    <w:multiLevelType w:val="hybridMultilevel"/>
    <w:lvl w:ilvl="0">
      <w:lvlJc w:val="left"/>
      <w:lvlText w:val="(%1)"/>
      <w:numFmt w:val="lowerRoman"/>
      <w:start w:val="8"/>
    </w:lvl>
  </w:abstractNum>
  <w:abstractNum w:abstractNumId="168">
    <w:nsid w:val="30AADFDA"/>
    <w:multiLevelType w:val="hybridMultilevel"/>
    <w:lvl w:ilvl="0">
      <w:lvlJc w:val="left"/>
      <w:lvlText w:val="(%1)"/>
      <w:numFmt w:val="lowerLetter"/>
      <w:start w:val="1"/>
    </w:lvl>
  </w:abstractNum>
  <w:abstractNum w:abstractNumId="169">
    <w:nsid w:val="30EADA61"/>
    <w:multiLevelType w:val="hybridMultilevel"/>
    <w:lvl w:ilvl="0">
      <w:lvlJc w:val="left"/>
      <w:lvlText w:val="(%1)"/>
      <w:numFmt w:val="lowerLetter"/>
      <w:start w:val="1"/>
    </w:lvl>
  </w:abstractNum>
  <w:abstractNum w:abstractNumId="170">
    <w:nsid w:val="27179C0B"/>
    <w:multiLevelType w:val="hybridMultilevel"/>
    <w:lvl w:ilvl="0">
      <w:lvlJc w:val="left"/>
      <w:lvlText w:val="(%1)"/>
      <w:numFmt w:val="lowerLetter"/>
      <w:start w:val="2"/>
    </w:lvl>
  </w:abstractNum>
  <w:abstractNum w:abstractNumId="171">
    <w:nsid w:val="5E636063"/>
    <w:multiLevelType w:val="hybridMultilevel"/>
    <w:lvl w:ilvl="0">
      <w:lvlJc w:val="left"/>
      <w:lvlText w:val="(%1)"/>
      <w:numFmt w:val="lowerLetter"/>
      <w:start w:val="3"/>
    </w:lvl>
  </w:abstractNum>
  <w:abstractNum w:abstractNumId="172">
    <w:nsid w:val="215641AF"/>
    <w:multiLevelType w:val="hybridMultilevel"/>
    <w:lvl w:ilvl="0">
      <w:lvlJc w:val="left"/>
      <w:lvlText w:val="(%1)"/>
      <w:numFmt w:val="lowerLetter"/>
      <w:start w:val="4"/>
    </w:lvl>
  </w:abstractNum>
  <w:abstractNum w:abstractNumId="173">
    <w:nsid w:val="53280662"/>
    <w:multiLevelType w:val="hybridMultilevel"/>
    <w:lvl w:ilvl="0">
      <w:lvlJc w:val="left"/>
      <w:lvlText w:val="(%1)"/>
      <w:numFmt w:val="lowerLetter"/>
      <w:start w:val="1"/>
    </w:lvl>
  </w:abstractNum>
  <w:abstractNum w:abstractNumId="174">
    <w:nsid w:val="46B24DBC"/>
    <w:multiLevelType w:val="hybridMultilevel"/>
    <w:lvl w:ilvl="0">
      <w:lvlJc w:val="left"/>
      <w:lvlText w:val="(%1)"/>
      <w:numFmt w:val="lowerLetter"/>
      <w:start w:val="1"/>
    </w:lvl>
  </w:abstractNum>
  <w:abstractNum w:abstractNumId="175">
    <w:nsid w:val="75B52783"/>
    <w:multiLevelType w:val="hybridMultilevel"/>
    <w:lvl w:ilvl="0">
      <w:lvlJc w:val="left"/>
      <w:lvlText w:val="(%1)"/>
      <w:numFmt w:val="lowerLetter"/>
      <w:start w:val="1"/>
    </w:lvl>
  </w:abstractNum>
  <w:abstractNum w:abstractNumId="176">
    <w:nsid w:val="57CE66B4"/>
    <w:multiLevelType w:val="hybridMultilevel"/>
    <w:lvl w:ilvl="0">
      <w:lvlJc w:val="left"/>
      <w:lvlText w:val="%1."/>
      <w:numFmt w:val="decimal"/>
      <w:start w:val="1"/>
    </w:lvl>
  </w:abstractNum>
  <w:abstractNum w:abstractNumId="177">
    <w:nsid w:val="67A70B69"/>
    <w:multiLevelType w:val="hybridMultilevel"/>
    <w:lvl w:ilvl="0">
      <w:lvlJc w:val="left"/>
      <w:lvlText w:val="%1"/>
      <w:numFmt w:val="lowerRoman"/>
      <w:start w:val="1"/>
    </w:lvl>
    <w:lvl w:ilvl="1">
      <w:lvlJc w:val="left"/>
      <w:lvlText w:val="%2."/>
      <w:numFmt w:val="decimal"/>
      <w:start w:val="2"/>
    </w:lvl>
  </w:abstractNum>
  <w:abstractNum w:abstractNumId="178">
    <w:nsid w:val="5953172F"/>
    <w:multiLevelType w:val="hybridMultilevel"/>
    <w:lvl w:ilvl="0">
      <w:lvlJc w:val="left"/>
      <w:lvlText w:val="(%1)"/>
      <w:numFmt w:val="lowerRoman"/>
      <w:start w:val="2"/>
    </w:lvl>
    <w:lvl w:ilvl="1">
      <w:lvlJc w:val="left"/>
      <w:lvlText w:val="%2."/>
      <w:numFmt w:val="decimal"/>
      <w:start w:val="3"/>
    </w:lvl>
  </w:abstractNum>
  <w:abstractNum w:abstractNumId="179">
    <w:nsid w:val="27EDFE3A"/>
    <w:multiLevelType w:val="hybridMultilevel"/>
    <w:lvl w:ilvl="0">
      <w:lvlJc w:val="left"/>
      <w:lvlText w:val="%1."/>
      <w:numFmt w:val="decimal"/>
      <w:start w:val="4"/>
    </w:lvl>
    <w:lvl w:ilvl="1">
      <w:lvlJc w:val="left"/>
      <w:lvlText w:val="%2."/>
      <w:numFmt w:val="lowerLetter"/>
      <w:start w:val="1"/>
    </w:lvl>
  </w:abstractNum>
  <w:abstractNum w:abstractNumId="180">
    <w:nsid w:val="52AC7DFF"/>
    <w:multiLevelType w:val="hybridMultilevel"/>
    <w:lvl w:ilvl="0">
      <w:lvlJc w:val="left"/>
      <w:lvlText w:val="%1"/>
      <w:numFmt w:val="decimal"/>
      <w:start w:val="1"/>
    </w:lvl>
    <w:lvl w:ilvl="1">
      <w:lvlJc w:val="left"/>
      <w:lvlText w:val="%2."/>
      <w:numFmt w:val="lowerLetter"/>
      <w:start w:val="3"/>
    </w:lvl>
  </w:abstractNum>
  <w:abstractNum w:abstractNumId="181">
    <w:nsid w:val="C4C3AF"/>
    <w:multiLevelType w:val="hybridMultilevel"/>
    <w:lvl w:ilvl="0">
      <w:lvlJc w:val="left"/>
      <w:lvlText w:val="%1."/>
      <w:numFmt w:val="decimal"/>
      <w:start w:val="6"/>
    </w:lvl>
    <w:lvl w:ilvl="1">
      <w:lvlJc w:val="left"/>
      <w:lvlText w:val="%2."/>
      <w:numFmt w:val="lowerLetter"/>
      <w:start w:val="1"/>
    </w:lvl>
  </w:abstractNum>
  <w:abstractNum w:abstractNumId="182">
    <w:nsid w:val="44380727"/>
    <w:multiLevelType w:val="hybridMultilevel"/>
    <w:lvl w:ilvl="0">
      <w:lvlJc w:val="left"/>
      <w:lvlText w:val="%1"/>
      <w:numFmt w:val="decimal"/>
      <w:start w:val="1"/>
    </w:lvl>
    <w:lvl w:ilvl="1">
      <w:lvlJc w:val="left"/>
      <w:lvlText w:val="%2."/>
      <w:numFmt w:val="lowerLetter"/>
      <w:start w:val="2"/>
    </w:lvl>
  </w:abstractNum>
  <w:abstractNum w:abstractNumId="183">
    <w:nsid w:val="6C053B16"/>
    <w:multiLevelType w:val="hybridMultilevel"/>
    <w:lvl w:ilvl="0">
      <w:lvlJc w:val="left"/>
      <w:lvlText w:val="%1."/>
      <w:numFmt w:val="decimal"/>
      <w:start w:val="10"/>
    </w:lvl>
    <w:lvl w:ilvl="1">
      <w:lvlJc w:val="left"/>
      <w:lvlText w:val="%2"/>
      <w:numFmt w:val="lowerLetter"/>
      <w:start w:val="1"/>
    </w:lvl>
  </w:abstractNum>
  <w:abstractNum w:abstractNumId="184">
    <w:nsid w:val="4F294393"/>
    <w:multiLevelType w:val="hybridMultilevel"/>
    <w:lvl w:ilvl="0">
      <w:lvlJc w:val="left"/>
      <w:lvlText w:val="%1."/>
      <w:numFmt w:val="decimal"/>
      <w:start w:val="12"/>
    </w:lvl>
  </w:abstractNum>
  <w:abstractNum w:abstractNumId="185">
    <w:nsid w:val="5243BFAC"/>
    <w:multiLevelType w:val="hybridMultilevel"/>
    <w:lvl w:ilvl="0">
      <w:lvlJc w:val="left"/>
      <w:lvlText w:val="%1."/>
      <w:numFmt w:val="decimal"/>
      <w:start w:val="16"/>
    </w:lvl>
    <w:lvl w:ilvl="1">
      <w:lvlJc w:val="left"/>
      <w:lvlText w:val="%2."/>
      <w:numFmt w:val="lowerLetter"/>
      <w:start w:val="1"/>
    </w:lvl>
  </w:abstractNum>
  <w:abstractNum w:abstractNumId="186">
    <w:nsid w:val="425EB207"/>
    <w:multiLevelType w:val="hybridMultilevel"/>
    <w:lvl w:ilvl="0">
      <w:lvlJc w:val="left"/>
      <w:lvlText w:val="%1."/>
      <w:numFmt w:val="decimal"/>
      <w:start w:val="20"/>
    </w:lvl>
  </w:abstractNum>
  <w:abstractNum w:abstractNumId="187">
    <w:nsid w:val="334A6F1F"/>
    <w:multiLevelType w:val="hybridMultilevel"/>
    <w:lvl w:ilvl="0">
      <w:lvlJc w:val="left"/>
      <w:lvlText w:val="%1."/>
      <w:numFmt w:val="decimal"/>
      <w:start w:val="1"/>
    </w:lvl>
  </w:abstractNum>
  <w:abstractNum w:abstractNumId="188">
    <w:nsid w:val="2E5B12B8"/>
    <w:multiLevelType w:val="hybridMultilevel"/>
    <w:lvl w:ilvl="0">
      <w:lvlJc w:val="left"/>
      <w:lvlText w:val="%1."/>
      <w:numFmt w:val="decimal"/>
      <w:start w:val="1"/>
    </w:lvl>
  </w:abstractNum>
  <w:abstractNum w:abstractNumId="189">
    <w:nsid w:val="5C03D76D"/>
    <w:multiLevelType w:val="hybridMultilevel"/>
    <w:lvl w:ilvl="0">
      <w:lvlJc w:val="left"/>
      <w:lvlText w:val="%1."/>
      <w:numFmt w:val="decimal"/>
      <w:start w:val="1"/>
    </w:lvl>
  </w:abstractNum>
  <w:abstractNum w:abstractNumId="190">
    <w:nsid w:val="66A48D11"/>
    <w:multiLevelType w:val="hybridMultilevel"/>
    <w:lvl w:ilvl="0">
      <w:lvlJc w:val="left"/>
      <w:lvlText w:val="%1."/>
      <w:numFmt w:val="decimal"/>
      <w:start w:val="1"/>
    </w:lvl>
  </w:abstractNum>
  <w:abstractNum w:abstractNumId="191">
    <w:nsid w:val="56C28E34"/>
    <w:multiLevelType w:val="hybridMultilevel"/>
    <w:lvl w:ilvl="0">
      <w:lvlJc w:val="left"/>
      <w:lvlText w:val="%1."/>
      <w:numFmt w:val="decimal"/>
      <w:start w:val="2"/>
    </w:lvl>
  </w:abstractNum>
  <w:abstractNum w:abstractNumId="192">
    <w:nsid w:val="13916F2D"/>
    <w:multiLevelType w:val="hybridMultilevel"/>
    <w:lvl w:ilvl="0">
      <w:lvlJc w:val="left"/>
      <w:lvlText w:val="(%1)"/>
      <w:numFmt w:val="lowerRoman"/>
      <w:start w:val="6"/>
    </w:lvl>
  </w:abstractNum>
  <w:abstractNum w:abstractNumId="193">
    <w:nsid w:val="435D38D"/>
    <w:multiLevelType w:val="hybridMultilevel"/>
    <w:lvl w:ilvl="0">
      <w:lvlJc w:val="left"/>
      <w:lvlText w:val="%1."/>
      <w:numFmt w:val="decimal"/>
      <w:start w:val="4"/>
    </w:lvl>
  </w:abstractNum>
  <w:abstractNum w:abstractNumId="194">
    <w:nsid w:val="822C0EF"/>
    <w:multiLevelType w:val="hybridMultilevel"/>
    <w:lvl w:ilvl="0">
      <w:lvlJc w:val="left"/>
      <w:lvlText w:val="%1."/>
      <w:numFmt w:val="decimal"/>
      <w:start w:val="5"/>
    </w:lvl>
  </w:abstractNum>
  <w:abstractNum w:abstractNumId="195">
    <w:nsid w:val="57C5BB4F"/>
    <w:multiLevelType w:val="hybridMultilevel"/>
    <w:lvl w:ilvl="0">
      <w:lvlJc w:val="left"/>
      <w:lvlText w:val="%1."/>
      <w:numFmt w:val="decimal"/>
      <w:start w:val="7"/>
    </w:lvl>
  </w:abstractNum>
  <w:abstractNum w:abstractNumId="196">
    <w:nsid w:val="1803D089"/>
    <w:multiLevelType w:val="hybridMultilevel"/>
    <w:lvl w:ilvl="0">
      <w:lvlJc w:val="left"/>
      <w:lvlText w:val="(%1)"/>
      <w:numFmt w:val="lowerLetter"/>
      <w:start w:val="1"/>
    </w:lvl>
  </w:abstractNum>
  <w:abstractNum w:abstractNumId="197">
    <w:nsid w:val="4F3A06D4"/>
    <w:multiLevelType w:val="hybridMultilevel"/>
    <w:lvl w:ilvl="0">
      <w:lvlJc w:val="left"/>
      <w:lvlText w:val="%1."/>
      <w:numFmt w:val="decimal"/>
      <w:start w:val="9"/>
    </w:lvl>
  </w:abstractNum>
  <w:abstractNum w:abstractNumId="198">
    <w:nsid w:val="59A377B6"/>
    <w:multiLevelType w:val="hybridMultilevel"/>
    <w:lvl w:ilvl="0">
      <w:lvlJc w:val="left"/>
      <w:lvlText w:val="%1."/>
      <w:numFmt w:val="decimal"/>
      <w:start w:val="11"/>
    </w:lvl>
  </w:abstractNum>
  <w:abstractNum w:abstractNumId="199">
    <w:nsid w:val="48AEB063"/>
    <w:multiLevelType w:val="hybridMultilevel"/>
    <w:lvl w:ilvl="0">
      <w:lvlJc w:val="left"/>
      <w:lvlText w:val="(%1)"/>
      <w:numFmt w:val="lowerLetter"/>
      <w:start w:val="1"/>
    </w:lvl>
  </w:abstractNum>
  <w:abstractNum w:abstractNumId="200">
    <w:nsid w:val="24E135"/>
    <w:multiLevelType w:val="hybridMultilevel"/>
    <w:lvl w:ilvl="0">
      <w:lvlJc w:val="left"/>
      <w:lvlText w:val="%1."/>
      <w:numFmt w:val="decimal"/>
      <w:start w:val="1"/>
    </w:lvl>
  </w:abstractNum>
  <w:abstractNum w:abstractNumId="201">
    <w:nsid w:val="BB13C1"/>
    <w:multiLevelType w:val="hybridMultilevel"/>
    <w:lvl w:ilvl="0">
      <w:lvlJc w:val="left"/>
      <w:lvlText w:val="%1."/>
      <w:numFmt w:val="decimal"/>
      <w:start w:val="2"/>
    </w:lvl>
  </w:abstractNum>
  <w:abstractNum w:abstractNumId="202">
    <w:nsid w:val="271210C7"/>
    <w:multiLevelType w:val="hybridMultilevel"/>
    <w:lvl w:ilvl="0">
      <w:lvlJc w:val="left"/>
      <w:lvlText w:val="(%1)"/>
      <w:numFmt w:val="lowerRoman"/>
      <w:start w:val="6"/>
    </w:lvl>
  </w:abstractNum>
  <w:abstractNum w:abstractNumId="203">
    <w:nsid w:val="217B22E4"/>
    <w:multiLevelType w:val="hybridMultilevel"/>
    <w:lvl w:ilvl="0">
      <w:lvlJc w:val="left"/>
      <w:lvlText w:val="%1."/>
      <w:numFmt w:val="decimal"/>
      <w:start w:val="4"/>
    </w:lvl>
  </w:abstractNum>
  <w:abstractNum w:abstractNumId="204">
    <w:nsid w:val="53E31A24"/>
    <w:multiLevelType w:val="hybridMultilevel"/>
    <w:lvl w:ilvl="0">
      <w:lvlJc w:val="left"/>
      <w:lvlText w:val="%1."/>
      <w:numFmt w:val="decimal"/>
      <w:start w:val="6"/>
    </w:lvl>
  </w:abstractNum>
  <w:abstractNum w:abstractNumId="205">
    <w:nsid w:val="6DC45E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6">
    <w:nsid w:val="17304A6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7">
    <w:nsid w:val="2BB180D8"/>
    <w:multiLevelType w:val="hybridMultilevel"/>
    <w:lvl w:ilvl="0">
      <w:lvlJc w:val="left"/>
      <w:lvlText w:val="(%1)"/>
      <w:numFmt w:val="lowerLetter"/>
      <w:start w:val="1"/>
    </w:lvl>
  </w:abstractNum>
  <w:abstractNum w:abstractNumId="208">
    <w:nsid w:val="556B69ED"/>
    <w:multiLevelType w:val="hybridMultilevel"/>
    <w:lvl w:ilvl="0">
      <w:lvlJc w:val="left"/>
      <w:lvlText w:val="%1."/>
      <w:numFmt w:val="decimal"/>
      <w:start w:val="9"/>
    </w:lvl>
  </w:abstractNum>
  <w:abstractNum w:abstractNumId="209">
    <w:nsid w:val="70836196"/>
    <w:multiLevelType w:val="hybridMultilevel"/>
    <w:lvl w:ilvl="0">
      <w:lvlJc w:val="left"/>
      <w:lvlText w:val="(%1)"/>
      <w:numFmt w:val="lowerLetter"/>
      <w:start w:val="1"/>
    </w:lvl>
  </w:abstractNum>
  <w:abstractNum w:abstractNumId="210">
    <w:nsid w:val="539F7F12"/>
    <w:multiLevelType w:val="hybridMultilevel"/>
    <w:lvl w:ilvl="0">
      <w:lvlJc w:val="left"/>
      <w:lvlText w:val="%1."/>
      <w:numFmt w:val="decimal"/>
      <w:start w:val="1"/>
    </w:lvl>
  </w:abstractNum>
  <w:abstractNum w:abstractNumId="211">
    <w:nsid w:val="2817E7EC"/>
    <w:multiLevelType w:val="hybridMultilevel"/>
    <w:lvl w:ilvl="0">
      <w:lvlJc w:val="left"/>
      <w:lvlText w:val="(%1)"/>
      <w:numFmt w:val="lowerLetter"/>
      <w:start w:val="1"/>
    </w:lvl>
  </w:abstractNum>
  <w:abstractNum w:abstractNumId="212">
    <w:nsid w:val="71482545"/>
    <w:multiLevelType w:val="hybridMultilevel"/>
    <w:lvl w:ilvl="0">
      <w:lvlJc w:val="left"/>
      <w:lvlText w:val="%1"/>
      <w:numFmt w:val="decimal"/>
      <w:start w:val="1"/>
    </w:lvl>
    <w:lvl w:ilvl="1">
      <w:lvlJc w:val="left"/>
      <w:lvlText w:val="(%2)"/>
      <w:numFmt w:val="lowerLetter"/>
      <w:start w:val="2"/>
    </w:lvl>
  </w:abstractNum>
  <w:abstractNum w:abstractNumId="213">
    <w:nsid w:val="17D78639"/>
    <w:multiLevelType w:val="hybridMultilevel"/>
    <w:lvl w:ilvl="0">
      <w:lvlJc w:val="left"/>
      <w:lvlText w:val="(%1)"/>
      <w:numFmt w:val="decimal"/>
      <w:start w:val="2"/>
    </w:lvl>
    <w:lvl w:ilvl="1">
      <w:lvlJc w:val="left"/>
      <w:lvlText w:val="(%2)"/>
      <w:numFmt w:val="lowerLetter"/>
      <w:start w:val="3"/>
    </w:lvl>
  </w:abstractNum>
  <w:abstractNum w:abstractNumId="214">
    <w:nsid w:val="141D2302"/>
    <w:multiLevelType w:val="hybridMultilevel"/>
    <w:lvl w:ilvl="0">
      <w:lvlJc w:val="left"/>
      <w:lvlText w:val="(%1)"/>
      <w:numFmt w:val="lowerLetter"/>
      <w:start w:val="4"/>
    </w:lvl>
  </w:abstractNum>
  <w:abstractNum w:abstractNumId="215">
    <w:nsid w:val="407168D8"/>
    <w:multiLevelType w:val="hybridMultilevel"/>
    <w:lvl w:ilvl="0">
      <w:lvlJc w:val="left"/>
      <w:lvlText w:val="%1."/>
      <w:numFmt w:val="decimal"/>
      <w:start w:val="2"/>
    </w:lvl>
    <w:lvl w:ilvl="1">
      <w:lvlJc w:val="left"/>
      <w:lvlText w:val="(%2)"/>
      <w:numFmt w:val="lowerLetter"/>
      <w:start w:val="1"/>
    </w:lvl>
  </w:abstractNum>
  <w:abstractNum w:abstractNumId="216">
    <w:nsid w:val="6A1B45E5"/>
    <w:multiLevelType w:val="hybridMultilevel"/>
    <w:lvl w:ilvl="0">
      <w:lvlJc w:val="left"/>
      <w:lvlText w:val="(%1)"/>
      <w:numFmt w:val="lowerLetter"/>
      <w:start w:val="1"/>
    </w:lvl>
  </w:abstractNum>
  <w:abstractNum w:abstractNumId="217">
    <w:nsid w:val="567BD50A"/>
    <w:multiLevelType w:val="hybridMultilevel"/>
    <w:lvl w:ilvl="0">
      <w:lvlJc w:val="left"/>
      <w:lvlText w:val="(%1)"/>
      <w:numFmt w:val="lowerLetter"/>
      <w:start w:val="2"/>
    </w:lvl>
  </w:abstractNum>
  <w:abstractNum w:abstractNumId="218">
    <w:nsid w:val="73BBD7F8"/>
    <w:multiLevelType w:val="hybridMultilevel"/>
    <w:lvl w:ilvl="0">
      <w:lvlJc w:val="left"/>
      <w:lvlText w:val="(%1)"/>
      <w:numFmt w:val="upperLetter"/>
      <w:start w:val="2"/>
    </w:lvl>
  </w:abstractNum>
  <w:abstractNum w:abstractNumId="219">
    <w:nsid w:val="1876589D"/>
    <w:multiLevelType w:val="hybridMultilevel"/>
    <w:lvl w:ilvl="0">
      <w:lvlJc w:val="left"/>
      <w:lvlText w:val="%1."/>
      <w:numFmt w:val="decimal"/>
      <w:start w:val="3"/>
    </w:lvl>
  </w:abstractNum>
  <w:abstractNum w:abstractNumId="220">
    <w:nsid w:val="327FAC77"/>
    <w:multiLevelType w:val="hybridMultilevel"/>
    <w:lvl w:ilvl="0">
      <w:lvlJc w:val="left"/>
      <w:lvlText w:val="%1."/>
      <w:numFmt w:val="decimal"/>
      <w:start w:val="4"/>
    </w:lvl>
  </w:abstractNum>
  <w:abstractNum w:abstractNumId="221">
    <w:nsid w:val="5A606509"/>
    <w:multiLevelType w:val="hybridMultilevel"/>
    <w:lvl w:ilvl="0">
      <w:lvlJc w:val="left"/>
      <w:lvlText w:val="%1."/>
      <w:numFmt w:val="decimal"/>
      <w:start w:val="5"/>
    </w:lvl>
  </w:abstractNum>
  <w:abstractNum w:abstractNumId="222">
    <w:nsid w:val="6F38E6D1"/>
    <w:multiLevelType w:val="hybridMultilevel"/>
    <w:lvl w:ilvl="0">
      <w:lvlJc w:val="left"/>
      <w:lvlText w:val="(%1)"/>
      <w:numFmt w:val="lowerLetter"/>
      <w:start w:val="1"/>
    </w:lvl>
  </w:abstractNum>
  <w:abstractNum w:abstractNumId="223">
    <w:nsid w:val="46111BA5"/>
    <w:multiLevelType w:val="hybridMultilevel"/>
    <w:lvl w:ilvl="0">
      <w:lvlJc w:val="left"/>
      <w:lvlText w:val="%1."/>
      <w:numFmt w:val="decimal"/>
      <w:start w:val="6"/>
    </w:lvl>
  </w:abstractNum>
  <w:abstractNum w:abstractNumId="224">
    <w:nsid w:val="5E963896"/>
    <w:multiLevelType w:val="hybridMultilevel"/>
    <w:lvl w:ilvl="0">
      <w:lvlJc w:val="left"/>
      <w:lvlText w:val="%1."/>
      <w:numFmt w:val="decimal"/>
      <w:start w:val="7"/>
    </w:lvl>
  </w:abstractNum>
  <w:abstractNum w:abstractNumId="225">
    <w:nsid w:val="775BA7C1"/>
    <w:multiLevelType w:val="hybridMultilevel"/>
    <w:lvl w:ilvl="0">
      <w:lvlJc w:val="left"/>
      <w:lvlText w:val="%1"/>
      <w:numFmt w:val="decimal"/>
      <w:start w:val="1"/>
    </w:lvl>
    <w:lvl w:ilvl="1">
      <w:lvlJc w:val="left"/>
      <w:lvlText w:val="(%2)"/>
      <w:numFmt w:val="lowerLetter"/>
      <w:start w:val="1"/>
    </w:lvl>
  </w:abstractNum>
  <w:abstractNum w:abstractNumId="226">
    <w:nsid w:val="1DD6D6F4"/>
    <w:multiLevelType w:val="hybridMultilevel"/>
    <w:lvl w:ilvl="0">
      <w:lvlJc w:val="left"/>
      <w:lvlText w:val="(%1)"/>
      <w:numFmt w:val="decimal"/>
      <w:start w:val="2"/>
    </w:lvl>
    <w:lvl w:ilvl="1">
      <w:lvlJc w:val="left"/>
      <w:lvlText w:val="(%2)"/>
      <w:numFmt w:val="lowerLetter"/>
      <w:start w:val="3"/>
    </w:lvl>
  </w:abstractNum>
  <w:abstractNum w:abstractNumId="227">
    <w:nsid w:val="769A091F"/>
    <w:multiLevelType w:val="hybridMultilevel"/>
    <w:lvl w:ilvl="0">
      <w:lvlJc w:val="left"/>
      <w:lvlText w:val="(%1)"/>
      <w:numFmt w:val="lowerLetter"/>
      <w:start w:val="4"/>
    </w:lvl>
  </w:abstractNum>
  <w:abstractNum w:abstractNumId="228">
    <w:nsid w:val="4695AE95"/>
    <w:multiLevelType w:val="hybridMultilevel"/>
    <w:lvl w:ilvl="0">
      <w:lvlJc w:val="left"/>
      <w:lvlText w:val="(%1)"/>
      <w:numFmt w:val="lowerLetter"/>
      <w:start w:val="1"/>
    </w:lvl>
  </w:abstractNum>
  <w:abstractNum w:abstractNumId="229">
    <w:nsid w:val="777A4EAA"/>
    <w:multiLevelType w:val="hybridMultilevel"/>
    <w:lvl w:ilvl="0">
      <w:lvlJc w:val="left"/>
      <w:lvlText w:val="(%1)"/>
      <w:numFmt w:val="lowerLetter"/>
      <w:start w:val="4"/>
    </w:lvl>
  </w:abstractNum>
  <w:abstractNum w:abstractNumId="230">
    <w:nsid w:val="3F48B982"/>
    <w:multiLevelType w:val="hybridMultilevel"/>
    <w:lvl w:ilvl="0">
      <w:lvlJc w:val="left"/>
      <w:lvlText w:val="(%1)"/>
      <w:numFmt w:val="lowerLetter"/>
      <w:start w:val="8"/>
    </w:lvl>
  </w:abstractNum>
  <w:abstractNum w:abstractNumId="231">
    <w:nsid w:val="46BA8FCA"/>
    <w:multiLevelType w:val="hybridMultilevel"/>
    <w:lvl w:ilvl="0">
      <w:lvlJc w:val="left"/>
      <w:lvlText w:val="(%1)"/>
      <w:numFmt w:val="decimal"/>
      <w:start w:val="1"/>
    </w:lvl>
    <w:lvl w:ilvl="1">
      <w:lvlJc w:val="left"/>
      <w:lvlText w:val="(%2)"/>
      <w:numFmt w:val="decimal"/>
      <w:start w:val="2"/>
    </w:lvl>
  </w:abstractNum>
  <w:abstractNum w:abstractNumId="232">
    <w:nsid w:val="7835626C"/>
    <w:multiLevelType w:val="hybridMultilevel"/>
    <w:lvl w:ilvl="0">
      <w:lvlJc w:val="left"/>
      <w:lvlText w:val="(%1)"/>
      <w:numFmt w:val="lowerRoman"/>
      <w:start w:val="1"/>
    </w:lvl>
  </w:abstractNum>
  <w:abstractNum w:abstractNumId="233">
    <w:nsid w:val="665ACA49"/>
    <w:multiLevelType w:val="hybridMultilevel"/>
    <w:lvl w:ilvl="0">
      <w:lvlJc w:val="left"/>
      <w:lvlText w:val="(%1)"/>
      <w:numFmt w:val="decimal"/>
      <w:start w:val="1"/>
    </w:lvl>
    <w:lvl w:ilvl="1">
      <w:lvlJc w:val="left"/>
      <w:lvlText w:val="(%2)"/>
      <w:numFmt w:val="upperLetter"/>
      <w:start w:val="1"/>
    </w:lvl>
  </w:abstractNum>
  <w:abstractNum w:abstractNumId="234">
    <w:nsid w:val="6835B2AE"/>
    <w:multiLevelType w:val="hybridMultilevel"/>
    <w:lvl w:ilvl="0">
      <w:lvlJc w:val="left"/>
      <w:lvlText w:val="(%1)"/>
      <w:numFmt w:val="decimal"/>
      <w:start w:val="3"/>
    </w:lvl>
  </w:abstractNum>
  <w:abstractNum w:abstractNumId="235">
    <w:nsid w:val="4C187C90"/>
    <w:multiLevelType w:val="hybridMultilevel"/>
    <w:lvl w:ilvl="0">
      <w:lvlJc w:val="left"/>
      <w:lvlText w:val="(%1)"/>
      <w:numFmt w:val="lowerLetter"/>
      <w:start w:val="1"/>
    </w:lvl>
  </w:abstractNum>
  <w:abstractNum w:abstractNumId="236">
    <w:nsid w:val="541F28CD"/>
    <w:multiLevelType w:val="hybridMultilevel"/>
    <w:lvl w:ilvl="0">
      <w:lvlJc w:val="left"/>
      <w:lvlText w:val="(%1)"/>
      <w:numFmt w:val="lowerLetter"/>
      <w:start w:val="1"/>
    </w:lvl>
  </w:abstractNum>
  <w:abstractNum w:abstractNumId="237">
    <w:nsid w:val="7F65FD16"/>
    <w:multiLevelType w:val="hybridMultilevel"/>
    <w:lvl w:ilvl="0">
      <w:lvlJc w:val="left"/>
      <w:lvlText w:val="(%1)"/>
      <w:numFmt w:val="lowerLetter"/>
      <w:start w:val="1"/>
    </w:lvl>
  </w:abstractNum>
  <w:abstractNum w:abstractNumId="238">
    <w:nsid w:val="77C9FD68"/>
    <w:multiLevelType w:val="hybridMultilevel"/>
    <w:lvl w:ilvl="0">
      <w:lvlJc w:val="left"/>
      <w:lvlText w:val="(%1)"/>
      <w:numFmt w:val="lowerLetter"/>
      <w:start w:val="4"/>
    </w:lvl>
  </w:abstractNum>
  <w:abstractNum w:abstractNumId="239">
    <w:nsid w:val="298A92BA"/>
    <w:multiLevelType w:val="hybridMultilevel"/>
    <w:lvl w:ilvl="0">
      <w:lvlJc w:val="left"/>
      <w:lvlText w:val="(%1)"/>
      <w:numFmt w:val="lowerLetter"/>
      <w:start w:val="1"/>
    </w:lvl>
    <w:lvl w:ilvl="1">
      <w:lvlJc w:val="left"/>
      <w:lvlText w:val="(%2)"/>
      <w:numFmt w:val="decimal"/>
      <w:start w:val="1"/>
    </w:lvl>
  </w:abstractNum>
  <w:abstractNum w:abstractNumId="240">
    <w:nsid w:val="6FE95EAC"/>
    <w:multiLevelType w:val="hybridMultilevel"/>
    <w:lvl w:ilvl="0">
      <w:lvlJc w:val="left"/>
      <w:lvlText w:val="(%1)"/>
      <w:numFmt w:val="lowerLetter"/>
      <w:start w:val="1"/>
    </w:lvl>
  </w:abstractNum>
  <w:abstractNum w:abstractNumId="241">
    <w:nsid w:val="4B697C7A"/>
    <w:multiLevelType w:val="hybridMultilevel"/>
    <w:lvl w:ilvl="0">
      <w:lvlJc w:val="left"/>
      <w:lvlText w:val="(%1)"/>
      <w:numFmt w:val="lowerLetter"/>
      <w:start w:val="1"/>
    </w:lvl>
    <w:lvl w:ilvl="1">
      <w:lvlJc w:val="left"/>
      <w:lvlText w:val="(%2)"/>
      <w:numFmt w:val="decimal"/>
      <w:start w:val="1"/>
    </w:lvl>
  </w:abstractNum>
  <w:abstractNum w:abstractNumId="242">
    <w:nsid w:val="51A27AA6"/>
    <w:multiLevelType w:val="hybridMultilevel"/>
    <w:lvl w:ilvl="0">
      <w:lvlJc w:val="left"/>
      <w:lvlText w:val="(%1)"/>
      <w:numFmt w:val="lowerLetter"/>
      <w:start w:val="2"/>
    </w:lvl>
  </w:abstractNum>
  <w:abstractNum w:abstractNumId="243">
    <w:nsid w:val="613183F2"/>
    <w:multiLevelType w:val="hybridMultilevel"/>
    <w:lvl w:ilvl="0">
      <w:lvlJc w:val="left"/>
      <w:lvlText w:val="(%1)"/>
      <w:numFmt w:val="lowerLetter"/>
      <w:start w:val="1"/>
    </w:lvl>
  </w:abstractNum>
  <w:abstractNum w:abstractNumId="244">
    <w:nsid w:val="634102B4"/>
    <w:multiLevelType w:val="hybridMultilevel"/>
    <w:lvl w:ilvl="0">
      <w:lvlJc w:val="left"/>
      <w:lvlText w:val="(%1)"/>
      <w:numFmt w:val="lowerLetter"/>
      <w:start w:val="1"/>
    </w:lvl>
  </w:abstractNum>
  <w:abstractNum w:abstractNumId="245">
    <w:nsid w:val="65BF9DA8"/>
    <w:multiLevelType w:val="hybridMultilevel"/>
    <w:lvl w:ilvl="0">
      <w:lvlJc w:val="left"/>
      <w:lvlText w:val="(%1)"/>
      <w:numFmt w:val="lowerLetter"/>
      <w:start w:val="4"/>
    </w:lvl>
    <w:lvl w:ilvl="1">
      <w:lvlJc w:val="left"/>
      <w:lvlText w:val="(%2)"/>
      <w:numFmt w:val="lowerRoman"/>
      <w:start w:val="1"/>
    </w:lvl>
  </w:abstractNum>
  <w:abstractNum w:abstractNumId="246">
    <w:nsid w:val="21A2ECCA"/>
    <w:multiLevelType w:val="hybridMultilevel"/>
    <w:lvl w:ilvl="0">
      <w:lvlJc w:val="left"/>
      <w:lvlText w:val="(%1)"/>
      <w:numFmt w:val="lowerLetter"/>
      <w:start w:val="1"/>
    </w:lvl>
  </w:abstractNum>
  <w:abstractNum w:abstractNumId="247">
    <w:nsid w:val="4D5C4899"/>
    <w:multiLevelType w:val="hybridMultilevel"/>
    <w:lvl w:ilvl="0">
      <w:lvlJc w:val="left"/>
      <w:lvlText w:val="(%1)"/>
      <w:numFmt w:val="lowerLetter"/>
      <w:start w:val="8"/>
    </w:lvl>
  </w:abstractNum>
  <w:abstractNum w:abstractNumId="248">
    <w:nsid w:val="3C3B72B2"/>
    <w:multiLevelType w:val="hybridMultilevel"/>
    <w:lvl w:ilvl="0">
      <w:lvlJc w:val="left"/>
      <w:lvlText w:val="(%1)"/>
      <w:numFmt w:val="lowerLetter"/>
      <w:start w:val="1"/>
    </w:lvl>
    <w:lvl w:ilvl="1">
      <w:lvlJc w:val="left"/>
      <w:lvlText w:val="(%2)"/>
      <w:numFmt w:val="lowerRoman"/>
      <w:start w:val="1"/>
    </w:lvl>
  </w:abstractNum>
  <w:abstractNum w:abstractNumId="249">
    <w:nsid w:val="155EC4C2"/>
    <w:multiLevelType w:val="hybridMultilevel"/>
    <w:lvl w:ilvl="0">
      <w:lvlJc w:val="left"/>
      <w:lvlText w:val="(%1)"/>
      <w:numFmt w:val="lowerLetter"/>
      <w:start w:val="1"/>
    </w:lvl>
  </w:abstractNum>
  <w:abstractNum w:abstractNumId="250">
    <w:nsid w:val="65D2A137"/>
    <w:multiLevelType w:val="hybridMultilevel"/>
    <w:lvl w:ilvl="0">
      <w:lvlJc w:val="left"/>
      <w:lvlText w:val="(%1)"/>
      <w:numFmt w:val="lowerLetter"/>
      <w:start w:val="1"/>
    </w:lvl>
    <w:lvl w:ilvl="1">
      <w:lvlJc w:val="left"/>
      <w:lvlText w:val="(%2)"/>
      <w:numFmt w:val="lowerRoman"/>
      <w:start w:val="1"/>
    </w:lvl>
  </w:abstractNum>
  <w:abstractNum w:abstractNumId="251">
    <w:nsid w:val="6EBB1F2A"/>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61"/>
    </w:lvl>
  </w:abstractNum>
  <w:abstractNum w:abstractNumId="252">
    <w:nsid w:val="6FBF29CB"/>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253">
    <w:nsid w:val="550B8808"/>
    <w:multiLevelType w:val="hybridMultilevel"/>
    <w:lvl w:ilvl="0">
      <w:lvlJc w:val="left"/>
      <w:lvlText w:val="(%1)"/>
      <w:numFmt w:val="lowerRoman"/>
      <w:start w:val="2"/>
    </w:lvl>
  </w:abstractNum>
  <w:abstractNum w:abstractNumId="254">
    <w:nsid w:val="34CC3ACF"/>
    <w:multiLevelType w:val="hybridMultilevel"/>
    <w:lvl w:ilvl="0">
      <w:lvlJc w:val="left"/>
      <w:lvlText w:val="%1"/>
      <w:numFmt w:val="lowerLetter"/>
      <w:start w:val="1"/>
    </w:lvl>
    <w:lvl w:ilvl="1">
      <w:lvlJc w:val="left"/>
      <w:lvlText w:val="(%2)"/>
      <w:numFmt w:val="lowerRoman"/>
      <w:start w:val="4"/>
    </w:lvl>
  </w:abstractNum>
  <w:abstractNum w:abstractNumId="255">
    <w:nsid w:val="4E556261"/>
    <w:multiLevelType w:val="hybridMultilevel"/>
    <w:lvl w:ilvl="0">
      <w:lvlJc w:val="left"/>
      <w:lvlText w:val="(%1)"/>
      <w:numFmt w:val="lowerLetter"/>
      <w:start w:val="4"/>
    </w:lvl>
    <w:lvl w:ilvl="1">
      <w:lvlJc w:val="left"/>
      <w:lvlText w:val="%2"/>
      <w:numFmt w:val="lowerRoman"/>
      <w:start w:val="1"/>
    </w:lvl>
  </w:abstractNum>
  <w:abstractNum w:abstractNumId="256">
    <w:nsid w:val="4C672FC9"/>
    <w:multiLevelType w:val="hybridMultilevel"/>
    <w:lvl w:ilvl="0">
      <w:lvlJc w:val="left"/>
      <w:lvlText w:val="(%1)"/>
      <w:numFmt w:val="lowerLetter"/>
      <w:start w:val="6"/>
    </w:lvl>
  </w:abstractNum>
  <w:abstractNum w:abstractNumId="257">
    <w:nsid w:val="52A311C3"/>
    <w:multiLevelType w:val="hybridMultilevel"/>
    <w:lvl w:ilvl="0">
      <w:lvlJc w:val="left"/>
      <w:lvlText w:val="(%1)"/>
      <w:numFmt w:val="lowerLetter"/>
      <w:start w:val="1"/>
    </w:lvl>
  </w:abstractNum>
  <w:abstractNum w:abstractNumId="258">
    <w:nsid w:val="44EF6B80"/>
    <w:multiLevelType w:val="hybridMultilevel"/>
    <w:lvl w:ilvl="0">
      <w:lvlJc w:val="left"/>
      <w:lvlText w:val="%1"/>
      <w:numFmt w:val="lowerLetter"/>
      <w:start w:val="1"/>
    </w:lvl>
    <w:lvl w:ilvl="1">
      <w:lvlJc w:val="left"/>
      <w:lvlText w:val="(%2)"/>
      <w:numFmt w:val="lowerLetter"/>
      <w:start w:val="1"/>
    </w:lvl>
  </w:abstractNum>
  <w:abstractNum w:abstractNumId="259">
    <w:nsid w:val="12FCDE5E"/>
    <w:multiLevelType w:val="hybridMultilevel"/>
    <w:lvl w:ilvl="0">
      <w:lvlJc w:val="left"/>
      <w:lvlText w:val="(%1)"/>
      <w:numFmt w:val="lowerLetter"/>
      <w:start w:val="35"/>
    </w:lvl>
    <w:lvl w:ilvl="1">
      <w:lvlJc w:val="left"/>
      <w:lvlText w:val="(%2)"/>
      <w:numFmt w:val="lowerLetter"/>
      <w:start w:val="6"/>
    </w:lvl>
  </w:abstractNum>
  <w:abstractNum w:abstractNumId="260">
    <w:nsid w:val="4A1D606E"/>
    <w:multiLevelType w:val="hybridMultilevel"/>
    <w:lvl w:ilvl="0">
      <w:lvlJc w:val="left"/>
      <w:lvlText w:val="(%1)"/>
      <w:numFmt w:val="lowerLetter"/>
      <w:start w:val="2"/>
    </w:lvl>
  </w:abstractNum>
  <w:abstractNum w:abstractNumId="261">
    <w:nsid w:val="4382503"/>
    <w:multiLevelType w:val="hybridMultilevel"/>
    <w:lvl w:ilvl="0">
      <w:lvlJc w:val="left"/>
      <w:lvlText w:val="(%1)"/>
      <w:numFmt w:val="lowerLetter"/>
      <w:start w:val="2"/>
    </w:lvl>
  </w:abstractNum>
  <w:abstractNum w:abstractNumId="262">
    <w:nsid w:val="59B76E28"/>
    <w:multiLevelType w:val="hybridMultilevel"/>
    <w:lvl w:ilvl="0">
      <w:lvlJc w:val="left"/>
      <w:lvlText w:val="(%1)"/>
      <w:numFmt w:val="lowerLetter"/>
      <w:start w:val="5"/>
    </w:lvl>
  </w:abstractNum>
  <w:abstractNum w:abstractNumId="263">
    <w:nsid w:val="4252C2DA"/>
    <w:multiLevelType w:val="hybridMultilevel"/>
    <w:lvl w:ilvl="0">
      <w:lvlJc w:val="left"/>
      <w:lvlText w:val="(%1)"/>
      <w:numFmt w:val="lowerLetter"/>
      <w:start w:val="1"/>
    </w:lvl>
  </w:abstractNum>
  <w:abstractNum w:abstractNumId="264">
    <w:nsid w:val="6A92EF4C"/>
    <w:multiLevelType w:val="hybridMultilevel"/>
    <w:lvl w:ilvl="0">
      <w:lvlJc w:val="left"/>
      <w:lvlText w:val="(%1)"/>
      <w:numFmt w:val="lowerLetter"/>
      <w:start w:val="2"/>
    </w:lvl>
  </w:abstractNum>
  <w:abstractNum w:abstractNumId="265">
    <w:nsid w:val="41ED20D7"/>
    <w:multiLevelType w:val="hybridMultilevel"/>
    <w:lvl w:ilvl="0">
      <w:lvlJc w:val="left"/>
      <w:lvlText w:val="(%1)"/>
      <w:numFmt w:val="lowerLetter"/>
      <w:start w:val="1"/>
    </w:lvl>
    <w:lvl w:ilvl="1">
      <w:lvlJc w:val="left"/>
      <w:lvlText w:val="(%2)"/>
      <w:numFmt w:val="lowerRoman"/>
      <w:start w:val="1"/>
    </w:lvl>
  </w:abstractNum>
  <w:abstractNum w:abstractNumId="266">
    <w:nsid w:val="E6B3F6A"/>
    <w:multiLevelType w:val="hybridMultilevel"/>
    <w:lvl w:ilvl="0">
      <w:lvlJc w:val="left"/>
      <w:lvlText w:val="(%1)"/>
      <w:numFmt w:val="lowerLetter"/>
      <w:start w:val="1"/>
    </w:lvl>
  </w:abstractNum>
  <w:abstractNum w:abstractNumId="267">
    <w:nsid w:val="3EB21819"/>
    <w:multiLevelType w:val="hybridMultilevel"/>
    <w:lvl w:ilvl="0">
      <w:lvlJc w:val="left"/>
      <w:lvlText w:val="(%1)"/>
      <w:numFmt w:val="lowerLetter"/>
      <w:start w:val="1"/>
    </w:lvl>
    <w:lvl w:ilvl="1">
      <w:lvlJc w:val="left"/>
      <w:lvlText w:val="(%2)"/>
      <w:numFmt w:val="lowerLetter"/>
      <w:start w:val="9"/>
    </w:lvl>
  </w:abstractNum>
  <w:abstractNum w:abstractNumId="268">
    <w:nsid w:val="41531DE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69">
    <w:nsid w:val="6353CD2"/>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70">
    <w:nsid w:val="683CAAD3"/>
    <w:multiLevelType w:val="hybridMultilevel"/>
    <w:lvl w:ilvl="0">
      <w:lvlJc w:val="left"/>
      <w:lvlText w:val="%1"/>
      <w:numFmt w:val="lowerLetter"/>
      <w:start w:val="1"/>
    </w:lvl>
    <w:lvl w:ilvl="1">
      <w:lvlJc w:val="left"/>
      <w:lvlText w:val="(%2)"/>
      <w:numFmt w:val="lowerRoman"/>
      <w:start w:val="3"/>
    </w:lvl>
  </w:abstractNum>
  <w:abstractNum w:abstractNumId="271">
    <w:nsid w:val="313C7C99"/>
    <w:multiLevelType w:val="hybridMultilevel"/>
    <w:lvl w:ilvl="0">
      <w:lvlJc w:val="left"/>
      <w:lvlText w:val="(%1)"/>
      <w:numFmt w:val="lowerLetter"/>
      <w:start w:val="4"/>
    </w:lvl>
    <w:lvl w:ilvl="1">
      <w:lvlJc w:val="left"/>
      <w:lvlText w:val="%2"/>
      <w:numFmt w:val="lowerRoman"/>
      <w:start w:val="1"/>
    </w:lvl>
  </w:abstractNum>
  <w:abstractNum w:abstractNumId="272">
    <w:nsid w:val="519EB94C"/>
    <w:multiLevelType w:val="hybridMultilevel"/>
    <w:lvl w:ilvl="0">
      <w:lvlJc w:val="left"/>
      <w:lvlText w:val="(%1)"/>
      <w:numFmt w:val="decimal"/>
      <w:start w:val="12"/>
    </w:lvl>
    <w:lvl w:ilvl="1">
      <w:lvlJc w:val="left"/>
      <w:lvlText w:val="(%2)"/>
      <w:numFmt w:val="lowerLetter"/>
      <w:start w:val="6"/>
    </w:lvl>
  </w:abstractNum>
  <w:abstractNum w:abstractNumId="273">
    <w:nsid w:val="39DF2579"/>
    <w:multiLevelType w:val="hybridMultilevel"/>
    <w:lvl w:ilvl="0">
      <w:lvlJc w:val="left"/>
      <w:lvlText w:val="(%1)"/>
      <w:numFmt w:val="lowerLetter"/>
      <w:start w:val="1"/>
    </w:lvl>
  </w:abstractNum>
  <w:abstractNum w:abstractNumId="274">
    <w:nsid w:val="126E008B"/>
    <w:multiLevelType w:val="hybridMultilevel"/>
    <w:lvl w:ilvl="0">
      <w:lvlJc w:val="left"/>
      <w:lvlText w:val="(%1)"/>
      <w:numFmt w:val="lowerLetter"/>
      <w:start w:val="1"/>
    </w:lvl>
    <w:lvl w:ilvl="1">
      <w:lvlJc w:val="left"/>
      <w:lvlText w:val="(%2)"/>
      <w:numFmt w:val="lowerRoman"/>
      <w:start w:val="1"/>
    </w:lvl>
  </w:abstractNum>
  <w:abstractNum w:abstractNumId="275">
    <w:nsid w:val="34DFBC00"/>
    <w:multiLevelType w:val="hybridMultilevel"/>
    <w:lvl w:ilvl="0">
      <w:lvlJc w:val="left"/>
      <w:lvlText w:val="(%1)"/>
      <w:numFmt w:val="lowerLetter"/>
      <w:start w:val="1"/>
    </w:lvl>
  </w:abstractNum>
  <w:abstractNum w:abstractNumId="276">
    <w:nsid w:val="1F9EC322"/>
    <w:multiLevelType w:val="hybridMultilevel"/>
    <w:lvl w:ilvl="0">
      <w:lvlJc w:val="left"/>
      <w:lvlText w:val="(%1)"/>
      <w:numFmt w:val="lowerLetter"/>
      <w:start w:val="1"/>
    </w:lvl>
    <w:lvl w:ilvl="1">
      <w:lvlJc w:val="left"/>
      <w:lvlText w:val="(%2)"/>
      <w:numFmt w:val="lowerLetter"/>
      <w:start w:val="9"/>
    </w:lvl>
  </w:abstractNum>
  <w:abstractNum w:abstractNumId="277">
    <w:nsid w:val="3410ED5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78">
    <w:nsid w:val="23C049A"/>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79">
    <w:nsid w:val="5BDA35D4"/>
    <w:multiLevelType w:val="hybridMultilevel"/>
    <w:lvl w:ilvl="0">
      <w:lvlJc w:val="left"/>
      <w:lvlText w:val="%1"/>
      <w:numFmt w:val="lowerLetter"/>
      <w:start w:val="1"/>
    </w:lvl>
    <w:lvl w:ilvl="1">
      <w:lvlJc w:val="left"/>
      <w:lvlText w:val="(%2)"/>
      <w:numFmt w:val="lowerRoman"/>
      <w:start w:val="2"/>
    </w:lvl>
  </w:abstractNum>
  <w:abstractNum w:abstractNumId="280">
    <w:nsid w:val="496FB218"/>
    <w:multiLevelType w:val="hybridMultilevel"/>
    <w:lvl w:ilvl="0">
      <w:lvlJc w:val="left"/>
      <w:lvlText w:val="(%1)"/>
      <w:numFmt w:val="lowerLetter"/>
      <w:start w:val="4"/>
    </w:lvl>
    <w:lvl w:ilvl="1">
      <w:lvlJc w:val="left"/>
      <w:lvlText w:val="%2"/>
      <w:numFmt w:val="lowerRoman"/>
      <w:start w:val="1"/>
    </w:lvl>
  </w:abstractNum>
  <w:abstractNum w:abstractNumId="281">
    <w:nsid w:val="680EA5D1"/>
    <w:multiLevelType w:val="hybridMultilevel"/>
    <w:lvl w:ilvl="0">
      <w:lvlJc w:val="left"/>
      <w:lvlText w:val="(%1)"/>
      <w:numFmt w:val="lowerLetter"/>
      <w:start w:val="6"/>
    </w:lvl>
  </w:abstractNum>
  <w:abstractNum w:abstractNumId="282">
    <w:nsid w:val="4A9554FE"/>
    <w:multiLevelType w:val="hybridMultilevel"/>
    <w:lvl w:ilvl="0">
      <w:lvlJc w:val="left"/>
      <w:lvlText w:val="(%1)"/>
      <w:numFmt w:val="lowerLetter"/>
      <w:start w:val="1"/>
    </w:lvl>
  </w:abstractNum>
  <w:abstractNum w:abstractNumId="283">
    <w:nsid w:val="392EDBE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2021-02-26T10:08:55Z</dcterms:created>
  <dcterms:modified xsi:type="dcterms:W3CDTF">2021-02-26T10:08:55Z</dcterms:modified>
</cp:coreProperties>
</file>