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471805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0" w:lineRule="exact"/>
        <w:rPr>
          <w:sz w:val="24"/>
          <w:szCs w:val="24"/>
          <w:color w:val="auto"/>
        </w:rPr>
      </w:pPr>
    </w:p>
    <w:p>
      <w:pPr>
        <w:ind w:left="4560"/>
        <w:spacing w:after="0"/>
        <w:rPr>
          <w:sz w:val="20"/>
          <w:szCs w:val="20"/>
          <w:color w:val="auto"/>
        </w:rPr>
      </w:pPr>
      <w:r>
        <w:rPr>
          <w:rFonts w:ascii="Arial" w:cs="Arial" w:eastAsia="Arial" w:hAnsi="Arial"/>
          <w:sz w:val="12"/>
          <w:szCs w:val="12"/>
          <w:color w:val="auto"/>
        </w:rPr>
        <w:t>____________________________________</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2"/>
          <w:szCs w:val="12"/>
          <w:color w:val="auto"/>
        </w:rPr>
        <w:t>____________________________________</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CURRENT REPORT</w:t>
      </w:r>
    </w:p>
    <w:p>
      <w:pPr>
        <w:spacing w:after="0" w:line="1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Exchange Act of 1934</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July 28, 2023</w:t>
      </w:r>
    </w:p>
    <w:p>
      <w:pPr>
        <w:spacing w:after="0" w:line="20" w:lineRule="exact"/>
        <w:rPr>
          <w:sz w:val="24"/>
          <w:szCs w:val="24"/>
          <w:color w:val="auto"/>
        </w:rPr>
      </w:pPr>
    </w:p>
    <w:p>
      <w:pPr>
        <w:ind w:left="4560"/>
        <w:spacing w:after="0"/>
        <w:rPr>
          <w:sz w:val="20"/>
          <w:szCs w:val="20"/>
          <w:color w:val="auto"/>
        </w:rPr>
      </w:pPr>
      <w:r>
        <w:rPr>
          <w:rFonts w:ascii="Arial" w:cs="Arial" w:eastAsia="Arial" w:hAnsi="Arial"/>
          <w:sz w:val="12"/>
          <w:szCs w:val="12"/>
          <w:color w:val="auto"/>
        </w:rPr>
        <w:t>____________________________________</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LEONARDO DRS,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5" w:lineRule="exact"/>
        <w:rPr>
          <w:sz w:val="24"/>
          <w:szCs w:val="24"/>
          <w:color w:val="auto"/>
        </w:rPr>
      </w:pPr>
    </w:p>
    <w:p>
      <w:pPr>
        <w:ind w:left="4560"/>
        <w:spacing w:after="0"/>
        <w:rPr>
          <w:sz w:val="20"/>
          <w:szCs w:val="20"/>
          <w:color w:val="auto"/>
        </w:rPr>
      </w:pPr>
      <w:r>
        <w:rPr>
          <w:rFonts w:ascii="Arial" w:cs="Arial" w:eastAsia="Arial" w:hAnsi="Arial"/>
          <w:sz w:val="12"/>
          <w:szCs w:val="12"/>
          <w:color w:val="auto"/>
        </w:rPr>
        <w:t>____________________________________</w:t>
      </w:r>
    </w:p>
    <w:p>
      <w:pPr>
        <w:sectPr>
          <w:pgSz w:w="11900" w:h="16838" w:orient="portrait"/>
          <w:cols w:equalWidth="0" w:num="1">
            <w:col w:w="11300"/>
          </w:cols>
          <w:pgMar w:left="300" w:top="913" w:right="299" w:bottom="1440" w:gutter="0" w:footer="0" w:header="0"/>
        </w:sectPr>
      </w:pPr>
    </w:p>
    <w:p>
      <w:pPr>
        <w:spacing w:after="0" w:line="137" w:lineRule="exact"/>
        <w:rPr>
          <w:sz w:val="24"/>
          <w:szCs w:val="24"/>
          <w:color w:val="auto"/>
        </w:rPr>
      </w:pPr>
    </w:p>
    <w:p>
      <w:pPr>
        <w:ind w:left="122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2920"/>
        <w:spacing w:after="0"/>
        <w:rPr>
          <w:sz w:val="20"/>
          <w:szCs w:val="20"/>
          <w:color w:val="auto"/>
        </w:rPr>
      </w:pPr>
      <w:r>
        <w:rPr>
          <w:rFonts w:ascii="Arial" w:cs="Arial" w:eastAsia="Arial" w:hAnsi="Arial"/>
          <w:sz w:val="10"/>
          <w:szCs w:val="10"/>
          <w:b w:val="1"/>
          <w:bCs w:val="1"/>
          <w:color w:val="auto"/>
        </w:rPr>
        <w:t>001-41565</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13-2632319</w:t>
      </w:r>
    </w:p>
    <w:p>
      <w:pPr>
        <w:spacing w:after="0" w:line="63" w:lineRule="exact"/>
        <w:rPr>
          <w:sz w:val="24"/>
          <w:szCs w:val="24"/>
          <w:color w:val="auto"/>
        </w:rPr>
      </w:pPr>
    </w:p>
    <w:p>
      <w:pPr>
        <w:sectPr>
          <w:pgSz w:w="11900" w:h="16838" w:orient="portrait"/>
          <w:cols w:equalWidth="0" w:num="3">
            <w:col w:w="4660" w:space="720"/>
            <w:col w:w="3440" w:space="720"/>
            <w:col w:w="1760"/>
          </w:cols>
          <w:pgMar w:left="300" w:top="913" w:right="299" w:bottom="1440" w:gutter="0" w:footer="0" w:header="0"/>
          <w:type w:val="continuous"/>
        </w:sectPr>
      </w:pPr>
    </w:p>
    <w:p>
      <w:pPr>
        <w:ind w:left="980"/>
        <w:spacing w:after="0"/>
        <w:rPr>
          <w:sz w:val="20"/>
          <w:szCs w:val="20"/>
          <w:color w:val="auto"/>
        </w:rPr>
      </w:pPr>
      <w:r>
        <w:rPr>
          <w:rFonts w:ascii="Arial" w:cs="Arial" w:eastAsia="Arial" w:hAnsi="Arial"/>
          <w:sz w:val="8"/>
          <w:szCs w:val="8"/>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8"/>
          <w:szCs w:val="8"/>
          <w:b w:val="1"/>
          <w:bCs w:val="1"/>
          <w:color w:val="auto"/>
        </w:rPr>
        <w:t>(Commission</w:t>
      </w:r>
    </w:p>
    <w:p>
      <w:pPr>
        <w:spacing w:after="0" w:line="26"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0"/>
          <w:szCs w:val="10"/>
          <w:b w:val="1"/>
          <w:bCs w:val="1"/>
          <w:color w:val="auto"/>
        </w:rPr>
        <w:t>(IRS Employer</w:t>
      </w:r>
    </w:p>
    <w:p>
      <w:pPr>
        <w:spacing w:after="0" w:line="3" w:lineRule="exact"/>
        <w:rPr>
          <w:sz w:val="24"/>
          <w:szCs w:val="24"/>
          <w:color w:val="auto"/>
        </w:rPr>
      </w:pPr>
    </w:p>
    <w:p>
      <w:pPr>
        <w:jc w:val="center"/>
        <w:ind w:right="1000"/>
        <w:spacing w:after="0"/>
        <w:rPr>
          <w:sz w:val="20"/>
          <w:szCs w:val="20"/>
          <w:color w:val="auto"/>
        </w:rPr>
      </w:pPr>
      <w:r>
        <w:rPr>
          <w:rFonts w:ascii="Arial" w:cs="Arial" w:eastAsia="Arial" w:hAnsi="Arial"/>
          <w:sz w:val="8"/>
          <w:szCs w:val="8"/>
          <w:b w:val="1"/>
          <w:bCs w:val="1"/>
          <w:color w:val="auto"/>
        </w:rPr>
        <w:t>Identification Number)</w:t>
      </w:r>
    </w:p>
    <w:p>
      <w:pPr>
        <w:spacing w:after="0" w:line="98" w:lineRule="exact"/>
        <w:rPr>
          <w:sz w:val="24"/>
          <w:szCs w:val="24"/>
          <w:color w:val="auto"/>
        </w:rPr>
      </w:pPr>
    </w:p>
    <w:p>
      <w:pPr>
        <w:sectPr>
          <w:pgSz w:w="11900" w:h="16838" w:orient="portrait"/>
          <w:cols w:equalWidth="0" w:num="3">
            <w:col w:w="4640" w:space="720"/>
            <w:col w:w="3280" w:space="720"/>
            <w:col w:w="1940"/>
          </w:cols>
          <w:pgMar w:left="300" w:top="913" w:right="299"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2345 Crystal Drive</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Suite 1000</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Arlington, Virginia 22202</w:t>
      </w:r>
    </w:p>
    <w:p>
      <w:pPr>
        <w:jc w:val="center"/>
        <w:ind w:right="2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(703) 416-8000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48" w:lineRule="exact"/>
        <w:rPr>
          <w:sz w:val="24"/>
          <w:szCs w:val="24"/>
          <w:color w:val="auto"/>
        </w:rPr>
      </w:pPr>
    </w:p>
    <w:p>
      <w:pPr>
        <w:ind w:left="4560"/>
        <w:spacing w:after="0"/>
        <w:rPr>
          <w:sz w:val="20"/>
          <w:szCs w:val="20"/>
          <w:color w:val="auto"/>
        </w:rPr>
      </w:pPr>
      <w:r>
        <w:rPr>
          <w:rFonts w:ascii="Arial" w:cs="Arial" w:eastAsia="Arial" w:hAnsi="Arial"/>
          <w:sz w:val="10"/>
          <w:szCs w:val="10"/>
          <w:color w:val="auto"/>
        </w:rPr>
        <w:t>____________________________________</w:t>
      </w:r>
    </w:p>
    <w:p>
      <w:pPr>
        <w:sectPr>
          <w:pgSz w:w="11900" w:h="16838" w:orient="portrait"/>
          <w:cols w:equalWidth="0" w:num="1">
            <w:col w:w="11300"/>
          </w:cols>
          <w:pgMar w:left="300" w:top="913" w:right="299" w:bottom="1440" w:gutter="0" w:footer="0" w:header="0"/>
          <w:type w:val="continuous"/>
        </w:sectPr>
      </w:pPr>
    </w:p>
    <w:p>
      <w:pPr>
        <w:spacing w:after="0" w:line="137"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A.2.below):</w:t>
      </w:r>
    </w:p>
    <w:p>
      <w:pPr>
        <w:spacing w:after="0" w:line="78"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360" w:hanging="356"/>
        <w:spacing w:after="0"/>
        <w:tabs>
          <w:tab w:leader="none" w:pos="3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960" w:type="dxa"/>
            <w:vAlign w:val="bottom"/>
            <w:gridSpan w:val="2"/>
          </w:tcPr>
          <w:p>
            <w:pPr>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29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388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color w:val="auto"/>
                <w:w w:val="89"/>
              </w:rPr>
              <w:t>Title of class</w:t>
            </w:r>
          </w:p>
        </w:tc>
        <w:tc>
          <w:tcPr>
            <w:tcW w:w="29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color w:val="auto"/>
                <w:w w:val="92"/>
              </w:rPr>
              <w:t>Trading Symbol</w:t>
            </w:r>
          </w:p>
        </w:tc>
        <w:tc>
          <w:tcPr>
            <w:tcW w:w="4280" w:type="dxa"/>
            <w:vAlign w:val="bottom"/>
            <w:tcBorders>
              <w:bottom w:val="single" w:sz="8" w:color="auto"/>
            </w:tcBorders>
          </w:tcPr>
          <w:p>
            <w:pPr>
              <w:jc w:val="center"/>
              <w:ind w:left="120"/>
              <w:spacing w:after="0"/>
              <w:rPr>
                <w:sz w:val="20"/>
                <w:szCs w:val="20"/>
                <w:color w:val="auto"/>
              </w:rPr>
            </w:pPr>
            <w:r>
              <w:rPr>
                <w:rFonts w:ascii="Arial" w:cs="Arial" w:eastAsia="Arial" w:hAnsi="Arial"/>
                <w:sz w:val="12"/>
                <w:szCs w:val="12"/>
                <w:color w:val="auto"/>
                <w:w w:val="90"/>
              </w:rPr>
              <w:t>Name of each exchange on which registered</w:t>
            </w:r>
          </w:p>
        </w:tc>
        <w:tc>
          <w:tcPr>
            <w:tcW w:w="80" w:type="dxa"/>
            <w:vAlign w:val="bottom"/>
          </w:tcPr>
          <w:p>
            <w:pPr>
              <w:spacing w:after="0"/>
              <w:rPr>
                <w:sz w:val="24"/>
                <w:szCs w:val="24"/>
                <w:color w:val="auto"/>
              </w:rPr>
            </w:pPr>
          </w:p>
        </w:tc>
      </w:tr>
      <w:tr>
        <w:trPr>
          <w:trHeight w:val="151"/>
        </w:trPr>
        <w:tc>
          <w:tcPr>
            <w:tcW w:w="80" w:type="dxa"/>
            <w:vAlign w:val="bottom"/>
          </w:tcPr>
          <w:p>
            <w:pPr>
              <w:spacing w:after="0"/>
              <w:rPr>
                <w:sz w:val="13"/>
                <w:szCs w:val="13"/>
                <w:color w:val="auto"/>
              </w:rPr>
            </w:pPr>
          </w:p>
        </w:tc>
        <w:tc>
          <w:tcPr>
            <w:tcW w:w="3880" w:type="dxa"/>
            <w:vAlign w:val="bottom"/>
          </w:tcPr>
          <w:p>
            <w:pPr>
              <w:jc w:val="center"/>
              <w:ind w:right="260"/>
              <w:spacing w:after="0"/>
              <w:rPr>
                <w:sz w:val="20"/>
                <w:szCs w:val="20"/>
                <w:color w:val="auto"/>
              </w:rPr>
            </w:pPr>
            <w:r>
              <w:rPr>
                <w:rFonts w:ascii="Arial" w:cs="Arial" w:eastAsia="Arial" w:hAnsi="Arial"/>
                <w:sz w:val="12"/>
                <w:szCs w:val="12"/>
                <w:color w:val="auto"/>
                <w:w w:val="90"/>
              </w:rPr>
              <w:t>Common Stock, $0.01 par value</w:t>
            </w:r>
          </w:p>
        </w:tc>
        <w:tc>
          <w:tcPr>
            <w:tcW w:w="2980" w:type="dxa"/>
            <w:vAlign w:val="bottom"/>
          </w:tcPr>
          <w:p>
            <w:pPr>
              <w:jc w:val="center"/>
              <w:ind w:right="80"/>
              <w:spacing w:after="0"/>
              <w:rPr>
                <w:sz w:val="20"/>
                <w:szCs w:val="20"/>
                <w:color w:val="auto"/>
              </w:rPr>
            </w:pPr>
            <w:r>
              <w:rPr>
                <w:rFonts w:ascii="Arial" w:cs="Arial" w:eastAsia="Arial" w:hAnsi="Arial"/>
                <w:sz w:val="12"/>
                <w:szCs w:val="12"/>
                <w:color w:val="auto"/>
                <w:w w:val="94"/>
              </w:rPr>
              <w:t>DRS</w:t>
            </w:r>
          </w:p>
        </w:tc>
        <w:tc>
          <w:tcPr>
            <w:tcW w:w="4360" w:type="dxa"/>
            <w:vAlign w:val="bottom"/>
            <w:gridSpan w:val="2"/>
          </w:tcPr>
          <w:p>
            <w:pPr>
              <w:jc w:val="center"/>
              <w:ind w:left="40"/>
              <w:spacing w:after="0"/>
              <w:rPr>
                <w:sz w:val="20"/>
                <w:szCs w:val="20"/>
                <w:color w:val="auto"/>
              </w:rPr>
            </w:pPr>
            <w:r>
              <w:rPr>
                <w:rFonts w:ascii="Arial" w:cs="Arial" w:eastAsia="Arial" w:hAnsi="Arial"/>
                <w:sz w:val="12"/>
                <w:szCs w:val="12"/>
                <w:color w:val="auto"/>
                <w:w w:val="91"/>
              </w:rPr>
              <w:t>The Nasdaq Stock Market LLC</w:t>
            </w:r>
          </w:p>
        </w:tc>
      </w:tr>
      <w:tr>
        <w:trPr>
          <w:trHeight w:val="1485"/>
        </w:trPr>
        <w:tc>
          <w:tcPr>
            <w:tcW w:w="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type w:val="continuous"/>
        </w:sectPr>
      </w:pPr>
    </w:p>
    <w:bookmarkStart w:id="1" w:name="page2"/>
    <w:bookmarkEnd w:id="1"/>
    <w:p>
      <w:pPr>
        <w:ind w:right="1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8"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4" w:lineRule="exact"/>
        <w:rPr>
          <w:sz w:val="20"/>
          <w:szCs w:val="20"/>
          <w:color w:val="auto"/>
        </w:rPr>
      </w:pPr>
    </w:p>
    <w:p>
      <w:pPr>
        <w:ind w:right="6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 and Financial Condition.</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On July 28, 2023, Leonardo DRS, Inc.’s (the “Company”) majority stockholder, Leonardo S.p.A., an Italian società per azioni, listed on the Milan Stock Exchange (“Leonardo S.p.A”), of which the Company is a consolidated subsidiary, issued a press release announcing its consolidated financial results for the half year ended June 30, 2023 (the “Press Release”) as well as a presentation related to the release of its consolidated financial results for the half year ended June 30, 2023 (the “Presentation”), which are attached hereto as Exhibit 99.1 and 99.2 respectively. The Presentation was followed by a live question and answer webcast (the “Q&amp;A”). A transcript of the Presentation and Q&amp;A is attached hereto as Exhibit 99.3.</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financial information contained in these materials includes, on a consolidated basis, information regarding the Company’s results of operations and financial condition in accordance with International Financial Reporting Standards (“IFRS”), including but not limited to the financial information regarding the Company’s performance in the first half of 2023 in the table on page 10 of the Press Release, which differs in some respects from the accounting principles generally accepted in the United States of America (“U.S. GAAP”).</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As previously announced, the Company plans to issue its quarterly earnings press release on August 2, 2023, which will contain financial information of the Company for the second quarter 2023 in accordance with U.S. GAAP.</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The Press Release, Presentation, and transcript of the Presentation prepared remarks and Q&amp;A are attached hereto as Exhibit 99.1, Exhibit 99.2, and Exhibit 99.3, respectively, and are being furnished to the Securities and Exchange Commission under both Item 2.02 “Results of Operations and Financial Condition” and Item 7.01 “Regulation FD Disclosure” of Form 8-K. The information furnished pursuant to this Form 8-K (including the exhibits hereto) shall not be considered “filed” under the Securities Exchange Act of 1934, as amended (the “Exchange Act”), nor shall it be incorporated by reference into any of the Company’s filings under the Securities Act of 1933, as amended, or under the Exchange Act, unless the Company expressly states in such filing that such information is to be considered “filed” or incorporated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566420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17" w:right="33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To the extent applicable, the information in Item 2.02 of this Form 8-K is incorporated by reference into this Item 7.01.</w:t>
      </w: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Exhibit Number Exhibit Description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99.1 </w:t>
      </w:r>
      <w:r>
        <w:rPr>
          <w:rFonts w:ascii="Arial" w:cs="Arial" w:eastAsia="Arial" w:hAnsi="Arial"/>
          <w:sz w:val="12"/>
          <w:szCs w:val="12"/>
          <w:u w:val="single" w:color="auto"/>
          <w:color w:val="0000FF"/>
        </w:rPr>
        <w:t>Leonardo S.p.A.’s HY 2023 Press Release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99.2 </w:t>
      </w:r>
      <w:r>
        <w:rPr>
          <w:rFonts w:ascii="Arial" w:cs="Arial" w:eastAsia="Arial" w:hAnsi="Arial"/>
          <w:sz w:val="12"/>
          <w:szCs w:val="12"/>
          <w:u w:val="single" w:color="auto"/>
          <w:color w:val="0000FF"/>
        </w:rPr>
        <w:t>Leonardo S.p.A.’s HY 2023 Presentation</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99.3 </w:t>
      </w:r>
      <w:r>
        <w:rPr>
          <w:rFonts w:ascii="Arial" w:cs="Arial" w:eastAsia="Arial" w:hAnsi="Arial"/>
          <w:sz w:val="12"/>
          <w:szCs w:val="12"/>
          <w:u w:val="single" w:color="auto"/>
          <w:color w:val="0000FF"/>
        </w:rPr>
        <w:t>Leonardo S.p.A.’s HY 2023 Presentation and Q&amp;A Transcript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104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419735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83" w:right="1440" w:bottom="1440" w:gutter="0" w:footer="0" w:header="0"/>
        </w:sectPr>
      </w:pPr>
    </w:p>
    <w:bookmarkStart w:id="3" w:name="page4"/>
    <w:bookmarkEnd w:id="3"/>
    <w:p>
      <w:pPr>
        <w:ind w:left="526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6960"/>
        <w:spacing w:after="0"/>
        <w:rPr>
          <w:sz w:val="20"/>
          <w:szCs w:val="20"/>
          <w:color w:val="auto"/>
        </w:rPr>
      </w:pPr>
      <w:r>
        <w:rPr>
          <w:rFonts w:ascii="Arial" w:cs="Arial" w:eastAsia="Arial" w:hAnsi="Arial"/>
          <w:sz w:val="12"/>
          <w:szCs w:val="12"/>
          <w:b w:val="1"/>
          <w:bCs w:val="1"/>
          <w:color w:val="auto"/>
        </w:rPr>
        <w:t>LEONARDO DRS, INC.</w:t>
      </w:r>
    </w:p>
    <w:p>
      <w:pPr>
        <w:spacing w:after="0" w:line="132" w:lineRule="exact"/>
        <w:rPr>
          <w:sz w:val="20"/>
          <w:szCs w:val="20"/>
          <w:color w:val="auto"/>
        </w:rPr>
      </w:pPr>
    </w:p>
    <w:p>
      <w:pPr>
        <w:ind w:left="6960"/>
        <w:spacing w:after="0"/>
        <w:rPr>
          <w:sz w:val="20"/>
          <w:szCs w:val="20"/>
          <w:color w:val="auto"/>
        </w:rPr>
      </w:pPr>
      <w:r>
        <w:rPr>
          <w:rFonts w:ascii="Arial" w:cs="Arial" w:eastAsia="Arial" w:hAnsi="Arial"/>
          <w:sz w:val="12"/>
          <w:szCs w:val="12"/>
          <w:b w:val="1"/>
          <w:bCs w:val="1"/>
          <w:color w:val="auto"/>
        </w:rPr>
        <w:t>(Registrant)</w:t>
      </w:r>
    </w:p>
    <w:p>
      <w:pPr>
        <w:spacing w:after="0" w:line="289" w:lineRule="exact"/>
        <w:rPr>
          <w:sz w:val="20"/>
          <w:szCs w:val="20"/>
          <w:color w:val="auto"/>
        </w:rPr>
      </w:pPr>
    </w:p>
    <w:p>
      <w:pPr>
        <w:spacing w:after="0"/>
        <w:tabs>
          <w:tab w:leader="none" w:pos="6940" w:val="left"/>
          <w:tab w:leader="none" w:pos="7520" w:val="left"/>
        </w:tabs>
        <w:rPr>
          <w:sz w:val="20"/>
          <w:szCs w:val="20"/>
          <w:color w:val="auto"/>
        </w:rPr>
      </w:pPr>
      <w:r>
        <w:rPr>
          <w:rFonts w:ascii="Arial" w:cs="Arial" w:eastAsia="Arial" w:hAnsi="Arial"/>
          <w:sz w:val="12"/>
          <w:szCs w:val="12"/>
          <w:color w:val="auto"/>
        </w:rPr>
        <w:t>Date: July 28,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9525</wp:posOffset>
            </wp:positionV>
            <wp:extent cx="238887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8870" cy="5715"/>
                    </a:xfrm>
                    <a:prstGeom prst="rect">
                      <a:avLst/>
                    </a:prstGeom>
                    <a:noFill/>
                  </pic:spPr>
                </pic:pic>
              </a:graphicData>
            </a:graphic>
          </wp:anchor>
        </w:drawing>
      </w:r>
    </w:p>
    <w:p>
      <w:pPr>
        <w:spacing w:after="0" w:line="121" w:lineRule="exact"/>
        <w:rPr>
          <w:sz w:val="20"/>
          <w:szCs w:val="20"/>
          <w:color w:val="auto"/>
        </w:rPr>
      </w:pPr>
    </w:p>
    <w:p>
      <w:pPr>
        <w:ind w:left="7540"/>
        <w:spacing w:after="0"/>
        <w:rPr>
          <w:sz w:val="20"/>
          <w:szCs w:val="20"/>
          <w:color w:val="auto"/>
        </w:rPr>
      </w:pPr>
      <w:r>
        <w:rPr>
          <w:rFonts w:ascii="Arial" w:cs="Arial" w:eastAsia="Arial" w:hAnsi="Arial"/>
          <w:sz w:val="12"/>
          <w:szCs w:val="12"/>
          <w:color w:val="auto"/>
        </w:rPr>
        <w:t>Mark A. Dorfman</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Executive Vice President, General Counsel and Secretary</w:t>
      </w:r>
    </w:p>
    <w:p>
      <w:pPr>
        <w:sectPr>
          <w:pgSz w:w="11900" w:h="16838" w:orient="portrait"/>
          <w:cols w:equalWidth="0" w:num="1">
            <w:col w:w="10300"/>
          </w:cols>
          <w:pgMar w:left="300" w:top="1099" w:right="1299" w:bottom="1440"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271780</wp:posOffset>
            </wp:positionV>
            <wp:extent cx="5516245" cy="7913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8286750</wp:posOffset>
            </wp:positionV>
            <wp:extent cx="6036310"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2023-07-28T15:37:02Z</dcterms:created>
  <dcterms:modified xsi:type="dcterms:W3CDTF">2023-07-28T15:37:02Z</dcterms:modified>
</cp:coreProperties>
</file>