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0"/>
        <w:jc w:val="right"/>
        <w:rPr>
          <w:rFonts w:ascii="Times New Roman;sans-serif" w:hAnsi="Times New Roman;sans-serif"/>
          <w:b/>
          <w:color w:val="002D72"/>
          <w:sz w:val="20"/>
        </w:rPr>
      </w:pPr>
      <w:r>
        <w:rPr>
          <w:rFonts w:ascii="Times New Roman;sans-serif" w:hAnsi="Times New Roman;sans-serif"/>
          <w:b/>
          <w:color w:val="002D72"/>
          <w:sz w:val="20"/>
        </w:rPr>
        <w:t>Filed Pursuant to Rule 424(b)(7)</w:t>
      </w:r>
    </w:p>
    <w:p>
      <w:pPr>
        <w:pStyle w:val="TextBody"/>
        <w:bidi w:val="0"/>
        <w:spacing w:lineRule="auto" w:line="288" w:before="0" w:after="60"/>
        <w:jc w:val="right"/>
        <w:rPr>
          <w:rFonts w:ascii="Times New Roman;sans-serif" w:hAnsi="Times New Roman;sans-serif"/>
          <w:b/>
          <w:color w:val="002D72"/>
          <w:sz w:val="20"/>
        </w:rPr>
      </w:pPr>
      <w:r>
        <w:rPr>
          <w:rFonts w:ascii="Times New Roman;sans-serif" w:hAnsi="Times New Roman;sans-serif"/>
          <w:b/>
          <w:color w:val="002D72"/>
          <w:sz w:val="20"/>
        </w:rPr>
        <w:t>File no. 333-275572</w:t>
      </w:r>
    </w:p>
    <w:p>
      <w:pPr>
        <w:pStyle w:val="TextBody"/>
        <w:bidi w:val="0"/>
        <w:spacing w:lineRule="auto" w:line="288" w:before="0" w:after="0"/>
        <w:jc w:val="both"/>
        <w:rPr>
          <w:rFonts w:ascii="Ronaldson Slope;serif" w:hAnsi="Ronaldson Slope;serif"/>
          <w:b/>
          <w:color w:val="002D72"/>
          <w:sz w:val="24"/>
        </w:rPr>
      </w:pPr>
      <w:r>
        <w:rPr>
          <w:rFonts w:ascii="Ronaldson Slope;serif" w:hAnsi="Ronaldson Slope;serif"/>
          <w:b/>
          <w:color w:val="002D72"/>
          <w:sz w:val="24"/>
        </w:rPr>
        <w:t xml:space="preserve">Prospectus Supplement </w:t>
      </w:r>
    </w:p>
    <w:p>
      <w:pPr>
        <w:pStyle w:val="TextBody"/>
        <w:bidi w:val="0"/>
        <w:spacing w:lineRule="auto" w:line="288" w:before="0" w:after="120"/>
        <w:jc w:val="left"/>
        <w:rPr>
          <w:rFonts w:ascii="Ronaldson Slope;serif" w:hAnsi="Ronaldson Slope;serif"/>
          <w:b/>
          <w:color w:val="002D72"/>
          <w:sz w:val="24"/>
        </w:rPr>
      </w:pPr>
      <w:r>
        <w:rPr>
          <w:rFonts w:ascii="Ronaldson Slope;serif" w:hAnsi="Ronaldson Slope;serif"/>
          <w:b/>
          <w:color w:val="002D72"/>
          <w:sz w:val="24"/>
        </w:rPr>
        <w:t>to Prospectus dated November 15, 2023</w:t>
      </w:r>
    </w:p>
    <w:p>
      <w:pPr>
        <w:pStyle w:val="TextBody"/>
        <w:bidi w:val="0"/>
        <w:spacing w:lineRule="auto" w:line="288" w:before="0" w:after="0"/>
        <w:jc w:val="center"/>
        <w:rPr>
          <w:rFonts w:ascii="Ronaldson Slope;serif" w:hAnsi="Ronaldson Slope;serif"/>
          <w:b w:val="false"/>
          <w:i/>
          <w:color w:val="002D72"/>
          <w:sz w:val="36"/>
        </w:rPr>
      </w:pPr>
      <w:r>
        <w:rPr>
          <w:rFonts w:ascii="Ronaldson Slope;serif" w:hAnsi="Ronaldson Slope;serif"/>
          <w:b w:val="false"/>
          <w:i/>
          <w:color w:val="002D72"/>
          <w:sz w:val="36"/>
        </w:rPr>
        <w:t>18,000,000 Shares</w:t>
      </w:r>
    </w:p>
    <w:p>
      <w:pPr>
        <w:pStyle w:val="TextBody"/>
        <w:bidi w:val="0"/>
        <w:spacing w:before="0" w:after="0"/>
        <w:jc w:val="center"/>
        <w:rPr/>
      </w:pPr>
      <w:r>
        <w:rPr/>
        <w:drawing>
          <wp:inline distT="0" distB="0" distL="0" distR="0">
            <wp:extent cx="32004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409575"/>
                    </a:xfrm>
                    <a:prstGeom prst="rect">
                      <a:avLst/>
                    </a:prstGeom>
                  </pic:spPr>
                </pic:pic>
              </a:graphicData>
            </a:graphic>
          </wp:inline>
        </w:drawing>
      </w:r>
    </w:p>
    <w:p>
      <w:pPr>
        <w:pStyle w:val="TextBody"/>
        <w:bidi w:val="0"/>
        <w:spacing w:lineRule="auto" w:line="288" w:before="0" w:after="120"/>
        <w:jc w:val="center"/>
        <w:rPr>
          <w:rFonts w:ascii="Ronaldson Slope;serif" w:hAnsi="Ronaldson Slope;serif"/>
          <w:b w:val="false"/>
          <w:i/>
          <w:color w:val="002D72"/>
          <w:sz w:val="48"/>
        </w:rPr>
      </w:pPr>
      <w:r>
        <w:rPr>
          <w:rFonts w:ascii="Ronaldson Slope;serif" w:hAnsi="Ronaldson Slope;serif"/>
          <w:b w:val="false"/>
          <w:i/>
          <w:color w:val="002D72"/>
          <w:sz w:val="48"/>
        </w:rPr>
        <w:t>Leonardo DRS, Inc.</w:t>
      </w:r>
    </w:p>
    <w:p>
      <w:pPr>
        <w:pStyle w:val="TextBody"/>
        <w:bidi w:val="0"/>
        <w:spacing w:lineRule="auto" w:line="288" w:before="0" w:after="60"/>
        <w:jc w:val="center"/>
        <w:rPr>
          <w:rFonts w:ascii="Ronaldson Slope;serif" w:hAnsi="Ronaldson Slope;serif"/>
          <w:b w:val="false"/>
          <w:i/>
          <w:color w:val="002D72"/>
          <w:sz w:val="22"/>
        </w:rPr>
      </w:pPr>
      <w:r>
        <w:rPr>
          <w:rFonts w:ascii="Ronaldson Slope;serif" w:hAnsi="Ronaldson Slope;serif"/>
          <w:b w:val="false"/>
          <w:i/>
          <w:color w:val="002D72"/>
          <w:sz w:val="22"/>
        </w:rPr>
        <w:t>Common Stock</w:t>
      </w:r>
    </w:p>
    <w:p>
      <w:pPr>
        <w:pStyle w:val="TextBody"/>
        <w:bidi w:val="0"/>
        <w:spacing w:lineRule="auto" w:line="288" w:before="180" w:after="120"/>
        <w:jc w:val="both"/>
        <w:rPr>
          <w:rFonts w:ascii="Bauer Bodoni Pro;sans-serif" w:hAnsi="Bauer Bodoni Pro;sans-serif"/>
          <w:b/>
          <w:color w:val="002D72"/>
          <w:sz w:val="20"/>
        </w:rPr>
      </w:pPr>
      <w:r>
        <w:rPr>
          <w:rFonts w:ascii="Bauer Bodoni Pro;sans-serif" w:hAnsi="Bauer Bodoni Pro;sans-serif"/>
          <w:b/>
          <w:color w:val="002D72"/>
          <w:sz w:val="20"/>
        </w:rPr>
        <w:t>This is a public offering of shares of common stock of Leonardo DRS, Inc. The selling stockholder, Leonardo US Holding, LLC, a subsidiary of Leonardo – Società per azioni, is offering 18,000,000 shares of common stock. We will not receive any of the proceeds from the sale of the shares being sold by the selling stockholder in this offering.</w:t>
      </w:r>
    </w:p>
    <w:p>
      <w:pPr>
        <w:pStyle w:val="TextBody"/>
        <w:bidi w:val="0"/>
        <w:spacing w:lineRule="auto" w:line="288" w:before="0" w:after="120"/>
        <w:jc w:val="both"/>
        <w:rPr>
          <w:rFonts w:ascii="Bauer Bodoni Pro;sans-serif" w:hAnsi="Bauer Bodoni Pro;sans-serif"/>
          <w:b/>
          <w:color w:val="002D72"/>
          <w:sz w:val="20"/>
        </w:rPr>
      </w:pPr>
      <w:r>
        <w:rPr>
          <w:rFonts w:ascii="Bauer Bodoni Pro;sans-serif" w:hAnsi="Bauer Bodoni Pro;sans-serif"/>
          <w:b/>
          <w:color w:val="002D72"/>
          <w:sz w:val="20"/>
        </w:rPr>
        <w:t>Our common stock is listed on the Nasdaq Stock Market LLC, or the Nasdaq, and the Tel Aviv Stock Exchange, or the TASE, under the symbol “DRS”. The last reported sale price of our common stock on November 16, 2023 was $18.46 per share on the Nasdaq and NIS 7,172 per share on the TASE.</w:t>
      </w:r>
    </w:p>
    <w:p>
      <w:pPr>
        <w:pStyle w:val="TextBody"/>
        <w:bidi w:val="0"/>
        <w:spacing w:lineRule="auto" w:line="288" w:before="0" w:after="120"/>
        <w:jc w:val="both"/>
        <w:rPr>
          <w:rFonts w:ascii="Bauer Bodoni Pro;sans-serif" w:hAnsi="Bauer Bodoni Pro;sans-serif"/>
          <w:b/>
          <w:color w:val="002D72"/>
          <w:sz w:val="20"/>
        </w:rPr>
      </w:pPr>
      <w:r>
        <w:rPr>
          <w:rFonts w:ascii="Bauer Bodoni Pro;sans-serif" w:hAnsi="Bauer Bodoni Pro;sans-serif"/>
          <w:b/>
          <w:color w:val="002D72"/>
          <w:sz w:val="20"/>
        </w:rPr>
        <w:t>After the completion of this offering, the selling stockholder will continue to hold 73.3% of our common stock (or 72.3% if the underwriters exercise their option to purchase additional shares from the selling stockholder) and we expect to continue to be a “controlled company” within the meaning of the corporate governance standards of the Nasdaq.</w:t>
      </w:r>
    </w:p>
    <w:p>
      <w:pPr>
        <w:pStyle w:val="TextBody"/>
        <w:bidi w:val="0"/>
        <w:spacing w:lineRule="auto" w:line="288" w:before="0" w:after="0"/>
        <w:jc w:val="both"/>
        <w:rPr/>
      </w:pPr>
      <w:r>
        <w:rPr>
          <w:rFonts w:ascii="Garamond;serif" w:hAnsi="Garamond;serif"/>
          <w:b w:val="false"/>
          <w:i/>
          <w:color w:val="002D72"/>
          <w:sz w:val="20"/>
        </w:rPr>
        <w:t>I</w:t>
      </w:r>
      <w:r>
        <w:rPr>
          <w:rFonts w:ascii="Garamond;serif" w:hAnsi="Garamond;serif"/>
          <w:b w:val="false"/>
          <w:i/>
          <w:color w:val="002D72"/>
          <w:sz w:val="24"/>
        </w:rPr>
        <w:t>nvesting in our common stock involves a high degree of risk. See “</w:t>
      </w:r>
      <w:hyperlink w:anchor="i11f4275a625c41fb9cf0bbd2eeb8aaf5_151">
        <w:r>
          <w:rPr>
            <w:rStyle w:val="InternetLink"/>
            <w:rFonts w:ascii="Garamond;serif" w:hAnsi="Garamond;serif"/>
            <w:b w:val="false"/>
            <w:i/>
            <w:color w:val="002D72"/>
            <w:sz w:val="24"/>
            <w:u w:val="single"/>
          </w:rPr>
          <w:t>Risk Factors</w:t>
        </w:r>
      </w:hyperlink>
      <w:r>
        <w:rPr>
          <w:color w:val="002D72"/>
        </w:rPr>
        <w:t xml:space="preserve">” </w:t>
      </w:r>
      <w:r>
        <w:rPr>
          <w:rFonts w:ascii="Garamond;serif" w:hAnsi="Garamond;serif"/>
          <w:b w:val="false"/>
          <w:i/>
          <w:color w:val="002D72"/>
          <w:sz w:val="24"/>
        </w:rPr>
        <w:t xml:space="preserve">beginning on page </w:t>
      </w:r>
      <w:hyperlink w:anchor="i11f4275a625c41fb9cf0bbd2eeb8aaf5_151">
        <w:r>
          <w:rPr>
            <w:rStyle w:val="InternetLink"/>
          </w:rPr>
          <w:t>S-</w:t>
        </w:r>
      </w:hyperlink>
      <w:hyperlink w:anchor="i11f4275a625c41fb9cf0bbd2eeb8aaf5_151">
        <w:r>
          <w:rPr>
            <w:rStyle w:val="InternetLink"/>
          </w:rPr>
          <w:t>17</w:t>
        </w:r>
      </w:hyperlink>
      <w:r>
        <w:rPr>
          <w:rFonts w:ascii="Garamond;serif" w:hAnsi="Garamond;serif"/>
          <w:b w:val="false"/>
          <w:i/>
          <w:color w:val="002D72"/>
          <w:sz w:val="24"/>
        </w:rPr>
        <w:t>. You should also consider the risk factors described in the documents incorporated by reference in this prospectus supplement and the accompanying prospectus.</w:t>
      </w:r>
    </w:p>
    <w:tbl>
      <w:tblPr>
        <w:tblW w:w="8933" w:type="dxa"/>
        <w:jc w:val="left"/>
        <w:tblInd w:w="0" w:type="dxa"/>
        <w:tblLayout w:type="fixed"/>
        <w:tblCellMar>
          <w:top w:w="28" w:type="dxa"/>
          <w:left w:w="28" w:type="dxa"/>
          <w:bottom w:w="28" w:type="dxa"/>
          <w:right w:w="28" w:type="dxa"/>
        </w:tblCellMar>
      </w:tblPr>
      <w:tblGrid>
        <w:gridCol w:w="1931"/>
        <w:gridCol w:w="1697"/>
        <w:gridCol w:w="1711"/>
        <w:gridCol w:w="226"/>
        <w:gridCol w:w="1186"/>
        <w:gridCol w:w="109"/>
        <w:gridCol w:w="109"/>
        <w:gridCol w:w="109"/>
        <w:gridCol w:w="109"/>
        <w:gridCol w:w="226"/>
        <w:gridCol w:w="1366"/>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aramond;serif" w:hAnsi="Garamond;serif"/>
                <w:b/>
                <w:i/>
                <w:color w:val="002D72"/>
                <w:sz w:val="16"/>
              </w:rPr>
            </w:pPr>
            <w:r>
              <w:rPr>
                <w:rFonts w:ascii="Garamond;serif" w:hAnsi="Garamond;serif"/>
                <w:b/>
                <w:i/>
                <w:color w:val="002D72"/>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aramond;serif" w:hAnsi="Garamond;serif"/>
                <w:b/>
                <w:i/>
                <w:color w:val="002D72"/>
                <w:sz w:val="16"/>
              </w:rPr>
            </w:pPr>
            <w:r>
              <w:rPr>
                <w:rFonts w:ascii="Garamond;serif" w:hAnsi="Garamond;serif"/>
                <w:b/>
                <w:i/>
                <w:color w:val="002D72"/>
                <w:sz w:val="16"/>
              </w:rPr>
              <w:t>Total</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LTC Law;serif" w:hAnsi="LTC Law;serif"/>
                <w:b w:val="false"/>
                <w:color w:val="002D72"/>
                <w:sz w:val="20"/>
              </w:rPr>
            </w:pPr>
            <w:r>
              <w:rPr>
                <w:rFonts w:ascii="LTC Law;serif" w:hAnsi="LTC Law;serif"/>
                <w:b w:val="false"/>
                <w:color w:val="002D72"/>
                <w:sz w:val="20"/>
              </w:rPr>
              <w:t>Public offering price</w:t>
            </w:r>
          </w:p>
        </w:tc>
        <w:tc>
          <w:tcPr>
            <w:tcW w:w="22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LTC Law;serif" w:hAnsi="LTC Law;serif"/>
                <w:b w:val="false"/>
                <w:color w:val="002D72"/>
                <w:sz w:val="20"/>
              </w:rPr>
            </w:pPr>
            <w:r>
              <w:rPr>
                <w:rFonts w:ascii="LTC Law;serif" w:hAnsi="LTC Law;serif"/>
                <w:b w:val="false"/>
                <w:color w:val="002D72"/>
                <w:sz w:val="20"/>
              </w:rPr>
              <w:t>$</w:t>
            </w:r>
          </w:p>
        </w:tc>
        <w:tc>
          <w:tcPr>
            <w:tcW w:w="118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LTC Law;serif" w:hAnsi="LTC Law;serif"/>
                <w:b w:val="false"/>
                <w:color w:val="002D72"/>
                <w:sz w:val="20"/>
              </w:rPr>
            </w:pPr>
            <w:r>
              <w:rPr>
                <w:rFonts w:ascii="LTC Law;serif" w:hAnsi="LTC Law;serif"/>
                <w:b w:val="false"/>
                <w:color w:val="002D72"/>
                <w:sz w:val="20"/>
              </w:rPr>
              <w:t>17.750000 </w:t>
            </w:r>
          </w:p>
        </w:tc>
        <w:tc>
          <w:tcPr>
            <w:tcW w:w="109"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LTC Law;serif" w:hAnsi="LTC Law;serif"/>
                <w:b w:val="false"/>
                <w:color w:val="002D72"/>
                <w:sz w:val="20"/>
              </w:rPr>
            </w:pPr>
            <w:r>
              <w:rPr>
                <w:rFonts w:ascii="LTC Law;serif" w:hAnsi="LTC Law;serif"/>
                <w:b w:val="false"/>
                <w:color w:val="002D72"/>
                <w:sz w:val="20"/>
              </w:rPr>
              <w:t>$</w:t>
            </w:r>
          </w:p>
        </w:tc>
        <w:tc>
          <w:tcPr>
            <w:tcW w:w="13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LTC Law;serif" w:hAnsi="LTC Law;serif"/>
                <w:b w:val="false"/>
                <w:color w:val="002D72"/>
                <w:sz w:val="20"/>
              </w:rPr>
            </w:pPr>
            <w:r>
              <w:rPr>
                <w:rFonts w:ascii="LTC Law;serif" w:hAnsi="LTC Law;serif"/>
                <w:b w:val="false"/>
                <w:color w:val="002D72"/>
                <w:sz w:val="20"/>
              </w:rPr>
              <w:t>319,500,000 </w:t>
            </w:r>
          </w:p>
        </w:tc>
        <w:tc>
          <w:tcPr>
            <w:tcW w:w="154"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TC Law;serif" w:hAnsi="LTC Law;serif"/>
                <w:b w:val="false"/>
                <w:color w:val="002D72"/>
                <w:sz w:val="20"/>
              </w:rPr>
              <w:t xml:space="preserve">Underwriting discounts and commissions </w:t>
            </w:r>
            <w:r>
              <w:rPr>
                <w:rFonts w:ascii="LTC Law;serif" w:hAnsi="LTC Law;serif"/>
                <w:b w:val="false"/>
                <w:color w:val="002D72"/>
                <w:sz w:val="13"/>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TC Law;serif" w:hAnsi="LTC Law;serif"/>
                <w:b w:val="false"/>
                <w:color w:val="002D72"/>
                <w:sz w:val="20"/>
              </w:rPr>
            </w:pPr>
            <w:r>
              <w:rPr>
                <w:rFonts w:ascii="LTC Law;serif" w:hAnsi="LTC Law;serif"/>
                <w:b w:val="false"/>
                <w:color w:val="002D72"/>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TC Law;serif" w:hAnsi="LTC Law;serif"/>
                <w:b w:val="false"/>
                <w:color w:val="002D72"/>
                <w:sz w:val="20"/>
              </w:rPr>
            </w:pPr>
            <w:r>
              <w:rPr>
                <w:rFonts w:ascii="LTC Law;serif" w:hAnsi="LTC Law;serif"/>
                <w:b w:val="false"/>
                <w:color w:val="002D72"/>
                <w:sz w:val="20"/>
              </w:rPr>
              <w:t>0.687813 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TC Law;serif" w:hAnsi="LTC Law;serif"/>
                <w:b w:val="false"/>
                <w:color w:val="002D72"/>
                <w:sz w:val="20"/>
              </w:rPr>
            </w:pPr>
            <w:r>
              <w:rPr>
                <w:rFonts w:ascii="LTC Law;serif" w:hAnsi="LTC Law;serif"/>
                <w:b w:val="false"/>
                <w:color w:val="002D72"/>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TC Law;serif" w:hAnsi="LTC Law;serif"/>
                <w:b w:val="false"/>
                <w:color w:val="002D72"/>
                <w:sz w:val="20"/>
              </w:rPr>
            </w:pPr>
            <w:r>
              <w:rPr>
                <w:rFonts w:ascii="LTC Law;serif" w:hAnsi="LTC Law;serif"/>
                <w:b w:val="false"/>
                <w:color w:val="002D72"/>
                <w:sz w:val="20"/>
              </w:rPr>
              <w:t>12,380,625 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TC Law;serif" w:hAnsi="LTC Law;serif"/>
                <w:b w:val="false"/>
                <w:color w:val="002D72"/>
                <w:sz w:val="20"/>
              </w:rPr>
            </w:pPr>
            <w:r>
              <w:rPr>
                <w:rFonts w:ascii="LTC Law;serif" w:hAnsi="LTC Law;serif"/>
                <w:b w:val="false"/>
                <w:color w:val="002D72"/>
                <w:sz w:val="20"/>
              </w:rPr>
              <w:t>Proceeds, before expenses, to the selling stockholder</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TC Law;serif" w:hAnsi="LTC Law;serif"/>
                <w:b w:val="false"/>
                <w:color w:val="002D72"/>
                <w:sz w:val="20"/>
              </w:rPr>
            </w:pPr>
            <w:r>
              <w:rPr>
                <w:rFonts w:ascii="LTC Law;serif" w:hAnsi="LTC Law;serif"/>
                <w:b w:val="false"/>
                <w:color w:val="002D72"/>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LTC Law;serif" w:hAnsi="LTC Law;serif"/>
                <w:b w:val="false"/>
                <w:color w:val="002D72"/>
                <w:sz w:val="20"/>
              </w:rPr>
            </w:pPr>
            <w:r>
              <w:rPr>
                <w:rFonts w:ascii="LTC Law;serif" w:hAnsi="LTC Law;serif"/>
                <w:b w:val="false"/>
                <w:color w:val="002D72"/>
                <w:sz w:val="20"/>
              </w:rPr>
              <w:t>17.062188 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TC Law;serif" w:hAnsi="LTC Law;serif"/>
                <w:b w:val="false"/>
                <w:color w:val="002D72"/>
                <w:sz w:val="20"/>
              </w:rPr>
            </w:pPr>
            <w:r>
              <w:rPr>
                <w:rFonts w:ascii="LTC Law;serif" w:hAnsi="LTC Law;serif"/>
                <w:b w:val="false"/>
                <w:color w:val="002D72"/>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LTC Law;serif" w:hAnsi="LTC Law;serif"/>
                <w:b w:val="false"/>
                <w:color w:val="002D72"/>
                <w:sz w:val="20"/>
              </w:rPr>
            </w:pPr>
            <w:r>
              <w:rPr>
                <w:rFonts w:ascii="LTC Law;serif" w:hAnsi="LTC Law;serif"/>
                <w:b w:val="false"/>
                <w:color w:val="002D72"/>
                <w:sz w:val="20"/>
              </w:rPr>
              <w:t>307,119,375 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2D72"/>
          <w:sz w:val="18"/>
        </w:rPr>
      </w:pPr>
      <w:r>
        <w:rPr>
          <w:rFonts w:ascii="Times New Roman;sans-serif" w:hAnsi="Times New Roman;sans-serif"/>
          <w:b w:val="false"/>
          <w:color w:val="002D72"/>
          <w:sz w:val="18"/>
        </w:rPr>
        <w:t>__________________</w:t>
      </w:r>
    </w:p>
    <w:p>
      <w:pPr>
        <w:pStyle w:val="TextBody"/>
        <w:bidi w:val="0"/>
        <w:spacing w:lineRule="auto" w:line="288" w:before="0" w:after="120"/>
        <w:ind w:left="0" w:right="0" w:hanging="360"/>
        <w:jc w:val="left"/>
        <w:rPr/>
      </w:pPr>
      <w:r>
        <w:rPr>
          <w:rFonts w:ascii="LTC Law;serif" w:hAnsi="LTC Law;serif"/>
          <w:b w:val="false"/>
          <w:color w:val="002D72"/>
          <w:sz w:val="18"/>
        </w:rPr>
        <w:t>(1)We have agreed to reimburse the underwriters for certain expenses in connection with this offering. See “</w:t>
      </w:r>
      <w:hyperlink w:anchor="i11f4275a625c41fb9cf0bbd2eeb8aaf5_203">
        <w:r>
          <w:rPr>
            <w:rStyle w:val="InternetLink"/>
            <w:rFonts w:ascii="LTC Law;serif" w:hAnsi="LTC Law;serif"/>
            <w:b w:val="false"/>
            <w:color w:val="002D72"/>
            <w:sz w:val="18"/>
            <w:u w:val="single"/>
          </w:rPr>
          <w:t>Underwriting</w:t>
        </w:r>
      </w:hyperlink>
      <w:r>
        <w:rPr>
          <w:rFonts w:ascii="LTC Law;serif" w:hAnsi="LTC Law;serif"/>
          <w:b w:val="false"/>
          <w:color w:val="002D72"/>
          <w:sz w:val="18"/>
        </w:rPr>
        <w:t>.”</w:t>
      </w:r>
    </w:p>
    <w:p>
      <w:pPr>
        <w:pStyle w:val="TextBody"/>
        <w:bidi w:val="0"/>
        <w:spacing w:lineRule="auto" w:line="288" w:before="0" w:after="120"/>
        <w:jc w:val="both"/>
        <w:rPr>
          <w:rFonts w:ascii="LTC Law;serif" w:hAnsi="LTC Law;serif"/>
          <w:b w:val="false"/>
          <w:color w:val="002D72"/>
          <w:sz w:val="20"/>
        </w:rPr>
      </w:pPr>
      <w:r>
        <w:rPr>
          <w:rFonts w:ascii="LTC Law;serif" w:hAnsi="LTC Law;serif"/>
          <w:b w:val="false"/>
          <w:color w:val="002D72"/>
          <w:sz w:val="20"/>
        </w:rPr>
        <w:t>The underwriters also may purchase up to 2,700,000 additional shares from the selling stockholder at the initial offering price, less the underwriting discounts and commissions, within 30 days from the date of this prospectus supplement. See “Underwriting.”</w:t>
      </w:r>
    </w:p>
    <w:p>
      <w:pPr>
        <w:pStyle w:val="TextBody"/>
        <w:bidi w:val="0"/>
        <w:spacing w:lineRule="auto" w:line="288" w:before="0" w:after="120"/>
        <w:jc w:val="both"/>
        <w:rPr>
          <w:rFonts w:ascii="LTC Law;serif" w:hAnsi="LTC Law;serif"/>
          <w:b/>
          <w:color w:val="002D72"/>
          <w:sz w:val="20"/>
        </w:rPr>
      </w:pPr>
      <w:r>
        <w:rPr>
          <w:rFonts w:ascii="LTC Law;serif" w:hAnsi="LTC Law;serif"/>
          <w:b/>
          <w:color w:val="002D72"/>
          <w:sz w:val="20"/>
        </w:rPr>
        <w:t>Neither the Securities and Exchange Commission nor any state securities commission or non-U.S. authority has approved or disapproved of these securities or passed on the adequacy or accuracy of this prospectus supplement or the accompanying prospectus. Any representation to the contrary is a criminal offense.</w:t>
      </w:r>
    </w:p>
    <w:p>
      <w:pPr>
        <w:pStyle w:val="TextBody"/>
        <w:bidi w:val="0"/>
        <w:spacing w:lineRule="auto" w:line="288" w:before="0" w:after="120"/>
        <w:jc w:val="both"/>
        <w:rPr>
          <w:rFonts w:ascii="LTC Law;serif" w:hAnsi="LTC Law;serif"/>
          <w:b w:val="false"/>
          <w:color w:val="002D72"/>
          <w:sz w:val="20"/>
        </w:rPr>
      </w:pPr>
      <w:r>
        <w:rPr>
          <w:rFonts w:ascii="LTC Law;serif" w:hAnsi="LTC Law;serif"/>
          <w:b w:val="false"/>
          <w:color w:val="002D72"/>
          <w:sz w:val="20"/>
        </w:rPr>
        <w:t>The underwriters expect to deliver the shares to purchasers on or about                     November 21,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2D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49" w:type="dxa"/>
        <w:jc w:val="left"/>
        <w:tblInd w:w="0" w:type="dxa"/>
        <w:tblLayout w:type="fixed"/>
        <w:tblCellMar>
          <w:top w:w="28" w:type="dxa"/>
          <w:left w:w="28" w:type="dxa"/>
          <w:bottom w:w="28" w:type="dxa"/>
          <w:right w:w="28" w:type="dxa"/>
        </w:tblCellMar>
      </w:tblPr>
      <w:tblGrid>
        <w:gridCol w:w="934"/>
        <w:gridCol w:w="822"/>
        <w:gridCol w:w="824"/>
        <w:gridCol w:w="1274"/>
        <w:gridCol w:w="1274"/>
        <w:gridCol w:w="1277"/>
        <w:gridCol w:w="715"/>
        <w:gridCol w:w="715"/>
        <w:gridCol w:w="101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naldson Slope;serif" w:hAnsi="Ronaldson Slope;serif"/>
                <w:b w:val="false"/>
                <w:i/>
                <w:color w:val="002D72"/>
                <w:sz w:val="32"/>
              </w:rPr>
            </w:pPr>
            <w:r>
              <w:rPr>
                <w:rFonts w:ascii="Ronaldson Slope;serif" w:hAnsi="Ronaldson Slope;serif"/>
                <w:b w:val="false"/>
                <w:i/>
                <w:color w:val="002D72"/>
                <w:sz w:val="32"/>
              </w:rPr>
              <w:t>Morgan Stanley</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naldson Slope;serif" w:hAnsi="Ronaldson Slope;serif"/>
                <w:b w:val="false"/>
                <w:i/>
                <w:color w:val="002D72"/>
                <w:sz w:val="32"/>
              </w:rPr>
            </w:pPr>
            <w:r>
              <w:rPr>
                <w:rFonts w:ascii="Ronaldson Slope;serif" w:hAnsi="Ronaldson Slope;serif"/>
                <w:b w:val="false"/>
                <w:i/>
                <w:color w:val="002D72"/>
                <w:sz w:val="32"/>
              </w:rPr>
              <w:t>BofA Securities</w:t>
            </w:r>
          </w:p>
        </w:tc>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naldson Slope;serif" w:hAnsi="Ronaldson Slope;serif"/>
                <w:b w:val="false"/>
                <w:i/>
                <w:color w:val="002D72"/>
                <w:sz w:val="32"/>
              </w:rPr>
            </w:pPr>
            <w:r>
              <w:rPr>
                <w:rFonts w:ascii="Ronaldson Slope;serif" w:hAnsi="Ronaldson Slope;serif"/>
                <w:b w:val="false"/>
                <w:i/>
                <w:color w:val="002D72"/>
                <w:sz w:val="32"/>
              </w:rPr>
              <w:t>J.P. Morgan</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Ronaldson Slope;serif" w:hAnsi="Ronaldson Slope;serif"/>
                <w:b w:val="false"/>
                <w:color w:val="002D72"/>
                <w:sz w:val="28"/>
              </w:rPr>
            </w:pPr>
            <w:r>
              <w:rPr>
                <w:rFonts w:ascii="Ronaldson Slope;serif" w:hAnsi="Ronaldson Slope;serif"/>
                <w:b w:val="false"/>
                <w:color w:val="002D72"/>
                <w:sz w:val="28"/>
              </w:rPr>
              <w:t>Baird</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Ronaldson Slope;serif" w:hAnsi="Ronaldson Slope;serif"/>
                <w:b w:val="false"/>
                <w:color w:val="002D72"/>
                <w:sz w:val="28"/>
              </w:rPr>
            </w:pPr>
            <w:r>
              <w:rPr>
                <w:rFonts w:ascii="Ronaldson Slope;serif" w:hAnsi="Ronaldson Slope;serif"/>
                <w:b w:val="false"/>
                <w:color w:val="002D72"/>
                <w:sz w:val="28"/>
              </w:rPr>
              <w:t>Goldman Sachs &amp; Co. LLC</w:t>
            </w:r>
          </w:p>
        </w:tc>
        <w:tc>
          <w:tcPr>
            <w:tcW w:w="244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Ronaldson Slope;serif" w:hAnsi="Ronaldson Slope;serif"/>
                <w:b w:val="false"/>
                <w:color w:val="002D72"/>
                <w:sz w:val="28"/>
              </w:rPr>
            </w:pPr>
            <w:r>
              <w:rPr>
                <w:rFonts w:ascii="Ronaldson Slope;serif" w:hAnsi="Ronaldson Slope;serif"/>
                <w:b w:val="false"/>
                <w:color w:val="002D72"/>
                <w:sz w:val="28"/>
              </w:rPr>
              <w:t>Truist Securities</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Ronaldson Slope;serif" w:hAnsi="Ronaldson Slope;serif"/>
                <w:b w:val="false"/>
                <w:color w:val="002D72"/>
                <w:sz w:val="24"/>
              </w:rPr>
            </w:pPr>
            <w:r>
              <w:rPr>
                <w:rFonts w:ascii="Ronaldson Slope;serif" w:hAnsi="Ronaldson Slope;serif"/>
                <w:b w:val="false"/>
                <w:color w:val="002D72"/>
                <w:sz w:val="24"/>
              </w:rPr>
              <w:t>CJS Securities</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2D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LTC Law;serif" w:hAnsi="LTC Law;serif"/>
          <w:b/>
          <w:i/>
          <w:color w:val="002D72"/>
          <w:sz w:val="20"/>
        </w:rPr>
      </w:pPr>
      <w:r>
        <w:rPr>
          <w:rFonts w:ascii="LTC Law;serif" w:hAnsi="LTC Law;serif"/>
          <w:b/>
          <w:i/>
          <w:color w:val="002D72"/>
          <w:sz w:val="20"/>
        </w:rPr>
        <w:t>Prospectus Supplement dated                                                       November 16            ,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TABLE OF CONTENTS</w:t>
      </w:r>
    </w:p>
    <w:p>
      <w:pPr>
        <w:pStyle w:val="TextBody"/>
        <w:bidi w:val="0"/>
        <w:spacing w:lineRule="auto" w:line="288" w:before="0" w:after="180"/>
        <w:jc w:val="center"/>
        <w:rPr>
          <w:rFonts w:ascii="Times New Roman;sans-serif" w:hAnsi="Times New Roman;sans-serif"/>
          <w:b/>
          <w:color w:val="002D72"/>
          <w:sz w:val="20"/>
        </w:rPr>
      </w:pPr>
      <w:r>
        <w:rPr>
          <w:rFonts w:ascii="Times New Roman;sans-serif" w:hAnsi="Times New Roman;sans-serif"/>
          <w:b/>
          <w:color w:val="002D72"/>
          <w:sz w:val="20"/>
        </w:rPr>
        <w:t>Prospectus Supplement</w:t>
      </w:r>
    </w:p>
    <w:tbl>
      <w:tblPr>
        <w:tblW w:w="10205" w:type="dxa"/>
        <w:jc w:val="left"/>
        <w:tblInd w:w="0" w:type="dxa"/>
        <w:tblLayout w:type="fixed"/>
        <w:tblCellMar>
          <w:top w:w="28" w:type="dxa"/>
          <w:left w:w="28" w:type="dxa"/>
          <w:bottom w:w="28" w:type="dxa"/>
          <w:right w:w="28" w:type="dxa"/>
        </w:tblCellMar>
      </w:tblPr>
      <w:tblGrid>
        <w:gridCol w:w="3548"/>
        <w:gridCol w:w="3057"/>
        <w:gridCol w:w="3077"/>
        <w:gridCol w:w="151"/>
        <w:gridCol w:w="151"/>
        <w:gridCol w:w="221"/>
      </w:tblGrid>
      <w:tr>
        <w:trPr/>
        <w:tc>
          <w:tcPr>
            <w:tcW w:w="3548"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0">
              <w:r>
                <w:rPr>
                  <w:rStyle w:val="InternetLink"/>
                  <w:rFonts w:ascii="Times New Roman;sans-serif" w:hAnsi="Times New Roman;sans-serif"/>
                  <w:b w:val="false"/>
                  <w:color w:val="002D72"/>
                  <w:sz w:val="20"/>
                  <w:u w:val="single"/>
                </w:rPr>
                <w:t>ABOUT THIS PROSPECTUS SUPPLEMENT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0">
              <w:r>
                <w:rPr>
                  <w:rStyle w:val="InternetLink"/>
                  <w:rFonts w:ascii="Times New Roman;sans-serif" w:hAnsi="Times New Roman;sans-serif"/>
                  <w:b w:val="false"/>
                  <w:color w:val="000080"/>
                  <w:sz w:val="20"/>
                  <w:u w:val="single"/>
                </w:rPr>
                <w:t>S-</w:t>
              </w:r>
            </w:hyperlink>
            <w:hyperlink w:anchor="i11f4275a625c41fb9cf0bbd2eeb8aaf5_60">
              <w:r>
                <w:rPr>
                  <w:rStyle w:val="InternetLink"/>
                  <w:rFonts w:ascii="Times New Roman;sans-serif" w:hAnsi="Times New Roman;sans-serif"/>
                  <w:b w:val="false"/>
                  <w:color w:val="000080"/>
                  <w:sz w:val="20"/>
                  <w:u w:val="single"/>
                </w:rPr>
                <w:t>ii</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74">
              <w:r>
                <w:rPr>
                  <w:rStyle w:val="InternetLink"/>
                  <w:rFonts w:ascii="Times New Roman;sans-serif" w:hAnsi="Times New Roman;sans-serif"/>
                  <w:b w:val="false"/>
                  <w:color w:val="002D72"/>
                  <w:sz w:val="20"/>
                  <w:u w:val="single"/>
                </w:rPr>
                <w:t>SPECIAL NOTE REGARDING FORWARD-LOOKING STATEMENTS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74">
              <w:r>
                <w:rPr>
                  <w:rStyle w:val="InternetLink"/>
                  <w:rFonts w:ascii="Times New Roman;sans-serif" w:hAnsi="Times New Roman;sans-serif"/>
                  <w:b w:val="false"/>
                  <w:color w:val="000080"/>
                  <w:sz w:val="20"/>
                  <w:u w:val="single"/>
                </w:rPr>
                <w:t>S</w:t>
              </w:r>
            </w:hyperlink>
            <w:hyperlink w:anchor="i11f4275a625c41fb9cf0bbd2eeb8aaf5_74">
              <w:r>
                <w:rPr>
                  <w:rStyle w:val="InternetLink"/>
                  <w:rFonts w:ascii="Times New Roman;sans-serif" w:hAnsi="Times New Roman;sans-serif"/>
                  <w:b w:val="false"/>
                  <w:color w:val="000080"/>
                  <w:sz w:val="20"/>
                  <w:u w:val="single"/>
                </w:rPr>
                <w:t>-</w:t>
              </w:r>
            </w:hyperlink>
            <w:hyperlink w:anchor="i11f4275a625c41fb9cf0bbd2eeb8aaf5_74">
              <w:r>
                <w:rPr>
                  <w:rStyle w:val="InternetLink"/>
                  <w:rFonts w:ascii="Times New Roman;sans-serif" w:hAnsi="Times New Roman;sans-serif"/>
                  <w:b w:val="false"/>
                  <w:color w:val="000080"/>
                  <w:sz w:val="20"/>
                  <w:u w:val="single"/>
                </w:rPr>
                <w:t>iii</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112">
              <w:r>
                <w:rPr>
                  <w:rStyle w:val="InternetLink"/>
                  <w:rFonts w:ascii="Times New Roman;sans-serif" w:hAnsi="Times New Roman;sans-serif"/>
                  <w:b w:val="false"/>
                  <w:color w:val="002D72"/>
                  <w:sz w:val="20"/>
                  <w:u w:val="single"/>
                </w:rPr>
                <w:t>PROSPECTUS SUPPLEMENT SUMMARY</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112">
              <w:r>
                <w:rPr>
                  <w:rStyle w:val="InternetLink"/>
                  <w:rFonts w:ascii="Times New Roman;sans-serif" w:hAnsi="Times New Roman;sans-serif"/>
                  <w:b w:val="false"/>
                  <w:color w:val="000080"/>
                  <w:sz w:val="20"/>
                  <w:u w:val="single"/>
                </w:rPr>
                <w:t>S-</w:t>
              </w:r>
            </w:hyperlink>
            <w:hyperlink w:anchor="i11f4275a625c41fb9cf0bbd2eeb8aaf5_112">
              <w:r>
                <w:rPr>
                  <w:rStyle w:val="InternetLink"/>
                  <w:rFonts w:ascii="Times New Roman;sans-serif" w:hAnsi="Times New Roman;sans-serif"/>
                  <w:b w:val="false"/>
                  <w:color w:val="000080"/>
                  <w:sz w:val="20"/>
                  <w:u w:val="single"/>
                </w:rPr>
                <w:t>1</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125">
              <w:r>
                <w:rPr>
                  <w:rStyle w:val="InternetLink"/>
                  <w:rFonts w:ascii="Times New Roman;sans-serif" w:hAnsi="Times New Roman;sans-serif"/>
                  <w:b w:val="false"/>
                  <w:color w:val="002D72"/>
                  <w:sz w:val="20"/>
                  <w:u w:val="single"/>
                </w:rPr>
                <w:t>THE OFFERING</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125">
              <w:r>
                <w:rPr>
                  <w:rStyle w:val="InternetLink"/>
                  <w:rFonts w:ascii="Times New Roman;sans-serif" w:hAnsi="Times New Roman;sans-serif"/>
                  <w:b w:val="false"/>
                  <w:color w:val="000080"/>
                  <w:sz w:val="20"/>
                  <w:u w:val="single"/>
                </w:rPr>
                <w:t>S-</w:t>
              </w:r>
            </w:hyperlink>
            <w:hyperlink w:anchor="i11f4275a625c41fb9cf0bbd2eeb8aaf5_125">
              <w:r>
                <w:rPr>
                  <w:rStyle w:val="InternetLink"/>
                  <w:rFonts w:ascii="Times New Roman;sans-serif" w:hAnsi="Times New Roman;sans-serif"/>
                  <w:b w:val="false"/>
                  <w:color w:val="000080"/>
                  <w:sz w:val="20"/>
                  <w:u w:val="single"/>
                </w:rPr>
                <w:t>11</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138">
              <w:r>
                <w:rPr>
                  <w:rStyle w:val="InternetLink"/>
                  <w:rFonts w:ascii="Times New Roman;sans-serif" w:hAnsi="Times New Roman;sans-serif"/>
                  <w:b w:val="false"/>
                  <w:color w:val="002D72"/>
                  <w:sz w:val="20"/>
                  <w:u w:val="single"/>
                </w:rPr>
                <w:t>SUMMARY CONSOLIDATED FINANCIAL DATA</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138">
              <w:r>
                <w:rPr>
                  <w:rStyle w:val="InternetLink"/>
                  <w:rFonts w:ascii="Times New Roman;sans-serif" w:hAnsi="Times New Roman;sans-serif"/>
                  <w:b w:val="false"/>
                  <w:color w:val="000080"/>
                  <w:sz w:val="20"/>
                  <w:u w:val="single"/>
                </w:rPr>
                <w:t>S-</w:t>
              </w:r>
            </w:hyperlink>
            <w:hyperlink w:anchor="i11f4275a625c41fb9cf0bbd2eeb8aaf5_138">
              <w:r>
                <w:rPr>
                  <w:rStyle w:val="InternetLink"/>
                  <w:rFonts w:ascii="Times New Roman;sans-serif" w:hAnsi="Times New Roman;sans-serif"/>
                  <w:b w:val="false"/>
                  <w:color w:val="000080"/>
                  <w:sz w:val="20"/>
                  <w:u w:val="single"/>
                </w:rPr>
                <w:t>13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151">
              <w:r>
                <w:rPr>
                  <w:rStyle w:val="InternetLink"/>
                  <w:rFonts w:ascii="Times New Roman;sans-serif" w:hAnsi="Times New Roman;sans-serif"/>
                  <w:b w:val="false"/>
                  <w:color w:val="002D72"/>
                  <w:sz w:val="20"/>
                  <w:u w:val="single"/>
                </w:rPr>
                <w:t>RISK FACTORS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151">
              <w:r>
                <w:rPr>
                  <w:rStyle w:val="InternetLink"/>
                  <w:rFonts w:ascii="Times New Roman;sans-serif" w:hAnsi="Times New Roman;sans-serif"/>
                  <w:b w:val="false"/>
                  <w:color w:val="000080"/>
                  <w:sz w:val="20"/>
                  <w:u w:val="single"/>
                </w:rPr>
                <w:t>S-</w:t>
              </w:r>
            </w:hyperlink>
            <w:hyperlink w:anchor="i11f4275a625c41fb9cf0bbd2eeb8aaf5_151">
              <w:r>
                <w:rPr>
                  <w:rStyle w:val="InternetLink"/>
                  <w:rFonts w:ascii="Times New Roman;sans-serif" w:hAnsi="Times New Roman;sans-serif"/>
                  <w:b w:val="false"/>
                  <w:color w:val="000080"/>
                  <w:sz w:val="20"/>
                  <w:u w:val="single"/>
                </w:rPr>
                <w:t>17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164">
              <w:r>
                <w:rPr>
                  <w:rStyle w:val="InternetLink"/>
                  <w:rFonts w:ascii="Times New Roman;sans-serif" w:hAnsi="Times New Roman;sans-serif"/>
                  <w:b w:val="false"/>
                  <w:color w:val="002D72"/>
                  <w:sz w:val="20"/>
                  <w:u w:val="single"/>
                </w:rPr>
                <w:t>USE OF PROCEEDS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164">
              <w:r>
                <w:rPr>
                  <w:rStyle w:val="InternetLink"/>
                  <w:rFonts w:ascii="Times New Roman;sans-serif" w:hAnsi="Times New Roman;sans-serif"/>
                  <w:b w:val="false"/>
                  <w:color w:val="000080"/>
                  <w:sz w:val="20"/>
                  <w:u w:val="single"/>
                </w:rPr>
                <w:t>S-</w:t>
              </w:r>
            </w:hyperlink>
            <w:hyperlink w:anchor="i11f4275a625c41fb9cf0bbd2eeb8aaf5_164">
              <w:r>
                <w:rPr>
                  <w:rStyle w:val="InternetLink"/>
                  <w:rFonts w:ascii="Times New Roman;sans-serif" w:hAnsi="Times New Roman;sans-serif"/>
                  <w:b w:val="false"/>
                  <w:color w:val="000080"/>
                  <w:sz w:val="20"/>
                  <w:u w:val="single"/>
                </w:rPr>
                <w:t>19</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177">
              <w:r>
                <w:rPr>
                  <w:rStyle w:val="InternetLink"/>
                  <w:rFonts w:ascii="Times New Roman;sans-serif" w:hAnsi="Times New Roman;sans-serif"/>
                  <w:b w:val="false"/>
                  <w:color w:val="002D72"/>
                  <w:sz w:val="20"/>
                  <w:u w:val="single"/>
                </w:rPr>
                <w:t>SELLING STOCKHOLDER</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177">
              <w:r>
                <w:rPr>
                  <w:rStyle w:val="InternetLink"/>
                  <w:rFonts w:ascii="Times New Roman;sans-serif" w:hAnsi="Times New Roman;sans-serif"/>
                  <w:b w:val="false"/>
                  <w:color w:val="000080"/>
                  <w:sz w:val="20"/>
                  <w:u w:val="single"/>
                </w:rPr>
                <w:t>S-</w:t>
              </w:r>
            </w:hyperlink>
            <w:hyperlink w:anchor="i11f4275a625c41fb9cf0bbd2eeb8aaf5_177">
              <w:r>
                <w:rPr>
                  <w:rStyle w:val="InternetLink"/>
                  <w:rFonts w:ascii="Times New Roman;sans-serif" w:hAnsi="Times New Roman;sans-serif"/>
                  <w:b w:val="false"/>
                  <w:color w:val="000080"/>
                  <w:sz w:val="20"/>
                  <w:u w:val="single"/>
                </w:rPr>
                <w:t>20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190">
              <w:r>
                <w:rPr>
                  <w:rStyle w:val="InternetLink"/>
                  <w:rFonts w:ascii="Times New Roman;sans-serif" w:hAnsi="Times New Roman;sans-serif"/>
                  <w:b w:val="false"/>
                  <w:color w:val="002D72"/>
                  <w:sz w:val="20"/>
                  <w:u w:val="single"/>
                </w:rPr>
                <w:t>MATERIAL U.S. FEDERAL TAX CONSIDERATIONS FOR NON-U.S. HOLDERS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190">
              <w:r>
                <w:rPr>
                  <w:rStyle w:val="InternetLink"/>
                  <w:rFonts w:ascii="Times New Roman;sans-serif" w:hAnsi="Times New Roman;sans-serif"/>
                  <w:b w:val="false"/>
                  <w:color w:val="000080"/>
                  <w:sz w:val="20"/>
                  <w:u w:val="single"/>
                </w:rPr>
                <w:t>S-</w:t>
              </w:r>
            </w:hyperlink>
            <w:hyperlink w:anchor="i11f4275a625c41fb9cf0bbd2eeb8aaf5_190">
              <w:r>
                <w:rPr>
                  <w:rStyle w:val="InternetLink"/>
                  <w:rFonts w:ascii="Times New Roman;sans-serif" w:hAnsi="Times New Roman;sans-serif"/>
                  <w:b w:val="false"/>
                  <w:color w:val="000080"/>
                  <w:sz w:val="20"/>
                  <w:u w:val="single"/>
                </w:rPr>
                <w:t>21</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203">
              <w:r>
                <w:rPr>
                  <w:rStyle w:val="InternetLink"/>
                  <w:rFonts w:ascii="Times New Roman;sans-serif" w:hAnsi="Times New Roman;sans-serif"/>
                  <w:b w:val="false"/>
                  <w:color w:val="002D72"/>
                  <w:sz w:val="20"/>
                  <w:u w:val="single"/>
                </w:rPr>
                <w:t>UNDERWRITING</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203">
              <w:r>
                <w:rPr>
                  <w:rStyle w:val="InternetLink"/>
                  <w:rFonts w:ascii="Times New Roman;sans-serif" w:hAnsi="Times New Roman;sans-serif"/>
                  <w:b w:val="false"/>
                  <w:color w:val="000080"/>
                  <w:sz w:val="20"/>
                  <w:u w:val="single"/>
                </w:rPr>
                <w:t>S-</w:t>
              </w:r>
            </w:hyperlink>
            <w:hyperlink w:anchor="i11f4275a625c41fb9cf0bbd2eeb8aaf5_203">
              <w:r>
                <w:rPr>
                  <w:rStyle w:val="InternetLink"/>
                  <w:rFonts w:ascii="Times New Roman;sans-serif" w:hAnsi="Times New Roman;sans-serif"/>
                  <w:b w:val="false"/>
                  <w:color w:val="000080"/>
                  <w:sz w:val="20"/>
                  <w:u w:val="single"/>
                </w:rPr>
                <w:t>24</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216">
              <w:r>
                <w:rPr>
                  <w:rStyle w:val="InternetLink"/>
                  <w:rFonts w:ascii="Times New Roman;sans-serif" w:hAnsi="Times New Roman;sans-serif"/>
                  <w:b w:val="false"/>
                  <w:color w:val="002D72"/>
                  <w:sz w:val="20"/>
                  <w:u w:val="single"/>
                </w:rPr>
                <w:t>VALIDITY OF COMMON STOCK</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216">
              <w:r>
                <w:rPr>
                  <w:rStyle w:val="InternetLink"/>
                  <w:rFonts w:ascii="Times New Roman;sans-serif" w:hAnsi="Times New Roman;sans-serif"/>
                  <w:b w:val="false"/>
                  <w:color w:val="000080"/>
                  <w:sz w:val="20"/>
                  <w:u w:val="single"/>
                </w:rPr>
                <w:t>S-</w:t>
              </w:r>
            </w:hyperlink>
            <w:hyperlink w:anchor="i11f4275a625c41fb9cf0bbd2eeb8aaf5_216">
              <w:r>
                <w:rPr>
                  <w:rStyle w:val="InternetLink"/>
                  <w:rFonts w:ascii="Times New Roman;sans-serif" w:hAnsi="Times New Roman;sans-serif"/>
                  <w:b w:val="false"/>
                  <w:color w:val="000080"/>
                  <w:sz w:val="20"/>
                  <w:u w:val="single"/>
                </w:rPr>
                <w:t>32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229">
              <w:r>
                <w:rPr>
                  <w:rStyle w:val="InternetLink"/>
                  <w:rFonts w:ascii="Times New Roman;sans-serif" w:hAnsi="Times New Roman;sans-serif"/>
                  <w:b w:val="false"/>
                  <w:color w:val="002D72"/>
                  <w:sz w:val="20"/>
                  <w:u w:val="single"/>
                </w:rPr>
                <w:t>EXPERTS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229">
              <w:r>
                <w:rPr>
                  <w:rStyle w:val="InternetLink"/>
                  <w:rFonts w:ascii="Times New Roman;sans-serif" w:hAnsi="Times New Roman;sans-serif"/>
                  <w:b w:val="false"/>
                  <w:color w:val="000080"/>
                  <w:sz w:val="20"/>
                  <w:u w:val="single"/>
                </w:rPr>
                <w:t>S-</w:t>
              </w:r>
            </w:hyperlink>
            <w:hyperlink w:anchor="i11f4275a625c41fb9cf0bbd2eeb8aaf5_229">
              <w:r>
                <w:rPr>
                  <w:rStyle w:val="InternetLink"/>
                  <w:rFonts w:ascii="Times New Roman;sans-serif" w:hAnsi="Times New Roman;sans-serif"/>
                  <w:b w:val="false"/>
                  <w:color w:val="000080"/>
                  <w:sz w:val="20"/>
                  <w:u w:val="single"/>
                </w:rPr>
                <w:t>33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242">
              <w:r>
                <w:rPr>
                  <w:rStyle w:val="InternetLink"/>
                  <w:rFonts w:ascii="Times New Roman;sans-serif" w:hAnsi="Times New Roman;sans-serif"/>
                  <w:b w:val="false"/>
                  <w:color w:val="002D72"/>
                  <w:sz w:val="20"/>
                  <w:u w:val="single"/>
                </w:rPr>
                <w:t>WHERE YOU CAN FIND ADDITIONAL INFORMATION; INCORPORATION OF CERTAIN INFORMATION BY REFERENCE</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242">
              <w:r>
                <w:rPr>
                  <w:rStyle w:val="InternetLink"/>
                  <w:rFonts w:ascii="Times New Roman;sans-serif" w:hAnsi="Times New Roman;sans-serif"/>
                  <w:b w:val="false"/>
                  <w:color w:val="000080"/>
                  <w:sz w:val="20"/>
                  <w:u w:val="single"/>
                </w:rPr>
                <w:t>S-</w:t>
              </w:r>
            </w:hyperlink>
            <w:hyperlink w:anchor="i11f4275a625c41fb9cf0bbd2eeb8aaf5_242">
              <w:r>
                <w:rPr>
                  <w:rStyle w:val="InternetLink"/>
                  <w:rFonts w:ascii="Times New Roman;sans-serif" w:hAnsi="Times New Roman;sans-serif"/>
                  <w:b w:val="false"/>
                  <w:color w:val="000080"/>
                  <w:sz w:val="20"/>
                  <w:u w:val="single"/>
                </w:rPr>
                <w:t>34</w:t>
              </w:r>
            </w:hyperlink>
          </w:p>
        </w:tc>
      </w:tr>
    </w:tbl>
    <w:p>
      <w:pPr>
        <w:pStyle w:val="TextBody"/>
        <w:bidi w:val="0"/>
        <w:spacing w:lineRule="auto" w:line="240" w:before="0" w:after="180"/>
        <w:jc w:val="center"/>
        <w:rPr>
          <w:rFonts w:ascii="Times New Roman;sans-serif" w:hAnsi="Times New Roman;sans-serif"/>
          <w:b/>
          <w:color w:val="002D72"/>
          <w:sz w:val="20"/>
        </w:rPr>
      </w:pPr>
      <w:r>
        <w:rPr>
          <w:rFonts w:ascii="Times New Roman;sans-serif" w:hAnsi="Times New Roman;sans-serif"/>
          <w:b/>
          <w:color w:val="002D72"/>
          <w:sz w:val="20"/>
        </w:rPr>
        <w:t>Prospectus</w:t>
      </w:r>
    </w:p>
    <w:tbl>
      <w:tblPr>
        <w:tblW w:w="10205" w:type="dxa"/>
        <w:jc w:val="left"/>
        <w:tblInd w:w="0" w:type="dxa"/>
        <w:tblLayout w:type="fixed"/>
        <w:tblCellMar>
          <w:top w:w="28" w:type="dxa"/>
          <w:left w:w="28" w:type="dxa"/>
          <w:bottom w:w="28" w:type="dxa"/>
          <w:right w:w="28" w:type="dxa"/>
        </w:tblCellMar>
      </w:tblPr>
      <w:tblGrid>
        <w:gridCol w:w="3591"/>
        <w:gridCol w:w="3112"/>
        <w:gridCol w:w="3128"/>
        <w:gridCol w:w="109"/>
        <w:gridCol w:w="109"/>
        <w:gridCol w:w="156"/>
      </w:tblGrid>
      <w:tr>
        <w:trPr/>
        <w:tc>
          <w:tcPr>
            <w:tcW w:w="3591"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66">
              <w:r>
                <w:rPr>
                  <w:rStyle w:val="InternetLink"/>
                  <w:rFonts w:ascii="Times New Roman;sans-serif" w:hAnsi="Times New Roman;sans-serif"/>
                  <w:b w:val="false"/>
                  <w:color w:val="002D72"/>
                  <w:sz w:val="20"/>
                  <w:u w:val="single"/>
                </w:rPr>
                <w:t>ABOUT THIS PROSPECTUS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66">
              <w:r>
                <w:rPr>
                  <w:rStyle w:val="InternetLink"/>
                  <w:rFonts w:ascii="Times New Roman;sans-serif" w:hAnsi="Times New Roman;sans-serif"/>
                  <w:b w:val="false"/>
                  <w:color w:val="002D72"/>
                  <w:sz w:val="20"/>
                  <w:u w:val="single"/>
                </w:rPr>
                <w:t>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73">
              <w:r>
                <w:rPr>
                  <w:rStyle w:val="InternetLink"/>
                  <w:rFonts w:ascii="Times New Roman;sans-serif" w:hAnsi="Times New Roman;sans-serif"/>
                  <w:b w:val="false"/>
                  <w:color w:val="002D72"/>
                  <w:sz w:val="20"/>
                  <w:u w:val="single"/>
                </w:rPr>
                <w:t>WHERE YOU CAN FIND ADDITIONAL INFORMATION; INCORPORATION OF CERTAIN INFORMATION BY REFERENCE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73">
              <w:r>
                <w:rPr>
                  <w:rStyle w:val="InternetLink"/>
                  <w:rFonts w:ascii="Times New Roman;sans-serif" w:hAnsi="Times New Roman;sans-serif"/>
                  <w:b w:val="false"/>
                  <w:color w:val="002D72"/>
                  <w:sz w:val="20"/>
                  <w:u w:val="single"/>
                </w:rPr>
                <w:t>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80">
              <w:r>
                <w:rPr>
                  <w:rStyle w:val="InternetLink"/>
                  <w:rFonts w:ascii="Times New Roman;sans-serif" w:hAnsi="Times New Roman;sans-serif"/>
                  <w:b w:val="false"/>
                  <w:color w:val="002D72"/>
                  <w:sz w:val="20"/>
                  <w:u w:val="single"/>
                </w:rPr>
                <w:t>SPECIAL NOTE REGARDING FORWARD-LOOKING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80">
              <w:r>
                <w:rPr>
                  <w:rStyle w:val="InternetLink"/>
                  <w:rFonts w:ascii="Times New Roman;sans-serif" w:hAnsi="Times New Roman;sans-serif"/>
                  <w:b w:val="false"/>
                  <w:color w:val="002D72"/>
                  <w:sz w:val="20"/>
                  <w:u w:val="single"/>
                </w:rPr>
                <w:t>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87">
              <w:r>
                <w:rPr>
                  <w:rStyle w:val="InternetLink"/>
                  <w:rFonts w:ascii="Times New Roman;sans-serif" w:hAnsi="Times New Roman;sans-serif"/>
                  <w:b w:val="false"/>
                  <w:color w:val="002D72"/>
                  <w:sz w:val="20"/>
                  <w:u w:val="single"/>
                </w:rPr>
                <w:t>THE COMPANY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87">
              <w:r>
                <w:rPr>
                  <w:rStyle w:val="InternetLink"/>
                  <w:rFonts w:ascii="Times New Roman;sans-serif" w:hAnsi="Times New Roman;sans-serif"/>
                  <w:b w:val="false"/>
                  <w:color w:val="002D72"/>
                  <w:sz w:val="20"/>
                  <w:u w:val="single"/>
                </w:rPr>
                <w:t>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94">
              <w:r>
                <w:rPr>
                  <w:rStyle w:val="InternetLink"/>
                  <w:rFonts w:ascii="Times New Roman;sans-serif" w:hAnsi="Times New Roman;sans-serif"/>
                  <w:b w:val="false"/>
                  <w:color w:val="002D72"/>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94">
              <w:r>
                <w:rPr>
                  <w:rStyle w:val="InternetLink"/>
                  <w:rFonts w:ascii="Times New Roman;sans-serif" w:hAnsi="Times New Roman;sans-serif"/>
                  <w:b w:val="false"/>
                  <w:color w:val="002D72"/>
                  <w:sz w:val="20"/>
                  <w:u w:val="single"/>
                </w:rPr>
                <w:t>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01">
              <w:r>
                <w:rPr>
                  <w:rStyle w:val="InternetLink"/>
                  <w:rFonts w:ascii="Times New Roman;sans-serif" w:hAnsi="Times New Roman;sans-serif"/>
                  <w:b w:val="false"/>
                  <w:color w:val="002D72"/>
                  <w:sz w:val="20"/>
                  <w:u w:val="single"/>
                </w:rPr>
                <w:t>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01">
              <w:r>
                <w:rPr>
                  <w:rStyle w:val="InternetLink"/>
                  <w:rFonts w:ascii="Times New Roman;sans-serif" w:hAnsi="Times New Roman;sans-serif"/>
                  <w:b w:val="false"/>
                  <w:color w:val="002D72"/>
                  <w:sz w:val="20"/>
                  <w:u w:val="single"/>
                </w:rPr>
                <w:t>10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08">
              <w:r>
                <w:rPr>
                  <w:rStyle w:val="InternetLink"/>
                  <w:rFonts w:ascii="Times New Roman;sans-serif" w:hAnsi="Times New Roman;sans-serif"/>
                  <w:b w:val="false"/>
                  <w:color w:val="002D72"/>
                  <w:sz w:val="20"/>
                  <w:u w:val="single"/>
                </w:rPr>
                <w:t>DESCRIPTION OF CAPITAL STOCK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08">
              <w:r>
                <w:rPr>
                  <w:rStyle w:val="InternetLink"/>
                  <w:rFonts w:ascii="Times New Roman;sans-serif" w:hAnsi="Times New Roman;sans-serif"/>
                  <w:b w:val="false"/>
                  <w:color w:val="002D72"/>
                  <w:sz w:val="20"/>
                  <w:u w:val="single"/>
                </w:rPr>
                <w:t>11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15">
              <w:r>
                <w:rPr>
                  <w:rStyle w:val="InternetLink"/>
                  <w:rFonts w:ascii="Times New Roman;sans-serif" w:hAnsi="Times New Roman;sans-serif"/>
                  <w:b w:val="false"/>
                  <w:color w:val="002D72"/>
                  <w:sz w:val="20"/>
                  <w:u w:val="single"/>
                </w:rPr>
                <w:t>SELLING STOCKHOLDER</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15">
              <w:r>
                <w:rPr>
                  <w:rStyle w:val="InternetLink"/>
                  <w:rFonts w:ascii="Times New Roman;sans-serif" w:hAnsi="Times New Roman;sans-serif"/>
                  <w:b w:val="false"/>
                  <w:color w:val="002D72"/>
                  <w:sz w:val="20"/>
                  <w:u w:val="single"/>
                </w:rPr>
                <w:t>17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22">
              <w:r>
                <w:rPr>
                  <w:rStyle w:val="InternetLink"/>
                  <w:rFonts w:ascii="Times New Roman;sans-serif" w:hAnsi="Times New Roman;sans-serif"/>
                  <w:b w:val="false"/>
                  <w:color w:val="002D72"/>
                  <w:sz w:val="20"/>
                  <w:u w:val="single"/>
                </w:rPr>
                <w:t>PLAN OF DISTRIBUTION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22">
              <w:r>
                <w:rPr>
                  <w:rStyle w:val="InternetLink"/>
                  <w:rFonts w:ascii="Times New Roman;sans-serif" w:hAnsi="Times New Roman;sans-serif"/>
                  <w:b w:val="false"/>
                  <w:color w:val="002D72"/>
                  <w:sz w:val="20"/>
                  <w:u w:val="single"/>
                </w:rPr>
                <w:t>18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29">
              <w:r>
                <w:rPr>
                  <w:rStyle w:val="InternetLink"/>
                  <w:rFonts w:ascii="Times New Roman;sans-serif" w:hAnsi="Times New Roman;sans-serif"/>
                  <w:b w:val="false"/>
                  <w:color w:val="002D72"/>
                  <w:sz w:val="20"/>
                  <w:u w:val="single"/>
                </w:rPr>
                <w:t>VALIDITY OF COMMON STOCK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29">
              <w:r>
                <w:rPr>
                  <w:rStyle w:val="InternetLink"/>
                  <w:rFonts w:ascii="Times New Roman;sans-serif" w:hAnsi="Times New Roman;sans-serif"/>
                  <w:b w:val="false"/>
                  <w:color w:val="002D72"/>
                  <w:sz w:val="20"/>
                  <w:u w:val="single"/>
                </w:rPr>
                <w:t>22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36">
              <w:r>
                <w:rPr>
                  <w:rStyle w:val="InternetLink"/>
                  <w:rFonts w:ascii="Times New Roman;sans-serif" w:hAnsi="Times New Roman;sans-serif"/>
                  <w:b w:val="false"/>
                  <w:color w:val="002D72"/>
                  <w:sz w:val="20"/>
                  <w:u w:val="single"/>
                </w:rPr>
                <w:t>EXPERTS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36">
              <w:r>
                <w:rPr>
                  <w:rStyle w:val="InternetLink"/>
                  <w:rFonts w:ascii="Times New Roman;sans-serif" w:hAnsi="Times New Roman;sans-serif"/>
                  <w:b w:val="false"/>
                  <w:color w:val="002D72"/>
                  <w:sz w:val="20"/>
                  <w:u w:val="single"/>
                </w:rPr>
                <w:t>23</w:t>
              </w:r>
            </w:hyperlink>
          </w:p>
        </w:tc>
      </w:tr>
    </w:tbl>
    <w:p>
      <w:pPr>
        <w:pStyle w:val="TextBody"/>
        <w:bidi w:val="0"/>
        <w:spacing w:lineRule="auto" w:line="288" w:before="0" w:after="180"/>
        <w:jc w:val="both"/>
        <w:rPr>
          <w:rFonts w:ascii="Times New Roman;sans-serif" w:hAnsi="Times New Roman;sans-serif"/>
          <w:b/>
          <w:color w:val="002D72"/>
          <w:sz w:val="20"/>
        </w:rPr>
      </w:pPr>
      <w:r>
        <w:rPr>
          <w:rFonts w:ascii="Times New Roman;sans-serif" w:hAnsi="Times New Roman;sans-serif"/>
          <w:b/>
          <w:color w:val="002D72"/>
          <w:sz w:val="20"/>
        </w:rPr>
        <w:t>We are responsible for the information contained or incorporated by reference in this prospectus supplement, the accompanying prospectus or in any free writing prospectuses related hereto that we have prepared. Neither we nor the selling stockholder nor the underwriters (nor any of our or their respective affiliates) has authorized anyone to provide you with different information and neither we, the selling stockholder nor the underwriters (nor any of our or their respective affiliates) take any responsibility for, nor can they provide any assurance as to the reliability of, any other information that others may give you. This prospectus supplement, the accompanying prospectus and any free writing prospectus do not constitute an offer to sell or the solicitation of an offer to buy any securities other than the registered securities to which they relate, nor do this prospectus supplement, the accompanying prospectus and any free writing prospectus constitute an offer to sell or the solicitation of an offer to buy securities in any jurisdiction to any person to whom it is unlawful to make such offer or solicitation in such jurisdiction. You should assume that the information appearing or incorporated by reference in this prospectus supplement, the accompanying prospectus and any free writing prospectus prepared by us or on our behalf is accurate only as of their respective dates or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ABOUT THIS PROSPECTUS SUPPLEMENT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Unless the context otherwise requires, all references in this prospectus supplement to “Leonardo DRS,” “DRS,” the “Company,” “we,” “us,” “our” or similar terms refer to Leonardo DRS, Inc. and its consolidated subsidiaries. “US Holding” means Leonardo US Holding, LLC, our majority stockholder and the selling stockholder, and “Leonardo S.p.A.” means Leonardo – Società per azioni, an Italian società per azioni listed on the Milan Stock Exchange and the ultimate majority stockholder of DRS and parent company of US Holding.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This document consists of two parts. The first part is this prospectus supplement, which describes the specific terms of this offering and also adds to and updates the information contained or incorporated by reference in the accompanying prospectus. The second part is the accompanying prospectus, which contains more general information, some of which may not apply to this offering.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You should read both this prospectus supplement and the accompanying prospectus, together with any documents incorporated by reference herein and therein and the additional information described below under the heading “Where You Can Find Additional Information; Incorporation of Certain Information by Reference” in their entirety before making an investment decision. To the extent there is a variation between information contained in this prospectus supplement, on the one hand, and the information contained in the accompanying prospectus, on the other hand, you should rely on the information in this prospectus supplement.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If the description of the offering varies between this prospectus supplement and the accompanying prospectus, you should rely on the information in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distribution of this prospectus supplement and the accompanying prospectus and the offering of the common stock in certain jurisdictions may be restricted by law. Neither the selling stockholder nor the underwriters are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You should not consider any information in this prospectus supplement, the accompanying prospectus or any free writing prospectus to be investment, legal or tax advice. You should consult your own counsel, accountant and other advisors for legal, tax, business, financial and related advice regarding the purchase of the common stock. Neither we nor the selling stockholder nor the underwriters are making any representation to you regarding the legality of an investment in the common stock by you under applicable investment or similar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S-ii</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SPECIAL NOTE REGARDING FORWARD-LOOKING STATEMENTS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This prospectus supplement and the accompanying prospectus, including the documents that we incorporate by reference into this prospectus, contain forward-looking statements within the meaning of the United States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statements other than statements of historical facts contained in or incorporated by reference into this prospectus supplement and the accompanying prospectus. They appear in a number of places throughout this prospectus supplement and the accompanying prospectus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prospectus supplement and the accompanying prospectus. In addition, even if future performance and outcomes are consistent with the forward-looking statements contained in this prospectus supplement and the accompanying prospectus,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Disruptions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Significant delays or reductions in appropriations for our programs and changes in U.S. government priorities and spending levels more broadly;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failure to comply with the proxy agreement with the U.S. Department of Defense (the “DoD”);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relationships with other industry participants, including any contractual disputes or the inability of our key suppliers to timely deliver our components, parts or services;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Failure to properly contain a global pandemic in a timely manner could materially affect how we and our business partners operate;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effect of inflation on our supply chain and/or our labor costs;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mix of fixed-price, cost-plus and time-and-material type contracts and any resulting impact on our cash flows due to cost overruns;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Failure to properly comply with various covenants of the agreements governing our debt could negatively impact our business;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dependence on U.S. government contracts, which often are only partially funded and are subject to immediate termination, some of which are classified, and the concentration of our customer base in the U.S. defense industry;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use of estimates in pricing and accounting for many of our programs that are inherently uncertain and which may not prove to be accurate;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realize the full value of our backlog;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predict future capital needs or to obtain additional financing if we need it;</w:t>
      </w:r>
    </w:p>
    <w:p>
      <w:pPr>
        <w:pStyle w:val="TextBody"/>
        <w:bidi w:val="0"/>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S-iii</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respond to the rapid technological changes in the markets in which we compete;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effect of global and regional economic downturns and rising interest rates;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meet the requirements of being a public company;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maintain an effective system of internal control over financial reporting;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inability to appropriately manage our inventory;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inability to fully realize the value of our total estimated contract value or bookings;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compete efficiently, including due to U.S. government organizational conflict of interest rules which may limit new contract opportunities or require us to wind down existing contracts;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Preferences for set-asides for minority-owned, small and small disadvantaged businesses could impact our ability to be a prime contractor;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failure to meet our contractual obligations including due to potential impacts to our business from supply chain risks, such as longer lead times and shortages of electronics and other components;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security breach, including any cyber-attack, cyber intrusion, insider threat, or other significant disruption of our IT networks and related systems, or those of our customers, suppliers, vendors, subcontractors, partners, or other third parties, as well as any act of terrorism or other threat to our physical security and personnel;</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conduct of our employees, agents, affiliates, subcontractors, suppliers, business partners or joint ventures in which we participate which may impact our reputation and ability to do business;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compliance with environmental laws and regulations, and any environmental liabilities that may affect our reputation or financial position;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outcome of litigation, arbitration, investigations, claims, disputes, enforcement actions and other legal proceedings in which we are involved;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Various geopolitical and economic factors, laws and regulations including the Foreign Corrupt Practices Act, the Export Control Act, the International Traffic in Arms Regulations, the Export Administration Regulations, and those that we are exposed to as a result of our international business, including their impact on our ability to access certain raw materials;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Geopolitical conflicts, including the war in Israel, have the potential to evolve quickly, creating uncertainty in the world and broader Middle East region specifically, along with the potential for disruptions to our Israeli operations, including but not limited to workforce calls for duty, transportation and other logistical impacts and reduced customer confidence;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obtain export licenses necessary to conduct certain operations abroad, including any attempts by Congress to prevent proposed sales to certain foreign governments;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attract and retain technical and other key personnel;</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occurrence of prolonged work stoppages;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unavailability or inadequacy of our insurance coverage, customer indemnifications or other liability protections to cover all of our significant risks or to pay for material losses we incur;</w:t>
      </w:r>
    </w:p>
    <w:p>
      <w:pPr>
        <w:pStyle w:val="TextBody"/>
        <w:bidi w:val="0"/>
        <w:spacing w:before="0" w:after="18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S-iv</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Future changes in U.S. tax laws and regulations or interpretations thereof;</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Certain limitations on our ability to use our net operating losses to offset future taxable income;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Termination of our leases or our inability to renew our leases on acceptable terms;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Changes in estimates used in accounting for our pension plans, including in respect of the funding status thereof;</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Changes in future business or other market conditions that could cause business investments and/or recorded goodwill or other long-term assets to become impaired;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Adverse consequences from any acquisitions such as operating difficulties, dilution and other harmful consequences or any modification, delay or prevention of any future acquisition or investment activity by the Committee on Foreign Investment in the United States;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Natural disasters or other significant disruptions;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conflict of interest that may arise because US Holding, our majority stockholder, or Leonardo S.p.A., our ultimate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amended and restated certificate of incorporation provides that we waive any interest or expectancy in corporate opportunities presented to Leonardo S.p.A);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obligations to provide certain services to Leonardo S.p.A., which may divert human and financial resources from our business.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You should read this prospectus supplement and the accompanying prospectus completely and with the understanding that actual future results may be materially different from expectations. All forward-looking statements made in this prospectus supplement and the accompanying prospectus are qualified by these cautionary statements. These forward-looking statements are made only as of the date of this filing,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Other risks, uncertainties and factors, including those described in the section titled “Risk Factors” set forth herein and in Part I, Item 1A of our Annual Report on Form 10-K for the year ended December 31, 2022 (“Annual Report”) and in Part II, Item 1A of our Quarterly Report on Form 10-Q for the quarter ended March 31, 2023, our Quarterly Report on Form 10-Q for the quarter ended June 30, 2023 and our Quarterly Report on Form 10-Q for the quarter ended September 30, 2023 (collectively, the “Quarterly Reports”) and in our subsequent filings with the SEC, as incorporated by reference into this prospectus supplement and the accompanying prospectus, could cause actual results to differ materially from those projected in any forward-looking statements made by DRS. Readers should read carefully the discussion of these factors to better understand the risks and uncertainties inherent in the business of DRS and underlying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S-v</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MARKET AND INDUSTRY DATA</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This prospectus supplement and the accompanying prospectus include estimates regarding market and industry data and forecasts, which are based on publicly available information, industry publications and surveys, reports from government agencies, reports by market research firms and our own estimates based on our management’s knowledge of, and experience in, the defense industry and market segments in which we compete. Third-party industry publications and forecasts generally state that the information contained therein has been obtained from sources generally believed to be reliable. Our estimates involve risks and uncertainties, and are subject to change based on various factors, including those discussed under the captions “Risk Factors” and “Special Note Regarding Forward-Looking Statements and Information” herein and in our Annual Report and Quarterly Reports incorporated by reference herein and in the accompanying prospectus and “Management’s Discussion and Analysis of Financial Condition and Results of Operations” in our Annual Report and Quarterly Reports incorporated by reference herein and in the accompanying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SERVICE MARKS, TRADEMARKS AND TRADE NAMES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hold and license various service marks, trademarks and trade names that we deem particularly important to the marketing conducted by our business. This prospectus supplement and the accompanying prospectus also contain trademarks, service marks and trade names of other companies which are the property of their respective holders. We do not intend our use or display of such names or marks to imply relationships with, or endorsements of us by, any other company other than explicitly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PRESENTATION OF FINANCIAL INFORMATION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have made rounding adjustments to some of the figures included or incorporated by reference in this prospectus supplement or the accompanying prospectus. Accordingly, numerical figures shown as totals in some tables may not be an arithmetic aggregation of the figures that precede them. Unless otherwise indicated, all references to “U.S. dollars,” “dollars,” “U.S. $” and “$” in this prospectus supplement and the accompanying prospectus and the documents incorporated by reference herein and therein are to the lawful currency of the United States of America, and all references to “NIS” are to New Israeli Shekels.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present herein and in the documents incorporated by reference herein certain financial measures that are not calculated in accordance with accounting principles generally accepted in the United States of America (“U.S. GAAP”), such measures referred to herein as “non-GAAP,” including Adjusted EBITDA, Adjusted EBITDA Margin, Free Cash Flow and Adjusted Diluted Earnings Per Share (“EPS”). You should review the reconciliation and accompanying disclosures carefully in connection with your consideration of such non-GAAP measures and note that the way in which we calculate these measures may not be comparable to similarly titled measures employed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S-vi</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PROSPECTUS SUPPLEMENT SUMMARY</w:t>
      </w:r>
    </w:p>
    <w:p>
      <w:pPr>
        <w:pStyle w:val="TextBody"/>
        <w:bidi w:val="0"/>
        <w:spacing w:lineRule="auto" w:line="288" w:before="0" w:after="180"/>
        <w:jc w:val="both"/>
        <w:rPr>
          <w:rFonts w:ascii="Times New Roman;sans-serif" w:hAnsi="Times New Roman;sans-serif"/>
          <w:b w:val="false"/>
          <w:i/>
          <w:color w:val="002D72"/>
          <w:sz w:val="20"/>
          <w:bdr w:val="single" w:sz="8" w:space="36" w:color="002D72"/>
        </w:rPr>
      </w:pPr>
      <w:r>
        <w:rPr>
          <w:rFonts w:ascii="Times New Roman;sans-serif" w:hAnsi="Times New Roman;sans-serif"/>
          <w:b w:val="false"/>
          <w:i/>
          <w:color w:val="002D72"/>
          <w:sz w:val="20"/>
          <w:bdr w:val="single" w:sz="8" w:space="36" w:color="002D72"/>
        </w:rPr>
        <w:t>The following summary highlights selected information about our company and this offering. It does not contain all of the information that you should consider before investing in our common stock. For a more comprehensive understanding of our company and this offering, you should read the more detailed information set out in or incorporated by reference into this prospectus supplement and the accompanying prospectus, including the risk factors, the financial statements and related notes thereto, before making an investment decision. Some of the statements in the following summary constitute forward-looking statements. See “Special Note Regarding Forward-Looking Statements” and “Risk Factors” in this prospectus supplement.</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Overview</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DRS is an innovative and agile provider of advanced defense technology to U.S. national security customers and allies around the world. We specialize in the design, development and manufacture of advanced sensing, network computing, force protection, as well as electric power and propulsion technologies and solutions. The strength of our market positioning in these technology areas have created a foundational and diverse base of programs across the U.S. Department of Defense (“DoD”) and other customers. We believe these technologies will not only support our customers in today’s mission but will also underpin their strategy to migrate towards more autonomous, dynamic, interconnected, and multi-domain capabilities needed to defend against and counter evolving and emerging threats. We view more advanced capabilities in sensing, computing, force protection and power as necessary to enable these strategic priorities.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Our overall strategy includes being a balanced and diversified company, less vulnerable to any one platform or service budgetary decision with a specific focus on establishing strong technical and market positions in areas of priority for the DoD. The DoD is our largest customer and for the nine months ended September 30, 2023, accounted for approximately 80% of our business as an end-user, with revenues principally derived directly or indirectly from contracts with the U.S. Navy and U.S. Army, which represented 40% and 29%, respectively, of our total revenues for such period, which is consistent with historic trends. For the years ended December 31, 2022, 2021 and 2020, the DoD accounted for approximately 84%, 86% and 84%, respectively, of our business as an end-user, with revenues principally derived directly or indirectly from contracts with the U.S. Navy and U.S. Army, which represented 32% and 37%, 31% and 38% and 32% and 43%, respectively, of our total revenues for the years ended December 31, 2022, 2021 and 2020.</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Our operations and reporting are structured into the following two technology driven segments based on the capabilities and solutions offered to our customers:</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Advanced Sensing and Computing</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Our Advanced Sensing and Computing (“ASC”) segment designs, develops and manufactures sensing and network computing technology that enables real-time situational awareness required for enhanced operational decision making and execution by our customers. </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Our sensing capabilities span numerous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(“AESA”) tactical radars, dismounted soldier sensing and space sensing. Across our offerings, we are focused on advancing sensor distance and enhancing the precision, clarity, definition, spectral depth and effectiveness of our sensors. We also seek to leverage the knowledge and expertise built through our decades of experience to optimize size, weight, power and cost for our customers’ specific mission requirements.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Our sensing capabilities are complemented by our rugged, trusted and cyber resilient network computing products. Our network computing offerings are utilized across a broad range of mission applications including platform computing on ground and shipboard (both surface ship and submarine) for advanced battle management, combat systems, radar, command and control (“C2”), tactical networks, tactical computing and communications. These products help support the DoD’s need for greater situational understanding at the tactical edge by rapidly transmitting data securely between command centers and forward-positioned defense assets and personnel. </w:t>
      </w:r>
    </w:p>
    <w:p>
      <w:pPr>
        <w:pStyle w:val="TextBody"/>
        <w:bidi w:val="0"/>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w:t>
                      </w:r>
                    </w:p>
                  </w:txbxContent>
                </v:textbox>
                <w10:wrap type="none"/>
              </v:rect>
            </w:pict>
          </mc:Fallback>
        </mc:AlternateConten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Integrated Mission Systems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Our Integrated Mission Systems (“IMS”) segment designs, develops, manufactures and integrates power conversion, control and distribution systems, ship propulsion systems, motors and variable frequency drives, force protection systems, and transportation and logistics systems for the U.S. military and allied defense customers. </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DRS is currently a leading provider of next-generation electrical propulsion systems for the U.S. Navy. We provide power conversion, control, distribution and propulsion systems for the Navy’s top priority shipbuilding programs, including the Columbia Class ballistic missile submarine, the first modern U.S. electric drive submarine. </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We believe DRS is well positioned to meet the needs of an increasingly electrified fleet with our high-efficiency, power dense permanent magnet motors, energy storage systems and associated efficient, rugged and compact power conversion, electrical actuation systems, and advanced cooling technologies. </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DRS is also an integrator of complex systems in ground vehicles for short-range air defense, counter-unmanned aerial systems (“C-UAS”), and vehicle survivability and protection. Our short-range air defense systems integrate EW equipment, reconnaissance and surveillance systems, modular combat vehicle turrets, and stabilized sensor suites, as well as kinetic countermeasures to protect against evolving threats. Our force protection systems, including solutions for C-UAS and active protection systems on army vehicles, help protect personnel and defense assets from enemy combatants.</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Focus on Customer and Execution</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every lesson experienced in our Company and insist that these lessons affect all elements of our businesses. This approach permeates through the Company with a focus on continuous improvement at every level.</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Part of this learning has resulted in institutionalizing our continuous improvement process through our Business Excellence initiative called “Always Performing For Excellence,” or “APEX,” program. The APEX program’s goal is to strive for continuous improvement through unification of all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Continuous improvement through the APEX program also allows us to improve our efficiency and agility, which we believe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Our Competitive Strengths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We are an innovative and differentiated defense technology company that is primarily focused on U.S. and allied defense customers. We have significant attributes that we believe position us well in the market. DRS has a rich, multi-decade heritage and reputation for excellence that has resulted in deep, long-standing customers and tenured positions on critical programs. We are recognized by our customers as a trusted systems integrator and critical defense technology supplier. Our platform agnostic business model has resulted in a differentiated and </w:t>
      </w:r>
    </w:p>
    <w:p>
      <w:pPr>
        <w:pStyle w:val="TextBody"/>
        <w:bidi w:val="0"/>
        <w:spacing w:before="0" w:after="18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balanced portfolio of technologies, customers and programs. Our culture of innovation has resulted in a robust intellectual property (“IP”) portfolio across a range of defense technologies and solutions leading to sole source program positions. Additionally, we have positioned the business in enduring areas of budget priority where we see continuing growth opportunity and strong customer demand for our mission critical technologies spanning advanced sensing, network computing, force protection and electric power and propulsion. </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Our rich, multi-decade heritage and reputation for excellence has resulted in deep, long-standing customers and tenured positions on critical programs.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For over five decades, DRS has advanced its portfolio through focused innovation, targeted investments, selective partnerships and mergers and acquisitions. DRS has differentiated solutions for a variety of critical customer missions across a number of defense platforms. It is a trusted systems integrator and innovative critical defense technology supplier relied upon by a variety of long-standing customers as evidenced by tenured positions on critical programs. DRS has an extensive installed base of existing products that spans ground and naval network computer systems, ground combat vehicle sensing and dismounted soldier sensing as well as critical naval computing infrastructure and technology on every U.S. naval combatant vessel in service. The notable platforms for this installed base include: surface ships, submarines, tracked and wheeled ground vehicles, fixed and rotary wing aircraft, unmanned aircraft, operating bases, and commercial vehicles and facilities. This installed base of existing products provides us opportunities for upgrades and new business that leverages these solutions.</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Our platform agnostic business model results in a differentiated and balanced portfolio of technologies, customers and programs.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Our overall strategy includes being a balanced and diversified company, less vulnerable to any one budgetary platform or service decision with a specific focus on establishing strong technical and market positions in areas of priority for the DoD. Additionally, DRS serves a diverse set of customers across branches operating in both a prime and subcontractor role. We have a diverse program base with no single program accounting for or more than 10% of our revenue. Furthermore, we have balanced revenue exposure to our four key technology focus areas.</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Our portfolio of defense technologies is strategically aligned with key DoD priorities spanning domains.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We believe that our product and technology portfolio aligns with customer needs to deter, defend against and counter current and evolving threats coming from nation-states to violent non-state actors. Our differentiated technology portfolio, deep understanding of customer priorities and our culture of innovation and agility enable us to adapt quickly and anticipate the needs of our customers. Additionally, our portfolio of technologies and capabilities has applications that cut across our business, allowing us to leverage research and development (“R&amp;D”) and IP across multiple product lines, customers, platforms and mission applications. We have also migrated to provide higher-value integrated sub-systems and systems, which has facilitated increased scope and content as well as expanded market share through the integration of our own products and technologies.</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 xml:space="preserve">We are focused on building upon our strong track record of growth and margin expansion. </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Over the past five years through 2022, we have had a revenue compound annual growth rate of 7%, while simultaneously expanding profit and profit margins. We have accomplished this through key program wins and sole-source positions, including prominent positions on the Columbia Class submarine program as well as extending and expanding our positions across embedded computing, advanced sensing and force protection efforts. Going forward, we anticipate that our strong alignment to key areas of customer priority coupled with our strong portfolio present clear growth opportunities. Additionally, we believe our continued success in transitioning low-margin development programs to full rate production will facilitate further margin expansion and corresponding cash flow generation. Across our business, our continuous improvement culture is embodied in our APEX program, which strives to reduce cost and improves efficiencies while increasing the quality of our products and services.</w:t>
      </w:r>
    </w:p>
    <w:p>
      <w:pPr>
        <w:pStyle w:val="TextBody"/>
        <w:bidi w:val="0"/>
        <w:spacing w:before="0" w:after="18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w:t>
                      </w:r>
                    </w:p>
                  </w:txbxContent>
                </v:textbox>
                <w10:wrap type="none"/>
              </v:rect>
            </w:pict>
          </mc:Fallback>
        </mc:AlternateConten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 xml:space="preserve">Our robust backlog and steady customer demand in the form of bookings provide a solid foundation for multi-year visibility. </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As of September 30, 2023, DRS had a total backlog of approximately $4.7 billion. Furthermore, DRS continues to enjoy strong customer demand as evidenced by healthy bookings. Our backlog, bookings and continued customer demand provide us clear multi-year visibility and bolster our confidence in future growth. Additionally, the Company’s sizeable sole source positions and limited near-term recompetes permit the Company to focus on new programs, customers and technologies to drive growth. Subsequent to the third quarter of 2023 and not included in the $4.7 billion of backlog noted above, we agreed to contract terms and pricing totaling over $3 billion for the majority of our electric power and propulsion system on the remaining seven Columbia Class submarines. </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Our highly experienced leadership team and talented workforce have transformed DRS.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Our leadership team has transformed DRS into the differentiated defense technology company it is today through a long-term strategy prioritized on growth. We have done this through active portfolio management with targeted investment to growing technological capabilities and acquisitions of smaller accretive companies that fill key strategic gaps in our portfolio, and by creating partnerships or joint ventures to supplement our intellectual property. The result of these efforts has led DRS to be well-positioned in the U.S. defense market. Our leadership team has an average tenure of 18 years with the Company and nearly 30 years in the industry.</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Our workforce of approximately 6,500 people as of September 30, 2023 is highly innovative and we maintain a culture that fosters and rewards growth, problem-solving, technology development, and process improvements. We have approximately 2,100 world-class engineers highly trained to work on programs in sensing, electro-optical infrared systems, laser systems, network computing, communications systems, integration, and power propulsion. Our employees maintain over 1,500 security clearances to allow engineers and management to carry on business activities for our customers’ classified programs. Our strong commitment to diversity, inclusion, innovation, agility, and a culture of respect in the workplace has fostered a highly collaborative and motivated workforce. As a Company, we are mindful of our opportunities and responsibilities to positively contribute to the communities in which we operate. Embedded in our corporate values is a commitment to workplace safety, charitable contribution and sustainability. Our human resources policies, programs, benefits, and flexible work arrangements have been designed to facilitate the recruitment, development, and retention of top talent. </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Our Growth Strategy</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Our growth strategy is focused on four pillars: targeting investment to drive organic growth; executing on our programs to enhance profitability; actively managing our portfolio for optimization; and taking care of our people. Our goal is to grow and increase margins faster than the overall defense market through focused market selection, technology differentiation and business excellence. Our vision is to be the best mid-tier defense technology company in the U.S. market.</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Targeting Investment to Drive Organic Growth</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We strategically select the markets where we compete and the programs on which we bid.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target programs in markets where we have strong core technology and where the DoD is focused. We seek to compete in the areas in which we have a technological or market advantage, and which will attract funding. As an example, we have expanded our core technology to focus on force protection. We prioritized investments in the force protection market given the diminished customer capabilities in this arena as a result of a multi-decade focus on asymmetric warfare priorities. In recent years, our customers have shifted their focus to deterring and countering threats posed by near peer adversaries. As such, we invested in our advanced sensing, integration and counter-measure capabilities to ensure the safety of our service men and women against those potential threats. This has been evident in the receipt of foundational programs to protect both airborne and ground-based platforms. Our latest example is our recent sole source mobile-low, slow small unmanned aircraft integrated defeat system (“MLIDS”) contract award, which combines our advanced sensing with our trusted position as a system integrator to combat the rapidly evolving drone threat evidenced by recent conflicts.</w:t>
      </w:r>
    </w:p>
    <w:p>
      <w:pPr>
        <w:pStyle w:val="TextBody"/>
        <w:bidi w:val="0"/>
        <w:spacing w:before="0" w:after="18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S-4</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target our investments in core technologies in areas of high market growth. Our investments fill gaps, create leading market offerings and make capital improvements to our business. We are also awarded, and leverage, significant customer research and development funding to complement our investments.</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Executing on Our Programs to Enhance Profitability</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We remain focused on continuing to drive operational enhancements and efficiencies, which we believe will result in improved profitability over time. We believe that our world-class technology and innovative solutions coupled with the transition of development programs into production will serve as the foundation for continued profitable growth.</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believe that outstanding performance and timely execution on our programs will win us new business and lead to profitable growth, including new opportunities for follow-on orders which will add to our growing production base. Our recent short-range air defense program is an example of a program that we were able to win because of our reputation with the customer and our ability to quickly react to their needs.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Integrated systems offerings of our products and systems should further expand margins as we continue to grow revenues. Our Integrated Missions Systems business, for example, has strong integration capabilities which should enable us to grow content on programs as we increase our role from smaller sub-systems into full systems integration.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Successful execution on key development programs in early phases is expected to drive a transition to higher margin business in production, bringing sustained profitable success. Our Columbia Class submarine program is an example of a fixed-price development program that we invested in while recognizing that it will deliver long-term profitable growth, as it fully transitions into production in the near-term. </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APEX program focuses on the achievement of operational savings in production, supply chain and our overall cost structure. The APEX program’s goal is to strive for continuous improvement through unification of our business practices, tools and metrics, ongoing employee training and innovation. Commitment to excellence requires us to challenge ourselves to exceed our customers’ expectations. A culture of continuous improvement should allow us to improve our efficiency and increase our margins.</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Actively Managing our Portfolio for Optimization</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We manage our portfolio to optimize our growth in areas where we have the strongest core technology base, where we have a competitive cost structure and where the defense market is growing.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DRS has a portfolio of products and solutions that we believe are positioned to move up the value chain to provide sub-systems and integrated systems and solutions. We regularly assess our portfolio to ensure strong alignment with our customers’ needs and priorities and consider accretive acquisitions in areas where we have strategic gaps to address our customer’s needs.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employ a strategy of active IP management to acquire technologies and IP through partnerships, teaming arrangements, strategic licenses and other business arrangements. This active IP management strategy allows us access to new technologies in a disciplined manner to maintain the strength of our diversified portfolio.</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Continue to Take Care of Our People</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We seek to recruit and retain the highest caliber of talent through competitive pay and benefits packages, inclusive employee policies, succession planning, and skills and development programs to foster an innovative and modern workforce.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strive to maintain the highest ethical standards and foster a collaborative and respectful work environment for all of our employees.</w:t>
      </w:r>
    </w:p>
    <w:p>
      <w:pPr>
        <w:pStyle w:val="TextBody"/>
        <w:bidi w:val="0"/>
        <w:spacing w:before="0" w:after="18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S-5</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regularly assess and make thoughtful changes to our employee practices, including enhancements to our pay and benefits offerings, flexible work arrangements, and skill and development programs, to support career growth opportunities and facilitate attraction and retention of top talent.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have implemented a strong diversity and inclusion program that helps us to bring diverse ideas and perspectives to decision-making, problem-solving, and innovation, allowing us to draw from the largest pool of available talent.</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History of the Company</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DRS was founded in 1969, in Mount Vernon, New York, as Diagnostic Retrieval Systems, and soon became best known by its acronym, DRS. In 1981, we first became a publicly traded company. Over the subsequent decades, DRS experienced a period of rapid growth driven in large part by numerous acquisitions. In 2008, our stock ceased to be publicly traded when we were acquired by the Italian-headquartered Finmeccanica S.p.A. (now known as Leonardo S.p.A.) and we subsequently rebranded ourselves as Leonardo DRS. Since the Leonardo acquisition, we have operated under agreements with the DoD and related security policies in order to limit Leonardo’s ability to control our business operations. In 2022, DRS merged with RADA Electronic Industries Ltd. (“RADA”) in an all-stock combination that reduced Leonardo S.p.A’s ownership stake in DRS to approximately 81%, and resulted in DRS becoming a publicly listed company on the Nasdaq and the TASE, with trading commencing on November 29, 2022. As previously announced, we are taking steps to voluntarily delist the Company’s common stock from trading on the TASE. Pursuant to Israeli law, the last trading day on the TASE is expected to occur on or around December 27, 2023, and the delisting of our common stock from the TASE is expected to take effect on or around December 31, 2023.</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Governance Structure</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As a U.S. defense contractor with high-level personnel and facility security clearances, DRS, our immediate majority stockholder, US Holding, and our ultimate majority stockholder, Leonardo S.p.A., have entered into a proxy agreement with the DoD to mitigate against the potential for undue foreign ownership control and influence (“FOCI”) on the performance of classified programs by implementing various limitations on US Holding’s and Leonardo S.p.A.’s rights as the majority stockholder of DRS. Specifically, US Holding has authorized certain cleared U.S. persons to operate as its proxies and exercise the key prerogatives of stock ownership. We are currently operating under an interim proxy agreement while we seek to enter into a new proxy agreement with the DoD. The proxy agreement requires that DRS have the financial and operational ability to operate as an independent entity under an independent board, subject to certain limited, enumerated consent rights of the majority stockholder (including material mergers and acquisitions and incurrence of debt). See Part I Item 1A, “Risk Factors – Risks Relating to Our Ownership and Status under the Proxy Agreement – 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 in our Annual Report, which is incorporated by reference herein.</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Our Ultimate Majority Stockholder</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Leonardo S.p.A., a global high-technology company, is a leading global Aerospace, Defense and Security company and one of Italy’s main industrial companies. Organized into five business Sectors, Leonardo S.p.A. has a significant industrial presence in Italy, the United Kingdom, Germany, Poland, Switzerland and the USA, where it operates through subsidiaries, joint ventures and partnerships as: GIE ATR, MBDA, Telespazio, Thales Alenia Space, Hensoldt AG and other minor entities. Leonardo S.p.A. competes in the most important international markets by leveraging its areas of technological and product leadership (Helicopters, Defense Electronics &amp; Security, Aircraft, Aerostructures and Space). Listed on the Milan Stock Exchange (under the trading symbol “LDO”), in 2022 Leonardo S.p.A. recorded consolidated revenues of €14.7 billion and invested €2.0 billion in R&amp;D. The group has been part of the Dow Jones Sustainability Index (“DJSI”) since 2010 and was again named as sustainability global leader in the Aerospace &amp; Defense sector of DJSI in 2022.</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After the completion of this offering, we expect that Leonardo S.p.A. will indirectly hold 73.3% of our common stock through US Holding (or 72.3% if the underwriters exercise their option to purchase additional shares from the </w:t>
      </w:r>
    </w:p>
    <w:p>
      <w:pPr>
        <w:pStyle w:val="TextBody"/>
        <w:bidi w:val="0"/>
        <w:spacing w:before="0" w:after="18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selling stockholder). As a result, we expect to continue to be a “Controlled Company” within the meaning of the Nasdaq rules, following the completion of this offering. This status will allow us to rely on exemptions from certain corporate governance requirements otherwise applicable to listed companies, although we currently do not intend to use these exemptions.</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Summary Risk Factors</w:t>
      </w:r>
    </w:p>
    <w:p>
      <w:pPr>
        <w:pStyle w:val="TextBody"/>
        <w:bidi w:val="0"/>
        <w:spacing w:lineRule="auto" w:line="288" w:before="0" w:after="180"/>
        <w:jc w:val="both"/>
        <w:rPr/>
      </w:pPr>
      <w:r>
        <w:rPr>
          <w:rFonts w:ascii="Times New Roman;sans-serif" w:hAnsi="Times New Roman;sans-serif"/>
          <w:b w:val="false"/>
          <w:color w:val="002D72"/>
          <w:sz w:val="20"/>
          <w:bdr w:val="single" w:sz="8" w:space="36" w:color="002D72"/>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under the headings “</w:t>
      </w:r>
      <w:hyperlink w:anchor="i11f4275a625c41fb9cf0bbd2eeb8aaf5_151">
        <w:r>
          <w:rPr>
            <w:rStyle w:val="InternetLink"/>
            <w:rFonts w:ascii="Times New Roman;sans-serif" w:hAnsi="Times New Roman;sans-serif"/>
            <w:b w:val="false"/>
            <w:color w:val="002D72"/>
            <w:sz w:val="20"/>
            <w:u w:val="single"/>
            <w:bdr w:val="single" w:sz="8" w:space="36" w:color="002D72"/>
          </w:rPr>
          <w:t>Risk Factors</w:t>
        </w:r>
      </w:hyperlink>
      <w:r>
        <w:rPr>
          <w:color w:val="002D72"/>
          <w:bdr w:val="single" w:sz="8" w:space="36" w:color="002D72"/>
        </w:rPr>
        <w:t xml:space="preserve">” </w:t>
      </w:r>
      <w:r>
        <w:rPr>
          <w:rFonts w:ascii="Times New Roman;sans-serif" w:hAnsi="Times New Roman;sans-serif"/>
          <w:b w:val="false"/>
          <w:color w:val="002D72"/>
          <w:sz w:val="20"/>
          <w:bdr w:val="single" w:sz="8" w:space="36" w:color="002D72"/>
        </w:rPr>
        <w:t xml:space="preserve">beginning on page </w:t>
      </w:r>
      <w:hyperlink w:anchor="i11f4275a625c41fb9cf0bbd2eeb8aaf5_151">
        <w:r>
          <w:rPr>
            <w:rStyle w:val="InternetLink"/>
          </w:rPr>
          <w:t>S-</w:t>
        </w:r>
      </w:hyperlink>
      <w:hyperlink w:anchor="i11f4275a625c41fb9cf0bbd2eeb8aaf5_151">
        <w:r>
          <w:rPr>
            <w:rStyle w:val="InternetLink"/>
          </w:rPr>
          <w:t>17</w:t>
        </w:r>
      </w:hyperlink>
      <w:r>
        <w:rPr>
          <w:color w:val="002D72"/>
          <w:bdr w:val="single" w:sz="8" w:space="36" w:color="002D72"/>
        </w:rPr>
        <w:t xml:space="preserve"> </w:t>
      </w:r>
      <w:r>
        <w:rPr>
          <w:rFonts w:ascii="Times New Roman;sans-serif" w:hAnsi="Times New Roman;sans-serif"/>
          <w:b w:val="false"/>
          <w:color w:val="002D72"/>
          <w:sz w:val="20"/>
          <w:bdr w:val="single" w:sz="8" w:space="36" w:color="002D72"/>
        </w:rPr>
        <w:t>in this prospectus supplement and in our Annual Report and our Quarterly Reports incorporated by reference into this prospectus supplement and the accompanying prospectus. See “Where You Can Find Additional Information; Incorporation of Certain Information by Reference.” These risks include, but are not limited to, the following: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depend on U.S. defense spending for the vast majority of our revenues. Disruptions or deteriorations in our relationships with the relevant customer agencies of the U.S. government could have a material adverse impact on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operate in a highly regulated environment and are routinely audited and reviewed by the U.S. government and its agencies.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U.S. government has and may continue to implement initiatives focused on efficiencies, affordability and cost growth as well as other changes to its procurement practices.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use estimates in pricing and accounting for many of our programs, and changes in our estimates could adversely impact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pStyle w:val="TextBody"/>
        <w:bidi w:val="0"/>
        <w:spacing w:before="0" w:after="18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S-7</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business may be harmed if we are unable to appropriately manage our inventory.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working capital requirements and cash flows are extremely variable and subject to fluctuation, which could have a material adverse effect on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cannot predict future capital needs, the sufficiency of our current financing or our ability to obtain additional financing if we need it.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cannot predict the effect of global and regional economic downturns and rising interest rates on our business.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As a public company, we have incurred and will continue to incur significant legal, accounting and other expenses that we did not incur as a private company.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As a public company we must maintain an effective system of internal control over financial reporting.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agreements governing our debt may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To service indebtedness and fund other cash needs, we will require a significant amount of cash, and our ability to generate cash depends on many factors beyond our control.</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face intense competition and may suffer losses if we fail to compete efficiently.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Preferences or set-asides for minority-owned, small and small disadvantaged businesses could impact our ability to be a prime contractor and limit our opportunity to work as a subcontractor on certain governmental procurements.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depend in part upon our relationships and alliances with industry participants in order to generate revenue, which involves risks and uncertainties.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Contractual disputes with industry participants or the inability of our key suppliers to timely deliver our components, parts or services, could cause our products, systems or services to be produced or delivered in an untimely or unsatisfactory manner.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are susceptible to a security breach, through cyber-attack, cyber-intrusion, insider threats or otherwise, and to other significant disruptions of our IT networks and related systems, or those of our customers, suppliers, vendors, subcontractors, partners, or other third parties.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may be at greater risk from terrorism and other threats to our physical security and personnel, than other companies.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future success will depend on our ability to respond to the rapid technological changes in the markets in which we compete, and our ability to introduce new or enhanced products and to enter into new markets.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may not be able to fully exploit or obtain patents or other intellectual property protections necessary to secure our proprietary technology.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Third parties have claimed in the past and may claim in the future that we are infringing directly or indirectly upon their intellectual property rights, and third parties may infringe upon our intellectual property rights.</w:t>
      </w:r>
    </w:p>
    <w:p>
      <w:pPr>
        <w:pStyle w:val="TextBody"/>
        <w:bidi w:val="0"/>
        <w:spacing w:before="0" w:after="18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S-8</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reputation and ability to do business may be impacted by the improper conduct of our employees, agents, affiliates, subcontractors, suppliers, business partners or joint ventures in which we participate.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are subject to environmental laws and regulations, and our ongoing operations may expose us to environmental liabilities affecting our reputation,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business, financial condition, and results of operations could be materially adversely affected by climate change regulations.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international business exposes us to additional risks, including risks related to geopolitical conflicts, including the war in Israel, and economic factors, laws and regulations.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may not be successful in obtaining the export licenses necessary to conduct certain operations abroad, and Congress may prevent proposed sales to certain foreign governments.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 failure to attract and retain technical and other key personnel could reduce our revenues and our operational effectiveness.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business could be harmed in the event of a prolonged work stoppage.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have unfunded obligations under our pension plans, and we use estimates in accounting for our pension plans and changes in our estimates could adversely affect our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Changes to financial accounting standards may affect our results of operations and cause us to change our business practices.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use our net operating losses to offset future taxable income may be subject to certain limitations.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could be liable for certain tax liabilities, including tax liabilities of US Holding and its subsidiaries, under tax law and the tax allocation agreement.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Acquisitions could result in operating difficulties, dilution and other harmful consequences.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Failure to properly contain a global pandemic in a timely manner could materially affect how we and our business partners are operating.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have significant operations in locations that could be materially and adversely impacted in the event of a natural disaster or other significant disruption.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leases may be terminated or we may be unable to renew our leases on acceptable terms and if we wish to relocate, we may incur additional costs if we terminate a lease.</w:t>
      </w:r>
    </w:p>
    <w:p>
      <w:pPr>
        <w:pStyle w:val="TextBody"/>
        <w:bidi w:val="0"/>
        <w:spacing w:before="0" w:after="18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S-9</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cannot predict the consequences of future geopolitical events, but they may adversely affect the markets in which we operate, our ability to insure against risk, our operations or our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Geopolitical conflicts, including the war in Israel, have the potential to evolve quickly, creating uncertainty in the world and broader Middle East region specifically, along with the potential for disruptions to our Israeli operations, including but not limited to workforce calls for duty, transportation and other logistical impacts and reduced customer confidence.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Committee on Foreign Investment in the United States may modify, delay or prevent our future acquisition or investment activities.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ultimate majority stockholder, Leonardo S.p.A., may have interests that are different from, or conflict with, those of our other stockholders, and their significant ownership in us may discourage change of control transactions. We also have ongoing obligations in favor of Leonardo S.p.A.</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amended and restated certificate of incorporation provides that we waive any interest or expectancy in corporate opportunities presented to Leonardo S.p.A.</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We are legally bound to provide certain services to Leonardo S.p.A., which may divert human and financial resources from our business, and to rely on the provision of certain services from Leonardo S.p.A., which we may be unable to replicate should the need arise.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Some of our contracts with the U.S. government are classified, which may limit investor insight into portions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S-10</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THE OFFERING</w:t>
      </w:r>
    </w:p>
    <w:tbl>
      <w:tblPr>
        <w:tblW w:w="10205" w:type="dxa"/>
        <w:jc w:val="left"/>
        <w:tblInd w:w="0" w:type="dxa"/>
        <w:tblLayout w:type="fixed"/>
        <w:tblCellMar>
          <w:top w:w="28" w:type="dxa"/>
          <w:left w:w="28" w:type="dxa"/>
          <w:bottom w:w="28" w:type="dxa"/>
          <w:right w:w="28" w:type="dxa"/>
        </w:tblCellMar>
      </w:tblPr>
      <w:tblGrid>
        <w:gridCol w:w="562"/>
        <w:gridCol w:w="484"/>
        <w:gridCol w:w="485"/>
        <w:gridCol w:w="2619"/>
        <w:gridCol w:w="2545"/>
        <w:gridCol w:w="3510"/>
      </w:tblGrid>
      <w:tr>
        <w:trPr/>
        <w:tc>
          <w:tcPr>
            <w:tcW w:w="56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Common stock offered by the selling stockholder</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2D72"/>
                <w:sz w:val="20"/>
              </w:rPr>
            </w:pPr>
            <w:r>
              <w:rPr>
                <w:rFonts w:ascii="Times New Roman;sans-serif" w:hAnsi="Times New Roman;sans-serif"/>
                <w:b w:val="false"/>
                <w:color w:val="002D72"/>
                <w:sz w:val="20"/>
              </w:rPr>
              <w:t>18,000,000 shares</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Common stock to be outstanding after this offering</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2D72"/>
                <w:sz w:val="20"/>
              </w:rPr>
            </w:pPr>
            <w:r>
              <w:rPr>
                <w:rFonts w:ascii="Times New Roman;sans-serif" w:hAnsi="Times New Roman;sans-serif"/>
                <w:b w:val="false"/>
                <w:color w:val="002D72"/>
                <w:sz w:val="20"/>
              </w:rPr>
              <w:t>262,370,008 shares</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Option to purchase additional shares.</w:t>
            </w:r>
          </w:p>
        </w:tc>
        <w:tc>
          <w:tcPr>
            <w:tcW w:w="86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2D72"/>
                <w:sz w:val="20"/>
              </w:rPr>
            </w:pPr>
            <w:r>
              <w:rPr>
                <w:rFonts w:ascii="Times New Roman;sans-serif" w:hAnsi="Times New Roman;sans-serif"/>
                <w:b w:val="false"/>
                <w:color w:val="002D72"/>
                <w:sz w:val="20"/>
              </w:rPr>
              <w:t>The underwriters have a 30-day option to purchase up to 2,700,000 additional shares of common stock from the selling stockholder at the public offering price, less underwriting discounts and commissions. See “Underwriting.”</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Use of proceeds</w:t>
            </w:r>
          </w:p>
        </w:tc>
        <w:tc>
          <w:tcPr>
            <w:tcW w:w="86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2D72"/>
                <w:sz w:val="20"/>
              </w:rPr>
            </w:pPr>
            <w:r>
              <w:rPr>
                <w:rFonts w:ascii="Times New Roman;sans-serif" w:hAnsi="Times New Roman;sans-serif"/>
                <w:b w:val="false"/>
                <w:color w:val="002D72"/>
                <w:sz w:val="20"/>
              </w:rPr>
              <w:t>We will not receive any proceeds from the sale of common stock in this offering; the selling stockholder will receive all of the proceeds from the sale of shares of our common stock. See “Use of Proceeds.”</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Dividend policy</w:t>
            </w:r>
          </w:p>
        </w:tc>
        <w:tc>
          <w:tcPr>
            <w:tcW w:w="86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2D72"/>
                <w:sz w:val="20"/>
              </w:rPr>
            </w:pPr>
            <w:r>
              <w:rPr>
                <w:rFonts w:ascii="Times New Roman;sans-serif" w:hAnsi="Times New Roman;sans-serif"/>
                <w:b w:val="false"/>
                <w:color w:val="002D72"/>
                <w:sz w:val="20"/>
              </w:rPr>
              <w:t>We do not currently, nor do we expect to in the future, pay quarterly cash dividends. Such payments are at the discretion of our board and will depend upon our financial condition, results of operations, capital requirements, alternative uses of capital and other factors that our board may consider at its discretion. The proxy holders, in their capacity as directors, may only vote to declare or suspend dividends after prior consultation with US Holding so long as our proxy agreement with the DoD is in effect.</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Voting, distribution and liquidation rights</w:t>
            </w:r>
          </w:p>
        </w:tc>
        <w:tc>
          <w:tcPr>
            <w:tcW w:w="867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Each share of our common stock entitles its holder to: </w:t>
            </w:r>
          </w:p>
          <w:p>
            <w:pPr>
              <w:pStyle w:val="TableContents"/>
              <w:bidi w:val="0"/>
              <w:spacing w:lineRule="auto" w:line="240" w:before="0" w:after="180"/>
              <w:ind w:left="0" w:right="0" w:hanging="360"/>
              <w:jc w:val="both"/>
              <w:rPr/>
            </w:pPr>
            <w:r>
              <w:rPr>
                <w:color w:val="002D72"/>
              </w:rPr>
              <w:t>•</w:t>
            </w:r>
            <w:r>
              <w:rPr>
                <w:rFonts w:ascii="Times New Roman;sans-serif" w:hAnsi="Times New Roman;sans-serif"/>
                <w:b w:val="false"/>
                <w:color w:val="002D72"/>
                <w:sz w:val="20"/>
              </w:rPr>
              <w:t>cast one vote for each share held of record on all matters submitted to a vote of the stockholders;</w:t>
            </w:r>
          </w:p>
          <w:p>
            <w:pPr>
              <w:pStyle w:val="TableContents"/>
              <w:bidi w:val="0"/>
              <w:spacing w:lineRule="auto" w:line="240" w:before="0" w:after="180"/>
              <w:ind w:left="0" w:right="0" w:hanging="360"/>
              <w:jc w:val="both"/>
              <w:rPr/>
            </w:pPr>
            <w:r>
              <w:rPr>
                <w:color w:val="002D72"/>
              </w:rPr>
              <w:t>•</w:t>
            </w:r>
            <w:r>
              <w:rPr>
                <w:rFonts w:ascii="Times New Roman;sans-serif" w:hAnsi="Times New Roman;sans-serif"/>
                <w:b w:val="false"/>
                <w:color w:val="002D72"/>
                <w:sz w:val="20"/>
              </w:rPr>
              <w:t>receive, on a pro rata basis, dividends and distributions, if any, that our board may declare out of legally available funds, subject to preferences that may be applicable to preferred stock, if any, then outstanding; and</w:t>
            </w:r>
          </w:p>
          <w:p>
            <w:pPr>
              <w:pStyle w:val="TableContents"/>
              <w:bidi w:val="0"/>
              <w:spacing w:lineRule="auto" w:line="240" w:before="0" w:after="180"/>
              <w:ind w:left="0" w:right="0" w:hanging="360"/>
              <w:jc w:val="both"/>
              <w:rPr/>
            </w:pPr>
            <w:r>
              <w:rPr>
                <w:color w:val="002D72"/>
              </w:rPr>
              <w:t>•</w:t>
            </w:r>
            <w:r>
              <w:rPr>
                <w:rFonts w:ascii="Times New Roman;sans-serif" w:hAnsi="Times New Roman;sans-serif"/>
                <w:b w:val="false"/>
                <w:color w:val="002D72"/>
                <w:sz w:val="20"/>
              </w:rPr>
              <w:t>upon our liquidation, dissolution or winding up, share equally and ratably in any assets remaining after the payment of all debt and other liabilities, subject to the prior rights, if any, of holders of any outstanding shares of preferred stock.</w:t>
            </w:r>
          </w:p>
          <w:p>
            <w:pPr>
              <w:pStyle w:val="TableContents"/>
              <w:bidi w:val="0"/>
              <w:spacing w:lineRule="auto" w:line="288" w:before="0" w:after="0"/>
              <w:jc w:val="both"/>
              <w:rPr>
                <w:rFonts w:ascii="Times New Roman;sans-serif" w:hAnsi="Times New Roman;sans-serif"/>
                <w:b w:val="false"/>
                <w:color w:val="002D72"/>
                <w:sz w:val="20"/>
              </w:rPr>
            </w:pPr>
            <w:r>
              <w:rPr>
                <w:rFonts w:ascii="Times New Roman;sans-serif" w:hAnsi="Times New Roman;sans-serif"/>
                <w:b w:val="false"/>
                <w:color w:val="002D72"/>
                <w:sz w:val="20"/>
              </w:rPr>
              <w:t>The holders of our common stock have no preemptive, cumulative voting, subscription, conversion, redemption or sinking fund rights. The common stock is not subject to future calls or assessments by us. The rights and privileges of holders of our common stock are subject to any series of preferred stock that we may issue in the future. See “Description of Capital Stock” in the accompanying prospectus.</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Nasdaq and TASE symbol</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2D72"/>
              </w:rPr>
            </w:pPr>
            <w:r>
              <w:rPr>
                <w:color w:val="002D72"/>
              </w:rPr>
              <w:t>“</w:t>
            </w:r>
            <w:r>
              <w:rPr>
                <w:rFonts w:ascii="Times New Roman;sans-serif" w:hAnsi="Times New Roman;sans-serif"/>
                <w:b w:val="false"/>
                <w:color w:val="002D72"/>
                <w:sz w:val="20"/>
              </w:rPr>
              <w:t>DRS”.</w:t>
            </w:r>
          </w:p>
        </w:tc>
      </w:tr>
    </w:tbl>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Our common stock is listed on the Nasdaq and the Tel Aviv Stock Exchange, or the TASE. As previously announced, we are taking steps to voluntarily delist the Company’s common stock from trading on the TASE. Pursuant to Israeli law, the last trading day on the TASE is expected to occur on or around December 27, 2023 and the delisting of our common stock from the TASE is expected to take effect on or around December 31, 2023.</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Unless otherwise expressly stated or the context otherwise requires, the information in this prospectus supplement and the accompanying prospectus assumes no exercise of the underwriters’ option to purchase 2,700,000 additional shares of our common stock from the selling stockholder.</w:t>
      </w:r>
    </w:p>
    <w:p>
      <w:pPr>
        <w:pStyle w:val="TextBody"/>
        <w:bidi w:val="0"/>
        <w:spacing w:before="0" w:after="18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In addition, unless we indicate otherwise or the context otherwise requires, all information in this prospectus supplement and the accompanying prospectus reflects 262,370,008 shares of common stock outstanding as of November 1, 2023 and does not give effect to or reflect the following shares as of November 1, 2023:</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3,353,755 shares of common stock available for issuance upon the exercise of options under the 2022 Omnibus Equity Compensation Plan (the “2022 Equity Plan”) (of such options, 2,640,225 were vested and exercisable as of November 1, 2023);</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1,925,205 shares of common stock available for issuance upon the vesting of restricted stock units under the 2022 Equity Plan as of November 1, 2023;</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1,748,137 shares of common stock available for issuance upon the vesting of performance-based restricted stock units under the 2022 Equity Plan as of November 1, 2023; and </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3,093,149 shares of common stock available for further issuance under our 2022 Equity Plan after the completion of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S-12</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SUMMARY CONSOLIDATED FINANCIAL DATA</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The summary financial information for the years ended December 31, 2022, 2021 and 2020 has been derived from our audited Consolidated Financial Statements incorporated by reference in this prospectus supplement and the accompanying prospectus. The summary financial information for the three months ended September 30, 2023 and 2022 has been derived from our unaudited quarterly Consolidated Financial Statements incorporated by reference in this prospectus supplement and the accompanying prospectus. The unaudited quarterly Consolidated Financial Statements have been prepared on the same basis as the audited Consolidated Financial Statements and, in the opinion of management, reflect all adjustments necessary for the fair presentation of the Consolidated Financial Statements. Backlog and bookings data is presented as of the dates indicated below. This summary consolidated financial data should be read in conjunction with “Management’s Discussion and Analysis of Financial Condition and Results of Operations” and the financial statements included in our Annual Report and our Quarterly Reports, each incorporated by reference in this prospectus supplement and the accompanying prospectus. Historical results are not indicative of future operating results.</w:t>
      </w:r>
    </w:p>
    <w:tbl>
      <w:tblPr>
        <w:tblW w:w="10205" w:type="dxa"/>
        <w:jc w:val="left"/>
        <w:tblInd w:w="0" w:type="dxa"/>
        <w:tblLayout w:type="fixed"/>
        <w:tblCellMar>
          <w:top w:w="28" w:type="dxa"/>
          <w:left w:w="28" w:type="dxa"/>
          <w:bottom w:w="28" w:type="dxa"/>
          <w:right w:w="28" w:type="dxa"/>
        </w:tblCellMar>
      </w:tblPr>
      <w:tblGrid>
        <w:gridCol w:w="1310"/>
        <w:gridCol w:w="1024"/>
        <w:gridCol w:w="1027"/>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7"/>
      </w:tblGrid>
      <w:tr>
        <w:trPr/>
        <w:tc>
          <w:tcPr>
            <w:tcW w:w="131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2D72"/>
                <w:sz w:val="16"/>
              </w:rPr>
            </w:pPr>
            <w:r>
              <w:rPr>
                <w:rFonts w:ascii="Times New Roman;sans-serif" w:hAnsi="Times New Roman;sans-serif"/>
                <w:b w:val="false"/>
                <w:i/>
                <w:color w:val="002D72"/>
                <w:sz w:val="16"/>
              </w:rPr>
              <w:t>(Dollars in millions, except per share amounts)</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Year Ended </w:t>
              <w:br/>
              <w:t>December 31,</w:t>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2023</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2022</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2021</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2020</w:t>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2D72"/>
                <w:sz w:val="20"/>
              </w:rPr>
            </w:pPr>
            <w:r>
              <w:rPr>
                <w:rFonts w:ascii="Times New Roman;sans-serif" w:hAnsi="Times New Roman;sans-serif"/>
                <w:b/>
                <w:color w:val="002D72"/>
                <w:sz w:val="20"/>
              </w:rPr>
              <w:t>Consolidated Statements of Earnings Data:</w:t>
            </w:r>
          </w:p>
        </w:tc>
        <w:tc>
          <w:tcPr>
            <w:tcW w:w="1098" w:type="dxa"/>
            <w:gridSpan w:val="3"/>
            <w:tcBorders>
              <w:top w:val="single" w:sz="8" w:space="0" w:color="002D7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2D7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2D7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2D7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2D72"/>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703 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2,693 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2,879 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2,778 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Operating earnings</w:t>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59 </w:t>
            </w:r>
          </w:p>
        </w:tc>
        <w:tc>
          <w:tcPr>
            <w:tcW w:w="271"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376 </w:t>
            </w:r>
          </w:p>
        </w:tc>
        <w:tc>
          <w:tcPr>
            <w:tcW w:w="271"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561 </w:t>
            </w:r>
          </w:p>
        </w:tc>
        <w:tc>
          <w:tcPr>
            <w:tcW w:w="271"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236 </w:t>
            </w:r>
          </w:p>
        </w:tc>
        <w:tc>
          <w:tcPr>
            <w:tcW w:w="271"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181 </w:t>
            </w:r>
          </w:p>
        </w:tc>
        <w:tc>
          <w:tcPr>
            <w:tcW w:w="317"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Net earnings</w:t>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47 </w:t>
            </w:r>
          </w:p>
        </w:tc>
        <w:tc>
          <w:tcPr>
            <w:tcW w:w="271"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279 </w:t>
            </w:r>
          </w:p>
        </w:tc>
        <w:tc>
          <w:tcPr>
            <w:tcW w:w="271"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405 </w:t>
            </w:r>
          </w:p>
        </w:tc>
        <w:tc>
          <w:tcPr>
            <w:tcW w:w="271"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154 </w:t>
            </w:r>
          </w:p>
        </w:tc>
        <w:tc>
          <w:tcPr>
            <w:tcW w:w="271"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85 </w:t>
            </w:r>
          </w:p>
        </w:tc>
        <w:tc>
          <w:tcPr>
            <w:tcW w:w="317"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Basic and diluted earnings per share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0.40 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2D72"/>
                <w:sz w:val="20"/>
              </w:rPr>
            </w:pPr>
            <w:r>
              <w:rPr>
                <w:rFonts w:ascii="Times New Roman;sans-serif" w:hAnsi="Times New Roman;sans-serif"/>
                <w:b/>
                <w:color w:val="002D72"/>
                <w:sz w:val="20"/>
              </w:rPr>
              <w:t>Consolidated Statement of Cash Flows Data:</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Net cash provided by (used in) operating activities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125 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2D72"/>
                <w:sz w:val="20"/>
              </w:rPr>
            </w:pPr>
            <w:r>
              <w:rPr>
                <w:rFonts w:ascii="Times New Roman;sans-serif" w:hAnsi="Times New Roman;sans-serif"/>
                <w:b/>
                <w:color w:val="002D72"/>
                <w:sz w:val="20"/>
              </w:rPr>
              <w:t>Other Financial Data:</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2D72"/>
                <w:sz w:val="20"/>
              </w:rPr>
              <w:t xml:space="preserve">Adjusted EBITDA </w:t>
            </w:r>
            <w:r>
              <w:rPr>
                <w:rFonts w:ascii="Times New Roman;sans-serif" w:hAnsi="Times New Roman;sans-serif"/>
                <w:b w:val="false"/>
                <w:color w:val="002D72"/>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268 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2D72"/>
                <w:sz w:val="20"/>
              </w:rPr>
              <w:t xml:space="preserve">Adjusted EBITDA Margin </w:t>
            </w:r>
            <w:r>
              <w:rPr>
                <w:rFonts w:ascii="Times New Roman;sans-serif" w:hAnsi="Times New Roman;sans-serif"/>
                <w:b w:val="false"/>
                <w:color w:val="002D72"/>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2D72"/>
                <w:sz w:val="20"/>
              </w:rPr>
              <w:t xml:space="preserve">Free cash flow </w:t>
            </w:r>
            <w:r>
              <w:rPr>
                <w:rFonts w:ascii="Times New Roman;sans-serif" w:hAnsi="Times New Roman;sans-serif"/>
                <w:b w:val="false"/>
                <w:color w:val="002D72"/>
                <w:sz w:val="13"/>
              </w:rPr>
              <w:t>(1)</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2D72"/>
                <w:sz w:val="20"/>
              </w:rPr>
              <w:t xml:space="preserve">Backlog </w:t>
            </w:r>
            <w:r>
              <w:rPr>
                <w:rFonts w:ascii="Times New Roman;sans-serif" w:hAnsi="Times New Roman;sans-serif"/>
                <w:b w:val="false"/>
                <w:color w:val="002D72"/>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4,719 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2,861 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3,291 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2D72"/>
                <w:sz w:val="20"/>
              </w:rPr>
              <w:t xml:space="preserve">Bookings </w:t>
            </w:r>
            <w:r>
              <w:rPr>
                <w:rFonts w:ascii="Times New Roman;sans-serif" w:hAnsi="Times New Roman;sans-serif"/>
                <w:b w:val="false"/>
                <w:color w:val="002D72"/>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3,055 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0.40 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2D72"/>
                <w:sz w:val="20"/>
              </w:rPr>
              <w:t xml:space="preserve">Adjusted Diluted EPS </w:t>
            </w:r>
            <w:r>
              <w:rPr>
                <w:rFonts w:ascii="Times New Roman;sans-serif" w:hAnsi="Times New Roman;sans-serif"/>
                <w:b w:val="false"/>
                <w:color w:val="002D72"/>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2D72"/>
          <w:sz w:val="18"/>
        </w:rPr>
      </w:pPr>
      <w:r>
        <w:rPr>
          <w:rFonts w:ascii="Times New Roman;sans-serif" w:hAnsi="Times New Roman;sans-serif"/>
          <w:b w:val="false"/>
          <w:color w:val="002D72"/>
          <w:sz w:val="18"/>
        </w:rPr>
        <w:t>________________</w:t>
      </w:r>
    </w:p>
    <w:p>
      <w:pPr>
        <w:pStyle w:val="TextBody"/>
        <w:bidi w:val="0"/>
        <w:spacing w:lineRule="auto" w:line="288" w:before="0" w:after="0"/>
        <w:ind w:left="0" w:right="0" w:hanging="360"/>
        <w:jc w:val="both"/>
        <w:rPr>
          <w:rFonts w:ascii="Times New Roman;sans-serif" w:hAnsi="Times New Roman;sans-serif"/>
          <w:b w:val="false"/>
          <w:color w:val="002D72"/>
          <w:sz w:val="18"/>
        </w:rPr>
      </w:pPr>
      <w:r>
        <w:rPr>
          <w:rFonts w:ascii="Times New Roman;sans-serif" w:hAnsi="Times New Roman;sans-serif"/>
          <w:b w:val="false"/>
          <w:color w:val="002D72"/>
          <w:sz w:val="18"/>
        </w:rPr>
        <w:t>(1)Adjusted EBITDA, Adjusted EBITDA Margin, free cash flow and Adjusted Diluted EPS are non-GAAP measures. Refer to “Non-GAAP Financial Measures” for definitions, additional discussion of management’s use of non-GAAP measures as supplemental financial measures and reconciliations of net earnings to Adjusted EBITDA, diluted EPS to Adjusted Diluted EPS and net cash provided by operating activities to free cash flow. Adjusted EBITDA, Adjusted EBITDA Margin, free cash flow and Adjusted Diluted EPS may not be comparable to similarly titled non-GAAP measures of other companies as other companies may have calculated the measures differently.</w:t>
      </w:r>
    </w:p>
    <w:p>
      <w:pPr>
        <w:pStyle w:val="TextBody"/>
        <w:bidi w:val="0"/>
        <w:spacing w:lineRule="auto" w:line="288" w:before="0" w:after="180"/>
        <w:ind w:left="0" w:right="0" w:hanging="360"/>
        <w:jc w:val="both"/>
        <w:rPr>
          <w:rFonts w:ascii="Times New Roman;sans-serif" w:hAnsi="Times New Roman;sans-serif"/>
          <w:b w:val="false"/>
          <w:color w:val="002D72"/>
          <w:sz w:val="18"/>
        </w:rPr>
      </w:pPr>
      <w:r>
        <w:rPr>
          <w:rFonts w:ascii="Times New Roman;sans-serif" w:hAnsi="Times New Roman;sans-serif"/>
          <w:b w:val="false"/>
          <w:color w:val="002D72"/>
          <w:sz w:val="18"/>
        </w:rPr>
        <w:t>(2)Refer to “Management’s Discussion and Analysis of Financial Condition and Results of Operations—Results from Operations” in our Annual Report, which is incorporated by reference herein and in the accompanying prospectus, for the definition and additional discussion of management’s use of backlog and bookings as key operating and financial measures.</w:t>
      </w:r>
    </w:p>
    <w:p>
      <w:pPr>
        <w:pStyle w:val="TextBody"/>
        <w:bidi w:val="0"/>
        <w:spacing w:lineRule="auto" w:line="288" w:before="180" w:after="180"/>
        <w:jc w:val="left"/>
        <w:rPr>
          <w:rFonts w:ascii="Times New Roman;sans-serif" w:hAnsi="Times New Roman;sans-serif"/>
          <w:b/>
          <w:color w:val="002D72"/>
          <w:sz w:val="20"/>
          <w:bdr w:val="single" w:sz="8" w:space="36" w:color="002D72"/>
        </w:rPr>
      </w:pPr>
      <w:r>
        <w:rPr>
          <w:rFonts w:ascii="Times New Roman;sans-serif" w:hAnsi="Times New Roman;sans-serif"/>
          <w:b/>
          <w:color w:val="002D72"/>
          <w:sz w:val="20"/>
          <w:bdr w:val="single" w:sz="8" w:space="36" w:color="002D72"/>
        </w:rPr>
        <w:t>Non-GAAP Financial Measures</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 xml:space="preserve">We believe the non-GAAP financial measures presented in this prospectus supplement and incorporated by reference herein and in the accompanying prospectus from documents incorporated by reference therein will help investors understand our financial condition and operating results and assess our future prospects. We believe these </w:t>
      </w:r>
    </w:p>
    <w:p>
      <w:pPr>
        <w:pStyle w:val="TextBody"/>
        <w:bidi w:val="0"/>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 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 We define these non-GAAP financial measures as:</w:t>
      </w:r>
    </w:p>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Adjusted EBITDA and Adjusted EBITDA Margin</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We define Adjusted EBITDA as our net earnings before income taxes, amortization of acquired intangible assets, depreciation, restructuring costs, interest, deal-related transaction costs, other non-operating expenses such as foreign exchange, COVID-19 response costs, non-service pension expenditures, legal liability accrual reversals, and other one-time non-operational events as well as gains (losses) on business disposals. Adjusted EBITDA Margin is calculated by dividing Adjusted EBITDA by revenue. Adjusted EBITDA and Adjusted EBITDA Margin are not measures calculated in accordance with U.S. GAAP, and they should not be considered an alternative to any financial 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is provided below:</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Consolidated Entity Adjusted EBITDA Reconciliation:</w:t>
      </w:r>
    </w:p>
    <w:tbl>
      <w:tblPr>
        <w:tblW w:w="6797" w:type="dxa"/>
        <w:jc w:val="left"/>
        <w:tblInd w:w="0" w:type="dxa"/>
        <w:tblLayout w:type="fixed"/>
        <w:tblCellMar>
          <w:top w:w="28" w:type="dxa"/>
          <w:left w:w="28" w:type="dxa"/>
          <w:bottom w:w="28" w:type="dxa"/>
          <w:right w:w="28" w:type="dxa"/>
        </w:tblCellMar>
      </w:tblPr>
      <w:tblGrid>
        <w:gridCol w:w="1178"/>
        <w:gridCol w:w="1035"/>
        <w:gridCol w:w="1041"/>
        <w:gridCol w:w="211"/>
        <w:gridCol w:w="466"/>
        <w:gridCol w:w="271"/>
        <w:gridCol w:w="109"/>
        <w:gridCol w:w="109"/>
        <w:gridCol w:w="109"/>
        <w:gridCol w:w="211"/>
        <w:gridCol w:w="466"/>
        <w:gridCol w:w="271"/>
        <w:gridCol w:w="109"/>
        <w:gridCol w:w="109"/>
        <w:gridCol w:w="109"/>
        <w:gridCol w:w="211"/>
        <w:gridCol w:w="466"/>
        <w:gridCol w:w="316"/>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2D72"/>
                <w:sz w:val="16"/>
              </w:rPr>
            </w:pPr>
            <w:r>
              <w:rPr>
                <w:rFonts w:ascii="Times New Roman;sans-serif" w:hAnsi="Times New Roman;sans-serif"/>
                <w:b w:val="false"/>
                <w:i/>
                <w:color w:val="002D72"/>
                <w:sz w:val="16"/>
              </w:rPr>
              <w:t>(Dollars in millions)</w:t>
            </w:r>
          </w:p>
        </w:tc>
        <w:tc>
          <w:tcPr>
            <w:tcW w:w="35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2D72"/>
                <w:sz w:val="16"/>
              </w:rPr>
            </w:pPr>
            <w:r>
              <w:rPr>
                <w:rFonts w:ascii="Times New Roman;sans-serif" w:hAnsi="Times New Roman;sans-serif"/>
                <w:b/>
                <w:color w:val="002D72"/>
                <w:sz w:val="16"/>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2D72"/>
                <w:sz w:val="16"/>
              </w:rPr>
            </w:pPr>
            <w:r>
              <w:rPr>
                <w:rFonts w:ascii="Times New Roman;sans-serif" w:hAnsi="Times New Roman;sans-serif"/>
                <w:b/>
                <w:color w:val="002D72"/>
                <w:sz w:val="16"/>
              </w:rPr>
              <w:t>2022</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2D72"/>
                <w:sz w:val="16"/>
              </w:rPr>
            </w:pPr>
            <w:r>
              <w:rPr>
                <w:rFonts w:ascii="Times New Roman;sans-serif" w:hAnsi="Times New Roman;sans-serif"/>
                <w:b/>
                <w:color w:val="002D72"/>
                <w:sz w:val="16"/>
              </w:rPr>
              <w:t>2021</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2020</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Net earnings</w:t>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405 </w:t>
            </w:r>
          </w:p>
        </w:tc>
        <w:tc>
          <w:tcPr>
            <w:tcW w:w="271"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154 </w:t>
            </w:r>
          </w:p>
        </w:tc>
        <w:tc>
          <w:tcPr>
            <w:tcW w:w="271"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85 </w:t>
            </w:r>
          </w:p>
        </w:tc>
        <w:tc>
          <w:tcPr>
            <w:tcW w:w="31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Income tax provision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Amortization of intangibles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Depreciation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44 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Restructuring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2D72"/>
                <w:sz w:val="20"/>
              </w:rPr>
            </w:pPr>
            <w:r>
              <w:rPr>
                <w:rFonts w:ascii="Times New Roman;sans-serif" w:hAnsi="Times New Roman;sans-serif"/>
                <w:b w:val="false"/>
                <w:color w:val="002D72"/>
                <w:sz w:val="20"/>
              </w:rPr>
              <w:t>Deal-related transaction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Other one-time non-operational events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Gain on sale of business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2D72"/>
              </w:rPr>
            </w:pPr>
            <w:r>
              <w:rPr>
                <w:color w:val="002D72"/>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2D72"/>
              </w:rPr>
            </w:pPr>
            <w:r>
              <w:rPr>
                <w:color w:val="002D72"/>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Adjusted EBITDA</w:t>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318 </w:t>
            </w:r>
          </w:p>
        </w:tc>
        <w:tc>
          <w:tcPr>
            <w:tcW w:w="271"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310 </w:t>
            </w:r>
          </w:p>
        </w:tc>
        <w:tc>
          <w:tcPr>
            <w:tcW w:w="271"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268 </w:t>
            </w:r>
          </w:p>
        </w:tc>
        <w:tc>
          <w:tcPr>
            <w:tcW w:w="316"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Adjusted EBITDA Margin</w:t>
            </w:r>
          </w:p>
        </w:tc>
        <w:tc>
          <w:tcPr>
            <w:tcW w:w="677" w:type="dxa"/>
            <w:gridSpan w:val="2"/>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11.8 </w:t>
            </w:r>
          </w:p>
        </w:tc>
        <w:tc>
          <w:tcPr>
            <w:tcW w:w="271"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10.8 </w:t>
            </w:r>
          </w:p>
        </w:tc>
        <w:tc>
          <w:tcPr>
            <w:tcW w:w="271"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9.6 </w:t>
            </w:r>
          </w:p>
        </w:tc>
        <w:tc>
          <w:tcPr>
            <w:tcW w:w="316"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S-14</w:t>
                      </w:r>
                    </w:p>
                  </w:txbxContent>
                </v:textbox>
                <w10:wrap type="none"/>
              </v:rect>
            </w:pict>
          </mc:Fallback>
        </mc:AlternateContent>
      </w:r>
    </w:p>
    <w:tbl>
      <w:tblPr>
        <w:tblW w:w="5980" w:type="dxa"/>
        <w:jc w:val="left"/>
        <w:tblInd w:w="0" w:type="dxa"/>
        <w:tblLayout w:type="fixed"/>
        <w:tblCellMar>
          <w:top w:w="28" w:type="dxa"/>
          <w:left w:w="28" w:type="dxa"/>
          <w:bottom w:w="28" w:type="dxa"/>
          <w:right w:w="28" w:type="dxa"/>
        </w:tblCellMar>
      </w:tblPr>
      <w:tblGrid>
        <w:gridCol w:w="1178"/>
        <w:gridCol w:w="1035"/>
        <w:gridCol w:w="1041"/>
        <w:gridCol w:w="266"/>
        <w:gridCol w:w="455"/>
        <w:gridCol w:w="342"/>
        <w:gridCol w:w="137"/>
        <w:gridCol w:w="137"/>
        <w:gridCol w:w="137"/>
        <w:gridCol w:w="266"/>
        <w:gridCol w:w="588"/>
        <w:gridCol w:w="398"/>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2D72"/>
                <w:sz w:val="16"/>
              </w:rPr>
            </w:pPr>
            <w:r>
              <w:rPr>
                <w:rFonts w:ascii="Times New Roman;sans-serif" w:hAnsi="Times New Roman;sans-serif"/>
                <w:b w:val="false"/>
                <w:i/>
                <w:color w:val="002D72"/>
                <w:sz w:val="16"/>
              </w:rPr>
              <w:t>(Dollars in millions)</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Three Months Ended September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2023</w:t>
            </w:r>
          </w:p>
        </w:tc>
        <w:tc>
          <w:tcPr>
            <w:tcW w:w="411"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2022</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Net earnings</w:t>
            </w:r>
          </w:p>
        </w:tc>
        <w:tc>
          <w:tcPr>
            <w:tcW w:w="2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55"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47 </w:t>
            </w:r>
          </w:p>
        </w:tc>
        <w:tc>
          <w:tcPr>
            <w:tcW w:w="342"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88"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279 </w:t>
            </w:r>
          </w:p>
        </w:tc>
        <w:tc>
          <w:tcPr>
            <w:tcW w:w="398"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Income tax provision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88 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Amortization of intangibles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3 </w:t>
            </w:r>
          </w:p>
        </w:tc>
        <w:tc>
          <w:tcPr>
            <w:tcW w:w="3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Depreciation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14 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Restructuring costs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Deal-related transaction costs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Other one-time non-operational events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Gain on sale of business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(350)</w:t>
            </w:r>
          </w:p>
        </w:tc>
        <w:tc>
          <w:tcPr>
            <w:tcW w:w="3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Adjusted EBITDA</w:t>
            </w:r>
          </w:p>
        </w:tc>
        <w:tc>
          <w:tcPr>
            <w:tcW w:w="26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55"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82 </w:t>
            </w:r>
          </w:p>
        </w:tc>
        <w:tc>
          <w:tcPr>
            <w:tcW w:w="342"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88"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58 </w:t>
            </w:r>
          </w:p>
        </w:tc>
        <w:tc>
          <w:tcPr>
            <w:tcW w:w="398"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Adjusted EBITDA Margin</w:t>
            </w:r>
          </w:p>
        </w:tc>
        <w:tc>
          <w:tcPr>
            <w:tcW w:w="721" w:type="dxa"/>
            <w:gridSpan w:val="2"/>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11.7 </w:t>
            </w:r>
          </w:p>
        </w:tc>
        <w:tc>
          <w:tcPr>
            <w:tcW w:w="342"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9.2 </w:t>
            </w:r>
          </w:p>
        </w:tc>
        <w:tc>
          <w:tcPr>
            <w:tcW w:w="398"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w:t>
            </w:r>
          </w:p>
        </w:tc>
      </w:tr>
    </w:tbl>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Adjusted Diluted EPS</w:t>
      </w:r>
    </w:p>
    <w:p>
      <w:pPr>
        <w:pStyle w:val="TextBody"/>
        <w:bidi w:val="0"/>
        <w:spacing w:lineRule="auto" w:line="288" w:before="0" w:after="180"/>
        <w:jc w:val="both"/>
        <w:rPr>
          <w:bdr w:val="single" w:sz="8" w:space="36" w:color="002D72"/>
        </w:rPr>
      </w:pPr>
      <w:r>
        <w:rPr>
          <w:rFonts w:ascii="Times New Roman;sans-serif" w:hAnsi="Times New Roman;sans-serif"/>
          <w:b w:val="false"/>
          <w:color w:val="002D72"/>
          <w:sz w:val="20"/>
          <w:bdr w:val="single" w:sz="8" w:space="36" w:color="002D72"/>
        </w:rPr>
        <w:t>We calculate Adjusted Diluted EPS by excluding deal-related transaction costs, amortization of acquired intangible assets, restructuring costs, other non-operating expenses such as foreign exchange, COVID-19 response costs, non-service pension expenditures, legal liability accrual reversals, and other one-time non-operational events offset by the tax effect of such adjustments, as well as gains (losses) on business disposals (net of taxes) from our net earnings and dividing by the diluted weighted average number of shares outstanding to arrive at Adjusted Diluted EPS. We believe that Adjusted Diluted EPS allows investors to effectively compare our core performance from period to period by excluding items that are not indicative of, or are unrelated to, results from our ongoing business. Adjusted Diluted EPS has limitations as an analytical tool and does not represent and should not be considered an alternative to basic or diluted EPS as determined in accordance with U.S. GAAP. The reconciliation of Adjusted Diluted EPS to U.S. GAAP diluted EPS is shown below</w:t>
      </w:r>
      <w:r>
        <w:rPr>
          <w:rFonts w:ascii="Times New Roman;sans-serif" w:hAnsi="Times New Roman;sans-serif"/>
          <w:b w:val="false"/>
          <w:i/>
          <w:color w:val="002D72"/>
          <w:sz w:val="20"/>
          <w:bdr w:val="single" w:sz="8" w:space="36" w:color="002D72"/>
        </w:rPr>
        <w:t xml:space="preserve">: </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Consolidated Entity Reconciliation of Adjusted Diluted EPS:</w:t>
      </w:r>
    </w:p>
    <w:tbl>
      <w:tblPr>
        <w:tblW w:w="7857" w:type="dxa"/>
        <w:jc w:val="left"/>
        <w:tblInd w:w="0" w:type="dxa"/>
        <w:tblLayout w:type="fixed"/>
        <w:tblCellMar>
          <w:top w:w="28" w:type="dxa"/>
          <w:left w:w="28" w:type="dxa"/>
          <w:bottom w:w="28" w:type="dxa"/>
          <w:right w:w="28" w:type="dxa"/>
        </w:tblCellMar>
      </w:tblPr>
      <w:tblGrid>
        <w:gridCol w:w="1687"/>
        <w:gridCol w:w="1486"/>
        <w:gridCol w:w="1492"/>
        <w:gridCol w:w="211"/>
        <w:gridCol w:w="511"/>
        <w:gridCol w:w="109"/>
        <w:gridCol w:w="109"/>
        <w:gridCol w:w="109"/>
        <w:gridCol w:w="109"/>
        <w:gridCol w:w="211"/>
        <w:gridCol w:w="511"/>
        <w:gridCol w:w="109"/>
        <w:gridCol w:w="109"/>
        <w:gridCol w:w="109"/>
        <w:gridCol w:w="109"/>
        <w:gridCol w:w="211"/>
        <w:gridCol w:w="511"/>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2D72"/>
                <w:sz w:val="16"/>
              </w:rPr>
            </w:pPr>
            <w:r>
              <w:rPr>
                <w:rFonts w:ascii="Times New Roman;sans-serif" w:hAnsi="Times New Roman;sans-serif"/>
                <w:b w:val="false"/>
                <w:i/>
                <w:color w:val="002D72"/>
                <w:sz w:val="16"/>
              </w:rPr>
              <w:t>(Dollars in millions, except per share amounts; shares in millions)</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Year Ended December 31,</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2022</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2021</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2020</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Net earnings</w:t>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405 </w:t>
            </w:r>
          </w:p>
        </w:tc>
        <w:tc>
          <w:tcPr>
            <w:tcW w:w="109"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154 </w:t>
            </w:r>
          </w:p>
        </w:tc>
        <w:tc>
          <w:tcPr>
            <w:tcW w:w="109"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85 </w:t>
            </w:r>
          </w:p>
        </w:tc>
        <w:tc>
          <w:tcPr>
            <w:tcW w:w="154"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Deal-related transaction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Restructuring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Gain on sale of business, net of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Other one-time non-operational events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Tax effect of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Adjusted net earnings</w:t>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179 </w:t>
            </w:r>
          </w:p>
        </w:tc>
        <w:tc>
          <w:tcPr>
            <w:tcW w:w="109"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174 </w:t>
            </w:r>
          </w:p>
        </w:tc>
        <w:tc>
          <w:tcPr>
            <w:tcW w:w="109"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122 </w:t>
            </w:r>
          </w:p>
        </w:tc>
        <w:tc>
          <w:tcPr>
            <w:tcW w:w="154"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Diluted weighted average number of shares outstanding</w:t>
            </w:r>
          </w:p>
        </w:tc>
        <w:tc>
          <w:tcPr>
            <w:tcW w:w="722"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215 </w:t>
            </w:r>
          </w:p>
        </w:tc>
        <w:tc>
          <w:tcPr>
            <w:tcW w:w="109"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210 </w:t>
            </w:r>
          </w:p>
        </w:tc>
        <w:tc>
          <w:tcPr>
            <w:tcW w:w="109"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210 </w:t>
            </w:r>
          </w:p>
        </w:tc>
        <w:tc>
          <w:tcPr>
            <w:tcW w:w="154"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Adjusted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S-15</w:t>
                      </w:r>
                    </w:p>
                  </w:txbxContent>
                </v:textbox>
                <w10:wrap type="none"/>
              </v:rect>
            </w:pict>
          </mc:Fallback>
        </mc:AlternateContent>
      </w:r>
    </w:p>
    <w:tbl>
      <w:tblPr>
        <w:tblW w:w="7393" w:type="dxa"/>
        <w:jc w:val="left"/>
        <w:tblInd w:w="0" w:type="dxa"/>
        <w:tblLayout w:type="fixed"/>
        <w:tblCellMar>
          <w:top w:w="28" w:type="dxa"/>
          <w:left w:w="28" w:type="dxa"/>
          <w:bottom w:w="28" w:type="dxa"/>
          <w:right w:w="28" w:type="dxa"/>
        </w:tblCellMar>
      </w:tblPr>
      <w:tblGrid>
        <w:gridCol w:w="1687"/>
        <w:gridCol w:w="1486"/>
        <w:gridCol w:w="1492"/>
        <w:gridCol w:w="283"/>
        <w:gridCol w:w="686"/>
        <w:gridCol w:w="146"/>
        <w:gridCol w:w="146"/>
        <w:gridCol w:w="146"/>
        <w:gridCol w:w="146"/>
        <w:gridCol w:w="283"/>
        <w:gridCol w:w="686"/>
        <w:gridCol w:w="206"/>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2D72"/>
                <w:sz w:val="16"/>
              </w:rPr>
            </w:pPr>
            <w:r>
              <w:rPr>
                <w:rFonts w:ascii="Times New Roman;sans-serif" w:hAnsi="Times New Roman;sans-serif"/>
                <w:b w:val="false"/>
                <w:i/>
                <w:color w:val="002D72"/>
                <w:sz w:val="16"/>
              </w:rPr>
              <w:t>(Dollars in millions, except per share amounts; shares in millions)</w:t>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Three Months Ended September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2023</w:t>
            </w:r>
          </w:p>
        </w:tc>
        <w:tc>
          <w:tcPr>
            <w:tcW w:w="438"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2022</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Net earnings</w:t>
            </w:r>
          </w:p>
        </w:tc>
        <w:tc>
          <w:tcPr>
            <w:tcW w:w="283"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47 </w:t>
            </w:r>
          </w:p>
        </w:tc>
        <w:tc>
          <w:tcPr>
            <w:tcW w:w="14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279 </w:t>
            </w:r>
          </w:p>
        </w:tc>
        <w:tc>
          <w:tcPr>
            <w:tcW w:w="20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Deal-related transaction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16 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Amortization of intangibles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Restructuring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Gain on sale of business, net of taxes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(270)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Other one-time non-operational events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Tax effect of adjustments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Adjusted net earnings</w:t>
            </w:r>
          </w:p>
        </w:tc>
        <w:tc>
          <w:tcPr>
            <w:tcW w:w="283"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53 </w:t>
            </w:r>
          </w:p>
        </w:tc>
        <w:tc>
          <w:tcPr>
            <w:tcW w:w="146"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top w:val="single" w:sz="8" w:space="0" w:color="002D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25 </w:t>
            </w:r>
          </w:p>
        </w:tc>
        <w:tc>
          <w:tcPr>
            <w:tcW w:w="206" w:type="dxa"/>
            <w:tcBorders>
              <w:top w:val="single" w:sz="8" w:space="0" w:color="002D72"/>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Diluted weighted average number of shares outstanding</w:t>
            </w:r>
          </w:p>
        </w:tc>
        <w:tc>
          <w:tcPr>
            <w:tcW w:w="969"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265 </w:t>
            </w:r>
          </w:p>
        </w:tc>
        <w:tc>
          <w:tcPr>
            <w:tcW w:w="14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210 </w:t>
            </w:r>
          </w:p>
        </w:tc>
        <w:tc>
          <w:tcPr>
            <w:tcW w:w="206"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Basic EPS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1.33 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Diluted EPS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1.33 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Adjusted Diluted EPS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i/>
          <w:color w:val="002D72"/>
          <w:sz w:val="20"/>
          <w:bdr w:val="single" w:sz="8" w:space="36" w:color="002D72"/>
        </w:rPr>
      </w:pPr>
      <w:r>
        <w:rPr>
          <w:rFonts w:ascii="Times New Roman;sans-serif" w:hAnsi="Times New Roman;sans-serif"/>
          <w:b/>
          <w:i/>
          <w:color w:val="002D72"/>
          <w:sz w:val="20"/>
          <w:bdr w:val="single" w:sz="8" w:space="36" w:color="002D72"/>
        </w:rPr>
        <w:t>Free cash flow</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We define free cash flow as the sum of the cash flows provided by (used in) operating activities, the cash flows provided by (used in) investing activities pertaining to capital expenditures, and proceeds generated from the sale of capital assets and dividends received from investments, less transaction-related expenditures (net of tax). We believe that free cash flow provides management and investors with an important measure of our ability to generate cash on a normalized basis. Free cash flow also provides insight into our flexibility to allocate capital and pursue opportunities that may enhance stockholder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pStyle w:val="TextBody"/>
        <w:bidi w:val="0"/>
        <w:spacing w:lineRule="auto" w:line="288" w:before="0" w:after="180"/>
        <w:jc w:val="both"/>
        <w:rPr>
          <w:rFonts w:ascii="Times New Roman;sans-serif" w:hAnsi="Times New Roman;sans-serif"/>
          <w:b w:val="false"/>
          <w:color w:val="002D72"/>
          <w:sz w:val="20"/>
          <w:bdr w:val="single" w:sz="8" w:space="36" w:color="002D72"/>
        </w:rPr>
      </w:pPr>
      <w:r>
        <w:rPr>
          <w:rFonts w:ascii="Times New Roman;sans-serif" w:hAnsi="Times New Roman;sans-serif"/>
          <w:b w:val="false"/>
          <w:color w:val="002D72"/>
          <w:sz w:val="20"/>
          <w:bdr w:val="single" w:sz="8" w:space="36" w:color="002D72"/>
        </w:rPr>
        <w:t>Consolidated Entity Reconciliation of Free Cash Flow:</w:t>
      </w:r>
    </w:p>
    <w:tbl>
      <w:tblPr>
        <w:tblW w:w="6596" w:type="dxa"/>
        <w:jc w:val="left"/>
        <w:tblInd w:w="0" w:type="dxa"/>
        <w:tblLayout w:type="fixed"/>
        <w:tblCellMar>
          <w:top w:w="28" w:type="dxa"/>
          <w:left w:w="28" w:type="dxa"/>
          <w:bottom w:w="28" w:type="dxa"/>
          <w:right w:w="28" w:type="dxa"/>
        </w:tblCellMar>
      </w:tblPr>
      <w:tblGrid>
        <w:gridCol w:w="1319"/>
        <w:gridCol w:w="1160"/>
        <w:gridCol w:w="1165"/>
        <w:gridCol w:w="211"/>
        <w:gridCol w:w="361"/>
        <w:gridCol w:w="109"/>
        <w:gridCol w:w="109"/>
        <w:gridCol w:w="109"/>
        <w:gridCol w:w="109"/>
        <w:gridCol w:w="211"/>
        <w:gridCol w:w="466"/>
        <w:gridCol w:w="109"/>
        <w:gridCol w:w="109"/>
        <w:gridCol w:w="109"/>
        <w:gridCol w:w="109"/>
        <w:gridCol w:w="211"/>
        <w:gridCol w:w="46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2D72"/>
                <w:sz w:val="16"/>
              </w:rPr>
            </w:pPr>
            <w:r>
              <w:rPr>
                <w:rFonts w:ascii="Times New Roman;sans-serif" w:hAnsi="Times New Roman;sans-serif"/>
                <w:b w:val="false"/>
                <w:i/>
                <w:color w:val="002D72"/>
                <w:sz w:val="16"/>
              </w:rPr>
              <w:t>(Dollars in millions)</w:t>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Year Ended 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2022</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2021</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2020</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Net cash provided by operating activities</w:t>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6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33 </w:t>
            </w:r>
          </w:p>
        </w:tc>
        <w:tc>
          <w:tcPr>
            <w:tcW w:w="109"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178 </w:t>
            </w:r>
          </w:p>
        </w:tc>
        <w:tc>
          <w:tcPr>
            <w:tcW w:w="109"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125 </w:t>
            </w:r>
          </w:p>
        </w:tc>
        <w:tc>
          <w:tcPr>
            <w:tcW w:w="154"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Transaction-related expenditures, net of tax</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Tax payments on disposals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Capital expenditures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Proceeds from sales of assets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Dividends from investments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2D72"/>
              </w:rPr>
            </w:pPr>
            <w:r>
              <w:rPr>
                <w:color w:val="002D72"/>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Free cash flow</w:t>
            </w:r>
          </w:p>
        </w:tc>
        <w:tc>
          <w:tcPr>
            <w:tcW w:w="211"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61"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74 </w:t>
            </w:r>
          </w:p>
        </w:tc>
        <w:tc>
          <w:tcPr>
            <w:tcW w:w="109"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122 </w:t>
            </w:r>
          </w:p>
        </w:tc>
        <w:tc>
          <w:tcPr>
            <w:tcW w:w="109"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466"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82 </w:t>
            </w:r>
          </w:p>
        </w:tc>
        <w:tc>
          <w:tcPr>
            <w:tcW w:w="154" w:type="dxa"/>
            <w:tcBorders>
              <w:top w:val="single" w:sz="8" w:space="0" w:color="002D72"/>
              <w:bottom w:val="double" w:sz="8" w:space="0" w:color="002D7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S-16</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RISK FACTORS</w:t>
      </w:r>
    </w:p>
    <w:p>
      <w:pPr>
        <w:pStyle w:val="TextBody"/>
        <w:bidi w:val="0"/>
        <w:spacing w:lineRule="auto" w:line="288" w:before="0" w:after="180"/>
        <w:jc w:val="both"/>
        <w:rPr>
          <w:rFonts w:ascii="Times New Roman;sans-serif" w:hAnsi="Times New Roman;sans-serif"/>
          <w:b w:val="false"/>
          <w:i/>
          <w:color w:val="002D72"/>
          <w:sz w:val="20"/>
        </w:rPr>
      </w:pPr>
      <w:r>
        <w:rPr>
          <w:rFonts w:ascii="Times New Roman;sans-serif" w:hAnsi="Times New Roman;sans-serif"/>
          <w:b w:val="false"/>
          <w:i/>
          <w:color w:val="002D72"/>
          <w:sz w:val="20"/>
        </w:rPr>
        <w:t>Investing in our common stock involves a high degree of risk. You should carefully consider the following risks and uncertainties, together with all of the other information contained in or incorporated by reference into this prospectus supplement and the accompanying prospectus, including in our Annual Report and our Quarterly Reports, before making an investment decision. See “Where You Can Find Additional Information; Incorporation of Certain Information by Reference.” The occurrence of any of such risks, or additional risks not presently known to us or that we currently believe to be immaterial, could materially and adversely affect our business, financial condition, results of operations and prospects. In such case, the trading price of our common stock could decline, and you may lose all or part of your investment.</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Risks Relating to Ownership of Our Common Stock</w:t>
      </w:r>
    </w:p>
    <w:p>
      <w:pPr>
        <w:pStyle w:val="TextBody"/>
        <w:bidi w:val="0"/>
        <w:spacing w:lineRule="auto" w:line="288" w:before="120" w:after="180"/>
        <w:jc w:val="both"/>
        <w:rPr>
          <w:rFonts w:ascii="Times New Roman;sans-serif" w:hAnsi="Times New Roman;sans-serif"/>
          <w:b/>
          <w:i/>
          <w:color w:val="002D72"/>
          <w:sz w:val="20"/>
        </w:rPr>
      </w:pPr>
      <w:r>
        <w:rPr>
          <w:rFonts w:ascii="Times New Roman;sans-serif" w:hAnsi="Times New Roman;sans-serif"/>
          <w:b/>
          <w:i/>
          <w:color w:val="002D72"/>
          <w:sz w:val="20"/>
        </w:rPr>
        <w:t>The market price of our common stock may be volatile or may decline steeply or suddenly regardless of our operating performance, and we may not be able to meet investor or analyst expectations. You may not be able to resell your shares at or above the price you paid and may lose all or part of your investment.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If you purchase shares of our common stock, you may not be able to resell those shares at or above the price you paid. The market price of our common stock may fluctuate or decline significantly in response to numerous factors, many of which are beyond our control, including: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disruptions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significant delays or reductions in appropriations for our programs and changes in U.S. government priorities and spending levels more broadly;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relationships with other industry participants, including any contractual disputes or the inability of our key suppliers to timely deliver our components, parts or services;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geopolitical conflicts, including the war in Israel, have the potential to evolve quickly, creating uncertainty in the world and broader Middle East region specifically, along with the potential for disruptions to our Israeli operations, including but not limited to workforce calls for duty, transportation and other logistical impacts and reduced customer confidence;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actual or anticipated fluctuations in our revenues or other operating results; </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variations between our actual operating results and the expectations of securities analysts, investors and the financial community;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actions of securities analysts who initiate or maintain coverage of us, changes in financial estimates by any securities analysts who follow us or our failure to meet these estimates or the expectations of investors;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additional shares of common stock being sold into the market by us or our majority stockholder, or the anticipation of such sales;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announcements by us or our competitors of significant products or features, innovations, acquisitions, strategic partnerships, joint ventures, capital commitments, divestitures or other dispositions;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changes in operating performance and stock market valuations of companies in our industry, including our competitors;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difficulties in integrating any new acquisitions we may make;</w:t>
      </w:r>
    </w:p>
    <w:p>
      <w:pPr>
        <w:pStyle w:val="TextBody"/>
        <w:bidi w:val="0"/>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S-17</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attract and retain technical and other key personnel;</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price and volume fluctuations in the overall stock market, including as a result of general economic trends;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 active trading market in our common stock not being maintained or our failure to satisfy the continued listing standards of the Nasdaq;</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future issuances of our common stock or other equity securities;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lawsuits threatened or filed against us, or events that negatively impact our reputation;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developments in new legislation and pending lawsuits or regulatory actions, including interim or final rulings by judicial or regulatory bodies; </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conflict of interest that may arise because US Holding, our majority stockholder, or Leonardo S.p.A., our ultimate majority stockholder, may have interests that are different from, or conflict with, those of our other stockholders, including as a result of any ongoing business relationships Leonardo S.p.A. may have with us; and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other factors described in the “Risk Factor” sections in our Annual Report and our Quarterly Reports, which are incorporated herein and in the accompanying prospectus by reference.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addition, extreme price and volume fluctuations in the stock markets have affected and continue to affect the stock prices of many companies. Often, their stock prices have fluctuated in ways unrelated or disproportionate to their operating performance. In the past, stockholders have filed securities class action litigation against companies following periods of market volatility. Such securities litigation, if instituted against us, could subject us to substantial costs, divert resources and the attention of management from our business and seriously harm our business.</w:t>
      </w:r>
    </w:p>
    <w:p>
      <w:pPr>
        <w:pStyle w:val="TextBody"/>
        <w:bidi w:val="0"/>
        <w:spacing w:lineRule="auto" w:line="288" w:before="120" w:after="180"/>
        <w:jc w:val="both"/>
        <w:rPr>
          <w:rFonts w:ascii="Times New Roman;sans-serif" w:hAnsi="Times New Roman;sans-serif"/>
          <w:b/>
          <w:i/>
          <w:color w:val="002D72"/>
          <w:sz w:val="20"/>
        </w:rPr>
      </w:pPr>
      <w:r>
        <w:rPr>
          <w:rFonts w:ascii="Times New Roman;sans-serif" w:hAnsi="Times New Roman;sans-serif"/>
          <w:b/>
          <w:i/>
          <w:color w:val="002D72"/>
          <w:sz w:val="20"/>
        </w:rPr>
        <w:t xml:space="preserve">Future sales of our common stock and other actions by our existing stockholders could cause our stock price to decline. </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As of November 1, 2023, there were 262,370,008 shares of common stock outstanding. All of our issued and outstanding common stock is freely transferable, except for any shares held by persons who are our “affiliates” as defined in Rule 144 under the Securities Act of 1933, as amended, or the Securities Act. Upon the completion of this offering, we will have outstanding a total of 262,370,008 shares of common stock, of which 192,445,073 shares of common stock will be beneficially owned by US Holding (189,745,073 shares assuming the underwriters exercise their over-allotment option in full). If our existing majority stockholder sells, or indicates an intention to sell, substantial amounts of our common stock in the public market following this offering, the trading price of our common stock could decline. All shares outstanding after the completion of this offering will be freely tradable without restrictions or further registration under the Securities Act, except for any shares held by persons who are our “affiliates” as defined in Rule 144 under the Securities Act, including US Holding, and who have not complied with the requirements of Rule 144 under the Securities Act. </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Additionally, on November 28, 2022, we entered into a registration rights agreement with Leonardo S.p.A. and US Holding (the “Registration Rights Agreement”), and the offering of our shares of common stock by the selling stockholder pursuant to this prospectus supplement and the accompanying prospectus is being made pursuant to the Registration Rights Agreement. The selling stockholder may again in the future sell shares of our common stock pursuant to the Registration Rights Agreement.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connection with this offering, we, the selling stockholder and all of our directors and executive officers have entered into lock-up agreements with the underwriters, which restricts their sales of our common stock for a period of 90 days after the date of this prospectus supplement, subject to certain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S-18</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USE OF PROCEEDS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is selling all of the shares of common stock in this offering, and we will not receive any proceeds from the sale of the common stock in the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S-19</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SELLING STOCKHOLDER</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following table sets forth information as of November 1, 2023 with respect to the ownership of our common stock by US Holding, a subsidiary of Leonardo S.p.A, (1) immediately prior to this offering and (2) as adjusted to give effect to this offering. 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Percentage computations are based on 262,370,008 shares of our common stock outstanding as of November 1, 2023 (assuming no exercise of the underwriters’ option to purchase additional shares from the selling stockholder and assuming full exercise of such option).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Leonardo S.p.A. and US Holding, to our knowledge, share voting and investment power with respect to the indicated shares of common stock.</w:t>
      </w:r>
    </w:p>
    <w:tbl>
      <w:tblPr>
        <w:tblW w:w="10205" w:type="dxa"/>
        <w:jc w:val="left"/>
        <w:tblInd w:w="0" w:type="dxa"/>
        <w:tblLayout w:type="fixed"/>
        <w:tblCellMar>
          <w:top w:w="28" w:type="dxa"/>
          <w:left w:w="28" w:type="dxa"/>
          <w:bottom w:w="28" w:type="dxa"/>
          <w:right w:w="28" w:type="dxa"/>
        </w:tblCellMar>
      </w:tblPr>
      <w:tblGrid>
        <w:gridCol w:w="509"/>
        <w:gridCol w:w="406"/>
        <w:gridCol w:w="408"/>
        <w:gridCol w:w="109"/>
        <w:gridCol w:w="109"/>
        <w:gridCol w:w="109"/>
        <w:gridCol w:w="379"/>
        <w:gridCol w:w="379"/>
        <w:gridCol w:w="383"/>
        <w:gridCol w:w="127"/>
        <w:gridCol w:w="127"/>
        <w:gridCol w:w="127"/>
        <w:gridCol w:w="255"/>
        <w:gridCol w:w="256"/>
        <w:gridCol w:w="403"/>
        <w:gridCol w:w="109"/>
        <w:gridCol w:w="109"/>
        <w:gridCol w:w="109"/>
        <w:gridCol w:w="593"/>
        <w:gridCol w:w="593"/>
        <w:gridCol w:w="248"/>
        <w:gridCol w:w="176"/>
        <w:gridCol w:w="176"/>
        <w:gridCol w:w="176"/>
        <w:gridCol w:w="275"/>
        <w:gridCol w:w="275"/>
        <w:gridCol w:w="199"/>
        <w:gridCol w:w="109"/>
        <w:gridCol w:w="109"/>
        <w:gridCol w:w="109"/>
        <w:gridCol w:w="593"/>
        <w:gridCol w:w="593"/>
        <w:gridCol w:w="287"/>
        <w:gridCol w:w="160"/>
        <w:gridCol w:w="160"/>
        <w:gridCol w:w="160"/>
        <w:gridCol w:w="240"/>
        <w:gridCol w:w="240"/>
        <w:gridCol w:w="321"/>
      </w:tblGrid>
      <w:tr>
        <w:trPr/>
        <w:tc>
          <w:tcPr>
            <w:tcW w:w="5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3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2D72"/>
                <w:sz w:val="16"/>
              </w:rPr>
            </w:pPr>
            <w:r>
              <w:rPr>
                <w:rFonts w:ascii="Times New Roman;sans-serif" w:hAnsi="Times New Roman;sans-serif"/>
                <w:b/>
                <w:color w:val="002D72"/>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5" w:type="dxa"/>
            <w:gridSpan w:val="33"/>
            <w:tcBorders>
              <w:bottom w:val="single" w:sz="8" w:space="0" w:color="002D72"/>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Ownership of Common Stock</w:t>
            </w:r>
          </w:p>
        </w:tc>
      </w:tr>
      <w:tr>
        <w:trPr/>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Prior to this Offering</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21"/>
            <w:tcBorders>
              <w:top w:val="single" w:sz="8" w:space="0" w:color="002D72"/>
              <w:bottom w:val="single" w:sz="8" w:space="0" w:color="002D72"/>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Following this Offering</w:t>
            </w:r>
          </w:p>
        </w:tc>
      </w:tr>
      <w:tr>
        <w:trPr/>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Number of </w:t>
              <w:br/>
              <w:t xml:space="preserve">Shares </w:t>
              <w:br/>
              <w:t>Owned</w:t>
            </w:r>
          </w:p>
        </w:tc>
        <w:tc>
          <w:tcPr>
            <w:tcW w:w="381"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Percent of </w:t>
              <w:br/>
              <w:t>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If Underwriters’ Option is Not </w:t>
              <w:br/>
              <w:t>Exercised in Full</w:t>
            </w:r>
          </w:p>
        </w:tc>
        <w:tc>
          <w:tcPr>
            <w:tcW w:w="327"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If Underwriters’ Option is </w:t>
              <w:br/>
              <w:t>Exercised in Full</w:t>
            </w:r>
          </w:p>
        </w:tc>
      </w:tr>
      <w:tr>
        <w:trPr/>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op w:val="single" w:sz="8" w:space="0" w:color="002D72"/>
            </w:tcBorders>
            <w:tcMar>
              <w:top w:w="30" w:type="dxa"/>
              <w:left w:w="0" w:type="dxa"/>
              <w:bottom w:w="0" w:type="dxa"/>
              <w:right w:w="0" w:type="dxa"/>
            </w:tcMar>
            <w:vAlign w:val="center"/>
          </w:tcPr>
          <w:p>
            <w:pPr>
              <w:pStyle w:val="Normal"/>
              <w:bidi w:val="0"/>
              <w:jc w:val="left"/>
              <w:rPr/>
            </w:pPr>
            <w:r>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op w:val="single" w:sz="8" w:space="0" w:color="002D72"/>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Number of </w:t>
              <w:br/>
              <w:t>Shares Owned</w:t>
            </w:r>
          </w:p>
        </w:tc>
        <w:tc>
          <w:tcPr>
            <w:tcW w:w="528"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Percent of </w:t>
              <w:br/>
              <w:t>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Number of </w:t>
              <w:br/>
              <w:t>Shares Owned</w:t>
            </w:r>
          </w:p>
        </w:tc>
        <w:tc>
          <w:tcPr>
            <w:tcW w:w="480" w:type="dxa"/>
            <w:gridSpan w:val="3"/>
            <w:tcBorders>
              <w:top w:val="single" w:sz="8" w:space="0" w:color="002D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2D72"/>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Percent of </w:t>
              <w:br/>
              <w:t>Class (%)</w:t>
            </w:r>
          </w:p>
        </w:tc>
      </w:tr>
      <w:tr>
        <w:trPr/>
        <w:tc>
          <w:tcPr>
            <w:tcW w:w="1323" w:type="dxa"/>
            <w:gridSpan w:val="3"/>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2D72"/>
                <w:sz w:val="20"/>
              </w:rPr>
              <w:t>Leonardo S.p.A.</w:t>
            </w:r>
            <w:r>
              <w:rPr>
                <w:rFonts w:ascii="Times New Roman;sans-serif" w:hAnsi="Times New Roman;sans-serif"/>
                <w:b w:val="false"/>
                <w:color w:val="002D72"/>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210,445,073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80.2 </w:t>
            </w:r>
          </w:p>
        </w:tc>
        <w:tc>
          <w:tcPr>
            <w:tcW w:w="403"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192,445,073 </w:t>
            </w:r>
          </w:p>
        </w:tc>
        <w:tc>
          <w:tcPr>
            <w:tcW w:w="248"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2D72"/>
                <w:sz w:val="20"/>
              </w:rPr>
            </w:pPr>
            <w:r>
              <w:rPr>
                <w:rFonts w:ascii="Times New Roman;sans-serif" w:hAnsi="Times New Roman;sans-serif"/>
                <w:b w:val="false"/>
                <w:color w:val="002D72"/>
                <w:sz w:val="20"/>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189,745,073 </w:t>
            </w:r>
          </w:p>
        </w:tc>
        <w:tc>
          <w:tcPr>
            <w:tcW w:w="287"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2D72"/>
                <w:sz w:val="20"/>
              </w:rPr>
            </w:pPr>
            <w:r>
              <w:rPr>
                <w:rFonts w:ascii="Times New Roman;sans-serif" w:hAnsi="Times New Roman;sans-serif"/>
                <w:b w:val="false"/>
                <w:color w:val="002D72"/>
                <w:sz w:val="20"/>
              </w:rPr>
              <w:t>72.3%</w:t>
            </w:r>
          </w:p>
        </w:tc>
      </w:tr>
    </w:tbl>
    <w:p>
      <w:pPr>
        <w:pStyle w:val="TextBody"/>
        <w:bidi w:val="0"/>
        <w:spacing w:lineRule="auto" w:line="288" w:before="0" w:after="0"/>
        <w:ind w:left="0" w:right="0" w:hanging="360"/>
        <w:jc w:val="both"/>
        <w:rPr>
          <w:rFonts w:ascii="Times New Roman;sans-serif" w:hAnsi="Times New Roman;sans-serif"/>
          <w:b w:val="false"/>
          <w:color w:val="002D72"/>
          <w:sz w:val="18"/>
        </w:rPr>
      </w:pPr>
      <w:r>
        <w:rPr>
          <w:rFonts w:ascii="Times New Roman;sans-serif" w:hAnsi="Times New Roman;sans-serif"/>
          <w:b w:val="false"/>
          <w:color w:val="002D72"/>
          <w:sz w:val="18"/>
        </w:rPr>
        <w:t>________________</w:t>
      </w:r>
    </w:p>
    <w:p>
      <w:pPr>
        <w:pStyle w:val="TextBody"/>
        <w:bidi w:val="0"/>
        <w:spacing w:lineRule="auto" w:line="288" w:before="0" w:after="180"/>
        <w:ind w:left="0" w:right="0" w:hanging="360"/>
        <w:jc w:val="both"/>
        <w:rPr>
          <w:rFonts w:ascii="Times New Roman;sans-serif" w:hAnsi="Times New Roman;sans-serif"/>
          <w:b w:val="false"/>
          <w:color w:val="002D72"/>
          <w:sz w:val="18"/>
        </w:rPr>
      </w:pPr>
      <w:r>
        <w:rPr>
          <w:rFonts w:ascii="Times New Roman;sans-serif" w:hAnsi="Times New Roman;sans-serif"/>
          <w:b w:val="false"/>
          <w:color w:val="002D72"/>
          <w:sz w:val="18"/>
        </w:rPr>
        <w:t>(1)Leonardo S.p.A., as the parent of US Holding, beneficially owns the majority of shares of our common stock owned of record by US Holding. Leonardo S.p.A. is a public company with shares listed on the Milan Stock Exchange. The address of Leonardo S.p.A. is Piazza Monte Grappa n. 4, 00195 Rome, Italy.</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Upon the completion of this offering, Leonardo S.p.A. will continue to consolidate our financial results in its financial statements. The selling stockholder intends to use the net proceeds from this offering to increase Leonardo S.p.A.’s financial flexibility to finance future accretive investments and acquisitions.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For information regarding certain material relationships between the selling stockholder and us, see “Certain Relationships and Related Transactions, and Director Independence” in our Annual Report incorporated by reference into this prospectus supplement and the accompanying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S-20</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MATERIAL U.S. FEDERAL TAX CONSIDERATIONS FOR NON-U.S. HOLDERS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following is a discussion of material U.S. federal income tax considerations relating to the purchase, ownership and disposition of our common stock by Non-U.S. Holders (as defined below) that purchase such common stock pursuant to this offering and hold such common stock as a capital asset. This discussion is based on the U.S. Internal Revenue Code of 1986, as amended (the “Code”),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Non-U.S. Holders in light of their particular circumstances or to Non-U.S. Holders subject to special treatment under U.S. federal income tax law (such as banks, insurance companies, dealers in securities or other Non-U.S. Holders that generally mark their securities to market for U.S. federal income tax purposes, Non-U.S. Holders that are “controlled foreign corporations” or “passive foreign investment companies” for U.S. federal income tax purposes, foreign governments, international organizations, tax-exempt entities, certain former citizens or residents of the United States, Non-U.S. Holders that hold our common stock as part of a straddle, hedge, conversion or other integrated transaction, or Non-U.S. Holders that purchase or sell our common stock as part of a wash sale for tax purposes). This discussion does not address any U.S. state or local or non-U.S. tax considerations or any U.S. federal estate and gift, Medicare contribution or alternative minimum tax considerations.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As used in this discussion, the term “Non-U.S. Holder” means a beneficial owner of our common stock that, for U.S. federal income tax purposes, is: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 individual who is neither a citizen nor a resident of the United States;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 corporation that is not created or organized in or under the laws of the United States, any state thereof, or the District of Columbia or otherwise treated as a domestic corporation;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 estate that is not subject to U.S. federal income tax on income from non-U.S. sources which is not effectively connected with the conduct of a trade or business in the United States;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 trust unless (i) a court within the United States is able to exercise primary supervision over its administration and one or more U.S. persons have the authority to control all of its substantial decisions or (ii) it has in effect a valid election under applicable U.S. Treasury regulations to be treated as a U.S. person.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If an entity or arrangement that is treated as a partnership for U.S. federal income tax purposes invests in our common stock, the U.S. federal income tax considerations relating to such investment will depend in part upon the status and activities of such entity and the particular partner. Any such entity should consult its own tax advisor regarding the U.S. federal income tax considerations applicable to it and its partners relating to the purchase, ownership and disposition of our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PERSONS CONSIDERING AN INVESTMENT IN OUR COMMON STOCK SHOULD CONSULT THEIR OWN TAX ADVISORS REGARDING THE U.S. FEDERAL, STATE AND LOCAL AND NON-U.S. INCOME, ESTATE AND OTHER TAX CONSIDERATIONS RELATING TO THE PURCHASE, OWNERSHIP AND DISPOSITION OF OUR COMMON STOCK IN LIGHT OF THEIR PARTICULAR CIRCUMSTANCES.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Distributions on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If we make a distribution of cash or other property (other than certain pro rata distributions of our common stock or rights to acquire our common stock) with respect to a share of our common stock, the distribution generally will be treated as a dividend to the extent it is paid from our current or accumulated earnings and profits (as determined under U.S. federal income tax principles). If the amount of such distribution exceeds our current and accumulated earnings and profits, such excess generally will be treated first as a tax-free return of capital to the extent of the Non-U.S. Holder’s adjusted tax basis in such share of our common stock, and then as capital gain (which will be treated in the manner described below under “—Sale, Exchange or Other Disposition of Common Stock”). Subject to the following paragraph, distributions treated as dividends on our common stock that are paid to or for the account of a Non-U.S. Holder generally will be subject to U.S. federal withholding tax at a rate of 30%, or </w:t>
      </w:r>
    </w:p>
    <w:p>
      <w:pPr>
        <w:pStyle w:val="TextBody"/>
        <w:bidi w:val="0"/>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at a lower rate if provided by an applicable tax treaty and the Non-U.S. Holder provides the documentation (generally, Internal Revenue Service (“IRS”) Form W-8BEN or W-8BEN-E) required to claim benefits under such tax treaty to the applicable withholding agent. Even if our current or accumulated earnings and profits are less than the amount of the distribution, the applicable withholding agent may elect to treat the entire distribution as a dividend for U.S. federal withholding tax purposes. Each Non-U.S. Holder should consult its own tax advisor regarding U.S. federal withholding tax on distributions, including such Non-U.S. Holder’s eligibility for a lower rate and the availability of a refund of any excess U.S. federal tax withheld.</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If, however, a dividend is effectively connected with the conduct of a trade or business in the United States by a Non-U.S. Holder, such dividend generally will not be subject to the 30% U.S. federal withholding tax if such Non-U.S. Holder provides the appropriate documentation (generally, IRS Form W-8ECI) to the applicable withholding agent. Instead, such Non-U.S. Holder generally will be subject to U.S. federal income tax on such dividend in substantially the same manner as a U.S. person (except as provided by an applicable tax treaty). In addition, a Non-U.S. Holder that is treated as a corporation for U.S. federal income tax purposes may be subject to a branch profits tax at a rate of 30% (or a lower rate if provided by an applicable tax treaty) on its effectively connected income for the taxable year, subject to certain adjustments.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foregoing discussion is subject to the discussion below under “—FATCA Withholding” and “—Information Reporting and Backup Withholding.”</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Sale, Exchange or Other Disposition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 Non-U.S. Holder generally will not be subject to U.S. federal income tax on any gain recognized on the sale, exchange or other disposition of our common stock unless:</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(i)such gain is effectively connected with the conduct of a trade or business in the United States by such Non-U.S. Holder, in which event such Non-U.S. Holder generally will be subject to U.S. federal income tax on such gain in substantially the same manner as a U.S. person (except as provided by an applicable tax treaty) and, if it is treated as a corporation for U.S. federal income tax purposes, may also be subject to a branch profits tax at a rate of 30% (or a lower rate if provided by an applicable tax treaty);</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(ii)such Non-U.S. Holder is an individual who is present in the United States for 183 days or more during the taxable year of such sale, exchange or other disposition and certain other conditions are met, in which event such gain (net of certain U.S. source losses) generally will be subject to U.S. federal income tax at a rate of 30% (except as provided by an applicable tax treaty); or</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(iii)we are or have been a “United States real property holding corporation” for U.S. federal income tax purposes at any time during the shorter of (x) the five-year period ending on the date of such sale, exchange or other disposition and (y) such Non-U.S. Holder’s holding period with respect to such common stock, and certain other conditions are met.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U.S. federal income tax purposes). We believe that we presently are not, and we do not presently anticipate that we will become, a United States real property holding corporation.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foregoing discussion is subject to the discussion below under “—Information Reporting and Backup Withholding.”</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FATCA Withholding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Pursuant to sections 1471 through 1474 of the Code, commonly known as the Foreign Account Tax Compliance Act (“FATCA”), a 30% withholding tax (“FATCA withholding”) will generally be imposed on certain payments to you or to certain foreign financial institutions, investment funds and other non-U.S. persons receiving payments on your behalf if you or such persons fail to comply with certain information reporting requirements. Payments of </w:t>
      </w:r>
    </w:p>
    <w:p>
      <w:pPr>
        <w:pStyle w:val="TextBody"/>
        <w:bidi w:val="0"/>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S-22</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2D72"/>
          <w:sz w:val="20"/>
        </w:rPr>
        <w:t>dividends that you receive in respect of common stock could be affected by this withholding if you are subject to the FATCA information reporting requirements and fail to comply with them or if you hold common stock through a non-U.S. person (</w:t>
      </w:r>
      <w:r>
        <w:rPr>
          <w:rFonts w:ascii="Times New Roman;sans-serif" w:hAnsi="Times New Roman;sans-serif"/>
          <w:b w:val="false"/>
          <w:i/>
          <w:color w:val="002D72"/>
          <w:sz w:val="20"/>
        </w:rPr>
        <w:t>e.g</w:t>
      </w:r>
      <w:r>
        <w:rPr>
          <w:rFonts w:ascii="Times New Roman;sans-serif" w:hAnsi="Times New Roman;sans-serif"/>
          <w:b w:val="false"/>
          <w:color w:val="002D72"/>
          <w:sz w:val="20"/>
        </w:rPr>
        <w:t>., a foreign bank or broker) that fails to comply with these requirements (even if payments to you would not otherwise have been subject to FATCA withholding).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You should consult your own tax advisors regarding the relevant U.S. law and other official guidance on FATCA withholding.</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Information Reporting and Backup Withholding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Amounts treated as payments of dividends on our common stock paid to a Non-U.S. Holder and the amount of any U.S. federal tax withheld from such payments generally will be reported annually to the IRS and to such Non-U.S. Holder by the applicable withholding agent.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information reporting and backup withholding rules that apply to payments of dividends to certain U.S. persons generally will not apply to payments of dividends on our common stock to a Non-U.S. Holder if such Non-U.S. Holder certifies under penalties of perjury that it is not a U.S. person (generally by providing an IRS Form W-8BEN or W-8BEN-E to the applicable withholding agent) or otherwise establishes an exemption.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Proceeds from the sale, exchange or other disposition of our common stock by a Non-U.S. Holder effected outside the United States through a non-U.S. office of a non-U.S. broker generally will not be subject to the information reporting and backup withholding rules that apply to payments to certain U.S. persons, provided that the proceeds are paid to the Non-U.S. Holder outside the United States. However, proceeds from the sale, exchange or other disposition of our common stock by a Non-U.S. Holder effected through a non-U.S. office of a non-U.S. broker with certain specified U.S. connections or of a U.S. broker generally will be subject to these information reporting rules (but generally not to these backup withholding rules), even if the proceeds are paid to such Non-U.S. Holder outside the United States, unless such Non-U.S. Holder certifies under penalties of perjury that it is not a U.S. person (generally by providing an IRS Form W-8BEN or W-8BEN-E to the applicable withholding agent) or otherwise establishes an exemption. Proceeds from the sale, exchange or other disposition of our common stock by a Non-U.S. Holder effected through a U.S. office of a broker generally will be subject to these information reporting and backup withholding rules unless such Non-U.S. Holder certifies under penalties of perjury that it is not a U.S. person (generally by providing an IRS Form W-8BEN or W-8BEN-E to the applicable withholding agent) or otherwise establishes an exemption.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Backup withholding is not an additional tax. Any amounts withheld under the backup withholding rules generally will be allowed as a refund or a credit against a Non-U.S. Holder’s U.S. federal income tax liability if the required information is furnished by such Non-U.S. Holder on a timely basis to the IRS.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S-23</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UNDERWRITING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Company, US Holding (the selling stockholder) and the underwriters named below have entered into an underwriting agreement dated the date of this prospectus supplement with respect to the shares of common stock being offered. Under the terms and subject to the conditions in such underwriting agreement, each underwriter has severally agreed to purchase the number of shares indicated in the following table. Morgan Stanley &amp; Co. LLC, BofA Securities, Inc. and J.P. Morgan Securities LLC are the representatives of the underwriters.</w:t>
      </w:r>
    </w:p>
    <w:tbl>
      <w:tblPr>
        <w:tblW w:w="4826" w:type="dxa"/>
        <w:jc w:val="left"/>
        <w:tblInd w:w="0" w:type="dxa"/>
        <w:tblLayout w:type="fixed"/>
        <w:tblCellMar>
          <w:top w:w="28" w:type="dxa"/>
          <w:left w:w="28" w:type="dxa"/>
          <w:bottom w:w="28" w:type="dxa"/>
          <w:right w:w="28" w:type="dxa"/>
        </w:tblCellMar>
      </w:tblPr>
      <w:tblGrid>
        <w:gridCol w:w="1101"/>
        <w:gridCol w:w="969"/>
        <w:gridCol w:w="974"/>
        <w:gridCol w:w="109"/>
        <w:gridCol w:w="109"/>
        <w:gridCol w:w="109"/>
        <w:gridCol w:w="424"/>
        <w:gridCol w:w="424"/>
        <w:gridCol w:w="607"/>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2D72"/>
                <w:sz w:val="16"/>
              </w:rPr>
            </w:pPr>
            <w:r>
              <w:rPr>
                <w:rFonts w:ascii="Times New Roman;sans-serif" w:hAnsi="Times New Roman;sans-serif"/>
                <w:b/>
                <w:color w:val="002D72"/>
                <w:sz w:val="16"/>
              </w:rPr>
              <w:t>Underwriters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Number of Shares</w:t>
            </w:r>
          </w:p>
        </w:tc>
      </w:tr>
      <w:tr>
        <w:trPr/>
        <w:tc>
          <w:tcPr>
            <w:tcW w:w="3044" w:type="dxa"/>
            <w:gridSpan w:val="3"/>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Morgan Stanley &amp;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2D72"/>
                <w:sz w:val="20"/>
              </w:rPr>
            </w:pPr>
            <w:r>
              <w:rPr>
                <w:rFonts w:ascii="Times New Roman;sans-serif" w:hAnsi="Times New Roman;sans-serif"/>
                <w:b w:val="false"/>
                <w:color w:val="002D72"/>
                <w:sz w:val="20"/>
              </w:rPr>
              <w:t>5,653,208</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BofA Securities,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2D72"/>
                <w:sz w:val="20"/>
              </w:rPr>
            </w:pPr>
            <w:r>
              <w:rPr>
                <w:rFonts w:ascii="Times New Roman;sans-serif" w:hAnsi="Times New Roman;sans-serif"/>
                <w:b w:val="false"/>
                <w:color w:val="002D72"/>
                <w:sz w:val="20"/>
              </w:rPr>
              <w:t>4,263,074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J.P. Morgan Securities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4,263,074</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Robert W. Baird &amp; Co.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1,381,935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Goldman Sachs &amp;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1,056,774</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Truist Securities,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1,056,774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2D72"/>
                <w:sz w:val="20"/>
              </w:rPr>
            </w:pPr>
            <w:r>
              <w:rPr>
                <w:rFonts w:ascii="Times New Roman;sans-serif" w:hAnsi="Times New Roman;sans-serif"/>
                <w:b w:val="false"/>
                <w:color w:val="002D72"/>
                <w:sz w:val="20"/>
              </w:rPr>
              <w:t>CJS Securities,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2D72"/>
                <w:sz w:val="20"/>
              </w:rPr>
            </w:pPr>
            <w:r>
              <w:rPr>
                <w:rFonts w:ascii="Times New Roman;sans-serif" w:hAnsi="Times New Roman;sans-serif"/>
                <w:b w:val="false"/>
                <w:color w:val="002D72"/>
                <w:sz w:val="20"/>
              </w:rPr>
              <w:t>325,161</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2D72"/>
              <w:bottom w:val="double" w:sz="8" w:space="0" w:color="002D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18,000,000</w:t>
            </w:r>
          </w:p>
        </w:tc>
      </w:tr>
    </w:tbl>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committed to take and pay for all of the shares of common stock being offered, if any are taken, other than the shares of common stock covered by the option described below unless and until this option is exercised.</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underwriters will have an option to buy up to 2,700,000 additional shares of common stock from US Holding at the public offering price listed on the cover page of this prospectus supplement, less underwriting discounts and commissions. They may exercise that option for 30 days from the date of this prospectus supplement. If any shares of common stock are purchased pursuant to this option, the underwriters will severally purchase shares of common stock in approximately the same proportion as set forth in the table above.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Company will not receive any proceeds from this offering.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following table shows the per share and total underwriting discounts and commissions to be paid to the underwriters by US Holding. Such amounts are shown assuming both no exercise and full exercise of the underwriters’ option to purchase additional shares from the selling stockholder.</w:t>
      </w:r>
    </w:p>
    <w:tbl>
      <w:tblPr>
        <w:tblW w:w="6652" w:type="dxa"/>
        <w:jc w:val="left"/>
        <w:tblInd w:w="0" w:type="dxa"/>
        <w:tblLayout w:type="fixed"/>
        <w:tblCellMar>
          <w:top w:w="28" w:type="dxa"/>
          <w:left w:w="28" w:type="dxa"/>
          <w:bottom w:w="28" w:type="dxa"/>
          <w:right w:w="28" w:type="dxa"/>
        </w:tblCellMar>
      </w:tblPr>
      <w:tblGrid>
        <w:gridCol w:w="563"/>
        <w:gridCol w:w="497"/>
        <w:gridCol w:w="499"/>
        <w:gridCol w:w="109"/>
        <w:gridCol w:w="109"/>
        <w:gridCol w:w="109"/>
        <w:gridCol w:w="354"/>
        <w:gridCol w:w="1817"/>
        <w:gridCol w:w="183"/>
        <w:gridCol w:w="109"/>
        <w:gridCol w:w="109"/>
        <w:gridCol w:w="109"/>
        <w:gridCol w:w="304"/>
        <w:gridCol w:w="1559"/>
        <w:gridCol w:w="222"/>
      </w:tblGrid>
      <w:tr>
        <w:trPr/>
        <w:tc>
          <w:tcPr>
            <w:tcW w:w="56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2D72"/>
                <w:sz w:val="16"/>
              </w:rPr>
            </w:pPr>
            <w:r>
              <w:rPr>
                <w:rFonts w:ascii="Times New Roman;sans-serif" w:hAnsi="Times New Roman;sans-serif"/>
                <w:b/>
                <w:color w:val="002D72"/>
                <w:sz w:val="16"/>
              </w:rPr>
              <w:t>Paid by US 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2D72"/>
                <w:sz w:val="16"/>
              </w:rPr>
            </w:pPr>
            <w:r>
              <w:rPr>
                <w:rFonts w:ascii="Times New Roman;sans-serif" w:hAnsi="Times New Roman;sans-serif"/>
                <w:b/>
                <w:color w:val="002D72"/>
                <w:sz w:val="16"/>
              </w:rPr>
              <w:t xml:space="preserve">If Underwriters’ Option is Not </w:t>
              <w:br/>
              <w:t>Exercised in Full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2D72"/>
                <w:sz w:val="16"/>
              </w:rPr>
            </w:pPr>
            <w:r>
              <w:rPr>
                <w:rFonts w:ascii="Times New Roman;sans-serif" w:hAnsi="Times New Roman;sans-serif"/>
                <w:b/>
                <w:color w:val="002D72"/>
                <w:sz w:val="16"/>
              </w:rPr>
              <w:t xml:space="preserve">If Underwriters’ Option is </w:t>
              <w:br/>
              <w:t>Exercised in Full</w:t>
            </w:r>
          </w:p>
        </w:tc>
      </w:tr>
      <w:tr>
        <w:trPr/>
        <w:tc>
          <w:tcPr>
            <w:tcW w:w="1559" w:type="dxa"/>
            <w:gridSpan w:val="3"/>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1817"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0.687813 </w:t>
            </w:r>
          </w:p>
        </w:tc>
        <w:tc>
          <w:tcPr>
            <w:tcW w:w="183"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1559" w:type="dxa"/>
            <w:tcBorders>
              <w:top w:val="single" w:sz="8" w:space="0" w:color="002D7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0.687813 </w:t>
            </w:r>
          </w:p>
        </w:tc>
        <w:tc>
          <w:tcPr>
            <w:tcW w:w="222" w:type="dxa"/>
            <w:tcBorders>
              <w:top w:val="single" w:sz="8" w:space="0" w:color="002D72"/>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1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12,380,625 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2D72"/>
                <w:sz w:val="20"/>
              </w:rPr>
            </w:pPr>
            <w:r>
              <w:rPr>
                <w:rFonts w:ascii="Times New Roman;sans-serif" w:hAnsi="Times New Roman;sans-serif"/>
                <w:b w:val="false"/>
                <w:color w:val="002D72"/>
                <w:sz w:val="20"/>
              </w:rPr>
              <w:t>$</w:t>
            </w:r>
          </w:p>
        </w:tc>
        <w:tc>
          <w:tcPr>
            <w:tcW w:w="1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2D72"/>
                <w:sz w:val="20"/>
              </w:rPr>
            </w:pPr>
            <w:r>
              <w:rPr>
                <w:rFonts w:ascii="Times New Roman;sans-serif" w:hAnsi="Times New Roman;sans-serif"/>
                <w:b w:val="false"/>
                <w:color w:val="002D72"/>
                <w:sz w:val="20"/>
              </w:rPr>
              <w:t>14,237,719 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Shares of common stock sold by the underwriters to the public will initially be offered at the initial public offering price set forth on the cover page of this prospectus supplement. Any shares of common stock sold by the underwriters to securities dealers may be sold at a discount of up to $0.41268750 per share from the initial public offering price. After the initial offering of the shares, the representatives may change the offering price and the other selling terms. The offering of the shares of common stock by the underwriters is subject to receipt and acceptance and subject to the underwriters’ right to reject any order in whole or in part.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In connection with this offering, the selling stockholder and our directors and executive officers will enter into lock-up agreements, under which they will agree not to dispose of or hedge any of our common stock or securities convertible into or exchangeable for shares of our common stock without the prior written consent of each of the </w:t>
      </w:r>
    </w:p>
    <w:p>
      <w:pPr>
        <w:pStyle w:val="TextBody"/>
        <w:bidi w:val="0"/>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three representatives for a period of 90 days after the date of this prospectus supplement. The representatives may, in their sole discretion and at any time, release all or any portion of the securities subject to lock-up agreements entered into in connection with this offering.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w:t>
        <w:noBreakHyphen/>
        <w:t>the</w:t>
        <w:noBreakHyphen/>
        <w:t>counter market or otherwise.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estimate that the total expenses of the offering, excluding underwriting discounts and commissions, will be approximately $1.7 million and will be paid by us and the selling stockholder. We have also agreed to reimburse the underwriters for certain expenses.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and US Holding and the underwriters have agreed to indemnify each other against certain liabilities, including liabilities under the Securities Act, or to contribute to payments that each party may be required to make in respect of those liabilities.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w:t>
        <w:noBreakHyphen/>
        <w:t>financial activities and services. Certain of the underwriters and their respective affiliates have provided, and may in the future provide, a variety of these services to the Company, US Holding and Leonardo S.p.A. and to persons and entities with relationships with the Company, US Holding and Leonardo S.p.A., for which they received or will receive customary fees and expenses.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J.P. Morgan Securities LLC acted as financial advisor to the Company in its merger with RADA.</w:t>
      </w:r>
    </w:p>
    <w:p>
      <w:pPr>
        <w:pStyle w:val="TextBody"/>
        <w:bidi w:val="0"/>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common stock is listed on the Nasdaq under the symbol “DRS”.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Registration Rights Agreement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On November 28, 2022, we entered into the Registration Rights Agreement, and the offering of our shares of common stock by the selling stockholder pursuant to this prospectus supplement and the accompanying prospectus is being made pursuant to the Registration Rights Agreement.</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Selling Restrictions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This prospectus supplement and the accompanying prospectus do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common stock or possession or distribution of this prospectus supplement and the accompanying prospectus or any other offering or publicity material relating to the shares of common stock in any country or jurisdiction (other than the United States) where any such action for that purpose is required. Accordingly, each underwriter has undertaken that it will not, directly or indirectly, offer or sell any shares of common stock or have in its possession, distribute or publish this prospectus supplement and the accompanying prospectus, form of application, advertisement or other document or information in any country or jurisdiction except under circumstances that will, to the best of its knowledge and belief, result in compliance with any applicable laws and regulations and all offers and sales of shares of common stock by it will be made on the same terms. </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Canada</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Securities legislation in certain provinces or territories of Canada may provide a purchaser with remedies for rescission or damages if this prospectus supplement (including any amendment thereto) and the accompanying prospectus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S-26</w:t>
                      </w:r>
                    </w:p>
                  </w:txbxContent>
                </v:textbox>
                <w10:wrap type="none"/>
              </v:rect>
            </w:pict>
          </mc:Fallback>
        </mc:AlternateConten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European Economic Area</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the shares of common stock may be offered to the public in that Member State at any time:</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(a)to any legal entity which is a qualified investor as defined under Article 2 of the Prospectus Regulation;</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(b)to fewer than 150 natural or legal persons (other than qualified investors as defined under Article 2 of the Prospectus Regulation), subject to obtaining the prior consent of the underwriters for any such offer; or</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(c)in any other circumstances falling within Article 1(4) of the Prospectus Regulation;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provided that no such offer of shares of common stock shall require the Company or any underwriter to publish a prospectus pursuant to Article 3 of the Prospectus Regulation or supplement a prospectus pursuant to Article 23 of the Prospectus Regulation. </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Each person who initially acquires any shares of common stock or to whom any offer is made will be deemed to have represented, acknowledged and agreed to and with each of the underwriters, the Company and the selling stockholder that it is a “qualified investor” under Article 2 of the Prospectus Regulation.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has been obtained to each such proposed offer or resale.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For the purposes of this provision, the expression an “offer to the public” in relation to any shares of common stock in any Member State means the communication in any form and by any means of sufficient information on the terms of the offer and the shares of common stock to be offered so as to enable an investor to decide to purchase or subscribe for the shares of common stock and the expression “Prospectus Regulation” means Regulation (EU) 2017/1129.</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Italy</w:t>
      </w:r>
    </w:p>
    <w:p>
      <w:pPr>
        <w:pStyle w:val="TextBody"/>
        <w:bidi w:val="0"/>
        <w:spacing w:lineRule="auto" w:line="288" w:before="0" w:after="180"/>
        <w:jc w:val="both"/>
        <w:rPr/>
      </w:pPr>
      <w:r>
        <w:rPr>
          <w:rFonts w:ascii="Times New Roman;sans-serif" w:hAnsi="Times New Roman;sans-serif"/>
          <w:b w:val="false"/>
          <w:color w:val="002D72"/>
          <w:sz w:val="20"/>
        </w:rPr>
        <w:t xml:space="preserve">The offering of the shares of common stock has not been registered with the </w:t>
      </w:r>
      <w:r>
        <w:rPr>
          <w:rFonts w:ascii="Times New Roman;sans-serif" w:hAnsi="Times New Roman;sans-serif"/>
          <w:b w:val="false"/>
          <w:i/>
          <w:color w:val="002D72"/>
          <w:sz w:val="20"/>
        </w:rPr>
        <w:t>Commissione Nazionale per le Società e la Borsa</w:t>
      </w:r>
      <w:r>
        <w:rPr>
          <w:color w:val="002D72"/>
        </w:rPr>
        <w:t xml:space="preserve"> </w:t>
      </w:r>
      <w:r>
        <w:rPr>
          <w:rFonts w:ascii="Times New Roman;sans-serif" w:hAnsi="Times New Roman;sans-serif"/>
          <w:b w:val="false"/>
          <w:color w:val="002D72"/>
          <w:sz w:val="20"/>
        </w:rPr>
        <w:t>(“CONSOB”) pursuant to Italian securities legislation and, accordingly, no shares of common stock may be offered, sold or delivered, directly or indirectly, nor may copies of this prospectus supplement, the accompanying prospectus or of any other document or offering material relating to the shares of common stock be distributed in the Republic of Italy, except:</w:t>
      </w:r>
    </w:p>
    <w:p>
      <w:pPr>
        <w:pStyle w:val="TextBody"/>
        <w:bidi w:val="0"/>
        <w:spacing w:lineRule="auto" w:line="288" w:before="120" w:after="180"/>
        <w:ind w:left="0" w:right="0" w:hanging="360"/>
        <w:jc w:val="both"/>
        <w:rPr/>
      </w:pPr>
      <w:r>
        <w:rPr>
          <w:rFonts w:ascii="Times New Roman;sans-serif" w:hAnsi="Times New Roman;sans-serif"/>
          <w:b w:val="false"/>
          <w:color w:val="002D72"/>
          <w:sz w:val="20"/>
        </w:rPr>
        <w:t>(i)to “qualified investors” (</w:t>
      </w:r>
      <w:r>
        <w:rPr>
          <w:rFonts w:ascii="Times New Roman;sans-serif" w:hAnsi="Times New Roman;sans-serif"/>
          <w:b w:val="false"/>
          <w:i/>
          <w:color w:val="002D72"/>
          <w:sz w:val="20"/>
        </w:rPr>
        <w:t>investitori qualificati</w:t>
      </w:r>
      <w:r>
        <w:rPr>
          <w:rFonts w:ascii="Times New Roman;sans-serif" w:hAnsi="Times New Roman;sans-serif"/>
          <w:b w:val="false"/>
          <w:color w:val="002D72"/>
          <w:sz w:val="20"/>
        </w:rPr>
        <w:t>) as defined in Article 2, letter (e), of Regulation (EU) 2017/1129 (the “Prospectus Regulation”), pursuant to Article 1, fourth paragraph, letter (a) of the Prospectus Regulation; or</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(ii)in other circumstances which are exempted from the rules on public offerings pursuant to Article 1 of the Prospectus Regulation.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Any offer, sale or delivery of the shares of common stock or distribution of copies of this prospectus supplement, the accompanying prospectus or any other document relating to the shares of common stock in the Republic of Italy under paragraphs (i) or (ii) above must be effected in accordance with all Italian securities, tax and exchange control and other applicable laws and regulations and, in particular, must be carried out:</w:t>
      </w:r>
    </w:p>
    <w:p>
      <w:pPr>
        <w:pStyle w:val="TextBody"/>
        <w:bidi w:val="0"/>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S-27</w:t>
                      </w:r>
                    </w:p>
                  </w:txbxContent>
                </v:textbox>
                <w10:wrap type="none"/>
              </v:rect>
            </w:pict>
          </mc:Fallback>
        </mc:AlternateConten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(a)by an investment firm, bank or financial intermediary permitted to conduct such activities in the Republic of Italy in accordance with Legislative Decree No. 58 of February 24, 1998, CONSOB Regulation No. 20307 of February 15, 2018 and Legislative Decree No. 385 of September 1, 1993 (in each case, as amended from time to time); and</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(b)in compliance with any other applicable laws and regulations, including any limitation or requirement which may be imposed from time to time by CONSOB and/or the Bank of Italy and/or any other Italian competent authority.</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Any investor purchasing the shares of common stock in this offering is solely responsible for ensuring that any offer or resale of the shares of common stock it purchased in this offering occurs in compliance with applicable laws and regulations. No person resident or located in Italy other than the original addressees of this document may rely on this document or its contents.</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United Kingdom</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No shares of common stock have been offered or will be offered pursuant to the offering to the public in the United Kingdom (the “UK”) prior to the publication of a prospectus in relation to the shares of common stock which has been approved by the Financial Conduct Authority all in accordance with the UK Prospectus Regulation, except that the shares of common stock may be offered to the public in the UK at any time:</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(i)to any legal entity which is a qualified investor as defined under Article 2 of the UK Prospectus Regulation;</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(ii)to fewer than 150 natural or legal persons (other than qualified investors as defined under Article 2 of the UK Prospectus Regulation) subject to obtaining the prior consent of the underwriters for any such offer; or</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(iii)in any other circumstances falling within section 86 of the Financial Services and Markets Act 2000, as amended (the “FSMA”); </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provided that no such offer of shares of common stock shall require the Company or any underwriter to publish a prospectus pursuant to section 85 of the FSMA or supplement a prospectus pursuant to Article 23 of the UK Prospectus Regulation.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Each person who initially acquires any shares of common stock or to whom any offer is made will be deemed to have represented, acknowledged and agreed to and with each of the underwriters, the Company and the selling stockholder that it is a “qualified investor” under Article 2 of the UK Prospectus Regulation.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the case of any shares of common stock being offered to a financial intermediary as that term is used in the UK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the UK to qualified investors as so defined or in circumstances in which the prior consent of the underwriters has been obtained to each such proposed offer or resale.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For the purposes of this provision, the expression an “offer to the public” in relation to any shares of common stock in the UK means the communication in any form and by any means of sufficient information on the terms of the offer and the shares of common stock to be offered so as to enable an investor to decide to purchase or subscribe for the shares of common stock and the expression “UK Prospectus Regulation” means Regulation (EU) 2017/1129 as it forms part of domestic law by virtue of the European Union (Withdrawal) Act 2018.</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In addition, in the UK, this prospectus supplement and the accompanying prospectus are being distributed only to, and are directed only at, and any offer subsequently made may only be directed at persons: </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(i)who have professional experience in matters relating to investments falling within Article 19(5) of the Financial Services and Markets Act 2000 (Financial Promotion) Order 2005, as amended (the “Order”) and/or </w:t>
      </w:r>
    </w:p>
    <w:p>
      <w:pPr>
        <w:pStyle w:val="TextBody"/>
        <w:bidi w:val="0"/>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S-28</w:t>
                      </w:r>
                    </w:p>
                  </w:txbxContent>
                </v:textbox>
                <w10:wrap type="none"/>
              </v:rect>
            </w:pict>
          </mc:Fallback>
        </mc:AlternateConten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(ii)who are high-net-worth entities, and other persons to whom it may otherwise be lawfully communicated falling within Article 49(2)(a) to (d) of the Order (all such persons together being referred to as “relevant persons”).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Any person in the UK that is not a relevant person should not act or rely on the information included in this prospectus supplement and the accompanying prospectus or use it as basis for taking any action. In the UK, any investment or investment activity that this prospectus supplement and the accompanying prospectus relates to may be made or taken exclusively by relevant persons.</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Israel</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shares of common stock have not been, and will not be, offered to the public in Israel within the meaning of the Israeli Securities Law, 5728-1968 (the “Israeli Securities Law”). The shares of common stock may be offered in the State of Israel only to Qualified Israeli Investors in reliance on an exemption from the requirement to file a prospectus pursuant to Sections 15A(b)(1) and 15A(b)(2) of the Israeli Securities Law. Accordingly, no prospectus will be filed in the State of Israel in connection with this offering.</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Australia</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This prospectus supplement and the accompanying prospectus: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do not constitute a product disclosure document or a prospectus under Chapter 6D.2 of the Corporations Act 2001 (Cth) (the “Corporations Act”);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have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do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may only be provided in Australia to select investors who are able to demonstrate that they fall within one or more of the categories of investors, or Exempt Investors, available under section 708 of the Corporations Act.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As any offer of shares of common stock under the prospectus supplement and the accompanying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Dubai International Financial Centre (“DIFC”)</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This prospectus supplement and the accompanying prospectus relate to an Exempt Offer (as such term is used in the Markets Rules 2012 of the Dubai Financial Services Authority (“DFSA”)). This prospectus supplement and the accompanying prospectus are intended for distribution only to persons of a type specified in the Markets Rules 2012 </w:t>
      </w:r>
    </w:p>
    <w:p>
      <w:pPr>
        <w:pStyle w:val="TextBody"/>
        <w:bidi w:val="0"/>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S-29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of the DFSA. It must not be delivered to, or relied on by, any other person. The DFSA has no responsibility for reviewing or verifying any documents in connection with Exempt Offers.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DFSA has not approved this prospectus supplement or the accompanying prospectus nor taken steps to verify the information set forth herein or therein and has no responsibility for this prospectus supplement and the accompanying prospectus. The shares of common stock to which this prospectus supplement and the accompanying prospectus relate may be illiquid and/or subject to restrictions on their resale. Prospective purchasers of the shares of common stock offered should conduct their own due diligence on the shares of common stock. If you do not understand the contents of this prospectus supplement and the accompanying prospectus you should consult an authorized financial advisor.</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shares of common stock may not be offered or sold directly or indirectly to the public in the DIFC.</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Hong Kong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contents of this prospectus supplement and the accompanying prospectus have not been reviewed by any regulatory authority in Hong Kong. You are advised to exercise caution in relation to the offer. If you are in any doubt about any of the contents of this prospectus supplement and the accompanying prospectus, you should obtain independent professional advice.</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Japan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Singapore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w:t>
      </w:r>
    </w:p>
    <w:p>
      <w:pPr>
        <w:pStyle w:val="TextBody"/>
        <w:bidi w:val="0"/>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275(1A), and in accordance with the conditions specified in Section 275 of the SFA, or (iii) otherwise pursuant to, and in accordance with the conditions of, any other applicable provision of the SFA.</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Where the shares of common stock are subscribed or purchased under Section 275 of the SFA by a relevant person which is:</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(a)a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(b)a trust (where the trustee is not an accredited investor) whose sole purpose is to hold investments and each beneficiary of the trust is an individual who is an accredited investor,</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(a)to an institutional investor or to a relevant person defined in Section 275(2) of the SFA, or to any person arising from an offer referred to in Section 275(1A) or Section 276(4)(i)(B) of the SFA;</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(b)where no consideration is or will be given for the transfer;</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(c)where the transfer is by operation of law;</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(d)as specified in Section 276(7) of the SFA; or</w:t>
      </w:r>
    </w:p>
    <w:p>
      <w:pPr>
        <w:pStyle w:val="TextBody"/>
        <w:bidi w:val="0"/>
        <w:spacing w:lineRule="auto" w:line="288" w:before="120" w:after="180"/>
        <w:ind w:left="0" w:right="0" w:hanging="360"/>
        <w:jc w:val="both"/>
        <w:rPr>
          <w:rFonts w:ascii="Times New Roman;sans-serif" w:hAnsi="Times New Roman;sans-serif"/>
          <w:b w:val="false"/>
          <w:color w:val="002D72"/>
          <w:sz w:val="20"/>
        </w:rPr>
      </w:pPr>
      <w:r>
        <w:rPr>
          <w:rFonts w:ascii="Times New Roman;sans-serif" w:hAnsi="Times New Roman;sans-serif"/>
          <w:b w:val="false"/>
          <w:color w:val="002D72"/>
          <w:sz w:val="20"/>
        </w:rPr>
        <w:t>(e)as specified in Regulation 32 of the Securities and Futures (Offers of Investments) (Shares and Debentures) Regulations 2005 of Singapore.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Solely for the purposes of its obligations pursuant to Section 309B of the SFA, we have determined, and hereby notify all relevant persons (as defined in the CMP Regulations 2018),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Switzerland</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shares of common stock may not be publicly offered in Switzerland and will not be listed on the SIX Swiss Exchange (“SIX”) or on any other stock exchange or regulated trading facility in Switzerland. This prospectus supplement and the accompanying prospectus do not constitute a prospectus within the meaning of, and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shares of common stock or the offering may be publicly distributed or otherwise made publicly available in Switzerland.</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Neither this prospectus supplement and the accompanying prospectus nor any other offering or marketing material relating to the offering, the Company or the shares of common stock have been or will be filed with or approved by any Swiss regulatory authority. In particular, this prospectus supplement and the accompanying prospectus will not be filed with, and the offer of shares of common stock will not be supervised by, the Swiss Financial Market Supervisory Authority FINMA, and the offer of shares of common stock has not been and will not be authorized under the Swiss Federal Act on Collective Investment Schemes (“CISA”). The investor protection afforded to acquirers of interests in collective investment schemes under the CISA does not extend to acquirers of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S-31</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VALIDITY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validity of the shares of our common stock offered hereby will be passed upon for us by Sullivan &amp; Cromwell LLP, New York, New York.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Certain legal matters will be passed upon for the underwriters by Cleary Gottlieb Steen &amp; Hamilton LLP, New York, New York. Cleary Gottlieb Steen &amp; Hamilton LLP provides legal services from time to time to Leonardo S.p.A. and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S-32</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EXPERTS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consolidated financial statements of Leonardo DRS, Inc. appearing in Leonardo DRS, Inc.’s Annual Report (Form 10-K) for the year ended December 31,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consolidated financial statements of Leonardo DRS, Inc. as of December 31, 2021, and for each of the years in the two-year period ended December 31, 2021, have been incorporated by reference herein in reliance upon the report of KPMG LLP (“KPMG”), independent registered public accounting firm, incorporated by reference herein, and upon the authority of said firm as experts in accounting and auditing. Leonardo DRS, Inc. has agreed to indemnify and hold KPMG harmless against and from any and all legal costs and expenses incurred by KPMG in the successful defense of any legal action or proceeding that arises as a result of KPMG’s consent to the incorporation by reference of its audit report on the Company’s past financial statements incorporated by reference in this prospectus supplement and the accompanying prospectus.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S-33</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WHERE YOU CAN FIND ADDITIONAL INFORMATION; INCORPORATION OF CERTAIN INFORMATION BY REFERENCE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file annual, quarterly and current reports, proxy statements and other information with the SEC. The SEC maintains an internet website that contains our reports, proxy and other information regarding us at www.sec.gov. We also maintain a website at https://www.leonardodrs.com, at which you may access these materials free of charge as soon as reasonably practicable after they are electronically filed with or furnished to the SEC. Information contained on, or that can be accessed through, our or the SEC website is not incorporated by reference in this prospectus supplement and the accompanying prospectus (other than those filings with the SEC that we specifically incorporate by reference into this prospectus supplement and the accompanying prospectus), and you should not consider such information on our website to be part of this prospectus supplement and the accompanying prospectus.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SEC allows “incorporation by reference” into this prospectus supplement and the accompanying prospectus of information that we file with the SEC. This permits us to disclose important information to you by referencing these filed documents. Any information referenced this way is considered to be a part of this prospectus supplement and any information filed by us with the SEC subsequent to the date of this prospectus supplement and the accompanying prospectus automatically will be deemed to update and supersede this information. We incorporate by reference the following documents which we have filed with the SEC (excluding any documents or portions of such documents that have been “furnished” but not “filed” for purposes of the Securities Exchange Act of 1934, as amended, or the Exchange Act):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our Annual Report on </w:t>
      </w:r>
      <w:hyperlink r:id="rId3">
        <w:r>
          <w:rPr>
            <w:rStyle w:val="InternetLink"/>
            <w:rFonts w:ascii="Times New Roman;sans-serif" w:hAnsi="Times New Roman;sans-serif"/>
            <w:b w:val="false"/>
            <w:color w:val="002D72"/>
            <w:sz w:val="20"/>
            <w:u w:val="single"/>
          </w:rPr>
          <w:t>Form 10-K</w:t>
        </w:r>
      </w:hyperlink>
      <w:r>
        <w:rPr>
          <w:color w:val="002D72"/>
        </w:rPr>
        <w:t xml:space="preserve"> </w:t>
      </w:r>
      <w:r>
        <w:rPr>
          <w:rFonts w:ascii="Times New Roman;sans-serif" w:hAnsi="Times New Roman;sans-serif"/>
          <w:b w:val="false"/>
          <w:color w:val="002D72"/>
          <w:sz w:val="20"/>
        </w:rPr>
        <w:t>for the year ended December 31, 2022, which we filed with the SEC on March 28, 2023;</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the information specifically incorporated by reference into our Annual Report on Form 10-K for the year ended December 31, 2022 from our Definitive Proxy Statement on </w:t>
      </w:r>
      <w:hyperlink r:id="rId4">
        <w:r>
          <w:rPr>
            <w:rStyle w:val="InternetLink"/>
            <w:rFonts w:ascii="Times New Roman;sans-serif" w:hAnsi="Times New Roman;sans-serif"/>
            <w:b w:val="false"/>
            <w:color w:val="002D72"/>
            <w:sz w:val="20"/>
            <w:u w:val="single"/>
          </w:rPr>
          <w:t>Schedule 14A</w:t>
        </w:r>
      </w:hyperlink>
      <w:r>
        <w:rPr>
          <w:color w:val="002D72"/>
        </w:rPr>
        <w:t xml:space="preserve"> </w:t>
      </w:r>
      <w:r>
        <w:rPr>
          <w:rFonts w:ascii="Times New Roman;sans-serif" w:hAnsi="Times New Roman;sans-serif"/>
          <w:b w:val="false"/>
          <w:color w:val="002D72"/>
          <w:sz w:val="20"/>
        </w:rPr>
        <w:t>for our 2023 Annual Meeting of Stockholders, which we filed with the SEC on April 19, 2023;</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our Quarterly Report on Form 10-Q for the quarter ended </w:t>
      </w:r>
      <w:hyperlink r:id="rId5">
        <w:r>
          <w:rPr>
            <w:rStyle w:val="InternetLink"/>
            <w:rFonts w:ascii="Times New Roman;sans-serif" w:hAnsi="Times New Roman;sans-serif"/>
            <w:b w:val="false"/>
            <w:color w:val="002D72"/>
            <w:sz w:val="20"/>
            <w:u w:val="single"/>
          </w:rPr>
          <w:t>March 31, 2023</w:t>
        </w:r>
      </w:hyperlink>
      <w:r>
        <w:rPr>
          <w:rFonts w:ascii="Times New Roman;sans-serif" w:hAnsi="Times New Roman;sans-serif"/>
          <w:b w:val="false"/>
          <w:color w:val="002D72"/>
          <w:sz w:val="20"/>
        </w:rPr>
        <w:t xml:space="preserve">, which we filed with the SEC on May 4, 2023, our Quarterly Report on Form 10-Q for the quarter ended </w:t>
      </w:r>
      <w:hyperlink r:id="rId6">
        <w:r>
          <w:rPr>
            <w:rStyle w:val="InternetLink"/>
            <w:rFonts w:ascii="Times New Roman;sans-serif" w:hAnsi="Times New Roman;sans-serif"/>
            <w:b w:val="false"/>
            <w:color w:val="002D72"/>
            <w:sz w:val="20"/>
            <w:u w:val="single"/>
          </w:rPr>
          <w:t>June 30, 2023</w:t>
        </w:r>
      </w:hyperlink>
      <w:r>
        <w:rPr>
          <w:rFonts w:ascii="Times New Roman;sans-serif" w:hAnsi="Times New Roman;sans-serif"/>
          <w:b w:val="false"/>
          <w:color w:val="002D72"/>
          <w:sz w:val="20"/>
        </w:rPr>
        <w:t xml:space="preserve">, which we filed with the SEC on August 2, 2023, and our Quarterly Report on Form 10-Q for the quarter ended </w:t>
      </w:r>
      <w:hyperlink r:id="rId7">
        <w:r>
          <w:rPr>
            <w:rStyle w:val="InternetLink"/>
            <w:rFonts w:ascii="Times New Roman;sans-serif" w:hAnsi="Times New Roman;sans-serif"/>
            <w:b w:val="false"/>
            <w:color w:val="002D72"/>
            <w:sz w:val="20"/>
            <w:u w:val="single"/>
          </w:rPr>
          <w:t>September 30, 2023</w:t>
        </w:r>
      </w:hyperlink>
      <w:r>
        <w:rPr>
          <w:rFonts w:ascii="Times New Roman;sans-serif" w:hAnsi="Times New Roman;sans-serif"/>
          <w:b w:val="false"/>
          <w:color w:val="002D72"/>
          <w:sz w:val="20"/>
        </w:rPr>
        <w:t>, which we filed with the SEC on November 2, 2023;</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our Current Reports on Form 8-K, which we filed with the SEC on </w:t>
      </w:r>
      <w:hyperlink r:id="rId8">
        <w:r>
          <w:rPr>
            <w:rStyle w:val="InternetLink"/>
            <w:rFonts w:ascii="Times New Roman;sans-serif" w:hAnsi="Times New Roman;sans-serif"/>
            <w:b w:val="false"/>
            <w:color w:val="002D72"/>
            <w:sz w:val="20"/>
            <w:u w:val="single"/>
          </w:rPr>
          <w:t>February 28, 2023</w:t>
        </w:r>
      </w:hyperlink>
      <w:r>
        <w:rPr>
          <w:rFonts w:ascii="Times New Roman;sans-serif" w:hAnsi="Times New Roman;sans-serif"/>
          <w:b w:val="false"/>
          <w:color w:val="002D72"/>
          <w:sz w:val="20"/>
        </w:rPr>
        <w:t xml:space="preserve">, </w:t>
      </w:r>
      <w:hyperlink r:id="rId9">
        <w:r>
          <w:rPr>
            <w:rStyle w:val="InternetLink"/>
            <w:rFonts w:ascii="Times New Roman;sans-serif" w:hAnsi="Times New Roman;sans-serif"/>
            <w:b w:val="false"/>
            <w:color w:val="002D72"/>
            <w:sz w:val="20"/>
            <w:u w:val="single"/>
          </w:rPr>
          <w:t>March 27, 2023</w:t>
        </w:r>
      </w:hyperlink>
      <w:r>
        <w:rPr>
          <w:rFonts w:ascii="Times New Roman;sans-serif" w:hAnsi="Times New Roman;sans-serif"/>
          <w:b w:val="false"/>
          <w:color w:val="002D72"/>
          <w:sz w:val="20"/>
        </w:rPr>
        <w:t xml:space="preserve">, </w:t>
      </w:r>
      <w:hyperlink r:id="rId10">
        <w:r>
          <w:rPr>
            <w:rStyle w:val="InternetLink"/>
            <w:rFonts w:ascii="Times New Roman;sans-serif" w:hAnsi="Times New Roman;sans-serif"/>
            <w:b w:val="false"/>
            <w:color w:val="002D72"/>
            <w:sz w:val="20"/>
            <w:u w:val="single"/>
          </w:rPr>
          <w:t>June 7, 2023</w:t>
        </w:r>
      </w:hyperlink>
      <w:r>
        <w:rPr>
          <w:color w:val="002D72"/>
        </w:rPr>
        <w:t xml:space="preserve"> </w:t>
      </w:r>
      <w:r>
        <w:rPr>
          <w:rFonts w:ascii="Times New Roman;sans-serif" w:hAnsi="Times New Roman;sans-serif"/>
          <w:b w:val="false"/>
          <w:color w:val="002D72"/>
          <w:sz w:val="20"/>
        </w:rPr>
        <w:t xml:space="preserve">and on </w:t>
      </w:r>
      <w:hyperlink r:id="rId11">
        <w:r>
          <w:rPr>
            <w:rStyle w:val="InternetLink"/>
            <w:rFonts w:ascii="Times New Roman;sans-serif" w:hAnsi="Times New Roman;sans-serif"/>
            <w:b w:val="false"/>
            <w:color w:val="002D72"/>
            <w:sz w:val="20"/>
            <w:u w:val="single"/>
          </w:rPr>
          <w:t>September 27, 2023</w:t>
        </w:r>
      </w:hyperlink>
      <w:r>
        <w:rPr>
          <w:rFonts w:ascii="Times New Roman;sans-serif" w:hAnsi="Times New Roman;sans-serif"/>
          <w:b w:val="false"/>
          <w:color w:val="002D72"/>
          <w:sz w:val="20"/>
        </w:rPr>
        <w:t>; and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the description of our common stock contained under the heading “Description of Capital Stock” in our registration statement on </w:t>
      </w:r>
      <w:hyperlink r:id="rId12">
        <w:r>
          <w:rPr>
            <w:rStyle w:val="InternetLink"/>
            <w:rFonts w:ascii="Times New Roman;sans-serif" w:hAnsi="Times New Roman;sans-serif"/>
            <w:b w:val="false"/>
            <w:color w:val="002D72"/>
            <w:sz w:val="20"/>
            <w:u w:val="single"/>
          </w:rPr>
          <w:t>Form S-4</w:t>
        </w:r>
      </w:hyperlink>
      <w:r>
        <w:rPr>
          <w:rFonts w:ascii="Times New Roman;sans-serif" w:hAnsi="Times New Roman;sans-serif"/>
          <w:b w:val="false"/>
          <w:color w:val="002D72"/>
          <w:sz w:val="20"/>
        </w:rPr>
        <w:t>, as amended, which we filed with the SEC on September 9, 2022.</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incorporate by reference any filings made with the SEC in accordance with Sections 13(a), 13(c), 14 or 15(d) of the Exchange Act on or after the date of this prospectus supplement and the date all of the shares of common stock offered hereby are sold or the offering is otherwise terminated, with the exception of any information furnished under Item 2.02 and Item 7.01 (including any financial statements or exhibits relating thereto furnished pursuant to Item 9.01) of Form 8-K, which is not deemed filed and which is not incorporated by reference herein. Any such filings shall be deemed to be incorporated by reference and to be a part of this prospectus supplement from the respective dates of filing of those documents.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Any statement contained in a document incorporated or deemed to be incorporated by reference in this prospectus supplement will be deemed to be modified or superseded to the extent that a statement contained herein or in any other subsequently filed document, which also is or is deemed to be incorporated by reference in this prospectus supplement, modifies or supersedes that statement. Any statement so modified or superseded will not be deemed, except as so modified or superseded, to constitute a part of this prospectus supplement.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We will provide to each person, including any beneficial owner, to whom a prospectus supplement is delivered, without charge, upon written or oral request, a copy of any or all of the documents that are incorporated by reference into this prospectus supplement and the accompanying prospectus but not delivered with this prospectus supplement, </w:t>
      </w:r>
    </w:p>
    <w:p>
      <w:pPr>
        <w:pStyle w:val="TextBody"/>
        <w:bidi w:val="0"/>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excluding any exhibits to those documents unless the exhibit is specifically incorporated by reference as an exhibit in this prospectus supplement or the accompanying prospectus. You should direct requests for documents to:</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Leonardo DRS, Inc.</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2345 Crystal Drive</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Suite 1000</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Arlington, Virginia 22202</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Attention: Investor Relations</w:t>
      </w:r>
    </w:p>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Telephone: (703) 416-8000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S-35</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2D72"/>
          <w:sz w:val="20"/>
        </w:rPr>
      </w:pPr>
      <w:r>
        <w:rPr>
          <w:rFonts w:ascii="Times New Roman;sans-serif" w:hAnsi="Times New Roman;sans-serif"/>
          <w:b/>
          <w:color w:val="002D72"/>
          <w:sz w:val="20"/>
        </w:rPr>
        <w:t>PROSPECTUS</w:t>
      </w:r>
    </w:p>
    <w:p>
      <w:pPr>
        <w:pStyle w:val="TextBody"/>
        <w:bidi w:val="0"/>
        <w:spacing w:before="0" w:after="180"/>
        <w:jc w:val="center"/>
        <w:rPr/>
      </w:pPr>
      <w:r>
        <w:rPr/>
        <w:drawing>
          <wp:inline distT="0" distB="0" distL="0" distR="0">
            <wp:extent cx="2190750" cy="27622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13"/>
                    <a:stretch>
                      <a:fillRect/>
                    </a:stretch>
                  </pic:blipFill>
                  <pic:spPr bwMode="auto">
                    <a:xfrm>
                      <a:off x="0" y="0"/>
                      <a:ext cx="2190750" cy="2762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2D72"/>
          <w:sz w:val="32"/>
        </w:rPr>
      </w:pPr>
      <w:r>
        <w:rPr>
          <w:rFonts w:ascii="Times New Roman;sans-serif" w:hAnsi="Times New Roman;sans-serif"/>
          <w:b/>
          <w:color w:val="002D72"/>
          <w:sz w:val="32"/>
        </w:rPr>
        <w:t>Leonardo DRS, Inc.</w:t>
      </w:r>
    </w:p>
    <w:p>
      <w:pPr>
        <w:pStyle w:val="TextBody"/>
        <w:bidi w:val="0"/>
        <w:spacing w:lineRule="auto" w:line="288" w:before="0" w:after="180"/>
        <w:jc w:val="center"/>
        <w:rPr>
          <w:rFonts w:ascii="Times New Roman;sans-serif" w:hAnsi="Times New Roman;sans-serif"/>
          <w:b/>
          <w:color w:val="002D72"/>
          <w:sz w:val="36"/>
        </w:rPr>
      </w:pPr>
      <w:r>
        <w:rPr>
          <w:rFonts w:ascii="Times New Roman;sans-serif" w:hAnsi="Times New Roman;sans-serif"/>
          <w:b/>
          <w:color w:val="002D72"/>
          <w:sz w:val="36"/>
        </w:rPr>
        <w:t>Common Stock</w:t>
      </w:r>
    </w:p>
    <w:p>
      <w:pPr>
        <w:pStyle w:val="TextBody"/>
        <w:bidi w:val="0"/>
        <w:spacing w:lineRule="auto" w:line="288" w:before="0" w:after="180"/>
        <w:jc w:val="left"/>
        <w:rPr>
          <w:rFonts w:ascii="Times New Roman;sans-serif" w:hAnsi="Times New Roman;sans-serif"/>
          <w:b w:val="false"/>
          <w:color w:val="002D72"/>
          <w:sz w:val="20"/>
        </w:rPr>
      </w:pPr>
      <w:r>
        <w:rPr>
          <w:rFonts w:ascii="Times New Roman;sans-serif" w:hAnsi="Times New Roman;sans-serif"/>
          <w:b w:val="false"/>
          <w:color w:val="002D72"/>
          <w:sz w:val="20"/>
        </w:rPr>
        <w:t>This prospectus relates solely to sales, from time to time, of shares of common stock, par value $0.01 per share, of Leonardo DRS, Inc. The selling stockholder, Leonardo US Holding, LLC, a subsidiary of Leonardo - Società per azioni, may offer and sell shares of our common stock from time to time in amounts, at prices and on terms that will be determined at the time of any such offering. We will not receive any of the proceeds from the sale of the shares being sold by the selling stockholder pursuant to this prospectus.</w:t>
      </w:r>
    </w:p>
    <w:p>
      <w:pPr>
        <w:pStyle w:val="TextBody"/>
        <w:bidi w:val="0"/>
        <w:spacing w:lineRule="auto" w:line="288" w:before="0" w:after="180"/>
        <w:jc w:val="left"/>
        <w:rPr>
          <w:rFonts w:ascii="Times New Roman;sans-serif" w:hAnsi="Times New Roman;sans-serif"/>
          <w:b w:val="false"/>
          <w:color w:val="002D72"/>
          <w:sz w:val="20"/>
        </w:rPr>
      </w:pPr>
      <w:r>
        <w:rPr>
          <w:rFonts w:ascii="Times New Roman;sans-serif" w:hAnsi="Times New Roman;sans-serif"/>
          <w:b w:val="false"/>
          <w:color w:val="002D72"/>
          <w:sz w:val="20"/>
        </w:rPr>
        <w:t>This prospectus describes some of the general terms that may apply to our common stock. Each time any shares of common stock are offered pursuant to this prospectus, we will provide a prospectus supplement and attach it to this prospectus. The prospectus supplement will contain more specific information about the offering, including the number of shares of our common stock to be sold by the selling stockholder. The prospectus supplement may also add, update or change information contained in this prospectus. You should read this prospectus and the accompanying prospectus supplement, as well as the documents incorporated by reference herein or therein, carefully before you make your investment decision.</w:t>
      </w:r>
    </w:p>
    <w:p>
      <w:pPr>
        <w:pStyle w:val="TextBody"/>
        <w:bidi w:val="0"/>
        <w:spacing w:lineRule="auto" w:line="288" w:before="0" w:after="180"/>
        <w:jc w:val="left"/>
        <w:rPr>
          <w:rFonts w:ascii="Times New Roman;sans-serif" w:hAnsi="Times New Roman;sans-serif"/>
          <w:b w:val="false"/>
          <w:color w:val="002D72"/>
          <w:sz w:val="20"/>
        </w:rPr>
      </w:pPr>
      <w:r>
        <w:rPr>
          <w:rFonts w:ascii="Times New Roman;sans-serif" w:hAnsi="Times New Roman;sans-serif"/>
          <w:b w:val="false"/>
          <w:color w:val="002D72"/>
          <w:sz w:val="20"/>
        </w:rPr>
        <w:t>This prospectus may not be used to offer and sell shares of our common stock unless accompanied by a prospectus supplement or a free writing prospectus.</w:t>
      </w:r>
    </w:p>
    <w:p>
      <w:pPr>
        <w:pStyle w:val="TextBody"/>
        <w:bidi w:val="0"/>
        <w:spacing w:lineRule="auto" w:line="288" w:before="0" w:after="180"/>
        <w:jc w:val="left"/>
        <w:rPr>
          <w:rFonts w:ascii="Times New Roman;sans-serif" w:hAnsi="Times New Roman;sans-serif"/>
          <w:b w:val="false"/>
          <w:color w:val="002D72"/>
          <w:sz w:val="20"/>
        </w:rPr>
      </w:pPr>
      <w:r>
        <w:rPr>
          <w:rFonts w:ascii="Times New Roman;sans-serif" w:hAnsi="Times New Roman;sans-serif"/>
          <w:b w:val="false"/>
          <w:color w:val="002D72"/>
          <w:sz w:val="20"/>
        </w:rPr>
        <w:t>The shares of our common stock may be sold at fixed prices, prevailing market prices at the times of sale, prices related to the prevailing market prices, varying prices determined at the times of sale or negotiated prices. The shares of our common stock offered by this prospectus and the accompanying prospectus supplement may be offered by the selling stockholder directly to investors or to or through underwriters, dealers or other agents.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pStyle w:val="TextBody"/>
        <w:bidi w:val="0"/>
        <w:spacing w:lineRule="auto" w:line="288" w:before="0" w:after="180"/>
        <w:jc w:val="left"/>
        <w:rPr>
          <w:rFonts w:ascii="Times New Roman;sans-serif" w:hAnsi="Times New Roman;sans-serif"/>
          <w:b w:val="false"/>
          <w:color w:val="002D72"/>
          <w:sz w:val="20"/>
        </w:rPr>
      </w:pPr>
      <w:r>
        <w:rPr>
          <w:rFonts w:ascii="Times New Roman;sans-serif" w:hAnsi="Times New Roman;sans-serif"/>
          <w:b w:val="false"/>
          <w:color w:val="002D72"/>
          <w:sz w:val="20"/>
        </w:rPr>
        <w:t>Our common stock is listed on the Nasdaq Stock Market LLC, or the Nasdaq, and the Tel Aviv Stock Exchange, or the TASE, under the symbol “DRS”. Pursuant to Israeli law, the last trading day on the TASE is expected to occur on or around December 27, 2023 and the delisting of our common stock from the TASE is expected to take effect on or around December 31, 2023.</w:t>
      </w:r>
    </w:p>
    <w:p>
      <w:pPr>
        <w:pStyle w:val="TextBody"/>
        <w:bidi w:val="0"/>
        <w:spacing w:lineRule="auto" w:line="288" w:before="0" w:after="180"/>
        <w:jc w:val="left"/>
        <w:rPr/>
      </w:pPr>
      <w:r>
        <w:rPr>
          <w:rFonts w:ascii="Times New Roman;sans-serif" w:hAnsi="Times New Roman;sans-serif"/>
          <w:b/>
          <w:color w:val="002D72"/>
          <w:sz w:val="24"/>
        </w:rPr>
        <w:t>Investing in our common stock involves a high degree of risk. See “</w:t>
      </w:r>
      <w:hyperlink w:anchor="i11f4275a625c41fb9cf0bbd2eeb8aaf5_594">
        <w:r>
          <w:rPr>
            <w:rStyle w:val="InternetLink"/>
            <w:rFonts w:ascii="Times New Roman;sans-serif" w:hAnsi="Times New Roman;sans-serif"/>
            <w:b/>
            <w:color w:val="002D72"/>
            <w:sz w:val="24"/>
            <w:u w:val="single"/>
          </w:rPr>
          <w:t>Risk Factors</w:t>
        </w:r>
      </w:hyperlink>
      <w:r>
        <w:rPr>
          <w:color w:val="002D72"/>
        </w:rPr>
        <w:t xml:space="preserve">” </w:t>
      </w:r>
      <w:r>
        <w:rPr>
          <w:rFonts w:ascii="Times New Roman;sans-serif" w:hAnsi="Times New Roman;sans-serif"/>
          <w:b/>
          <w:color w:val="002D72"/>
          <w:sz w:val="24"/>
        </w:rPr>
        <w:t xml:space="preserve">on page </w:t>
      </w:r>
      <w:hyperlink w:anchor="i11f4275a625c41fb9cf0bbd2eeb8aaf5_594">
        <w:r>
          <w:rPr>
            <w:rStyle w:val="InternetLink"/>
            <w:rFonts w:ascii="Times New Roman;sans-serif" w:hAnsi="Times New Roman;sans-serif"/>
            <w:b/>
            <w:color w:val="002D72"/>
            <w:sz w:val="24"/>
            <w:u w:val="single"/>
          </w:rPr>
          <w:t>9</w:t>
        </w:r>
      </w:hyperlink>
      <w:r>
        <w:rPr>
          <w:color w:val="002D72"/>
        </w:rPr>
        <w:t xml:space="preserve"> </w:t>
      </w:r>
      <w:r>
        <w:rPr>
          <w:rFonts w:ascii="Times New Roman;sans-serif" w:hAnsi="Times New Roman;sans-serif"/>
          <w:b/>
          <w:color w:val="002D72"/>
          <w:sz w:val="24"/>
        </w:rPr>
        <w:t>of this prospectus and any similar section contained in the applicable prospectus supplement and in our filings with the U.S. Securities and Exchange Commission (“SEC”) that are incorporated by reference herein and therein to read about factors you should consider before buying shares of our common stock.</w:t>
      </w:r>
    </w:p>
    <w:p>
      <w:pPr>
        <w:pStyle w:val="TextBody"/>
        <w:bidi w:val="0"/>
        <w:spacing w:lineRule="auto" w:line="276" w:before="0" w:after="180"/>
        <w:jc w:val="left"/>
        <w:rPr>
          <w:rFonts w:ascii="Times New Roman;sans-serif" w:hAnsi="Times New Roman;sans-serif"/>
          <w:b/>
          <w:color w:val="002D72"/>
          <w:sz w:val="20"/>
        </w:rPr>
      </w:pPr>
      <w:r>
        <w:rPr>
          <w:rFonts w:ascii="Times New Roman;sans-serif" w:hAnsi="Times New Roman;sans-serif"/>
          <w:b/>
          <w:color w:val="002D72"/>
          <w:sz w:val="20"/>
        </w:rPr>
        <w:t>Neither the SEC nor any state securities commission or non-U.S. authority has approved or disapproved of these securities or determined if this prospectus or the accompanying prospectus supplement is truthful or complete. Any representation to the contrary is a criminal offense.</w:t>
      </w:r>
    </w:p>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The date of this prospectus is November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TABLE OF CONTENTS</w:t>
      </w:r>
    </w:p>
    <w:tbl>
      <w:tblPr>
        <w:tblW w:w="10205" w:type="dxa"/>
        <w:jc w:val="left"/>
        <w:tblInd w:w="0" w:type="dxa"/>
        <w:tblLayout w:type="fixed"/>
        <w:tblCellMar>
          <w:top w:w="28" w:type="dxa"/>
          <w:left w:w="28" w:type="dxa"/>
          <w:bottom w:w="28" w:type="dxa"/>
          <w:right w:w="28" w:type="dxa"/>
        </w:tblCellMar>
      </w:tblPr>
      <w:tblGrid>
        <w:gridCol w:w="3591"/>
        <w:gridCol w:w="3112"/>
        <w:gridCol w:w="3128"/>
        <w:gridCol w:w="109"/>
        <w:gridCol w:w="109"/>
        <w:gridCol w:w="156"/>
      </w:tblGrid>
      <w:tr>
        <w:trPr/>
        <w:tc>
          <w:tcPr>
            <w:tcW w:w="3591"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66">
              <w:r>
                <w:rPr>
                  <w:rStyle w:val="InternetLink"/>
                  <w:rFonts w:ascii="Times New Roman;sans-serif" w:hAnsi="Times New Roman;sans-serif"/>
                  <w:b w:val="false"/>
                  <w:color w:val="002D72"/>
                  <w:sz w:val="20"/>
                  <w:u w:val="single"/>
                </w:rPr>
                <w:t>ABOUT THIS PROSPECTUS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47">
              <w:r>
                <w:rPr>
                  <w:rStyle w:val="InternetLink"/>
                  <w:rFonts w:ascii="Times New Roman;sans-serif" w:hAnsi="Times New Roman;sans-serif"/>
                  <w:b w:val="false"/>
                  <w:color w:val="002D72"/>
                  <w:sz w:val="20"/>
                  <w:u w:val="single"/>
                </w:rPr>
                <w:t>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73">
              <w:r>
                <w:rPr>
                  <w:rStyle w:val="InternetLink"/>
                  <w:rFonts w:ascii="Times New Roman;sans-serif" w:hAnsi="Times New Roman;sans-serif"/>
                  <w:b w:val="false"/>
                  <w:color w:val="002D72"/>
                  <w:sz w:val="20"/>
                  <w:u w:val="single"/>
                </w:rPr>
                <w:t>WHERE YOU CAN FIND ADDITIONAL INFORMATION; INCORPORATION OF CERTAIN INFORMATION BY REFERENCE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73">
              <w:r>
                <w:rPr>
                  <w:rStyle w:val="InternetLink"/>
                  <w:rFonts w:ascii="Times New Roman;sans-serif" w:hAnsi="Times New Roman;sans-serif"/>
                  <w:b w:val="false"/>
                  <w:color w:val="002D72"/>
                  <w:sz w:val="20"/>
                  <w:u w:val="single"/>
                </w:rPr>
                <w:t>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80">
              <w:r>
                <w:rPr>
                  <w:rStyle w:val="InternetLink"/>
                  <w:rFonts w:ascii="Times New Roman;sans-serif" w:hAnsi="Times New Roman;sans-serif"/>
                  <w:b w:val="false"/>
                  <w:color w:val="002D72"/>
                  <w:sz w:val="20"/>
                  <w:u w:val="single"/>
                </w:rPr>
                <w:t>SPECIAL NOTE REGARDING FORWARD-LOOKING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80">
              <w:r>
                <w:rPr>
                  <w:rStyle w:val="InternetLink"/>
                  <w:rFonts w:ascii="Times New Roman;sans-serif" w:hAnsi="Times New Roman;sans-serif"/>
                  <w:b w:val="false"/>
                  <w:color w:val="002D72"/>
                  <w:sz w:val="20"/>
                  <w:u w:val="single"/>
                </w:rPr>
                <w:t>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87">
              <w:r>
                <w:rPr>
                  <w:rStyle w:val="InternetLink"/>
                  <w:rFonts w:ascii="Times New Roman;sans-serif" w:hAnsi="Times New Roman;sans-serif"/>
                  <w:b w:val="false"/>
                  <w:color w:val="002D72"/>
                  <w:sz w:val="20"/>
                  <w:u w:val="single"/>
                </w:rPr>
                <w:t>THE COMPANY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87">
              <w:r>
                <w:rPr>
                  <w:rStyle w:val="InternetLink"/>
                  <w:rFonts w:ascii="Times New Roman;sans-serif" w:hAnsi="Times New Roman;sans-serif"/>
                  <w:b w:val="false"/>
                  <w:color w:val="002D72"/>
                  <w:sz w:val="20"/>
                  <w:u w:val="single"/>
                </w:rPr>
                <w:t>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594">
              <w:r>
                <w:rPr>
                  <w:rStyle w:val="InternetLink"/>
                  <w:rFonts w:ascii="Times New Roman;sans-serif" w:hAnsi="Times New Roman;sans-serif"/>
                  <w:b w:val="false"/>
                  <w:color w:val="002D72"/>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594">
              <w:r>
                <w:rPr>
                  <w:rStyle w:val="InternetLink"/>
                  <w:rFonts w:ascii="Times New Roman;sans-serif" w:hAnsi="Times New Roman;sans-serif"/>
                  <w:b w:val="false"/>
                  <w:color w:val="002D72"/>
                  <w:sz w:val="20"/>
                  <w:u w:val="single"/>
                </w:rPr>
                <w:t>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01">
              <w:r>
                <w:rPr>
                  <w:rStyle w:val="InternetLink"/>
                  <w:rFonts w:ascii="Times New Roman;sans-serif" w:hAnsi="Times New Roman;sans-serif"/>
                  <w:b w:val="false"/>
                  <w:color w:val="002D72"/>
                  <w:sz w:val="20"/>
                  <w:u w:val="single"/>
                </w:rPr>
                <w:t>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01">
              <w:r>
                <w:rPr>
                  <w:rStyle w:val="InternetLink"/>
                  <w:rFonts w:ascii="Times New Roman;sans-serif" w:hAnsi="Times New Roman;sans-serif"/>
                  <w:b w:val="false"/>
                  <w:color w:val="002D72"/>
                  <w:sz w:val="20"/>
                  <w:u w:val="single"/>
                </w:rPr>
                <w:t>10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08">
              <w:r>
                <w:rPr>
                  <w:rStyle w:val="InternetLink"/>
                  <w:rFonts w:ascii="Times New Roman;sans-serif" w:hAnsi="Times New Roman;sans-serif"/>
                  <w:b w:val="false"/>
                  <w:color w:val="002D72"/>
                  <w:sz w:val="20"/>
                  <w:u w:val="single"/>
                </w:rPr>
                <w:t>DESCRIPTION OF CAPITAL STOCK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08">
              <w:r>
                <w:rPr>
                  <w:rStyle w:val="InternetLink"/>
                  <w:rFonts w:ascii="Times New Roman;sans-serif" w:hAnsi="Times New Roman;sans-serif"/>
                  <w:b w:val="false"/>
                  <w:color w:val="002D72"/>
                  <w:sz w:val="20"/>
                  <w:u w:val="single"/>
                </w:rPr>
                <w:t>11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15">
              <w:r>
                <w:rPr>
                  <w:rStyle w:val="InternetLink"/>
                  <w:rFonts w:ascii="Times New Roman;sans-serif" w:hAnsi="Times New Roman;sans-serif"/>
                  <w:b w:val="false"/>
                  <w:color w:val="002D72"/>
                  <w:sz w:val="20"/>
                  <w:u w:val="single"/>
                </w:rPr>
                <w:t>SELLING STOCKHOLDER</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15">
              <w:r>
                <w:rPr>
                  <w:rStyle w:val="InternetLink"/>
                  <w:rFonts w:ascii="Times New Roman;sans-serif" w:hAnsi="Times New Roman;sans-serif"/>
                  <w:b w:val="false"/>
                  <w:color w:val="002D72"/>
                  <w:sz w:val="20"/>
                  <w:u w:val="single"/>
                </w:rPr>
                <w:t>17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22">
              <w:r>
                <w:rPr>
                  <w:rStyle w:val="InternetLink"/>
                  <w:rFonts w:ascii="Times New Roman;sans-serif" w:hAnsi="Times New Roman;sans-serif"/>
                  <w:b w:val="false"/>
                  <w:color w:val="002D72"/>
                  <w:sz w:val="20"/>
                  <w:u w:val="single"/>
                </w:rPr>
                <w:t>PLAN OF DISTRIBUTION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22">
              <w:r>
                <w:rPr>
                  <w:rStyle w:val="InternetLink"/>
                  <w:rFonts w:ascii="Times New Roman;sans-serif" w:hAnsi="Times New Roman;sans-serif"/>
                  <w:b w:val="false"/>
                  <w:color w:val="002D72"/>
                  <w:sz w:val="20"/>
                  <w:u w:val="single"/>
                </w:rPr>
                <w:t>18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29">
              <w:r>
                <w:rPr>
                  <w:rStyle w:val="InternetLink"/>
                  <w:rFonts w:ascii="Times New Roman;sans-serif" w:hAnsi="Times New Roman;sans-serif"/>
                  <w:b w:val="false"/>
                  <w:color w:val="002D72"/>
                  <w:sz w:val="20"/>
                  <w:u w:val="single"/>
                </w:rPr>
                <w:t>VALIDITY OF COMMON STOCK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29">
              <w:r>
                <w:rPr>
                  <w:rStyle w:val="InternetLink"/>
                  <w:rFonts w:ascii="Times New Roman;sans-serif" w:hAnsi="Times New Roman;sans-serif"/>
                  <w:b w:val="false"/>
                  <w:color w:val="002D72"/>
                  <w:sz w:val="20"/>
                  <w:u w:val="single"/>
                </w:rPr>
                <w:t>22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1f4275a625c41fb9cf0bbd2eeb8aaf5_636">
              <w:r>
                <w:rPr>
                  <w:rStyle w:val="InternetLink"/>
                  <w:rFonts w:ascii="Times New Roman;sans-serif" w:hAnsi="Times New Roman;sans-serif"/>
                  <w:b w:val="false"/>
                  <w:color w:val="002D72"/>
                  <w:sz w:val="20"/>
                  <w:u w:val="single"/>
                </w:rPr>
                <w:t>EXPERTS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f4275a625c41fb9cf0bbd2eeb8aaf5_636">
              <w:r>
                <w:rPr>
                  <w:rStyle w:val="InternetLink"/>
                  <w:rFonts w:ascii="Times New Roman;sans-serif" w:hAnsi="Times New Roman;sans-serif"/>
                  <w:b w:val="false"/>
                  <w:color w:val="002D72"/>
                  <w:sz w:val="20"/>
                  <w:u w:val="single"/>
                </w:rPr>
                <w:t>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i</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ABOUT THIS PROSPECTUS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Unless the context otherwise requires, all references in this prospectus to “Leonardo DRS,” “DRS,” the “company,” “we,” “us,” “our” or similar terms refer to Leonardo DRS, Inc. and its consolidated subsidiaries. “US Holding” means Leonardo US Holding, LLC, our majority stockholder and the selling stockholder, and “Leonardo S.p.A.” means Leonardo - Società per azioni, an Italian società per azioni listed on the Milan Stock Exchange and the ultimate majority stockholder of DRS and ultimate parent of US Holding.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This prospectus is part of an automatic shelf registration statement that we filed with the Securities and Exchange Commission, or SEC, as a “well-known seasoned issuer” as defined in Rule 405 under the Securities Act of 1933, as amended, which we refer to as the Securities Act. Under the automatic shelf registration process, the selling stockholder may, from time to time, offer and/or sell shares of our common stock in one or more offerings or resales. This prospectus provides you with a general description of the common stock that the selling stockholder may offer. Each time the selling stockholder sells shares of common stock using this prospectus, we will provide a prospectus supplement and attach it to this prospectus and may also provide you with a free writing prospectus.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prospectus supplement and any free writing prospectus will contain more specific information about the offering. The prospectus supplement may also add, update, change or clarify information contained in or incorporated by reference into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this prospectus, the applicable prospectus supplement, together with the additional information that is incorporated or deemed incorporated by reference in this prospectus as described under the heading “Where You Can Find Additional Information; Incorporation of Certain Information by Reference” or in any applicable prospectus supplement and any applicable free writing prospectus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The registration statement of which this prospectus is a part, including the exhibits and documents incorporated or deemed incorporated by reference in this prospectus, can be read on the SEC website. Information contained on, or that can be accessed through, the SEC website is not incorporated by reference in this prospectus (other than those filings with the SEC that we specifically incorporate by reference into this prospectus), and you should not consider such information on the SEC website to be part of this prospectus.</w:t>
      </w:r>
    </w:p>
    <w:p>
      <w:pPr>
        <w:pStyle w:val="TextBody"/>
        <w:bidi w:val="0"/>
        <w:spacing w:lineRule="auto" w:line="288" w:before="0" w:after="180"/>
        <w:jc w:val="both"/>
        <w:rPr>
          <w:rFonts w:ascii="Times New Roman;sans-serif" w:hAnsi="Times New Roman;sans-serif"/>
          <w:b/>
          <w:color w:val="002D72"/>
          <w:sz w:val="20"/>
        </w:rPr>
      </w:pPr>
      <w:r>
        <w:rPr>
          <w:rFonts w:ascii="Times New Roman;sans-serif" w:hAnsi="Times New Roman;sans-serif"/>
          <w:b/>
          <w:color w:val="002D72"/>
          <w:sz w:val="20"/>
        </w:rPr>
        <w:t>THIS PROSPECTUS MAY NOT BE USED TO SELL ANY SECURITIES UNLESS ACCOMPANIED BY A PROSPECTUS SUPPLEMENT OR A FREE WRITING PROSPECTUS.</w:t>
      </w:r>
    </w:p>
    <w:p>
      <w:pPr>
        <w:pStyle w:val="TextBody"/>
        <w:bidi w:val="0"/>
        <w:spacing w:lineRule="auto" w:line="288" w:before="0" w:after="180"/>
        <w:jc w:val="both"/>
        <w:rPr>
          <w:rFonts w:ascii="Times New Roman;sans-serif" w:hAnsi="Times New Roman;sans-serif"/>
          <w:b/>
          <w:color w:val="002D72"/>
          <w:sz w:val="20"/>
        </w:rPr>
      </w:pPr>
      <w:r>
        <w:rPr>
          <w:rFonts w:ascii="Times New Roman;sans-serif" w:hAnsi="Times New Roman;sans-serif"/>
          <w:b/>
          <w:color w:val="002D72"/>
          <w:sz w:val="20"/>
        </w:rPr>
        <w:t>Neither the delivery of this prospectus, any applicable prospectus supplement or any free writing prospectus, nor any sale made using this prospectus, any applicable prospectus supplement or any free writing prospectus, implies that there has been no change in our affairs or that the information contained in, or incorporated by reference in, this prospectus, any applicable prospectus supplement or any free writing prospectus is correct as of any date after their respective dates. You should not assume that the information contained in, or incorporated by reference in, this prospectus, any applicable prospectus supplement or any free writing prospectus prepared by us is accurate as of any date other than the respective dates thereof. Our business, financial condition, results of operations and prospects may have changed since those dates.</w:t>
      </w:r>
    </w:p>
    <w:p>
      <w:pPr>
        <w:pStyle w:val="TextBody"/>
        <w:bidi w:val="0"/>
        <w:spacing w:lineRule="auto" w:line="288" w:before="0" w:after="180"/>
        <w:jc w:val="both"/>
        <w:rPr>
          <w:rFonts w:ascii="Times New Roman;sans-serif" w:hAnsi="Times New Roman;sans-serif"/>
          <w:b/>
          <w:color w:val="002D72"/>
          <w:sz w:val="20"/>
        </w:rPr>
      </w:pPr>
      <w:r>
        <w:rPr>
          <w:rFonts w:ascii="Times New Roman;sans-serif" w:hAnsi="Times New Roman;sans-serif"/>
          <w:b/>
          <w:color w:val="002D72"/>
          <w:sz w:val="20"/>
        </w:rPr>
        <w:t xml:space="preserve">Neither we nor the selling stockholder or any of our or its respective affiliates have authorized anyone to provide you with different information and we and the selling stockholder take no responsibility for, and can provide no assurance as to the reliability of, any other information that others may give you. You should not assume that the information contained or incorporated by reference in this prospectus and any </w:t>
      </w:r>
    </w:p>
    <w:p>
      <w:pPr>
        <w:pStyle w:val="TextBody"/>
        <w:bidi w:val="0"/>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2D72"/>
          <w:sz w:val="20"/>
        </w:rPr>
      </w:pPr>
      <w:r>
        <w:rPr>
          <w:rFonts w:ascii="Times New Roman;sans-serif" w:hAnsi="Times New Roman;sans-serif"/>
          <w:b/>
          <w:color w:val="002D72"/>
          <w:sz w:val="20"/>
        </w:rPr>
        <w:t>accompanying prospectus supplement or any free writing prospectus is accurate as of any date other than the respective dates thereof. This prospectus and any accompanying prospectus supplement or any free writing prospectus do not constitute an offer to sell or the solicitation of an offer to buy any securities other than the registered securities to which they relate, nor do this prospectus and any accompanying prospectus supplement or any free writing prospectus constitute an offer to sell or the solicitation of an offer to buy securities in any jurisdiction to any person to whom it is unlawful to make such offer or solicitation in such jurisdiction.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For investors outside the United States: neither we nor the selling stockholder nor any of our or its respective affiliates have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this offering of common stock and the distribution of this prospectus outside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WHERE YOU CAN FIND ADDITIONAL INFORMATION; INCORPORATION OF CERTAIN INFORMATION BY REFERENCE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file annual, quarterly and current reports, proxy statements and other information with the SEC. The SEC maintains an internet website that contains our reports, proxy and other information regarding us at www.sec.gov. We also maintain a website at https://www.leonardodrs.com, at which you may access these materials free of charge as soon as reasonably practicable after they are electronically filed with or furnished to the SEC. Information contained on, or that can be accessed through, our website is not incorporated by reference in this prospectus (other than those filings with the SEC that we specifically incorporate by reference into this prospectus), and you should not consider such information on our website to be part of this prospectus.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SEC allows “incorporation by reference” into this prospectus of information that we file with the SEC. This permits us to disclose important information to you by referencing these filed documents. Any information referenced this way is considered to be a part of this prospectus and any information filed by us with the SEC subsequent to the date of this prospectus automatically will be deemed to update and supersede this information. We incorporate by reference the following documents which we have filed with the SEC (excluding any documents or portions of such documents that have been “furnished” but not “filed” for purposes of the Securities Exchange Act of 1934, as amended, or the Exchange Act):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our Annual Report on </w:t>
      </w:r>
      <w:hyperlink r:id="rId14">
        <w:r>
          <w:rPr>
            <w:rStyle w:val="InternetLink"/>
            <w:rFonts w:ascii="Times New Roman;sans-serif" w:hAnsi="Times New Roman;sans-serif"/>
            <w:b w:val="false"/>
            <w:color w:val="002D72"/>
            <w:sz w:val="20"/>
            <w:u w:val="single"/>
          </w:rPr>
          <w:t>Form 10-K</w:t>
        </w:r>
      </w:hyperlink>
      <w:r>
        <w:rPr>
          <w:color w:val="002D72"/>
        </w:rPr>
        <w:t xml:space="preserve"> </w:t>
      </w:r>
      <w:r>
        <w:rPr>
          <w:rFonts w:ascii="Times New Roman;sans-serif" w:hAnsi="Times New Roman;sans-serif"/>
          <w:b w:val="false"/>
          <w:color w:val="002D72"/>
          <w:sz w:val="20"/>
        </w:rPr>
        <w:t>for the year ended December 31, 2022, which we filed with the SEC on March 28, 2023 (the “Annual Report”);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the information specifically incorporated by reference into our Annual Report on Form 10-K for the year ended December 31, 2022 from our Definitive Proxy Statement on </w:t>
      </w:r>
      <w:hyperlink r:id="rId15">
        <w:r>
          <w:rPr>
            <w:rStyle w:val="InternetLink"/>
            <w:rFonts w:ascii="Times New Roman;sans-serif" w:hAnsi="Times New Roman;sans-serif"/>
            <w:b w:val="false"/>
            <w:color w:val="002D72"/>
            <w:sz w:val="20"/>
            <w:u w:val="single"/>
          </w:rPr>
          <w:t>Schedule 14A</w:t>
        </w:r>
      </w:hyperlink>
      <w:r>
        <w:rPr>
          <w:color w:val="002D72"/>
        </w:rPr>
        <w:t xml:space="preserve"> </w:t>
      </w:r>
      <w:r>
        <w:rPr>
          <w:rFonts w:ascii="Times New Roman;sans-serif" w:hAnsi="Times New Roman;sans-serif"/>
          <w:b w:val="false"/>
          <w:color w:val="002D72"/>
          <w:sz w:val="20"/>
        </w:rPr>
        <w:t>for our 2023 Annual Meeting of Stockholders, which we filed with the SEC on April 19, 2023;</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our Quarterly Report on Form 10-Q for the quarter ended </w:t>
      </w:r>
      <w:hyperlink r:id="rId16">
        <w:r>
          <w:rPr>
            <w:rStyle w:val="InternetLink"/>
            <w:rFonts w:ascii="Times New Roman;sans-serif" w:hAnsi="Times New Roman;sans-serif"/>
            <w:b w:val="false"/>
            <w:color w:val="002D72"/>
            <w:sz w:val="20"/>
            <w:u w:val="single"/>
          </w:rPr>
          <w:t>March 31, 2023</w:t>
        </w:r>
      </w:hyperlink>
      <w:r>
        <w:rPr>
          <w:rFonts w:ascii="Times New Roman;sans-serif" w:hAnsi="Times New Roman;sans-serif"/>
          <w:b w:val="false"/>
          <w:color w:val="002D72"/>
          <w:sz w:val="20"/>
        </w:rPr>
        <w:t xml:space="preserve">, which we filed with the SEC on May 4, 2023, our Quarterly Report on Form 10-Q for the quarter ended </w:t>
      </w:r>
      <w:hyperlink r:id="rId17">
        <w:r>
          <w:rPr>
            <w:rStyle w:val="InternetLink"/>
            <w:rFonts w:ascii="Times New Roman;sans-serif" w:hAnsi="Times New Roman;sans-serif"/>
            <w:b w:val="false"/>
            <w:color w:val="002D72"/>
            <w:sz w:val="20"/>
            <w:u w:val="single"/>
          </w:rPr>
          <w:t>June 30, 2023</w:t>
        </w:r>
      </w:hyperlink>
      <w:r>
        <w:rPr>
          <w:rFonts w:ascii="Times New Roman;sans-serif" w:hAnsi="Times New Roman;sans-serif"/>
          <w:b w:val="false"/>
          <w:color w:val="002D72"/>
          <w:sz w:val="20"/>
        </w:rPr>
        <w:t xml:space="preserve">, which we filed with the SEC on August 2, 2023, and our Quarterly Report on Form 10-Q for the quarter ended </w:t>
      </w:r>
      <w:hyperlink r:id="rId18">
        <w:r>
          <w:rPr>
            <w:rStyle w:val="InternetLink"/>
            <w:rFonts w:ascii="Times New Roman;sans-serif" w:hAnsi="Times New Roman;sans-serif"/>
            <w:b w:val="false"/>
            <w:color w:val="002D72"/>
            <w:sz w:val="20"/>
            <w:u w:val="single"/>
          </w:rPr>
          <w:t>September 30, 2023</w:t>
        </w:r>
      </w:hyperlink>
      <w:r>
        <w:rPr>
          <w:rFonts w:ascii="Times New Roman;sans-serif" w:hAnsi="Times New Roman;sans-serif"/>
          <w:b w:val="false"/>
          <w:color w:val="002D72"/>
          <w:sz w:val="20"/>
        </w:rPr>
        <w:t>, which we filed with the SEC on November 2, 2023 (collectively, the “Quarterly Reports”);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our Current Reports on Form 8-K, which we filed with the SEC on </w:t>
      </w:r>
      <w:hyperlink r:id="rId19">
        <w:r>
          <w:rPr>
            <w:rStyle w:val="InternetLink"/>
            <w:rFonts w:ascii="Times New Roman;sans-serif" w:hAnsi="Times New Roman;sans-serif"/>
            <w:b w:val="false"/>
            <w:color w:val="002D72"/>
            <w:sz w:val="20"/>
            <w:u w:val="single"/>
          </w:rPr>
          <w:t>February 28, 2023</w:t>
        </w:r>
      </w:hyperlink>
      <w:r>
        <w:rPr>
          <w:rFonts w:ascii="Times New Roman;sans-serif" w:hAnsi="Times New Roman;sans-serif"/>
          <w:b w:val="false"/>
          <w:color w:val="002D72"/>
          <w:sz w:val="20"/>
        </w:rPr>
        <w:t xml:space="preserve">, </w:t>
      </w:r>
      <w:hyperlink r:id="rId20">
        <w:r>
          <w:rPr>
            <w:rStyle w:val="InternetLink"/>
            <w:rFonts w:ascii="Times New Roman;sans-serif" w:hAnsi="Times New Roman;sans-serif"/>
            <w:b w:val="false"/>
            <w:color w:val="002D72"/>
            <w:sz w:val="20"/>
            <w:u w:val="single"/>
          </w:rPr>
          <w:t>March 27, 2023</w:t>
        </w:r>
      </w:hyperlink>
      <w:r>
        <w:rPr>
          <w:rFonts w:ascii="Times New Roman;sans-serif" w:hAnsi="Times New Roman;sans-serif"/>
          <w:b w:val="false"/>
          <w:color w:val="002D72"/>
          <w:sz w:val="20"/>
        </w:rPr>
        <w:t xml:space="preserve">, </w:t>
      </w:r>
      <w:hyperlink r:id="rId21">
        <w:r>
          <w:rPr>
            <w:rStyle w:val="InternetLink"/>
            <w:rFonts w:ascii="Times New Roman;sans-serif" w:hAnsi="Times New Roman;sans-serif"/>
            <w:b w:val="false"/>
            <w:color w:val="002D72"/>
            <w:sz w:val="20"/>
            <w:u w:val="single"/>
          </w:rPr>
          <w:t>June 7, 2023</w:t>
        </w:r>
      </w:hyperlink>
      <w:r>
        <w:rPr>
          <w:color w:val="002D72"/>
        </w:rPr>
        <w:t xml:space="preserve"> </w:t>
      </w:r>
      <w:r>
        <w:rPr>
          <w:rFonts w:ascii="Times New Roman;sans-serif" w:hAnsi="Times New Roman;sans-serif"/>
          <w:b w:val="false"/>
          <w:color w:val="002D72"/>
          <w:sz w:val="20"/>
        </w:rPr>
        <w:t xml:space="preserve">and on </w:t>
      </w:r>
      <w:hyperlink r:id="rId22">
        <w:r>
          <w:rPr>
            <w:rStyle w:val="InternetLink"/>
            <w:rFonts w:ascii="Times New Roman;sans-serif" w:hAnsi="Times New Roman;sans-serif"/>
            <w:b w:val="false"/>
            <w:color w:val="002D72"/>
            <w:sz w:val="20"/>
            <w:u w:val="single"/>
          </w:rPr>
          <w:t>September 27, 2023</w:t>
        </w:r>
      </w:hyperlink>
      <w:r>
        <w:rPr>
          <w:rFonts w:ascii="Times New Roman;sans-serif" w:hAnsi="Times New Roman;sans-serif"/>
          <w:b w:val="false"/>
          <w:color w:val="002D72"/>
          <w:sz w:val="20"/>
        </w:rPr>
        <w:t>; and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 xml:space="preserve">the description of our common stock contained under the heading “Description of Capital Stock” in our registration statement on </w:t>
      </w:r>
      <w:hyperlink r:id="rId23">
        <w:r>
          <w:rPr>
            <w:rStyle w:val="InternetLink"/>
            <w:rFonts w:ascii="Times New Roman;sans-serif" w:hAnsi="Times New Roman;sans-serif"/>
            <w:b w:val="false"/>
            <w:color w:val="002D72"/>
            <w:sz w:val="20"/>
            <w:u w:val="single"/>
          </w:rPr>
          <w:t>Form S-4</w:t>
        </w:r>
      </w:hyperlink>
      <w:r>
        <w:rPr>
          <w:rFonts w:ascii="Times New Roman;sans-serif" w:hAnsi="Times New Roman;sans-serif"/>
          <w:b w:val="false"/>
          <w:color w:val="002D72"/>
          <w:sz w:val="20"/>
        </w:rPr>
        <w:t>, as amended, which we filed with the SEC on September 9, 2022.</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incorporate by reference any filings made with the SEC in accordance with Sections 13(a), 13(c), 14 or 15(d) of the Exchange Act on or after the date of this prospectus until the date all of the securities offered hereby are sold or the offering is otherwise terminated, with the exception of any information furnished under Item 2.02 and Item 7.01 (including any financial statements or exhibits relating thereto furnished pursuant to Item 9.01) of Form 8-K and not specifically incorporated by reference, which is not deemed filed and which is not incorporated by reference herein. Any such filings shall be deemed to be incorporated by reference and to be a part of this prospectus from the respective dates of filing of those documents.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Any statement contained in a document incorporated or deemed to be incorporated by reference in this prospectus will be deemed to be modified or superseded to the extent that a statement contained herein or in any other subsequently filed document, which also is or is deemed to be incorporated by reference in this prospectus, modifies or supersedes that statement. Any statement so modified or superseded will not be deemed, except as so modified or superseded, to constitute a part of this prospectus.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this prospectus, excluding any exhibits to those documents unless the exhibit </w:t>
      </w:r>
    </w:p>
    <w:p>
      <w:pPr>
        <w:pStyle w:val="TextBody"/>
        <w:bidi w:val="0"/>
        <w:spacing w:before="0" w:after="18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is specifically incorporated by reference as an exhibit in this prospectus. You should direct requests for documents to:</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Leonardo DRS, Inc.</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2345 Crystal Drive</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Suite 1000</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Arlington, Virginia 22202</w:t>
      </w:r>
    </w:p>
    <w:p>
      <w:pPr>
        <w:pStyle w:val="TextBody"/>
        <w:bidi w:val="0"/>
        <w:spacing w:lineRule="auto" w:line="288" w:before="0" w:after="0"/>
        <w:jc w:val="center"/>
        <w:rPr>
          <w:rFonts w:ascii="Times New Roman;sans-serif" w:hAnsi="Times New Roman;sans-serif"/>
          <w:b w:val="false"/>
          <w:color w:val="002D72"/>
          <w:sz w:val="20"/>
        </w:rPr>
      </w:pPr>
      <w:r>
        <w:rPr>
          <w:rFonts w:ascii="Times New Roman;sans-serif" w:hAnsi="Times New Roman;sans-serif"/>
          <w:b w:val="false"/>
          <w:color w:val="002D72"/>
          <w:sz w:val="20"/>
        </w:rPr>
        <w:t>Attention: Investor Relations</w:t>
      </w:r>
    </w:p>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Telephone: (703) 416-8000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4</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SPECIAL NOTE REGARDING FORWARD-LOOKING STATEMENTS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This prospectus, including the documents that we incorporate by reference into this prospectus, contains forward-looking statements within the meaning of the United States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statements other than statements of historical facts contained in or incorporated by reference into this prospectus. They appear in a number of places throughout this prospectus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prospectus. In addition, even if future performance and outcomes are consistent with the forward-looking statements contained in this prospectus,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Disruptions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Significant delays or reductions in appropriations for our programs and changes in U.S. government priorities and spending levels more broadly;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failure to comply with the proxy agreement with the U.S. Department of Defense (the “DoD”);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relationships with other industry participants, including any contractual disputes or the inability of our key suppliers to timely deliver our components, parts or services;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Failure to properly contain a global pandemic in a timely manner could materially affect how we and our business partners operate;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effect of inflation on our supply chain and/or our labor costs;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mix of fixed-price, cost-plus and time-and-material type contracts and any resulting impact on our cash flows due to cost overruns;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Failure to properly comply with various covenants of the agreements governing our debt could negatively impact our business;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dependence on U.S. government contracts, which often are only partially funded and are subject to immediate termination, some of which are classified, and the concentration of our customer base in the U.S. defense industry;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use of estimates in pricing and accounting for many of our programs that are inherently uncertain and which may not prove to be accurate;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realize the full value of our backlog;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predict future capital needs or to obtain additional financing if we need it;</w:t>
      </w:r>
    </w:p>
    <w:p>
      <w:pPr>
        <w:pStyle w:val="TextBody"/>
        <w:bidi w:val="0"/>
        <w:spacing w:before="0" w:after="18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5</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respond to the rapid technological changes in the markets in which we compete;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effect of global and regional economic downturns and rising interest rates;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meet the requirements of being a public company;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maintain an effective system of internal control over financial reporting;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inability to appropriately manage our inventory;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inability to fully realize the value of our total estimated contract value or bookings;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compete efficiently, including due to U.S. government organizational conflict of interest rules which may limit new contract opportunities or require us to wind down existing contracts;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Preferences for set-asides for minority-owned, small and small disadvantaged businesses could impact our ability to be a prime contractor;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failure to meet our contractual obligations including due to potential impacts to our business from supply chain risks, such as longer lead times and shortages of electronics and other components;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security breach, including any cyber-attack, cyber intrusion, insider threat, or other significant disruption of our IT networks and related systems, or those of our customers, suppliers, vendors, subcontractors, partners, or other third parties, as well as any act of terrorism or other threat to our physical security and personnel;</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conduct of our employees, agents, affiliates, subcontractors, suppliers, business partners or joint ventures in which we participate which may impact our reputation and ability to do business;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compliance with environmental laws and regulations, and any environmental liabilities that may affect our reputation or financial position;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outcome of litigation, arbitration, investigations, claims, disputes, enforcement actions and other legal proceedings in which we are involved;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Various geopolitical and economic factors, laws and regulations including the Foreign Corrupt Practices Act, the Export Control Act, the International Traffic in Arms Regulations, the Export Administration Regulations, and those that we are exposed to as a result of our international business, including their impact on our ability to access certain raw materials;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Geopolitical conflicts, including the war in Israel, have the potential to evolve quickly, creating uncertainty in the world and broader Middle East region specifically, along with the potential for disruptions to our Israeli operations, including but not limited to workforce calls for duty, transportation and other logistical impacts and reduced customer confidence;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obtain export licenses necessary to conduct certain operations abroad, including any attempts by Congress to prevent proposed sales to certain foreign governments;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ability to attract and retain technical and other key personnel;</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occurrence of prolonged work stoppages;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unavailability or inadequacy of our insurance coverage, customer indemnifications or other liability protections to cover all of our significant risks or to pay for material losses we incur;</w:t>
      </w:r>
    </w:p>
    <w:p>
      <w:pPr>
        <w:pStyle w:val="TextBody"/>
        <w:bidi w:val="0"/>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6</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Future changes in U.S. tax laws and regulations or interpretations thereof;</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Certain limitations on our ability to use our net operating losses to offset future taxable income;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Termination of our leases or our inability to renew our leases on acceptable terms;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Changes in estimates used in accounting for our pension plans, including in respect of the funding status thereof;</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Changes in future business or other market conditions that could cause business investments and/or recorded goodwill or other long-term assets to become impaired;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Adverse consequences from any acquisitions such as operating difficulties, dilution and other harmful consequences or any modification, delay or prevention of any future acquisition or investment activity by the Committee on Foreign Investment in the United States;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Natural disasters or other significant disruptions;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conflict of interest that may arise because US Holding, our majority stockholder, or Leonardo S.p.A., our ultimate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amended and restated certificate of incorporation provides that we waive any interest or expectancy in corporate opportunities presented to Leonardo S.p.A.);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Our obligations to provide certain services to Leonardo S.p.A., which may divert human and financial resources from our business.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You should read this prospectus completely and with the understanding that actual future results may be materially different from expectations. All forward-looking statements made in this prospectus are qualified by these cautionary statements. These forward-looking statements are made only as of the date of this filing,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Other risks, uncertainties and factors, including those described in the section titled “Risk Factors” set forth in Part I, Item 1A of our Annual Report and in Part II, Item 1A of our Quarterly Reports and in our subsequent filings with the SEC, as incorporated by reference into this prospectus, could cause actual results to differ materially from those projected in any forward-looking statements made by DRS. Readers should read carefully the discussion of these factors to better understand the risks and uncertainties inherent in the business of DRS and underlying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7</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THE COMPANY</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provide advanced defense technology to U.S. national security customers and allies around the world. We specialize in the design, development and manufacture of advanced sensing, network computing, force protection and electric power and propulsion technologies and solutions. Our innovative spirit and agility, together with our established market position in these areas have created a foundational and diverse base of programs across the DoD. We believe DRS is well positioned to not only support our customers in today’s mission but to also provide more autonomous, dynamic, interconnected, and multi-domain capabilities to defend against and counter evolving and emerging threats. We view enhancement of capabilities in sensing, computing, self-protection and power as necessary to enable the strategic priorities of the DoD and our other customers.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benefit from an over 50-year legacy in providing innovative and differentiated products and solutions for defense applications. From our earliest offerings to today’s best-in-class products offering including naval propulsion, electro-optical sensors, electronic warfare systems and other mission critical technologies, we have continually developed advanced technologies enabling solutions to address complex national security challenges. We continue to target our investments toward high growth areas of the U.S. defense budget. Our diverse technologies, systems and solutions are used across land, air, sea, space and cyber domains on a wide range of platforms for the DoD and the defense agencies of our international allies. Across the spectrum of multi-domain operations, we believe our core capabilities will help the U.S. and its allies maintain a strategic advantage over their adversaries.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As of the date of this prospectus, Leonardo S.p.A., an Italian company listed on the Milan Stock Exchange, directly and indirectly owns the entire share capital of US Holding which, in turn, owns approximately 80.2% of our outstanding common stock. As a U.S. defense contractor with high level personnel and facility security clearances, DRS, US Holding and Leonardo S.p.A. have entered into a proxy agreement and a commitment letter with the DoD to mitigate against the potential for undue foreign ownership control and influence on the performance of classified programs by implementing various limitations on US Holding’s and Leonardo S.p.A.’s rights as the direct foreign majority stockholders of DRS. Specifically, pursuant to the Amended and Restated Proxy Agreement by and among DRS, the individual proxy holders that are signatories thereto, US Holding, Leonardo S.p.A. and the DoD (the “Proxy Agreement”) and the Commitment Letter by and among DRS, US Holding, Leonardo S.p.A. and the Defense Counterintelligence and Security Agency (the “DCSA”) (the “Commitment Letter”), US Holding has authorized certain cleared U.S. persons to operate as its proxies and exercise the key prerogatives of stock ownership.</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are a Delaware corporation, headquartered in Arlington, Virginia. Our principal executive offices are located at 2345 Crystal Drive, Suite 1000, Arlington, Virginia 22202, and our telephone number at that location is +1-703-416-8000. We maintain a website at www.leonardodrs.com. Our website and the information contained on, or that can be accessed through, our website is not deemed to be incorporated by reference into, and is not considered part of, this prospectus. You should not rely on any such information in making your decision whether to purchase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8</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RISK FACTORS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Investing in our common stock involves risk. You should consider the specific risks described in in Part I, Item 1A of our Annual Report, the risk factors described in our Quarterly Reports, the risk factors described under the caption “Risk Factors” in any applicable prospectus supplement or any free writing prospectus that we provide you in connection with an offering of shares of our common stock pursuant to this prospectus and any risk factors set forth in our other filings with the SEC, pursuant to Sections 13(a), 13(c), 14 or 15(d) of the Exchange Act that are incorporated or deemed to be incorporated by reference in this prospectus and any applicable prospectus supplement, before making an investment decision. See “Where You Can Find Additional Information; Incorporation of Certain Information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currently known to us or that we currently deem to be immaterial also may materially adversely affect our business, financial condition and/or operating results. In addition, past financial performance may not be a reliable indicator of future performance, and historical trends should not be used to anticipate results or trends in future periods. See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9</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USE OF PROCEEDS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All shares of our common stock offered by this prospectus will be sold by the selling stockholder. We will not receive any proceeds from the sale of shares by the selling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10</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DESCRIPTION OF CAPITAL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following description of our capital stock is a summary of the material terms of our amended and restated certificate of incorporation, amended and restated bylaws, the Commitment Letter and the Proxy Agreement (as described below), in each case as further amended, restated, supplemented or modified from time to time. Reference is made to the more detailed provisions of, and the descriptions are qualified in their entirety by reference to, these documents, forms of which are filed with the SEC as exhibits to the registration statement of which this prospectus is a part or the documents incorporated by reference herein, and applicable law.</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General</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authorized capital stock consists of 350,000,000 shares of common stock, par value $0.01 per share, and 10,000,000 shares of undesignated preferred stock, par value $0.01 per share. As of November 1, 2023, there were 262,370,008 shares of our common stock issued and outstanding and no shares of preferred stock outstanding.</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Holders of common stock are entitled: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to cast one vote for each share held of record on all matters submitted to a vote of the stockholders;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to receive, on a pro rata basis, dividends and distributions, if any, that our board may declare out of legally available funds, subject to preferences that may be applicable to preferred stock, if any, then outstanding; and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upon our liquidation, dissolution or winding up, to share equally and ratably in any assets remaining after the payment of all debt and other liabilities, subject to the prior rights, if any, of holders of any outstanding shares of preferred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holders of our common stock have no preemptive, cumulative voting, subscription, conversion, redemption or sinking fund rights. The common stock is not subject to future calls or assessments by us. The rights and privileges of holders of our common stock are subject to any series of preferred stock that we may issue in the future, as described below.</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Preferred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Under our amended and restated certificate of incorporation, our board has the 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Because the board has the power to establish the preferences and rights of the shares of any additional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DRS would be beneficial to the interests of our stockholders.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Authorized but Unissued Capital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The Delaware General Corporation Law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the Nasdaq, which would apply so long as the common stock remains listed on the Nasdaq, require stockholder approval of certain issuances equal to or exceeding 20% of the then-outstanding voting power or then-outstanding number of shares of common stock. In addition, under the Cooperation Agreement dated as of November 28, 2022 by and among Leonardo DRS, Inc., Leonardo S.p.A. and Leonardo US Holding, LLC, the creation or issuance of any class or series of our capital stock (including designation of any preferred stock) or acquisition of any capital </w:t>
      </w:r>
    </w:p>
    <w:p>
      <w:pPr>
        <w:pStyle w:val="TextBody"/>
        <w:bidi w:val="0"/>
        <w:spacing w:before="0" w:after="18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stock (including stock buy-backs, redemptions or other reductions of capital), or securities convertible into or exchangeable or exercisable for capital stock or equity-linked securities by us or any of our subsidiaries requires US Holding’s consent, subject to certain exceptions.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Registration Rights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On November 28, 2022, we entered into a registration rights agreement with Leonardo S.p.A. and US Holding (the “Registration Rights Agreement”). The Registration Rights Agreement, among other things, provides Leonardo S.p.A. and its affiliates with customary demand, shelf and piggy-back registration rights to facilitate a public offering from time to time of our common stock held by US Holding.</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Annual Stockholders Meeting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bylaws provide that annual stockholders meetings may be held at a date, time and place, if any, as exclusively selected by our board. To the extent permitted under applicable law, we may conduct meetings by remote communications, including by webcast.</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Voting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affirmative vote of a plurality of the shares of our common stock present, in person or by proxy, at the meeting and entitled to vote on the election of directors decide the election of any directors, and the affirmative vote of a majority of the shares of our common stock present, in person or by proxy, at the meeting and entitled to vote at any annual or special meeting of stockholders decide all other matters voted on by stockholders, unless the question is one upon which, by express provision of law, under our amended and restated certificate of incorporation, or under our amended and restated bylaws, a different vote is required, in which case such provision controls. Stockholders do not have the right to cumulate their votes for the election of directors.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Commitment Letter and Proxy Agreement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have entered into the Proxy Agreement with the individual proxy holders that are signatories thereto, US Holding, Leonardo S.p.A. and the DoD and the Commitment Letter with US Holding, Leonardo S.p.A. and the DCSA. The Commitment Letter provides the parties’ commitment to comply with the requirements as set forth in the Proxy Agreement. The Commitment Letter allows DRS to operate as if the Proxy Agreement is already in effect.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Commitment Letter requires the appointment of five proxy holders, who must be independent from prior affiliation with Leonardo S.p.A. and its subsidiaries (including US Holding and us) and maintain adequate security clearance, to vote the shares of our common stock owned directly or indirectly by Leonardo S.p.A. Proxy holders are appointed by US Holding after consultation with Leonardo S.p.A. and approval by DCSA and serve for staggered three-year terms. The proxy holders may vote for or consent to certain specified matters only with the express written approval of US Holding and may vote for or consent to all other matters in their sole and absolute discretion. In particular, the proxy holders, in their capacity as directors, may only vote to declare or suspend dividends after prior consultation with US Holding so long as the Proxy Agreement with the DoD is in effect. The Commitment Letter contains a number of other provisions which are intended to restrict the ability of Leonardo S.p.A. to control our operations. See “Certain Relationships and Related Transactions, and Director Independence” in our Annual Report incorporated by reference into this prospectus.</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Board Designation Rights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Pursuant to the Commitment Letter, Leonardo S.p.A., US Holding, DCSA and the proxy holders have specified board designation and/or approval and other rights. The Commitment Letter requires that our board include the five proxy holders appointed by US Holding after consultation with Leonardo S.p.A. and approval by DCSA. The Commitment Letter also requires our board to include four additional directors consisting of our chief executive officer and three additional candidates proposed by US Holding in reasonable consultation with the nominating and corporate governance committee, subject to approval of DCSA in certain circumstances.</w:t>
      </w:r>
    </w:p>
    <w:p>
      <w:pPr>
        <w:pStyle w:val="TextBody"/>
        <w:bidi w:val="0"/>
        <w:spacing w:before="0" w:after="18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12</w:t>
                      </w:r>
                    </w:p>
                  </w:txbxContent>
                </v:textbox>
                <w10:wrap type="none"/>
              </v:rect>
            </w:pict>
          </mc:Fallback>
        </mc:AlternateConten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Removal of Directors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bylaws provide that, for so long as the Proxy Agreement is in effect, directors may be removed pursuant to the terms set forth in the Proxy Agreement. During their terms, proxy holders may only be removed (i) for acts in violation of the Proxy Agreement upon petition by US Holding to DCSA which may be granted or denied by DCSA in its sole discretion or (ii) for gross negligence or willful misconduct. The proxy holders may remove any non-proxy holder director from our board by majority vote and after consultation with US Holding.</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Anti-Takeover Effects of Our Certificate of Incorporation and Bylaws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provisions of our amended and restated certificate of incorporation and amended and restated bylaws summarized below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which could result in an improvement of their terms.</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Authorized but Unissued Shares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shares of authorized and unissued common stock are available for future issuance without additional stockholder approval. While our authorized and unissued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Authorized but Unissued Shares of Preferred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Under our amended and restated certificate of incorporation, our board has the 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of control, may discourage bids for the common stock at a premium over the market price of the common stock, and may adversely affect the market price of, and the voting and other rights of the holders of, our common stock.</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Special Meetings of Stockholders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certificate of incorporation provides that a special meeting of stockholders may be called only by the chairman of our board or chief executive officer or by a resolution adopted by a majority of our board. Special meetings may also be called by our corporate secretary at the request of the holders of at least a majority of the outstanding shares of our common stock until the later of the termination of the Proxy Agreement and such date as Leonardo S.p.A. is no longer required under IFRS to consolidate the financial statements of DRS with its financial results. Thereafter, stockholders will not be permitted to call a special meeting of stockholders.</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Stockholders Advance Notice Procedure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Our amended and restated bylaws establish an advance notice procedure for stockholders to make nominations of candidates for election as directors or to bring other business before an annual meeting of our stockholders. The amended and restated bylaws provide that any stockholders wishing to nominate persons for election as directors at, or bring other business before, an annual meeting must deliver to our corporate secretary a written notice of the stockholder’s intention to do so. These provisions may have the effect of precluding the conduct of certain business </w:t>
      </w:r>
    </w:p>
    <w:p>
      <w:pPr>
        <w:pStyle w:val="TextBody"/>
        <w:bidi w:val="0"/>
        <w:spacing w:before="0" w:after="18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stockholder’s notice must be delivered to our corporate secretary at our principal executive offices not less than 90 days nor more than 120 days before the first anniversary date of the annual meeting for the preceding year; provided, however, that in the event that the annual meeting is set for a date that is more than 30 days before or delayed by more than 60 days after the first anniversary date of the preceding year’s annual meeting, a stockholder’s notice must be delivered to our corporate secretary not later than the later of (x) the close of business on the 90th day prior to the meeting or (y) the close of business on the 10th day following the day on which a public announcement of the date of the meeting is first made by us.</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No Stockholders Action by Written Consent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certificate of incorporation provides that stockholders action may be taken only at an annual meeting or special meeting of stockholders, provided that, until the later of the termination of the Proxy Agreement and such date as Leonardo S.p.A. is no longer required under IFRS to consolidate the financial statements of DRS with its financial results, stockholders action may be taken by written consent in lieu of a meeting.</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Amendments to Certificate of Incorporation and Bylaws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certificate of incorporation provides that our amended and restated certificate of incorporation may be amended by both the affirmative vote of a majority of our board and the affirmative vote of the holders of a majority of the outstanding shares of our common stock then entitled to vote at any annual or special meeting of stockholders; provided that, following the earlier of the termination of the Proxy Agreement and such date as Leonardo S.p.A. is no longer required under IFRS to consolidate the financial statements of DRS with its financial results, specified provisions of our amended and restated certificate of incorporation may not be amended, altered or repealed unless the amendment is approved by the affirmative vote of the holders of at least 66 2⁄3% of the outstanding shares of our common stock then entitled to vote at any annual or special meeting of stockholders, including, but not limited to, the provisions governing: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liability and indemnification of directors;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corporate opportunities;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elimination of stockholders action by written consent;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prohibition on the rights of stockholders to call a special meeting; and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required approval of the holders of at least 66 2⁄3% of the outstanding shares of our common stock to amend our amended and restated bylaws and certain provisions of our amended and restated certificate of incorporation.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addition, our amended and restated bylaws may be amended, altered or repealed, or new bylaws may be adopted, by the affirmative vote of a majority of the board, or by the affirmative vote of the holders of (x) until the earlier of the termination of the Proxy Agreement and such date as Leonardo S.p.A. is no longer required under IFRS to consolidate the financial statements of DRS with its financial results, at least a majority and (y) thereafter, at least 66 2⁄3%, of the outstanding shares of our common stock then entitled to vote at any annual or special meeting of stockholders.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These provisions make it more difficult for any person to remove or amend any provisions in our amended and restated certificate of incorporation and amended and restated bylaws that may have an anti-takeover effect.</w:t>
      </w:r>
    </w:p>
    <w:p>
      <w:pPr>
        <w:pStyle w:val="TextBody"/>
        <w:bidi w:val="0"/>
        <w:spacing w:lineRule="auto" w:line="288" w:before="120" w:after="180"/>
        <w:jc w:val="left"/>
        <w:rPr>
          <w:rFonts w:ascii="Times New Roman;sans-serif" w:hAnsi="Times New Roman;sans-serif"/>
          <w:b/>
          <w:i/>
          <w:color w:val="002D72"/>
          <w:sz w:val="20"/>
        </w:rPr>
      </w:pPr>
      <w:r>
        <w:rPr>
          <w:rFonts w:ascii="Times New Roman;sans-serif" w:hAnsi="Times New Roman;sans-serif"/>
          <w:b/>
          <w:i/>
          <w:color w:val="002D72"/>
          <w:sz w:val="20"/>
        </w:rPr>
        <w:t>Delaware Anti-Takeover Law</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In general, Section 203 of the DGCL prohibits a publicly held Delaware corporation from engaging in a business combination, such as mergers, sales and leases of assets, issuances of securities and similar transactions by </w:t>
      </w:r>
    </w:p>
    <w:p>
      <w:pPr>
        <w:pStyle w:val="TextBody"/>
        <w:bidi w:val="0"/>
        <w:spacing w:before="0" w:after="18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corporation or a subsidiary with an interested stockholder including a person or group who beneficially owns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Section 203 permits corporations, in their certificate of incorporation, to opt out of the protections of Section 203. Our certificate of incorporation generally excepts Leonardo S.p.A. and its affiliates, including US Holding, and their direct and indirect transferees of our stock and any affiliate of any such transferee, from the definition of interested stockholder for purposes of Section 203 of the DGCL until the occurrence of a transaction in which Leonardo S.p.A. or its affiliates, including US Holding, cease to collectively, as applicable, beneficially own at least 15% of the voting power of our outstanding voting stock.</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Limitations on Liability and Indemnification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certificate of incorporation contains provisions relating to the liability of directors and officers. These provisions provide that a director or officer shall not be liable to us or our stockholders for monetary damages for breach of fiduciary duty as a director or officer, except to the extent such exemption from liability or limitation thereof is not permitted under the DGCL.</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principal effect of the limitation on liability provision is that a stockholder will be unable to prosecute an action for monetary damages against a director or officer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or officer’s fiduciary duty. These provisions will not alter a director’s or officer’s liability under federal securities laws. The inclusion of this provision in our amended and restated certificate of incorporation may discourage or deter stockholders or management from bringing a lawsuit against directors or officers for a breach of their fiduciary duties, even though such an action, if successful, might otherwise have benefited us and our stockholders. In addition, your investment may be adversely affected to the extent we pay costs of settlement and damage awards against directors and officers pursuant to these indemnification provisions.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certificate of incorporation and our amended and restated bylaws require us to indemnify and advance expenses to our directors and officers to the fullest extent not prohibited by the DGCL and other applicable law, except in the case of a proceeding instituted by the director or officer without the approval of DRS. Our amended and restated certificate of incorporation and our amended and restated bylaws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have had no reasonable cause to believe his or her conduct was unlawful.</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Corporate Opportunities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Our amended and restated certificate of incorporation provides that we, on our behalf and on behalf of our subsidiaries, renounce any interest or expectancy in, or in being offered an opportunity to participate in, potential transactions, matters or business opportunities (each, a “corporate opportunity”) that are from time to time presented to Leonardo S.p.A. or any of its officers, directors, employees, agents, stockholders, members, partners, affiliates or subsidiaries (other than us and our subsidiaries), with the exception of the proxy holders, even if the opportunity is one that we or our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us or any of our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us or our subsidiaries. To the fullest </w:t>
      </w:r>
    </w:p>
    <w:p>
      <w:pPr>
        <w:pStyle w:val="TextBody"/>
        <w:bidi w:val="0"/>
        <w:spacing w:before="0" w:after="18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extent permitted by law, by becoming a stockholder in our company, stockholders will be deemed to have notice of and consented to this provision of our amended and restated certificate of incorporation.</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Choice of Forum</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amended and restated certificate of incorporation provides that, unless we consent in writing to the selection of an alternate forum, the Court of Chancery of the State of Delaware will, to the fullest extent provided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against us arising under the DGCL or as to which the DGCL confers jurisdiction on the Court of Chancery of the State of Delaware (including, without limitation, any action asserting a claim arising out of or pursuant to our amended and restated bylaws) or (iv) any action asserting a claim against us that is governed by the internal affairs doctrine. The foregoing provision does not apply to claims arising under the Securities Act, the Exchange Act, or other federal securities laws for which there is exclusive federal or concurrent federal and state jurisdiction. Our stockholders cannot waive compliance with the federal securities laws and the rules and regulations thereunder. Furthermore, unless we select or consent to the selection of an alternative forum, our amended and restated certificate of incorporation provides that the federal district courts of the United States of America will be the exclusive forum for the resolution of any complaint asserting a cause of action arising under the Securities Act. To the fullest extent permitted by law, by becoming a stockholder in our company, you will be deemed to have notice of and have consented to the provisions of our amended and restated certificate of incorporation related to choice of forum.</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Market Listing</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Our common stock is listed on the Nasdaq and the TASE under the symbol “DRS”. As previously announced, we are taking steps to voluntarily delist our common stock from trading on the TASE. Pursuant to Israeli law, the last trading day on the TASE is expected to occur on or around December 27, 2023 and the delisting of our common stock from the TASE is expected to take effect on or around December 31, 2023.</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Transfer Agent and Registrar</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transfer agent and registrar for our common stock is American Stock Transfer &amp; Trust Company,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16</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SELLING STOCKHOLDER</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Information regarding the beneficial ownership of our common stock by the selling stockholder, the number of shares being offered by the selling stockholder and the number of shares beneficially owned by the selling stockholder after the applicable offering will be set forth in a prospectus supplement, free writing prospectus, post-effective amendment or filings we make with the SEC under the Exchange Act that are incorporated by reference herein. Unless otherwise disclosed in any prospectus supplement or free writing prospectus, the selling stockholder intends to use the net proceeds from the sale of our shares to increase Leonardo S.p.A.’s financial flexibility to finance future accretive investments and acquisitions.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For information regarding certain material relationships between the selling stockholder and DRS, see “Certain Relationships and Related Transactions, and Director Independence” in our Annual Report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17</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PLAN OF DISTRIBUTION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may sell the common stock offered by this prospectus from time to time in one or more transactions, including without limitation: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directly to one or more purchasers;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through agents;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to or through underwriters, brokers or dealers;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through a combination of any of these methods.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Registration of shares of our common stock covered by this prospectus does not mean that those securities necessarily will be offered or sold.</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addition, the manner in which the selling stockholder may sell some or all of the securities covered by this prospectus includes any method permitted by law, including, without limitation, through:</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 block trade in which a broker-dealer will attempt to sell as agent, but may position or resell a portion of the block, as principal, in order to facilitate the transaction;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purchases by a broker-dealer, as principal, and resale by the broker-dealer for its account;</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ordinary brokerage transactions and transactions in which a broker solicits purchasers;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privately negotiated transactions.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may also enter into hedging transactions. For example, the selling stockholder may:</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the selling stockholder to close out its short positions;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sell securities short and redeliver such shares to close out the short positions;</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enter into option or other types of transactions that require the selling stockholder to deliver common stock to a broker-dealer or an affiliate thereof, who will then resell or transfer the common stock under this prospectus;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loan or pledge the common stock to a broker-dealer or an affiliate thereof, who may sell the loaned shares or, in an event of default in the case of a pledge, sell the pledged shares pursuant to this prospectus.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securities covered by this prospectus may be sold: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on a national securities exchange, including Nasdaq;</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in the over-the-counter market;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in transactions otherwise than on an exchange or in the over-the-counter market, or in combination.</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 prospectus supplement with respect to each offering of securities will state the terms of the offering of the securities, including:</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name or names of any underwriters or agents and the amounts of securities underwritten or purchased by each of them, if any;</w:t>
      </w:r>
    </w:p>
    <w:p>
      <w:pPr>
        <w:pStyle w:val="TextBody"/>
        <w:bidi w:val="0"/>
        <w:spacing w:before="0" w:after="18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18</w:t>
                      </w:r>
                    </w:p>
                  </w:txbxContent>
                </v:textbox>
                <w10:wrap type="none"/>
              </v:rect>
            </w:pict>
          </mc:Fallback>
        </mc:AlternateConten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the public offering price or purchase price of the securities and the net proceeds to be received by the selling stockholder from the sale;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underwriting discounts or agency fees and other items constituting underwriters’ or agents’ compensation;</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discounts or concessions allowed or reallowed or paid to dealers; and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any securities exchange or markets on which the securities may be listed.</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offer and sale of the securities described in this prospectus by the selling stockholder, the underwriters or the third parties described above may be effected from time to time in one or more transactions, including privately negotiated transactions, either: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at a fixed price or prices, which may be changed;</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at market prices prevailing at the time of sale;</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at prices related to the prevailing market prices; or</w:t>
      </w:r>
    </w:p>
    <w:p>
      <w:pPr>
        <w:pStyle w:val="TextBody"/>
        <w:bidi w:val="0"/>
        <w:spacing w:lineRule="auto" w:line="288" w:before="120" w:after="180"/>
        <w:ind w:left="0" w:right="0" w:hanging="360"/>
        <w:jc w:val="both"/>
        <w:rPr/>
      </w:pPr>
      <w:r>
        <w:rPr>
          <w:color w:val="002D72"/>
        </w:rPr>
        <w:t>•</w:t>
      </w:r>
      <w:r>
        <w:rPr>
          <w:rFonts w:ascii="Times New Roman;sans-serif" w:hAnsi="Times New Roman;sans-serif"/>
          <w:b w:val="false"/>
          <w:color w:val="002D72"/>
          <w:sz w:val="20"/>
        </w:rPr>
        <w:t>at negotiated prices.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General</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Any public offering price and any discounts, commissions, concessions or other items constituting compensation allowed or reallowed or paid to underwriters, dealers, agents or remarketing firms may be changed from time to time. The selling stockholder and any of the underwriters, dealers, agents and remarketing firms that participate in the distribution of the offered securities may be “underwriters” as defined in the Securities Act. Any discounts or commissions they receive from the selling stockholder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and other persons participating in the sale or distribution of the securities will be subject to the applicable provisions of the Exchange Act, and the rules and regulations thereunder, including Regulation M. This regulation may limit the timing of purchases and sales of any of the securities by the selling stockholder, or any other person. The anti-manipulation rules under the Securities Act may apply to sales of securities in the market and to the activities of the selling stockholder and its affiliates. Furthermore, Regulation M may restrict the ability of any person engaged in the distribution for a period of up to five business days before the distribution. These restrictions may affect the marketability of the shares of common stock and the ability of any person or entity to engage in market-making activities with respect to the shares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are not restricted as to the price or prices at which the shares of common stock may be sold. Sales of such shares of common stock may have an adverse effect on the market price of the shares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Moreover, it is possible that a significant number of shares of common stock could be sold at the same time, which may have an adverse effect on the market price of the shares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We cannot assure you that the selling stockholders will sell all or any portion of the shares of common stock offered hereby.</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Underwriters and Agents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If underwriters are used in a sale, they will acquire the offered shares of common stock for their own account. The underwriters may resell the shares of common stock in one or more transactions, including negotiated transactions. These sales may be made at a fixed public offering price or prices, which may be changed, at market prices prevailing at the time of the sale, at prices related to such prevailing market price or at negotiated prices. The </w:t>
      </w:r>
    </w:p>
    <w:p>
      <w:pPr>
        <w:pStyle w:val="TextBody"/>
        <w:bidi w:val="0"/>
        <w:spacing w:before="0" w:after="18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19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selling stockholder may offer the shares of common stock to the public through an underwriting syndicate or through a single underwriter. The underwriters in any particular offering will be mentioned in the applicable prospectus supplement.</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Unless otherwise specified in connection with any particular offering of shares of common stock, the obligations of the underwriters to purchase the shares of common stock will be subject to certain conditions contained in an underwriting agreement that the selling stockholder will enter into with the underwriters at the time of the sale to them. The underwriters will be obligated to purchase all of the shares of common stock offered if any of the shares of common stock are purchased, unless otherwise specified in connection with any particular offering of shares of common stock. Any initial offering price and any discounts or concessions allowed, reallowed or paid to dealers may be changed from time to time.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may designate agents to sell the shares of common stock. Unless otherwise specified in connection with any particular offering of shares of common stock, the agents will agree to use their best efforts to solicit purchases for the period of their appointment. The selling stockholder may also sell the shares of common stock.</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Dealers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may sell the offered securities to dealers as principals. The selling stockholder may negotiate and pay dealers’ commissions, discounts or concessions for their services. The dealer may then resell such securities to the public either at varying prices to be determined by the dealer or at a fixed offering price agreed to with the selling stockholder, at the time of resale. Dealers engaged by the selling stockholder may allow other dealers to participate in resales.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Direct Sales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selling stockholder may choose to sell the offered securities directly. In this case, no underwriters or agents would be involved.</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Indemnification; Other Relationships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Company and the selling stockholder may have agreements with agents, underwriters, dealers and remarketing firms to indemnify them against certain civil liabilities, including liabilities under the Securities Act and to contribute with respect to payments which they may be required to make.</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Agents, underwriters, dealers and remarketing firms, and their affiliates, may engage in transactions with, or perform services for the selling stockholder in the ordinary course of business. This includes commercial banking and investment banking transactions.</w:t>
      </w:r>
    </w:p>
    <w:p>
      <w:pPr>
        <w:pStyle w:val="TextBody"/>
        <w:bidi w:val="0"/>
        <w:spacing w:lineRule="auto" w:line="288" w:before="180" w:after="180"/>
        <w:jc w:val="left"/>
        <w:rPr>
          <w:rFonts w:ascii="Times New Roman;sans-serif" w:hAnsi="Times New Roman;sans-serif"/>
          <w:b/>
          <w:color w:val="002D72"/>
          <w:sz w:val="20"/>
        </w:rPr>
      </w:pPr>
      <w:r>
        <w:rPr>
          <w:rFonts w:ascii="Times New Roman;sans-serif" w:hAnsi="Times New Roman;sans-serif"/>
          <w:b/>
          <w:color w:val="002D72"/>
          <w:sz w:val="20"/>
        </w:rPr>
        <w:t>Market-Making, Stabilization and Other Transactions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 xml:space="preserve">In connection with any offering of common stock, the underwriters, if any,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w:t>
      </w:r>
    </w:p>
    <w:p>
      <w:pPr>
        <w:pStyle w:val="TextBody"/>
        <w:bidi w:val="0"/>
        <w:spacing w:before="0" w:after="18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or purchases of shares in the open market while the offering is in progress for the purpose of pegging, fixing or maintaining the price of the shares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In connection with any offering, the underwriters may also engage in penalty bids. Penalty bids permit the underwriters to reclaim a selling concession from a syndicate member when the shares of common stock originally sold by the syndicate member are purchased in a syndicate covering transaction to cover syndicate short positions. Stabilizing transactions, syndicate covering transactions and penalty bids may cause the price of the shares of common stock to be higher than it would be in the absence of the transactions. The underwriters may, if they commence these transactions, discontinue them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21</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VALIDITY OF COMMON STOCK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validity of the shares of common stock being offered by this prospectus will be passed upon for us by Sullivan &amp; Cromwell LLP, New York, New York.</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Unless specified otherwise in the applicable prospectus supplement, certain legal matters will be passed upon for any underwriters or agents by Cleary Gottlieb Steen &amp; Hamilton LLP, New York, New York. Cleary Gottlieb Steen &amp; Hamilton LLP provides legal services from time to time to Leonardo S.p.A. and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22</w:t>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2D72"/>
          <w:sz w:val="20"/>
        </w:rPr>
      </w:pPr>
      <w:r>
        <w:rPr>
          <w:rFonts w:ascii="Times New Roman;sans-serif" w:hAnsi="Times New Roman;sans-serif"/>
          <w:b/>
          <w:color w:val="002D72"/>
          <w:sz w:val="20"/>
        </w:rPr>
        <w:t>EXPERTS</w:t>
      </w:r>
    </w:p>
    <w:p>
      <w:pPr>
        <w:pStyle w:val="TextBody"/>
        <w:bidi w:val="0"/>
        <w:spacing w:lineRule="auto" w:line="288" w:before="0" w:after="180"/>
        <w:jc w:val="both"/>
        <w:rPr>
          <w:rFonts w:ascii="Times New Roman;sans-serif" w:hAnsi="Times New Roman;sans-serif"/>
          <w:b w:val="false"/>
          <w:color w:val="002D72"/>
          <w:sz w:val="20"/>
        </w:rPr>
      </w:pPr>
      <w:r>
        <w:rPr>
          <w:rFonts w:ascii="Times New Roman;sans-serif" w:hAnsi="Times New Roman;sans-serif"/>
          <w:b w:val="false"/>
          <w:color w:val="002D72"/>
          <w:sz w:val="20"/>
        </w:rPr>
        <w:t>The consolidated financial statements of Leonardo DRS, Inc., appearing in Leonardo DRS, Inc.’s Annual Report (Form 10-K) for the year ended December 31,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lineRule="auto" w:line="288" w:before="0" w:after="180"/>
        <w:jc w:val="both"/>
        <w:rPr>
          <w:rFonts w:ascii="Times New Roman;sans-serif" w:hAnsi="Times New Roman;sans-serif"/>
          <w:b w:val="false"/>
          <w:color w:val="002D72"/>
          <w:sz w:val="20"/>
          <w:shd w:fill="FFFFFF" w:val="clear"/>
        </w:rPr>
      </w:pPr>
      <w:r>
        <w:rPr>
          <w:rFonts w:ascii="Times New Roman;sans-serif" w:hAnsi="Times New Roman;sans-serif"/>
          <w:b w:val="false"/>
          <w:color w:val="002D72"/>
          <w:sz w:val="20"/>
          <w:shd w:fill="FFFFFF" w:val="clear"/>
        </w:rPr>
        <w:t>The consolidated financial statements of Leonardo DRS, Inc. as of December 31, 2021, and for each of the years in the two-year period ended December 31, 2021, have been incorporated by reference herein in reliance upon the report of KPMG LLP (“KPMG”), independent registered public accounting firm, incorporated by reference herein, and upon the authority of said firm as experts in accounting and auditing. Leonardo DRS, Inc. has agreed to indemnify and hold KPMG harmless against and from any and all legal costs and expenses incurred by KPMG in the successful defense of any legal action or proceeding that arises as a result of KPMG’s consent to the incorporation by reference of its audit report on the Company’s past financial statements incorporated by reference in the registration statement of which this prospectus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2D72"/>
                          <w:sz w:val="20"/>
                        </w:rPr>
                      </w:pPr>
                      <w:r>
                        <w:rPr>
                          <w:rFonts w:ascii="Times New Roman;sans-serif" w:hAnsi="Times New Roman;sans-serif"/>
                          <w:b w:val="false"/>
                          <w:color w:val="002D72"/>
                          <w:sz w:val="20"/>
                        </w:rPr>
                        <w:t>23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2D72"/>
              <w:bottom w:val="single" w:sz="8" w:space="0" w:color="002D7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naldson Slope;serif" w:hAnsi="Ronaldson Slope;serif"/>
          <w:b w:val="false"/>
          <w:i/>
          <w:color w:val="002D72"/>
          <w:sz w:val="36"/>
        </w:rPr>
      </w:pPr>
      <w:r>
        <w:rPr>
          <w:rFonts w:ascii="Ronaldson Slope;serif" w:hAnsi="Ronaldson Slope;serif"/>
          <w:b w:val="false"/>
          <w:i/>
          <w:color w:val="002D72"/>
          <w:sz w:val="36"/>
        </w:rPr>
        <w:t>18,000,000 Shares</w:t>
      </w:r>
    </w:p>
    <w:p>
      <w:pPr>
        <w:pStyle w:val="TextBody"/>
        <w:bidi w:val="0"/>
        <w:spacing w:before="0" w:after="180"/>
        <w:jc w:val="center"/>
        <w:rPr/>
      </w:pPr>
      <w:r>
        <w:rPr/>
        <w:drawing>
          <wp:inline distT="0" distB="0" distL="0" distR="0">
            <wp:extent cx="4114800" cy="523875"/>
            <wp:effectExtent l="0" t="0" r="0" b="0"/>
            <wp:docPr id="7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 descr=""/>
                    <pic:cNvPicPr>
                      <a:picLocks noChangeAspect="1" noChangeArrowheads="1"/>
                    </pic:cNvPicPr>
                  </pic:nvPicPr>
                  <pic:blipFill>
                    <a:blip r:embed="rId24"/>
                    <a:stretch>
                      <a:fillRect/>
                    </a:stretch>
                  </pic:blipFill>
                  <pic:spPr bwMode="auto">
                    <a:xfrm>
                      <a:off x="0" y="0"/>
                      <a:ext cx="4114800" cy="523875"/>
                    </a:xfrm>
                    <a:prstGeom prst="rect">
                      <a:avLst/>
                    </a:prstGeom>
                  </pic:spPr>
                </pic:pic>
              </a:graphicData>
            </a:graphic>
          </wp:inline>
        </w:drawing>
      </w:r>
    </w:p>
    <w:p>
      <w:pPr>
        <w:pStyle w:val="TextBody"/>
        <w:bidi w:val="0"/>
        <w:spacing w:lineRule="auto" w:line="288" w:before="0" w:after="0"/>
        <w:jc w:val="center"/>
        <w:rPr>
          <w:rFonts w:ascii="Ronaldson Slope;serif" w:hAnsi="Ronaldson Slope;serif"/>
          <w:b w:val="false"/>
          <w:i/>
          <w:color w:val="002D72"/>
          <w:sz w:val="36"/>
        </w:rPr>
      </w:pPr>
      <w:r>
        <w:rPr>
          <w:rFonts w:ascii="Ronaldson Slope;serif" w:hAnsi="Ronaldson Slope;serif"/>
          <w:b w:val="false"/>
          <w:i/>
          <w:color w:val="002D72"/>
          <w:sz w:val="36"/>
        </w:rPr>
        <w:t>Leonardo DRS, Inc.</w:t>
      </w:r>
    </w:p>
    <w:p>
      <w:pPr>
        <w:pStyle w:val="TextBody"/>
        <w:bidi w:val="0"/>
        <w:spacing w:lineRule="auto" w:line="288" w:before="0" w:after="0"/>
        <w:jc w:val="center"/>
        <w:rPr>
          <w:rFonts w:ascii="Ronaldson Slope;serif" w:hAnsi="Ronaldson Slope;serif"/>
          <w:b w:val="false"/>
          <w:i/>
          <w:color w:val="002D72"/>
          <w:sz w:val="36"/>
        </w:rPr>
      </w:pPr>
      <w:r>
        <w:rPr>
          <w:rFonts w:ascii="Ronaldson Slope;serif" w:hAnsi="Ronaldson Slope;serif"/>
          <w:b w:val="false"/>
          <w:i/>
          <w:color w:val="002D72"/>
          <w:sz w:val="36"/>
        </w:rPr>
        <w:t>Common Stock</w:t>
      </w:r>
    </w:p>
    <w:p>
      <w:pPr>
        <w:pStyle w:val="TextBody"/>
        <w:bidi w:val="0"/>
        <w:spacing w:lineRule="auto" w:line="288" w:before="240" w:after="240"/>
        <w:jc w:val="center"/>
        <w:rPr>
          <w:rFonts w:ascii="Ronaldson Slope;serif" w:hAnsi="Ronaldson Slope;serif"/>
          <w:b/>
          <w:color w:val="002D72"/>
          <w:sz w:val="28"/>
        </w:rPr>
      </w:pPr>
      <w:r>
        <w:rPr>
          <w:rFonts w:ascii="Ronaldson Slope;serif" w:hAnsi="Ronaldson Slope;serif"/>
          <w:b/>
          <w:color w:val="002D72"/>
          <w:sz w:val="28"/>
        </w:rPr>
        <w:t>Prospectus Supplement</w:t>
      </w:r>
    </w:p>
    <w:p>
      <w:pPr>
        <w:pStyle w:val="TextBody"/>
        <w:bidi w:val="0"/>
        <w:spacing w:lineRule="auto" w:line="288" w:before="0" w:after="2400"/>
        <w:jc w:val="center"/>
        <w:rPr>
          <w:color w:val="002D72"/>
        </w:rPr>
      </w:pPr>
      <w:r>
        <w:rPr>
          <w:color w:val="002D72"/>
        </w:rPr>
        <w:t>   </w:t>
      </w:r>
      <w:r>
        <w:rPr>
          <w:rFonts w:ascii="Ronaldson Slope;serif" w:hAnsi="Ronaldson Slope;serif"/>
          <w:b/>
          <w:color w:val="002D72"/>
          <w:sz w:val="24"/>
        </w:rPr>
        <w:t>November 16,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2D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49" w:type="dxa"/>
        <w:jc w:val="left"/>
        <w:tblInd w:w="0" w:type="dxa"/>
        <w:tblLayout w:type="fixed"/>
        <w:tblCellMar>
          <w:top w:w="28" w:type="dxa"/>
          <w:left w:w="28" w:type="dxa"/>
          <w:bottom w:w="28" w:type="dxa"/>
          <w:right w:w="28" w:type="dxa"/>
        </w:tblCellMar>
      </w:tblPr>
      <w:tblGrid>
        <w:gridCol w:w="934"/>
        <w:gridCol w:w="822"/>
        <w:gridCol w:w="824"/>
        <w:gridCol w:w="1274"/>
        <w:gridCol w:w="1274"/>
        <w:gridCol w:w="1277"/>
        <w:gridCol w:w="715"/>
        <w:gridCol w:w="715"/>
        <w:gridCol w:w="101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naldson Slope;serif" w:hAnsi="Ronaldson Slope;serif"/>
                <w:b w:val="false"/>
                <w:i/>
                <w:color w:val="002D72"/>
                <w:sz w:val="32"/>
              </w:rPr>
            </w:pPr>
            <w:r>
              <w:rPr>
                <w:rFonts w:ascii="Ronaldson Slope;serif" w:hAnsi="Ronaldson Slope;serif"/>
                <w:b w:val="false"/>
                <w:i/>
                <w:color w:val="002D72"/>
                <w:sz w:val="32"/>
              </w:rPr>
              <w:t>Morgan Stanley</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naldson Slope;serif" w:hAnsi="Ronaldson Slope;serif"/>
                <w:b w:val="false"/>
                <w:i/>
                <w:color w:val="002D72"/>
                <w:sz w:val="32"/>
              </w:rPr>
            </w:pPr>
            <w:r>
              <w:rPr>
                <w:rFonts w:ascii="Ronaldson Slope;serif" w:hAnsi="Ronaldson Slope;serif"/>
                <w:b w:val="false"/>
                <w:i/>
                <w:color w:val="002D72"/>
                <w:sz w:val="32"/>
              </w:rPr>
              <w:t>BofA Securities</w:t>
            </w:r>
          </w:p>
        </w:tc>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naldson Slope;serif" w:hAnsi="Ronaldson Slope;serif"/>
                <w:b w:val="false"/>
                <w:i/>
                <w:color w:val="002D72"/>
                <w:sz w:val="32"/>
              </w:rPr>
            </w:pPr>
            <w:r>
              <w:rPr>
                <w:rFonts w:ascii="Ronaldson Slope;serif" w:hAnsi="Ronaldson Slope;serif"/>
                <w:b w:val="false"/>
                <w:i/>
                <w:color w:val="002D72"/>
                <w:sz w:val="32"/>
              </w:rPr>
              <w:t>J.P. Morgan</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Ronaldson Slope;serif" w:hAnsi="Ronaldson Slope;serif"/>
                <w:b w:val="false"/>
                <w:i/>
                <w:color w:val="002D72"/>
                <w:sz w:val="28"/>
              </w:rPr>
            </w:pPr>
            <w:r>
              <w:rPr>
                <w:rFonts w:ascii="Ronaldson Slope;serif" w:hAnsi="Ronaldson Slope;serif"/>
                <w:b w:val="false"/>
                <w:i/>
                <w:color w:val="002D72"/>
                <w:sz w:val="28"/>
              </w:rPr>
              <w:t>Baird</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Ronaldson Slope;serif" w:hAnsi="Ronaldson Slope;serif"/>
                <w:b w:val="false"/>
                <w:i/>
                <w:color w:val="002D72"/>
                <w:sz w:val="28"/>
              </w:rPr>
            </w:pPr>
            <w:r>
              <w:rPr>
                <w:rFonts w:ascii="Ronaldson Slope;serif" w:hAnsi="Ronaldson Slope;serif"/>
                <w:b w:val="false"/>
                <w:i/>
                <w:color w:val="002D72"/>
                <w:sz w:val="28"/>
              </w:rPr>
              <w:t>Goldman Sachs &amp; Co. LLC</w:t>
            </w:r>
          </w:p>
        </w:tc>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naldson Slope;serif" w:hAnsi="Ronaldson Slope;serif"/>
                <w:b w:val="false"/>
                <w:i/>
                <w:color w:val="002D72"/>
                <w:sz w:val="28"/>
              </w:rPr>
            </w:pPr>
            <w:r>
              <w:rPr>
                <w:rFonts w:ascii="Ronaldson Slope;serif" w:hAnsi="Ronaldson Slope;serif"/>
                <w:b w:val="false"/>
                <w:i/>
                <w:color w:val="002D72"/>
                <w:sz w:val="28"/>
              </w:rPr>
              <w:t>Truist Securities</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Ronaldson Slope;serif" w:hAnsi="Ronaldson Slope;serif"/>
                <w:b w:val="false"/>
                <w:i/>
                <w:color w:val="002D72"/>
                <w:sz w:val="24"/>
              </w:rPr>
            </w:pPr>
            <w:r>
              <w:rPr>
                <w:rFonts w:ascii="Ronaldson Slope;serif" w:hAnsi="Ronaldson Slope;serif"/>
                <w:b w:val="false"/>
                <w:i/>
                <w:color w:val="002D72"/>
                <w:sz w:val="24"/>
              </w:rPr>
              <w:t>CJS Securities</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2D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2D72"/>
              <w:bottom w:val="single" w:sz="8" w:space="0" w:color="002D7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424(b)(7)</w:t>
      </w:r>
    </w:p>
    <w:p>
      <w:pPr>
        <w:pStyle w:val="TextBody"/>
        <w:bidi w:val="0"/>
        <w:spacing w:lineRule="auto" w:line="288"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(Form Type)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LEONARDO DRS, INC.</w:t>
      </w:r>
    </w:p>
    <w:p>
      <w:pPr>
        <w:pStyle w:val="TextBody"/>
        <w:bidi w:val="0"/>
        <w:spacing w:lineRule="auto" w:line="288"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240"/>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Table 1: Newly Registered and Carry Forward Securities</w:t>
      </w:r>
    </w:p>
    <w:tbl>
      <w:tblPr>
        <w:tblW w:w="10205" w:type="dxa"/>
        <w:jc w:val="left"/>
        <w:tblInd w:w="0" w:type="dxa"/>
        <w:tblLayout w:type="fixed"/>
        <w:tblCellMar>
          <w:top w:w="28" w:type="dxa"/>
          <w:left w:w="28" w:type="dxa"/>
          <w:bottom w:w="28" w:type="dxa"/>
          <w:right w:w="28" w:type="dxa"/>
        </w:tblCellMar>
      </w:tblPr>
      <w:tblGrid>
        <w:gridCol w:w="376"/>
        <w:gridCol w:w="198"/>
        <w:gridCol w:w="156"/>
        <w:gridCol w:w="188"/>
        <w:gridCol w:w="188"/>
        <w:gridCol w:w="189"/>
        <w:gridCol w:w="292"/>
        <w:gridCol w:w="210"/>
        <w:gridCol w:w="211"/>
        <w:gridCol w:w="272"/>
        <w:gridCol w:w="272"/>
        <w:gridCol w:w="274"/>
        <w:gridCol w:w="320"/>
        <w:gridCol w:w="237"/>
        <w:gridCol w:w="238"/>
        <w:gridCol w:w="266"/>
        <w:gridCol w:w="266"/>
        <w:gridCol w:w="267"/>
        <w:gridCol w:w="588"/>
        <w:gridCol w:w="259"/>
        <w:gridCol w:w="260"/>
        <w:gridCol w:w="244"/>
        <w:gridCol w:w="244"/>
        <w:gridCol w:w="248"/>
        <w:gridCol w:w="286"/>
        <w:gridCol w:w="273"/>
        <w:gridCol w:w="274"/>
        <w:gridCol w:w="217"/>
        <w:gridCol w:w="217"/>
        <w:gridCol w:w="219"/>
        <w:gridCol w:w="220"/>
        <w:gridCol w:w="220"/>
        <w:gridCol w:w="221"/>
        <w:gridCol w:w="237"/>
        <w:gridCol w:w="237"/>
        <w:gridCol w:w="238"/>
        <w:gridCol w:w="312"/>
        <w:gridCol w:w="312"/>
        <w:gridCol w:w="459"/>
      </w:tblGrid>
      <w:tr>
        <w:trPr/>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73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Security Type</w:t>
            </w:r>
          </w:p>
        </w:tc>
        <w:tc>
          <w:tcPr>
            <w:tcW w:w="7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Security Class Title</w:t>
            </w:r>
          </w:p>
        </w:tc>
        <w:tc>
          <w:tcPr>
            <w:tcW w:w="8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Fee Calculation or Carry Forward Rule</w:t>
            </w:r>
          </w:p>
        </w:tc>
        <w:tc>
          <w:tcPr>
            <w:tcW w:w="7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 Registered</w:t>
            </w:r>
          </w:p>
        </w:tc>
        <w:tc>
          <w:tcPr>
            <w:tcW w:w="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Proposed Maximum Offering Price Per Unit</w:t>
            </w:r>
          </w:p>
        </w:tc>
        <w:tc>
          <w:tcPr>
            <w:tcW w:w="11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Maximum Aggregate Offering Price</w:t>
            </w:r>
          </w:p>
        </w:tc>
        <w:tc>
          <w:tcPr>
            <w:tcW w:w="7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Fee Rate</w:t>
            </w:r>
          </w:p>
        </w:tc>
        <w:tc>
          <w:tcPr>
            <w:tcW w:w="8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 of Registration Fee</w:t>
            </w:r>
          </w:p>
        </w:tc>
        <w:tc>
          <w:tcPr>
            <w:tcW w:w="6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Carry Forward Form Type</w:t>
            </w:r>
          </w:p>
        </w:tc>
        <w:tc>
          <w:tcPr>
            <w:tcW w:w="6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Carry Forward File Number</w:t>
            </w:r>
          </w:p>
        </w:tc>
        <w:tc>
          <w:tcPr>
            <w:tcW w:w="7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Carry Forward Initial Effective Date</w:t>
            </w:r>
          </w:p>
        </w:tc>
        <w:tc>
          <w:tcPr>
            <w:tcW w:w="108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Filing Fee Previously Paid in Connection with Unsold Securities to Be Carried Forward</w:t>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Newly Registered Securities</w:t>
            </w:r>
          </w:p>
        </w:tc>
      </w:tr>
      <w:tr>
        <w:trPr/>
        <w:tc>
          <w:tcPr>
            <w:tcW w:w="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Fees to Be Paid</w:t>
            </w:r>
          </w:p>
        </w:tc>
        <w:tc>
          <w:tcPr>
            <w:tcW w:w="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Equity</w:t>
            </w:r>
          </w:p>
        </w:tc>
        <w:tc>
          <w:tcPr>
            <w:tcW w:w="7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 par value</w:t>
              <w:br/>
              <w:t>$0.001 par value per share</w:t>
            </w:r>
          </w:p>
        </w:tc>
        <w:tc>
          <w:tcPr>
            <w:tcW w:w="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Rules 457(r)</w:t>
              <w:br/>
              <w:t>and 457(c)</w:t>
            </w:r>
          </w:p>
        </w:tc>
        <w:tc>
          <w:tcPr>
            <w:tcW w:w="7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20,700,000</w:t>
            </w:r>
          </w:p>
        </w:tc>
        <w:tc>
          <w:tcPr>
            <w:tcW w:w="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4"/>
              </w:rPr>
              <w:t xml:space="preserve">$18.98 </w:t>
            </w: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9"/>
              </w:rPr>
              <w:t>(2)</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14"/>
              </w:rPr>
              <w:t xml:space="preserve">392,886,000.00 </w:t>
            </w:r>
            <w:r>
              <w:rPr>
                <w:rFonts w:ascii="Times New Roman;sans-serif" w:hAnsi="Times New Roman;sans-serif"/>
                <w:b w:val="false"/>
                <w:color w:val="000000"/>
                <w:sz w:val="9"/>
              </w:rPr>
              <w:t>(2)</w:t>
            </w:r>
          </w:p>
        </w:tc>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0.0001476</w:t>
            </w:r>
          </w:p>
        </w:tc>
        <w:tc>
          <w:tcPr>
            <w:tcW w:w="8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4"/>
              </w:rPr>
              <w:t xml:space="preserve">$57,989.97 </w:t>
            </w:r>
            <w:r>
              <w:rPr>
                <w:rFonts w:ascii="Times New Roman;sans-serif" w:hAnsi="Times New Roman;sans-serif"/>
                <w:b w:val="false"/>
                <w:color w:val="000000"/>
                <w:sz w:val="9"/>
              </w:rPr>
              <w:t>(3)</w:t>
            </w:r>
          </w:p>
        </w:tc>
        <w:tc>
          <w:tcPr>
            <w:tcW w:w="65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Fees Previously Paid</w:t>
            </w:r>
          </w:p>
        </w:tc>
        <w:tc>
          <w:tcPr>
            <w:tcW w:w="5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8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9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3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65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Carry Forward Securities</w:t>
            </w:r>
          </w:p>
        </w:tc>
      </w:tr>
      <w:tr>
        <w:trPr/>
        <w:tc>
          <w:tcPr>
            <w:tcW w:w="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Carry Forward Securities</w:t>
            </w:r>
          </w:p>
        </w:tc>
        <w:tc>
          <w:tcPr>
            <w:tcW w:w="5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8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6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10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r>
      <w:tr>
        <w:trPr/>
        <w:tc>
          <w:tcPr>
            <w:tcW w:w="1295"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Total Offering Amounts</w:t>
            </w:r>
          </w:p>
        </w:tc>
        <w:tc>
          <w:tcPr>
            <w:tcW w:w="7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392,886,000.00</w:t>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$57,989.97</w:t>
            </w:r>
          </w:p>
        </w:tc>
        <w:tc>
          <w:tcPr>
            <w:tcW w:w="65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95"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Total Fees Previously Paid</w:t>
            </w:r>
          </w:p>
        </w:tc>
        <w:tc>
          <w:tcPr>
            <w:tcW w:w="7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65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95"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Total Fee Offsets</w:t>
            </w:r>
          </w:p>
        </w:tc>
        <w:tc>
          <w:tcPr>
            <w:tcW w:w="7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65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95"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Net Fee Due</w:t>
            </w:r>
          </w:p>
        </w:tc>
        <w:tc>
          <w:tcPr>
            <w:tcW w:w="79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$57,989.97</w:t>
            </w:r>
          </w:p>
        </w:tc>
        <w:tc>
          <w:tcPr>
            <w:tcW w:w="65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95"/>
        <w:jc w:val="left"/>
        <w:rPr/>
      </w:pPr>
      <w:r>
        <w:rPr>
          <w:rFonts w:ascii="Times New Roman;sans-serif" w:hAnsi="Times New Roman;sans-serif"/>
          <w:b w:val="false"/>
          <w:color w:val="000000"/>
          <w:sz w:val="11"/>
        </w:rPr>
        <w:t>(1)</w:t>
      </w:r>
      <w:r>
        <w:rPr>
          <w:rFonts w:ascii="Times New Roman;sans-serif" w:hAnsi="Times New Roman;sans-serif"/>
          <w:b w:val="false"/>
          <w:color w:val="000000"/>
          <w:sz w:val="14"/>
        </w:rPr>
        <w:t>Publicly communicated offering price.</w:t>
      </w:r>
    </w:p>
    <w:p>
      <w:pPr>
        <w:pStyle w:val="TextBody"/>
        <w:bidi w:val="0"/>
        <w:spacing w:lineRule="auto" w:line="288" w:before="0" w:after="0"/>
        <w:ind w:left="0" w:right="0" w:hanging="295"/>
        <w:jc w:val="left"/>
        <w:rPr/>
      </w:pPr>
      <w:r>
        <w:rPr>
          <w:rFonts w:ascii="Times New Roman;sans-serif" w:hAnsi="Times New Roman;sans-serif"/>
          <w:b w:val="false"/>
          <w:color w:val="000000"/>
          <w:sz w:val="11"/>
        </w:rPr>
        <w:t>(2)</w:t>
      </w:r>
      <w:r>
        <w:rPr>
          <w:rFonts w:ascii="Times New Roman;sans-serif" w:hAnsi="Times New Roman;sans-serif"/>
          <w:b w:val="false"/>
          <w:color w:val="000000"/>
          <w:sz w:val="14"/>
        </w:rPr>
        <w:t>In accordance with Rule 457(c) under the Securities Act of 1933, as amended (the “Securities Act”), for the purpose of calculating the registration fee, the Proposed Maximum Offering Price Per Unit is based on the average of the high and low prices for the Registrant’s Common Stock as reported on the Nasdaq Stock Market LLC on November 16, 2023.</w:t>
      </w:r>
    </w:p>
    <w:p>
      <w:pPr>
        <w:pStyle w:val="TextBody"/>
        <w:bidi w:val="0"/>
        <w:spacing w:lineRule="auto" w:line="288"/>
        <w:ind w:left="0" w:right="0" w:hanging="295"/>
        <w:jc w:val="left"/>
        <w:rPr/>
      </w:pPr>
      <w:r>
        <w:rPr>
          <w:rFonts w:ascii="Times New Roman;sans-serif" w:hAnsi="Times New Roman;sans-serif"/>
          <w:b w:val="false"/>
          <w:color w:val="000000"/>
          <w:sz w:val="11"/>
        </w:rPr>
        <w:t>(3)</w:t>
      </w:r>
      <w:r>
        <w:rPr>
          <w:rFonts w:ascii="Times New Roman;sans-serif" w:hAnsi="Times New Roman;sans-serif"/>
          <w:b w:val="false"/>
          <w:color w:val="000000"/>
          <w:sz w:val="14"/>
        </w:rPr>
        <w:t>Represents payment of registration fees previously deferred in connection with Registrant’s registration statement on Form S-3ASR (Registration No. 333-275572) in accordance with Rule 457(r) under the Securities Act. </w:t>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Ronaldson Slope">
    <w:altName w:val="serif"/>
    <w:charset w:val="01"/>
    <w:family w:val="auto"/>
    <w:pitch w:val="default"/>
  </w:font>
  <w:font w:name="Bauer Bodoni Pro">
    <w:altName w:val="sans-serif"/>
    <w:charset w:val="01"/>
    <w:family w:val="auto"/>
    <w:pitch w:val="default"/>
  </w:font>
  <w:font w:name="Garamond">
    <w:altName w:val="serif"/>
    <w:charset w:val="01"/>
    <w:family w:val="auto"/>
    <w:pitch w:val="default"/>
  </w:font>
  <w:font w:name="LTC La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33756/000162828023009545/drs-20221231.htm" TargetMode="External"/><Relationship Id="rId4" Type="http://schemas.openxmlformats.org/officeDocument/2006/relationships/hyperlink" Target="https://www.sec.gov/ix?doc=/Archives/edgar/data/1833756/000162828023012069/drs-20230419.htm" TargetMode="External"/><Relationship Id="rId5" Type="http://schemas.openxmlformats.org/officeDocument/2006/relationships/hyperlink" Target="https://www.sec.gov/ix?doc=/Archives/edgar/data/0001833756/000162828023015776/drs-20230331.htm" TargetMode="External"/><Relationship Id="rId6" Type="http://schemas.openxmlformats.org/officeDocument/2006/relationships/hyperlink" Target="https://www.sec.gov/ix?doc=/Archives/edgar/data/0001833756/000162828023026772/drs-20230630.htm" TargetMode="External"/><Relationship Id="rId7" Type="http://schemas.openxmlformats.org/officeDocument/2006/relationships/hyperlink" Target="https://www.sec.gov/ix?doc=/Archives/edgar/data/0001833756/000162828023036429/drs-20230930.htm" TargetMode="External"/><Relationship Id="rId8" Type="http://schemas.openxmlformats.org/officeDocument/2006/relationships/hyperlink" Target="https://www.sec.gov/ix?doc=/Archives/edgar/data/0001833756/000162828023005292/drs-20230221.htm" TargetMode="External"/><Relationship Id="rId9" Type="http://schemas.openxmlformats.org/officeDocument/2006/relationships/hyperlink" Target="https://www.sec.gov/ix?doc=/Archives/edgar/data/0001833756/000162828023009265/drs-20230327.htm" TargetMode="External"/><Relationship Id="rId10" Type="http://schemas.openxmlformats.org/officeDocument/2006/relationships/hyperlink" Target="https://www.sec.gov/ix?doc=/Archives/edgar/data/1833756/000162828023021288/drs-20230601.htm" TargetMode="External"/><Relationship Id="rId11" Type="http://schemas.openxmlformats.org/officeDocument/2006/relationships/hyperlink" Target="https://www.sec.gov/ix?doc=/Archives/edgar/data/1833756/000162828023033073/drs-20230927.htm" TargetMode="External"/><Relationship Id="rId12" Type="http://schemas.openxmlformats.org/officeDocument/2006/relationships/hyperlink" Target="https://www.sec.gov/ix?doc=/Archives/edgar/data/0001833756/000162828022024689/drs-20220909.htm" TargetMode="External"/><Relationship Id="rId13" Type="http://schemas.openxmlformats.org/officeDocument/2006/relationships/image" Target="media/image2.jpeg"/><Relationship Id="rId14" Type="http://schemas.openxmlformats.org/officeDocument/2006/relationships/hyperlink" Target="https://www.sec.gov/ix?doc=/Archives/edgar/data/0001833756/000162828023009545/drs-20221231.htm" TargetMode="External"/><Relationship Id="rId15" Type="http://schemas.openxmlformats.org/officeDocument/2006/relationships/hyperlink" Target="https://www.sec.gov/ix?doc=/Archives/edgar/data/0001833756/000162828023012069/drs-20230419.htm" TargetMode="External"/><Relationship Id="rId16" Type="http://schemas.openxmlformats.org/officeDocument/2006/relationships/hyperlink" Target="https://www.sec.gov/ix?doc=/Archives/edgar/data/0001833756/000162828023015776/drs-20230331.htm" TargetMode="External"/><Relationship Id="rId17" Type="http://schemas.openxmlformats.org/officeDocument/2006/relationships/hyperlink" Target="https://www.sec.gov/ix?doc=/Archives/edgar/data/0001833756/000162828023026772/drs-20230630.htm" TargetMode="External"/><Relationship Id="rId18" Type="http://schemas.openxmlformats.org/officeDocument/2006/relationships/hyperlink" Target="https://www.sec.gov/ix?doc=/Archives/edgar/data/0001833756/000162828023036429/drs-20230930.htm" TargetMode="External"/><Relationship Id="rId19" Type="http://schemas.openxmlformats.org/officeDocument/2006/relationships/hyperlink" Target="https://www.sec.gov/ix?doc=/Archives/edgar/data/0001833756/000162828023005292/drs-20230221.htm" TargetMode="External"/><Relationship Id="rId20" Type="http://schemas.openxmlformats.org/officeDocument/2006/relationships/hyperlink" Target="https://www.sec.gov/ix?doc=/Archives/edgar/data/0001833756/000162828023009265/drs-20230327.htm" TargetMode="External"/><Relationship Id="rId21" Type="http://schemas.openxmlformats.org/officeDocument/2006/relationships/hyperlink" Target="https://www.sec.gov/ix?doc=/Archives/edgar/data/1833756/000162828023021288/drs-20230601.htm" TargetMode="External"/><Relationship Id="rId22" Type="http://schemas.openxmlformats.org/officeDocument/2006/relationships/hyperlink" Target="https://www.sec.gov/ix?doc=/Archives/edgar/data/1833756/000162828023033073/drs-20230927.htm" TargetMode="External"/><Relationship Id="rId23" Type="http://schemas.openxmlformats.org/officeDocument/2006/relationships/hyperlink" Target="https://www.sec.gov/ix?doc=/Archives/edgar/data/0001833756/000162828022024689/drs-20220909.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32720</Words>
  <Characters>178498</Characters>
  <CharactersWithSpaces>210232</CharactersWithSpaces>
  <Paragraphs>1344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