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left"/>
        <w:rPr/>
      </w:pPr>
      <w:r>
        <w:rPr/>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Helvetica;sans-serif" w:hAnsi="Helvetica;sans-serif"/>
          <w:b/>
          <w:color w:val="000000"/>
          <w:sz w:val="40"/>
        </w:rPr>
      </w:pPr>
      <w:r>
        <w:rPr>
          <w:rFonts w:ascii="Helvetica;sans-serif" w:hAnsi="Helvetica;sans-serif"/>
          <w:b/>
          <w:color w:val="000000"/>
          <w:sz w:val="40"/>
        </w:rPr>
        <w:t>UNITED STATES</w:t>
      </w:r>
    </w:p>
    <w:p>
      <w:pPr>
        <w:pStyle w:val="TextBody"/>
        <w:bidi w:val="0"/>
        <w:spacing w:lineRule="auto" w:line="288" w:before="0" w:after="0"/>
        <w:jc w:val="center"/>
        <w:rPr>
          <w:rFonts w:ascii="Helvetica;sans-serif" w:hAnsi="Helvetica;sans-serif"/>
          <w:b/>
          <w:color w:val="000000"/>
          <w:sz w:val="40"/>
        </w:rPr>
      </w:pPr>
      <w:r>
        <w:rPr>
          <w:rFonts w:ascii="Helvetica;sans-serif" w:hAnsi="Helvetica;sans-serif"/>
          <w:b/>
          <w:color w:val="000000"/>
          <w:sz w:val="40"/>
        </w:rPr>
        <w:t>SECURITIES AND EXCHANGE COMMISSION</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WASHINGTON, D.C. 20549</w:t>
      </w:r>
    </w:p>
    <w:p>
      <w:pPr>
        <w:pStyle w:val="TextBody"/>
        <w:bidi w:val="0"/>
        <w:spacing w:lineRule="auto" w:line="288" w:before="0" w:after="0"/>
        <w:jc w:val="center"/>
        <w:rPr>
          <w:rFonts w:ascii="Helvetica;sans-serif" w:hAnsi="Helvetica;sans-serif"/>
          <w:b/>
          <w:color w:val="000000"/>
          <w:sz w:val="40"/>
        </w:rPr>
      </w:pPr>
      <w:r>
        <w:rPr>
          <w:rFonts w:ascii="Helvetica;sans-serif" w:hAnsi="Helvetica;sans-serif"/>
          <w:b/>
          <w:color w:val="000000"/>
          <w:sz w:val="40"/>
        </w:rPr>
        <w:t>Form 10-K</w:t>
      </w:r>
    </w:p>
    <w:tbl>
      <w:tblPr>
        <w:tblW w:w="5528" w:type="dxa"/>
        <w:jc w:val="left"/>
        <w:tblInd w:w="0" w:type="dxa"/>
        <w:tblLayout w:type="fixed"/>
        <w:tblCellMar>
          <w:top w:w="28" w:type="dxa"/>
          <w:left w:w="28" w:type="dxa"/>
          <w:bottom w:w="28" w:type="dxa"/>
          <w:right w:w="28" w:type="dxa"/>
        </w:tblCellMar>
      </w:tblPr>
      <w:tblGrid>
        <w:gridCol w:w="124"/>
        <w:gridCol w:w="109"/>
        <w:gridCol w:w="109"/>
        <w:gridCol w:w="1603"/>
        <w:gridCol w:w="1603"/>
        <w:gridCol w:w="160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7"/>
              </w:rPr>
            </w:pPr>
            <w:r>
              <w:rPr>
                <w:rFonts w:ascii="Helvetica;sans-serif" w:hAnsi="Helvetica;sans-serif"/>
                <w:b w:val="false"/>
                <w:color w:val="000000"/>
                <w:sz w:val="17"/>
              </w:rPr>
              <w:t>ANNUAL REPORT PURSUANT TO SECTION 13 OR 15(d)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7"/>
              </w:rPr>
            </w:pPr>
            <w:r>
              <w:rPr>
                <w:rFonts w:ascii="Helvetica;sans-serif" w:hAnsi="Helvetica;sans-serif"/>
                <w:b w:val="false"/>
                <w:color w:val="000000"/>
                <w:sz w:val="17"/>
              </w:rPr>
              <w:t>OF THE SECURITIES EXCHANGE ACT OF 1934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81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7"/>
              </w:rPr>
            </w:pPr>
            <w:r>
              <w:rPr>
                <w:rFonts w:ascii="Helvetica;sans-serif" w:hAnsi="Helvetica;sans-serif"/>
                <w:b w:val="false"/>
                <w:color w:val="000000"/>
                <w:sz w:val="17"/>
              </w:rPr>
              <w:t>FOR THE FISCAL YEAR ENDED DECEMBER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7"/>
              </w:rPr>
            </w:pPr>
            <w:r>
              <w:rPr>
                <w:rFonts w:ascii="Helvetica;sans-serif" w:hAnsi="Helvetica;sans-serif"/>
                <w:b w:val="false"/>
                <w:color w:val="000000"/>
                <w:sz w:val="17"/>
              </w:rPr>
              <w:t>TRANSITION REPORT PURSUANT TO SECTION 13 OR 15(d)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7"/>
              </w:rPr>
            </w:pPr>
            <w:r>
              <w:rPr>
                <w:rFonts w:ascii="Helvetica;sans-serif" w:hAnsi="Helvetica;sans-serif"/>
                <w:b w:val="false"/>
                <w:color w:val="000000"/>
                <w:sz w:val="17"/>
              </w:rPr>
              <w:t>OF THE SECURITIES EXCHANGE ACT OF 1934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Commission file number 001-41565</w:t>
      </w:r>
    </w:p>
    <w:p>
      <w:pPr>
        <w:pStyle w:val="TextBody"/>
        <w:bidi w:val="0"/>
        <w:spacing w:lineRule="auto" w:line="288" w:before="0" w:after="0"/>
        <w:jc w:val="center"/>
        <w:rPr>
          <w:rFonts w:ascii="Helvetica;sans-serif" w:hAnsi="Helvetica;sans-serif"/>
          <w:b/>
          <w:color w:val="000000"/>
          <w:sz w:val="40"/>
        </w:rPr>
      </w:pPr>
      <w:r>
        <w:rPr>
          <w:rFonts w:ascii="Helvetica;sans-serif" w:hAnsi="Helvetica;sans-serif"/>
          <w:b/>
          <w:color w:val="000000"/>
          <w:sz w:val="40"/>
        </w:rPr>
        <w:t>Leonardo DRS, Inc.</w:t>
      </w:r>
    </w:p>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(Exact name of registrant as specified in its charter)</w:t>
      </w:r>
    </w:p>
    <w:tbl>
      <w:tblPr>
        <w:tblW w:w="4304" w:type="dxa"/>
        <w:jc w:val="left"/>
        <w:tblInd w:w="0" w:type="dxa"/>
        <w:tblLayout w:type="fixed"/>
        <w:tblCellMar>
          <w:top w:w="28" w:type="dxa"/>
          <w:left w:w="28" w:type="dxa"/>
          <w:bottom w:w="28" w:type="dxa"/>
          <w:right w:w="28" w:type="dxa"/>
        </w:tblCellMar>
      </w:tblPr>
      <w:tblGrid>
        <w:gridCol w:w="986"/>
        <w:gridCol w:w="868"/>
        <w:gridCol w:w="875"/>
        <w:gridCol w:w="459"/>
        <w:gridCol w:w="459"/>
        <w:gridCol w:w="657"/>
      </w:tblGrid>
      <w:tr>
        <w:trPr/>
        <w:tc>
          <w:tcPr>
            <w:tcW w:w="98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Delaware</w:t>
            </w:r>
          </w:p>
        </w:tc>
        <w:tc>
          <w:tcPr>
            <w:tcW w:w="15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13-2632319</w:t>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(State or other jurisdiction</w:t>
            </w:r>
          </w:p>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of incorporation or organization)</w:t>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(I.R.S. Employer</w:t>
              <w:br/>
              <w:t>Identification No.)</w:t>
            </w:r>
          </w:p>
        </w:tc>
      </w:tr>
    </w:tbl>
    <w:p>
      <w:pPr>
        <w:pStyle w:val="TextBody"/>
        <w:bidi w:val="0"/>
        <w:spacing w:lineRule="auto" w:line="288" w:before="0" w:after="180"/>
        <w:ind w:left="0" w:right="0" w:firstLine="360"/>
        <w:jc w:val="left"/>
        <w:rPr>
          <w:color w:val="000000"/>
        </w:rPr>
      </w:pPr>
      <w:r>
        <w:rPr>
          <w:color w:val="000000"/>
        </w:rPr>
        <w:t> </w: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2345 Crystal Drive</w: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Suite 1000</w: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Arlington, Virginia 22202</w:t>
      </w:r>
    </w:p>
    <w:p>
      <w:pPr>
        <w:pStyle w:val="TextBody"/>
        <w:bidi w:val="0"/>
        <w:spacing w:lineRule="auto" w:line="288" w:before="0" w:after="0"/>
        <w:jc w:val="center"/>
        <w:rPr>
          <w:rFonts w:ascii="Helvetica;sans-serif" w:hAnsi="Helvetica;sans-serif"/>
          <w:b/>
          <w:color w:val="000000"/>
          <w:sz w:val="18"/>
        </w:rPr>
      </w:pPr>
      <w:r>
        <w:rPr>
          <w:rFonts w:ascii="Helvetica;sans-serif" w:hAnsi="Helvetica;sans-serif"/>
          <w:b/>
          <w:color w:val="000000"/>
          <w:sz w:val="18"/>
        </w:rPr>
        <w:t>(703) 416-8000</w:t>
      </w:r>
    </w:p>
    <w:p>
      <w:pPr>
        <w:pStyle w:val="TextBody"/>
        <w:bidi w:val="0"/>
        <w:spacing w:lineRule="auto" w:line="288" w:before="0" w:after="180"/>
        <w:jc w:val="center"/>
        <w:rPr>
          <w:rFonts w:ascii="Helvetica;sans-serif" w:hAnsi="Helvetica;sans-serif"/>
          <w:b/>
          <w:color w:val="000000"/>
          <w:sz w:val="18"/>
        </w:rPr>
      </w:pPr>
      <w:r>
        <w:rPr>
          <w:rFonts w:ascii="Helvetica;sans-serif" w:hAnsi="Helvetica;sans-serif"/>
          <w:b/>
          <w:color w:val="000000"/>
          <w:sz w:val="18"/>
        </w:rPr>
        <w:t>(Address of principal executive offices, including zip code, and registrant’s telephone number, including area code)</w:t>
      </w:r>
    </w:p>
    <w:p>
      <w:pPr>
        <w:pStyle w:val="TextBody"/>
        <w:bidi w:val="0"/>
        <w:spacing w:lineRule="auto" w:line="288" w:before="0" w:after="180"/>
        <w:jc w:val="center"/>
        <w:rPr/>
      </w:pPr>
      <w:r>
        <w:rPr>
          <w:color w:val="000000"/>
        </w:rPr>
        <w:t> </w:t>
      </w:r>
      <w:r>
        <w:rPr>
          <w:rFonts w:ascii="Helvetica;sans-serif" w:hAnsi="Helvetica;sans-serif"/>
          <w:b w:val="false"/>
          <w:color w:val="000000"/>
          <w:sz w:val="20"/>
        </w:rPr>
        <w:t>Securities registered pursuant to Section 12(b) of the Act:</w:t>
      </w:r>
      <w:r>
        <w:rPr>
          <w:color w:val="000000"/>
        </w:rPr>
        <w:t xml:space="preserve"> </w:t>
      </w:r>
    </w:p>
    <w:tbl>
      <w:tblPr>
        <w:tblW w:w="8592" w:type="dxa"/>
        <w:jc w:val="left"/>
        <w:tblInd w:w="0" w:type="dxa"/>
        <w:tblLayout w:type="fixed"/>
        <w:tblCellMar>
          <w:top w:w="28" w:type="dxa"/>
          <w:left w:w="28" w:type="dxa"/>
          <w:bottom w:w="28" w:type="dxa"/>
          <w:right w:w="28" w:type="dxa"/>
        </w:tblCellMar>
      </w:tblPr>
      <w:tblGrid>
        <w:gridCol w:w="1048"/>
        <w:gridCol w:w="918"/>
        <w:gridCol w:w="928"/>
        <w:gridCol w:w="564"/>
        <w:gridCol w:w="564"/>
        <w:gridCol w:w="566"/>
        <w:gridCol w:w="1170"/>
        <w:gridCol w:w="1170"/>
        <w:gridCol w:w="1664"/>
      </w:tblGrid>
      <w:tr>
        <w:trPr/>
        <w:tc>
          <w:tcPr>
            <w:tcW w:w="104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u w:val="single"/>
              </w:rPr>
            </w:pPr>
            <w:r>
              <w:rPr>
                <w:rFonts w:ascii="Helvetica;sans-serif" w:hAnsi="Helvetica;sans-serif"/>
                <w:b w:val="false"/>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u w:val="single"/>
              </w:rPr>
            </w:pPr>
            <w:r>
              <w:rPr>
                <w:rFonts w:ascii="Helvetica;sans-serif" w:hAnsi="Helvetica;sans-serif"/>
                <w:b w:val="false"/>
                <w:color w:val="000000"/>
                <w:sz w:val="20"/>
                <w:u w:val="single"/>
              </w:rPr>
              <w:t>Trading Symbol(s)</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u w:val="single"/>
              </w:rPr>
            </w:pPr>
            <w:r>
              <w:rPr>
                <w:rFonts w:ascii="Helvetica;sans-serif" w:hAnsi="Helvetica;sans-serif"/>
                <w:b w:val="false"/>
                <w:color w:val="000000"/>
                <w:sz w:val="20"/>
                <w:u w:val="single"/>
              </w:rPr>
              <w:t>Name of each exchange on which registered</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Common stock, $0.01 par value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DRS</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The Nasdaq Stock Market LLC</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Securities registered pursuant to Section 12(g) of the Act: None</w:t>
      </w:r>
    </w:p>
    <w:p>
      <w:pPr>
        <w:pStyle w:val="TextBody"/>
        <w:bidi w:val="0"/>
        <w:spacing w:lineRule="auto" w:line="288" w:before="0" w:after="180"/>
        <w:jc w:val="left"/>
        <w:rPr/>
      </w:pPr>
      <w:r>
        <w:rPr>
          <w:rFonts w:ascii="Helvetica;sans-serif" w:hAnsi="Helvetica;sans-serif"/>
          <w:b w:val="false"/>
          <w:color w:val="000000"/>
          <w:sz w:val="18"/>
        </w:rPr>
        <w:t>Indicate by check mark if the registrant is a well-known seasoned issuer, as defined in Rule 405 of the Securities Act. Ye</w:t>
      </w:r>
      <w:r>
        <w:rPr>
          <w:rFonts w:ascii="Times New Roman;serif" w:hAnsi="Times New Roman;serif"/>
          <w:b w:val="false"/>
          <w:color w:val="000000"/>
          <w:sz w:val="18"/>
        </w:rPr>
        <w:t xml:space="preserve">s ☒ </w:t>
      </w:r>
      <w:r>
        <w:rPr>
          <w:rFonts w:ascii="Helvetica;sans-serif" w:hAnsi="Helvetica;sans-serif"/>
          <w:b w:val="false"/>
          <w:color w:val="000000"/>
          <w:sz w:val="18"/>
        </w:rPr>
        <w:t>No</w:t>
      </w:r>
      <w:r>
        <w:rPr>
          <w:color w:val="000000"/>
        </w:rPr>
        <w:t xml:space="preserve"> ☐</w:t>
      </w:r>
    </w:p>
    <w:p>
      <w:pPr>
        <w:pStyle w:val="TextBody"/>
        <w:bidi w:val="0"/>
        <w:spacing w:lineRule="auto" w:line="288" w:before="0" w:after="180"/>
        <w:jc w:val="left"/>
        <w:rPr/>
      </w:pPr>
      <w:r>
        <w:rPr>
          <w:rFonts w:ascii="Helvetica;sans-serif" w:hAnsi="Helvetica;sans-serif"/>
          <w:b w:val="false"/>
          <w:color w:val="000000"/>
          <w:sz w:val="18"/>
        </w:rPr>
        <w:t>Indicate by check mark if the registrant is not required to file reports pursuant to Section 13 or Section 15(d) of the Act. Yes</w:t>
      </w:r>
      <w:r>
        <w:rPr>
          <w:color w:val="000000"/>
        </w:rPr>
        <w:t xml:space="preserve"> ☐ </w:t>
      </w:r>
      <w:r>
        <w:rPr>
          <w:rFonts w:ascii="Helvetica;sans-serif" w:hAnsi="Helvetica;sans-serif"/>
          <w:b w:val="false"/>
          <w:color w:val="000000"/>
          <w:sz w:val="18"/>
        </w:rPr>
        <w:t>No</w:t>
      </w:r>
      <w:r>
        <w:rPr>
          <w:color w:val="000000"/>
        </w:rPr>
        <w:t xml:space="preserve"> ☒</w:t>
      </w:r>
    </w:p>
    <w:p>
      <w:pPr>
        <w:pStyle w:val="TextBody"/>
        <w:bidi w:val="0"/>
        <w:spacing w:lineRule="auto" w:line="288" w:before="0" w:after="180"/>
        <w:jc w:val="left"/>
        <w:rPr/>
      </w:pPr>
      <w:r>
        <w:rPr>
          <w:rFonts w:ascii="Helvetica;sans-serif" w:hAnsi="Helvetica;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 for the past 90 days. Yes</w:t>
      </w:r>
      <w:r>
        <w:rPr>
          <w:color w:val="000000"/>
        </w:rPr>
        <w:t xml:space="preserve"> ☒ </w:t>
      </w:r>
      <w:r>
        <w:rPr>
          <w:rFonts w:ascii="Helvetica;sans-serif" w:hAnsi="Helvetica;sans-serif"/>
          <w:b w:val="false"/>
          <w:color w:val="000000"/>
          <w:sz w:val="18"/>
        </w:rPr>
        <w:t xml:space="preserve">No </w:t>
      </w:r>
      <w:r>
        <w:rPr>
          <w:color w:val="000000"/>
        </w:rPr>
        <w:t>☐</w:t>
      </w:r>
    </w:p>
    <w:p>
      <w:pPr>
        <w:pStyle w:val="TextBody"/>
        <w:bidi w:val="0"/>
        <w:spacing w:lineRule="auto" w:line="288" w:before="0" w:after="180"/>
        <w:jc w:val="left"/>
        <w:rPr/>
      </w:pPr>
      <w:r>
        <w:rPr>
          <w:rFonts w:ascii="Helvetica;sans-serif" w:hAnsi="Helvetica;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color w:val="000000"/>
        </w:rPr>
        <w:t xml:space="preserve"> ☒ </w:t>
      </w:r>
      <w:r>
        <w:rPr>
          <w:rFonts w:ascii="Helvetica;sans-serif" w:hAnsi="Helvetica;sans-serif"/>
          <w:b w:val="false"/>
          <w:color w:val="000000"/>
          <w:sz w:val="18"/>
        </w:rPr>
        <w:t xml:space="preserve">No </w:t>
      </w:r>
      <w:r>
        <w:rPr>
          <w:color w:val="000000"/>
        </w:rPr>
        <w:t>☐</w:t>
      </w:r>
    </w:p>
    <w:p>
      <w:pPr>
        <w:pStyle w:val="TextBody"/>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704" w:type="dxa"/>
        <w:jc w:val="left"/>
        <w:tblInd w:w="0" w:type="dxa"/>
        <w:tblLayout w:type="fixed"/>
        <w:tblCellMar>
          <w:top w:w="28" w:type="dxa"/>
          <w:left w:w="28" w:type="dxa"/>
          <w:bottom w:w="28" w:type="dxa"/>
          <w:right w:w="28" w:type="dxa"/>
        </w:tblCellMar>
      </w:tblPr>
      <w:tblGrid>
        <w:gridCol w:w="124"/>
        <w:gridCol w:w="109"/>
        <w:gridCol w:w="109"/>
        <w:gridCol w:w="664"/>
        <w:gridCol w:w="664"/>
        <w:gridCol w:w="666"/>
        <w:gridCol w:w="109"/>
        <w:gridCol w:w="109"/>
        <w:gridCol w:w="109"/>
        <w:gridCol w:w="889"/>
        <w:gridCol w:w="889"/>
        <w:gridCol w:w="8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26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26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bl>
    <w:p>
      <w:pPr>
        <w:pStyle w:val="TextBody"/>
        <w:bidi w:val="0"/>
        <w:spacing w:lineRule="auto" w:line="288" w:before="0" w:after="180"/>
        <w:jc w:val="left"/>
        <w:rPr/>
      </w:pPr>
      <w:r>
        <w:rPr>
          <w:rFonts w:ascii="Helvetica;sans-serif" w:hAnsi="Helvetica;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80"/>
        <w:jc w:val="left"/>
        <w:rPr/>
      </w:pPr>
      <w:r>
        <w:rPr>
          <w:rFonts w:ascii="Helvetica;sans-serif" w:hAnsi="Helvetica;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0" w:after="180"/>
        <w:jc w:val="left"/>
        <w:rPr/>
      </w:pPr>
      <w:r>
        <w:rPr>
          <w:rFonts w:ascii="Helvetica;sans-serif" w:hAnsi="Helvetica;sans-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0" w:after="180"/>
        <w:jc w:val="left"/>
        <w:rPr/>
      </w:pPr>
      <w:r>
        <w:rPr>
          <w:rFonts w:ascii="Helvetica;sans-serif" w:hAnsi="Helvetica;sans-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Helvetica;sans-serif" w:hAnsi="Helvetica;sans-serif"/>
          <w:b w:val="false"/>
          <w:color w:val="000000"/>
          <w:sz w:val="18"/>
        </w:rPr>
        <w:t xml:space="preserve">Indicate by check mark whether the registrant is a shell company (as defined in Rule 12b-2 of the Exchange Act). Yes </w:t>
      </w:r>
      <w:r>
        <w:rPr>
          <w:color w:val="000000"/>
        </w:rPr>
        <w:t xml:space="preserve">☐ </w:t>
      </w:r>
      <w:r>
        <w:rPr>
          <w:rFonts w:ascii="Helvetica;sans-serif" w:hAnsi="Helvetica;sans-serif"/>
          <w:b w:val="false"/>
          <w:color w:val="000000"/>
          <w:sz w:val="18"/>
        </w:rPr>
        <w:t xml:space="preserve">No </w:t>
      </w:r>
      <w:r>
        <w:rPr>
          <w:color w:val="000000"/>
        </w:rPr>
        <w:t>☒</w:t>
      </w:r>
    </w:p>
    <w:p>
      <w:pPr>
        <w:pStyle w:val="TextBody"/>
        <w:bidi w:val="0"/>
        <w:spacing w:lineRule="auto" w:line="288" w:before="0" w:after="180"/>
        <w:jc w:val="left"/>
        <w:rPr>
          <w:rFonts w:ascii="Helvetica;sans-serif" w:hAnsi="Helvetica;sans-serif"/>
          <w:b w:val="false"/>
          <w:color w:val="000000"/>
          <w:sz w:val="18"/>
        </w:rPr>
      </w:pPr>
      <w:r>
        <w:rPr>
          <w:rFonts w:ascii="Helvetica;sans-serif" w:hAnsi="Helvetica;sans-serif"/>
          <w:b w:val="false"/>
          <w:color w:val="000000"/>
          <w:sz w:val="18"/>
        </w:rPr>
        <w:t>As of June 30, 2025, the aggregate market value of the registrant’s common stock (based upon the closing stock price) held by non-affiliates was approximately $3,508 million.</w:t>
      </w:r>
    </w:p>
    <w:p>
      <w:pPr>
        <w:pStyle w:val="TextBody"/>
        <w:bidi w:val="0"/>
        <w:spacing w:lineRule="auto" w:line="288" w:before="0" w:after="180"/>
        <w:jc w:val="left"/>
        <w:rPr>
          <w:rFonts w:ascii="Helvetica;sans-serif" w:hAnsi="Helvetica;sans-serif"/>
          <w:b w:val="false"/>
          <w:color w:val="000000"/>
          <w:sz w:val="18"/>
        </w:rPr>
      </w:pPr>
      <w:r>
        <w:rPr>
          <w:rFonts w:ascii="Helvetica;sans-serif" w:hAnsi="Helvetica;sans-serif"/>
          <w:b w:val="false"/>
          <w:color w:val="000000"/>
          <w:sz w:val="18"/>
        </w:rPr>
        <w:t>As of February 24, 2026, there were 265,846,193 shares of the registrant’s common stock, par value of $0.01 per share, outstanding.</w:t>
      </w:r>
    </w:p>
    <w:p>
      <w:pPr>
        <w:pStyle w:val="TextBody"/>
        <w:bidi w:val="0"/>
        <w:spacing w:lineRule="auto" w:line="288" w:before="0" w:after="180"/>
        <w:jc w:val="center"/>
        <w:rPr>
          <w:rFonts w:ascii="Helvetica;sans-serif" w:hAnsi="Helvetica;sans-serif"/>
          <w:b/>
          <w:color w:val="000000"/>
          <w:sz w:val="18"/>
        </w:rPr>
      </w:pPr>
      <w:r>
        <w:rPr>
          <w:rFonts w:ascii="Helvetica;sans-serif" w:hAnsi="Helvetica;sans-serif"/>
          <w:b/>
          <w:color w:val="000000"/>
          <w:sz w:val="18"/>
        </w:rPr>
        <w:t>DOCUMENTS INCORPORATED BY REFERENCE</w:t>
      </w:r>
    </w:p>
    <w:p>
      <w:pPr>
        <w:pStyle w:val="TextBody"/>
        <w:bidi w:val="0"/>
        <w:spacing w:lineRule="auto" w:line="288" w:before="0" w:after="180"/>
        <w:jc w:val="left"/>
        <w:rPr>
          <w:rFonts w:ascii="Helvetica;sans-serif" w:hAnsi="Helvetica;sans-serif"/>
          <w:b w:val="false"/>
          <w:color w:val="000000"/>
          <w:sz w:val="18"/>
        </w:rPr>
      </w:pPr>
      <w:r>
        <w:rPr>
          <w:rFonts w:ascii="Helvetica;sans-serif" w:hAnsi="Helvetica;sans-serif"/>
          <w:b w:val="false"/>
          <w:color w:val="000000"/>
          <w:sz w:val="18"/>
        </w:rPr>
        <w:t>Portions of Leonardo DRS, Inc.’s 2026 definitive proxy statement (the “Proxy Statement”) are incorporated by reference into Part III of this Annual Report on Form 10-K. The Proxy Statement will be filed with the Securities and Exchange Commission within 120 days after the end of the fiscal year ended December 31,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14"/>
        <w:gridCol w:w="275"/>
        <w:gridCol w:w="277"/>
        <w:gridCol w:w="2959"/>
        <w:gridCol w:w="2913"/>
        <w:gridCol w:w="2923"/>
        <w:gridCol w:w="158"/>
        <w:gridCol w:w="158"/>
        <w:gridCol w:w="228"/>
      </w:tblGrid>
      <w:tr>
        <w:trPr/>
        <w:tc>
          <w:tcPr>
            <w:tcW w:w="3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2913"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Page</w:t>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10">
              <w:r>
                <w:rPr>
                  <w:rStyle w:val="InternetLink"/>
                  <w:rFonts w:ascii="Helvetica;sans-serif" w:hAnsi="Helvetica;sans-serif"/>
                  <w:b/>
                  <w:strike w:val="false"/>
                  <w:dstrike w:val="false"/>
                  <w:color w:val="000000"/>
                  <w:sz w:val="20"/>
                  <w:u w:val="none"/>
                  <w:effect w:val="none"/>
                </w:rPr>
                <w:t>PART I</w:t>
              </w:r>
            </w:hyperlink>
          </w:p>
        </w:tc>
        <w:tc>
          <w:tcPr>
            <w:tcW w:w="8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 xml:space="preserve">Item 1. </w:t>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13">
              <w:r>
                <w:rPr>
                  <w:rStyle w:val="InternetLink"/>
                  <w:rFonts w:ascii="Helvetica;sans-serif" w:hAnsi="Helvetica;sans-serif"/>
                  <w:b w:val="false"/>
                  <w:color w:val="0000FF"/>
                  <w:sz w:val="20"/>
                  <w:u w:val="single"/>
                </w:rPr>
                <w:t>Business</w:t>
              </w:r>
            </w:hyperlink>
            <w:r>
              <w:rPr>
                <w:color w:val="000000"/>
              </w:rPr>
              <w:t xml:space="preserve"> </w:t>
            </w:r>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13">
              <w:r>
                <w:rPr>
                  <w:rStyle w:val="InternetLink"/>
                  <w:rFonts w:ascii="Helvetica;sans-serif" w:hAnsi="Helvetica;sans-serif"/>
                  <w:b w:val="false"/>
                  <w:color w:val="0000FF"/>
                  <w:sz w:val="20"/>
                  <w:u w:val="single"/>
                </w:rPr>
                <w:t>1</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Item 1A.</w:t>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16">
              <w:r>
                <w:rPr>
                  <w:rStyle w:val="InternetLink"/>
                  <w:rFonts w:ascii="Helvetica;sans-serif" w:hAnsi="Helvetica;sans-serif"/>
                  <w:b w:val="false"/>
                  <w:color w:val="0000FF"/>
                  <w:sz w:val="20"/>
                  <w:u w:val="single"/>
                </w:rPr>
                <w:t>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16">
              <w:r>
                <w:rPr>
                  <w:rStyle w:val="InternetLink"/>
                  <w:rFonts w:ascii="Helvetica;sans-serif" w:hAnsi="Helvetica;sans-serif"/>
                  <w:b w:val="false"/>
                  <w:color w:val="0000FF"/>
                  <w:sz w:val="20"/>
                  <w:u w:val="single"/>
                </w:rPr>
                <w:t>9</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Item 1B.</w:t>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19">
              <w:r>
                <w:rPr>
                  <w:rStyle w:val="InternetLink"/>
                  <w:rFonts w:ascii="Helvetica;sans-serif" w:hAnsi="Helvetica;sans-serif"/>
                  <w:b w:val="false"/>
                  <w:color w:val="0000FF"/>
                  <w:sz w:val="20"/>
                  <w:u w:val="single"/>
                </w:rPr>
                <w:t>Unresolved Staff Comments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19">
              <w:r>
                <w:rPr>
                  <w:rStyle w:val="InternetLink"/>
                  <w:rFonts w:ascii="Helvetica;sans-serif" w:hAnsi="Helvetica;sans-serif"/>
                  <w:b w:val="false"/>
                  <w:color w:val="0000FF"/>
                  <w:sz w:val="20"/>
                  <w:u w:val="single"/>
                </w:rPr>
                <w:t>46</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Item 1C.</w:t>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22">
              <w:r>
                <w:rPr>
                  <w:rStyle w:val="InternetLink"/>
                  <w:rFonts w:ascii="Helvetica;sans-serif" w:hAnsi="Helvetica;sans-serif"/>
                  <w:b w:val="false"/>
                  <w:color w:val="0000FF"/>
                  <w:sz w:val="20"/>
                  <w:u w:val="single"/>
                </w:rPr>
                <w:t>Cybersecurity</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22">
              <w:r>
                <w:rPr>
                  <w:rStyle w:val="InternetLink"/>
                  <w:rFonts w:ascii="Helvetica;sans-serif" w:hAnsi="Helvetica;sans-serif"/>
                  <w:b w:val="false"/>
                  <w:color w:val="0000FF"/>
                  <w:sz w:val="20"/>
                  <w:u w:val="single"/>
                </w:rPr>
                <w:t>46</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Item 2.</w:t>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25">
              <w:r>
                <w:rPr>
                  <w:rStyle w:val="InternetLink"/>
                  <w:rFonts w:ascii="Helvetica;sans-serif" w:hAnsi="Helvetica;sans-serif"/>
                  <w:b w:val="false"/>
                  <w:color w:val="0000FF"/>
                  <w:sz w:val="20"/>
                  <w:u w:val="single"/>
                </w:rPr>
                <w:t>Properties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25">
              <w:r>
                <w:rPr>
                  <w:rStyle w:val="InternetLink"/>
                  <w:rFonts w:ascii="Helvetica;sans-serif" w:hAnsi="Helvetica;sans-serif"/>
                  <w:b w:val="false"/>
                  <w:color w:val="0000FF"/>
                  <w:sz w:val="20"/>
                  <w:u w:val="single"/>
                </w:rPr>
                <w:t>48</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Item 3.</w:t>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28">
              <w:r>
                <w:rPr>
                  <w:rStyle w:val="InternetLink"/>
                  <w:rFonts w:ascii="Helvetica;sans-serif" w:hAnsi="Helvetica;sans-serif"/>
                  <w:b w:val="false"/>
                  <w:color w:val="0000FF"/>
                  <w:sz w:val="20"/>
                  <w:u w:val="single"/>
                </w:rPr>
                <w:t>Legal Proceedings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28">
              <w:r>
                <w:rPr>
                  <w:rStyle w:val="InternetLink"/>
                  <w:rFonts w:ascii="Helvetica;sans-serif" w:hAnsi="Helvetica;sans-serif"/>
                  <w:b w:val="false"/>
                  <w:color w:val="0000FF"/>
                  <w:sz w:val="20"/>
                  <w:u w:val="single"/>
                </w:rPr>
                <w:t>51</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Item 4.</w:t>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31">
              <w:r>
                <w:rPr>
                  <w:rStyle w:val="InternetLink"/>
                  <w:rFonts w:ascii="Helvetica;sans-serif" w:hAnsi="Helvetica;sans-serif"/>
                  <w:b w:val="false"/>
                  <w:color w:val="0000FF"/>
                  <w:sz w:val="20"/>
                  <w:u w:val="single"/>
                </w:rPr>
                <w:t>Mine Safety Disclosures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31">
              <w:r>
                <w:rPr>
                  <w:rStyle w:val="InternetLink"/>
                  <w:rFonts w:ascii="Helvetica;sans-serif" w:hAnsi="Helvetica;sans-serif"/>
                  <w:b w:val="false"/>
                  <w:color w:val="0000FF"/>
                  <w:sz w:val="20"/>
                  <w:u w:val="single"/>
                </w:rPr>
                <w:t>52</w:t>
              </w:r>
            </w:hyperlink>
          </w:p>
        </w:tc>
      </w:tr>
      <w:tr>
        <w:trPr/>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34">
              <w:r>
                <w:rPr>
                  <w:rStyle w:val="InternetLink"/>
                  <w:rFonts w:ascii="Helvetica;sans-serif" w:hAnsi="Helvetica;sans-serif"/>
                  <w:b w:val="false"/>
                  <w:color w:val="0000FF"/>
                  <w:sz w:val="20"/>
                  <w:u w:val="single"/>
                </w:rPr>
                <w:t>Supplementary Item - Information About our Executive Officers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34">
              <w:r>
                <w:rPr>
                  <w:rStyle w:val="InternetLink"/>
                  <w:rFonts w:ascii="Helvetica;sans-serif" w:hAnsi="Helvetica;sans-serif"/>
                  <w:b w:val="false"/>
                  <w:color w:val="0000FF"/>
                  <w:sz w:val="20"/>
                  <w:u w:val="single"/>
                </w:rPr>
                <w:t>52</w:t>
              </w:r>
            </w:hyperlink>
          </w:p>
        </w:tc>
      </w:tr>
      <w:tr>
        <w:trPr/>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37">
              <w:r>
                <w:rPr>
                  <w:rStyle w:val="InternetLink"/>
                  <w:rFonts w:ascii="Helvetica;sans-serif" w:hAnsi="Helvetica;sans-serif"/>
                  <w:b/>
                  <w:strike w:val="false"/>
                  <w:dstrike w:val="false"/>
                  <w:color w:val="000000"/>
                  <w:sz w:val="20"/>
                  <w:u w:val="none"/>
                  <w:effect w:val="none"/>
                </w:rPr>
                <w:t>PART II</w:t>
              </w:r>
            </w:hyperlink>
          </w:p>
        </w:tc>
        <w:tc>
          <w:tcPr>
            <w:tcW w:w="8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0" w:after="0"/>
              <w:ind w:left="0" w:right="0" w:hanging="990"/>
              <w:jc w:val="left"/>
              <w:rPr>
                <w:rFonts w:ascii="Helvetica;sans-serif" w:hAnsi="Helvetica;sans-serif"/>
                <w:b w:val="false"/>
                <w:color w:val="000000"/>
                <w:sz w:val="20"/>
              </w:rPr>
            </w:pPr>
            <w:r>
              <w:rPr>
                <w:rFonts w:ascii="Helvetica;sans-serif" w:hAnsi="Helvetica;sans-serif"/>
                <w:b w:val="false"/>
                <w:color w:val="000000"/>
                <w:sz w:val="20"/>
              </w:rPr>
              <w:t>Item 5.</w:t>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df40665b18f4d65a64872f9a7ba15b6_40">
              <w:r>
                <w:rPr>
                  <w:rStyle w:val="InternetLink"/>
                  <w:rFonts w:ascii="Helvetica;sans-serif" w:hAnsi="Helvetica;sans-serif"/>
                  <w:b w:val="false"/>
                  <w:color w:val="0000FF"/>
                  <w:sz w:val="20"/>
                  <w:u w:val="single"/>
                </w:rPr>
                <w:t>Market for Registrant's Common Equity, Related Stockholder Matters and Issuer Purchases of Equity Securities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40">
              <w:r>
                <w:rPr>
                  <w:rStyle w:val="InternetLink"/>
                  <w:rFonts w:ascii="Helvetica;sans-serif" w:hAnsi="Helvetica;sans-serif"/>
                  <w:b w:val="false"/>
                  <w:color w:val="0000FF"/>
                  <w:sz w:val="20"/>
                  <w:u w:val="single"/>
                </w:rPr>
                <w:t>54</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Item 6.</w:t>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43">
              <w:r>
                <w:rPr>
                  <w:rStyle w:val="InternetLink"/>
                  <w:rFonts w:ascii="Helvetica;sans-serif" w:hAnsi="Helvetica;sans-serif"/>
                  <w:b w:val="false"/>
                  <w:color w:val="0000FF"/>
                  <w:sz w:val="20"/>
                  <w:u w:val="single"/>
                </w:rPr>
                <w:t>[Reserved]</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43">
              <w:r>
                <w:rPr>
                  <w:rStyle w:val="InternetLink"/>
                  <w:rFonts w:ascii="Helvetica;sans-serif" w:hAnsi="Helvetica;sans-serif"/>
                  <w:b w:val="false"/>
                  <w:color w:val="0000FF"/>
                  <w:sz w:val="20"/>
                  <w:u w:val="single"/>
                </w:rPr>
                <w:t>55</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0" w:after="0"/>
              <w:ind w:left="0" w:right="0" w:hanging="990"/>
              <w:jc w:val="left"/>
              <w:rPr>
                <w:rFonts w:ascii="Helvetica;sans-serif" w:hAnsi="Helvetica;sans-serif"/>
                <w:b w:val="false"/>
                <w:color w:val="000000"/>
                <w:sz w:val="20"/>
              </w:rPr>
            </w:pPr>
            <w:r>
              <w:rPr>
                <w:rFonts w:ascii="Helvetica;sans-serif" w:hAnsi="Helvetica;sans-serif"/>
                <w:b w:val="false"/>
                <w:color w:val="000000"/>
                <w:sz w:val="20"/>
              </w:rPr>
              <w:t>Item 7.</w:t>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df40665b18f4d65a64872f9a7ba15b6_46">
              <w:r>
                <w:rPr>
                  <w:rStyle w:val="InternetLink"/>
                  <w:rFonts w:ascii="Helvetica;sans-serif" w:hAnsi="Helvetica;sans-serif"/>
                  <w:b w:val="false"/>
                  <w:color w:val="0000FF"/>
                  <w:sz w:val="20"/>
                  <w:u w:val="single"/>
                </w:rPr>
                <w:t>Management’s Discussion and Analysis of Financial Condition and Results of Operations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46">
              <w:r>
                <w:rPr>
                  <w:rStyle w:val="InternetLink"/>
                  <w:rFonts w:ascii="Helvetica;sans-serif" w:hAnsi="Helvetica;sans-serif"/>
                  <w:b w:val="false"/>
                  <w:color w:val="0000FF"/>
                  <w:sz w:val="20"/>
                  <w:u w:val="single"/>
                </w:rPr>
                <w:t>56</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Item 7A.</w:t>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76">
              <w:r>
                <w:rPr>
                  <w:rStyle w:val="InternetLink"/>
                  <w:rFonts w:ascii="Helvetica;sans-serif" w:hAnsi="Helvetica;sans-serif"/>
                  <w:b w:val="false"/>
                  <w:color w:val="0000FF"/>
                  <w:sz w:val="20"/>
                  <w:u w:val="single"/>
                </w:rPr>
                <w:t>Quantitative and Qualitative Disclosures About Market Risk</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76">
              <w:r>
                <w:rPr>
                  <w:rStyle w:val="InternetLink"/>
                  <w:rFonts w:ascii="Helvetica;sans-serif" w:hAnsi="Helvetica;sans-serif"/>
                  <w:b w:val="false"/>
                  <w:color w:val="0000FF"/>
                  <w:sz w:val="20"/>
                  <w:u w:val="single"/>
                </w:rPr>
                <w:t>73</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Item 8.</w:t>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79">
              <w:r>
                <w:rPr>
                  <w:rStyle w:val="InternetLink"/>
                  <w:rFonts w:ascii="Helvetica;sans-serif" w:hAnsi="Helvetica;sans-serif"/>
                  <w:b w:val="false"/>
                  <w:color w:val="0000FF"/>
                  <w:sz w:val="20"/>
                  <w:u w:val="single"/>
                </w:rPr>
                <w:t>Financial Statements and Supplementary Data</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79">
              <w:r>
                <w:rPr>
                  <w:rStyle w:val="InternetLink"/>
                  <w:rFonts w:ascii="Helvetica;sans-serif" w:hAnsi="Helvetica;sans-serif"/>
                  <w:b w:val="false"/>
                  <w:color w:val="0000FF"/>
                  <w:sz w:val="20"/>
                  <w:u w:val="single"/>
                </w:rPr>
                <w:t>74</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0" w:after="0"/>
              <w:ind w:left="0" w:right="0" w:hanging="990"/>
              <w:jc w:val="left"/>
              <w:rPr>
                <w:rFonts w:ascii="Helvetica;sans-serif" w:hAnsi="Helvetica;sans-serif"/>
                <w:b w:val="false"/>
                <w:color w:val="000000"/>
                <w:sz w:val="20"/>
              </w:rPr>
            </w:pPr>
            <w:r>
              <w:rPr>
                <w:rFonts w:ascii="Helvetica;sans-serif" w:hAnsi="Helvetica;sans-serif"/>
                <w:b w:val="false"/>
                <w:color w:val="000000"/>
                <w:sz w:val="20"/>
              </w:rPr>
              <w:t>Item 9.</w:t>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df40665b18f4d65a64872f9a7ba15b6_166">
              <w:r>
                <w:rPr>
                  <w:rStyle w:val="InternetLink"/>
                  <w:rFonts w:ascii="Helvetica;sans-serif" w:hAnsi="Helvetica;sans-serif"/>
                  <w:b w:val="false"/>
                  <w:color w:val="0000FF"/>
                  <w:sz w:val="20"/>
                  <w:u w:val="single"/>
                </w:rPr>
                <w:t>Changes in and Disagreements With Accountants on Accounting and Financial Disclosure</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166">
              <w:r>
                <w:rPr>
                  <w:rStyle w:val="InternetLink"/>
                  <w:rFonts w:ascii="Helvetica;sans-serif" w:hAnsi="Helvetica;sans-serif"/>
                  <w:b w:val="false"/>
                  <w:color w:val="0000FF"/>
                  <w:sz w:val="20"/>
                  <w:u w:val="single"/>
                </w:rPr>
                <w:t>119</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Item 9A.</w:t>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169">
              <w:r>
                <w:rPr>
                  <w:rStyle w:val="InternetLink"/>
                  <w:rFonts w:ascii="Helvetica;sans-serif" w:hAnsi="Helvetica;sans-serif"/>
                  <w:b w:val="false"/>
                  <w:color w:val="0000FF"/>
                  <w:sz w:val="20"/>
                  <w:u w:val="single"/>
                </w:rPr>
                <w:t>Controls and Procedures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169">
              <w:r>
                <w:rPr>
                  <w:rStyle w:val="InternetLink"/>
                  <w:rFonts w:ascii="Helvetica;sans-serif" w:hAnsi="Helvetica;sans-serif"/>
                  <w:b w:val="false"/>
                  <w:color w:val="0000FF"/>
                  <w:sz w:val="20"/>
                  <w:u w:val="single"/>
                </w:rPr>
                <w:t>119</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Item 9B.</w:t>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172">
              <w:r>
                <w:rPr>
                  <w:rStyle w:val="InternetLink"/>
                  <w:rFonts w:ascii="Helvetica;sans-serif" w:hAnsi="Helvetica;sans-serif"/>
                  <w:b w:val="false"/>
                  <w:color w:val="0000FF"/>
                  <w:sz w:val="20"/>
                  <w:u w:val="single"/>
                </w:rPr>
                <w:t>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172">
              <w:r>
                <w:rPr>
                  <w:rStyle w:val="InternetLink"/>
                  <w:rFonts w:ascii="Helvetica;sans-serif" w:hAnsi="Helvetica;sans-serif"/>
                  <w:b w:val="false"/>
                  <w:color w:val="0000FF"/>
                  <w:sz w:val="20"/>
                  <w:u w:val="single"/>
                </w:rPr>
                <w:t>122</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Item 9C.</w:t>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178">
              <w:r>
                <w:rPr>
                  <w:rStyle w:val="InternetLink"/>
                  <w:rFonts w:ascii="Helvetica;sans-serif" w:hAnsi="Helvetica;sans-serif"/>
                  <w:b w:val="false"/>
                  <w:color w:val="0000FF"/>
                  <w:sz w:val="20"/>
                  <w:u w:val="single"/>
                </w:rPr>
                <w:t>Disclosure Regarding Foreign Jurisdictions that Prevent Inspections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178">
              <w:r>
                <w:rPr>
                  <w:rStyle w:val="InternetLink"/>
                  <w:rFonts w:ascii="Helvetica;sans-serif" w:hAnsi="Helvetica;sans-serif"/>
                  <w:b w:val="false"/>
                  <w:color w:val="0000FF"/>
                  <w:sz w:val="20"/>
                  <w:u w:val="single"/>
                </w:rPr>
                <w:t>122</w:t>
              </w:r>
            </w:hyperlink>
          </w:p>
        </w:tc>
      </w:tr>
      <w:tr>
        <w:trPr/>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181">
              <w:r>
                <w:rPr>
                  <w:rStyle w:val="InternetLink"/>
                  <w:rFonts w:ascii="Helvetica;sans-serif" w:hAnsi="Helvetica;sans-serif"/>
                  <w:b/>
                  <w:strike w:val="false"/>
                  <w:dstrike w:val="false"/>
                  <w:color w:val="000000"/>
                  <w:sz w:val="20"/>
                  <w:u w:val="none"/>
                  <w:effect w:val="none"/>
                </w:rPr>
                <w:t>PART III</w:t>
              </w:r>
            </w:hyperlink>
          </w:p>
        </w:tc>
        <w:tc>
          <w:tcPr>
            <w:tcW w:w="8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Item 10.</w:t>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184">
              <w:r>
                <w:rPr>
                  <w:rStyle w:val="InternetLink"/>
                  <w:rFonts w:ascii="Helvetica;sans-serif" w:hAnsi="Helvetica;sans-serif"/>
                  <w:b w:val="false"/>
                  <w:color w:val="0000FF"/>
                  <w:sz w:val="20"/>
                  <w:u w:val="single"/>
                </w:rPr>
                <w:t>Directors, Executive Officers and Corporate Governance</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184">
              <w:r>
                <w:rPr>
                  <w:rStyle w:val="InternetLink"/>
                  <w:rFonts w:ascii="Helvetica;sans-serif" w:hAnsi="Helvetica;sans-serif"/>
                  <w:b w:val="false"/>
                  <w:color w:val="0000FF"/>
                  <w:sz w:val="20"/>
                  <w:u w:val="single"/>
                </w:rPr>
                <w:t>123</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Item 11.</w:t>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187">
              <w:r>
                <w:rPr>
                  <w:rStyle w:val="InternetLink"/>
                  <w:rFonts w:ascii="Helvetica;sans-serif" w:hAnsi="Helvetica;sans-serif"/>
                  <w:b w:val="false"/>
                  <w:color w:val="0000FF"/>
                  <w:sz w:val="20"/>
                  <w:u w:val="single"/>
                </w:rPr>
                <w:t>Executive Compensation</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187">
              <w:r>
                <w:rPr>
                  <w:rStyle w:val="InternetLink"/>
                  <w:rFonts w:ascii="Helvetica;sans-serif" w:hAnsi="Helvetica;sans-serif"/>
                  <w:b w:val="false"/>
                  <w:color w:val="0000FF"/>
                  <w:sz w:val="20"/>
                  <w:u w:val="single"/>
                </w:rPr>
                <w:t>123</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0" w:after="0"/>
              <w:ind w:left="0" w:right="0" w:hanging="1080"/>
              <w:jc w:val="left"/>
              <w:rPr>
                <w:rFonts w:ascii="Helvetica;sans-serif" w:hAnsi="Helvetica;sans-serif"/>
                <w:b w:val="false"/>
                <w:color w:val="000000"/>
                <w:sz w:val="20"/>
              </w:rPr>
            </w:pPr>
            <w:r>
              <w:rPr>
                <w:rFonts w:ascii="Helvetica;sans-serif" w:hAnsi="Helvetica;sans-serif"/>
                <w:b w:val="false"/>
                <w:color w:val="000000"/>
                <w:sz w:val="20"/>
              </w:rPr>
              <w:t>Item 12.</w:t>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df40665b18f4d65a64872f9a7ba15b6_190">
              <w:r>
                <w:rPr>
                  <w:rStyle w:val="InternetLink"/>
                  <w:rFonts w:ascii="Helvetica;sans-serif" w:hAnsi="Helvetica;sans-serif"/>
                  <w:b w:val="false"/>
                  <w:color w:val="0000FF"/>
                  <w:sz w:val="20"/>
                  <w:u w:val="single"/>
                </w:rPr>
                <w:t>Security Ownership of Certain Beneficial Owners and Management and Related Stockholder Matters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190">
              <w:r>
                <w:rPr>
                  <w:rStyle w:val="InternetLink"/>
                  <w:rFonts w:ascii="Helvetica;sans-serif" w:hAnsi="Helvetica;sans-serif"/>
                  <w:b w:val="false"/>
                  <w:color w:val="0000FF"/>
                  <w:sz w:val="20"/>
                  <w:u w:val="single"/>
                </w:rPr>
                <w:t>123</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Item 13.</w:t>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193">
              <w:r>
                <w:rPr>
                  <w:rStyle w:val="InternetLink"/>
                  <w:rFonts w:ascii="Helvetica;sans-serif" w:hAnsi="Helvetica;sans-serif"/>
                  <w:b w:val="false"/>
                  <w:color w:val="0000FF"/>
                  <w:sz w:val="20"/>
                  <w:u w:val="single"/>
                </w:rPr>
                <w:t>Certain Relationships and Related Transactions, and Director Independence</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193">
              <w:r>
                <w:rPr>
                  <w:rStyle w:val="InternetLink"/>
                  <w:rFonts w:ascii="Helvetica;sans-serif" w:hAnsi="Helvetica;sans-serif"/>
                  <w:b w:val="false"/>
                  <w:color w:val="0000FF"/>
                  <w:sz w:val="20"/>
                  <w:u w:val="single"/>
                </w:rPr>
                <w:t>123</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Item 14.</w:t>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196">
              <w:r>
                <w:rPr>
                  <w:rStyle w:val="InternetLink"/>
                  <w:rFonts w:ascii="Helvetica;sans-serif" w:hAnsi="Helvetica;sans-serif"/>
                  <w:b w:val="false"/>
                  <w:color w:val="0000FF"/>
                  <w:sz w:val="20"/>
                  <w:u w:val="single"/>
                </w:rPr>
                <w:t>Principal Accountant Fees and Services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196">
              <w:r>
                <w:rPr>
                  <w:rStyle w:val="InternetLink"/>
                  <w:rFonts w:ascii="Helvetica;sans-serif" w:hAnsi="Helvetica;sans-serif"/>
                  <w:b w:val="false"/>
                  <w:color w:val="0000FF"/>
                  <w:sz w:val="20"/>
                  <w:u w:val="single"/>
                </w:rPr>
                <w:t>123</w:t>
              </w:r>
            </w:hyperlink>
          </w:p>
        </w:tc>
      </w:tr>
      <w:tr>
        <w:trPr/>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199">
              <w:r>
                <w:rPr>
                  <w:rStyle w:val="InternetLink"/>
                  <w:rFonts w:ascii="Helvetica;sans-serif" w:hAnsi="Helvetica;sans-serif"/>
                  <w:b/>
                  <w:strike w:val="false"/>
                  <w:dstrike w:val="false"/>
                  <w:color w:val="000000"/>
                  <w:sz w:val="20"/>
                  <w:u w:val="none"/>
                  <w:effect w:val="none"/>
                </w:rPr>
                <w:t>PART IV</w:t>
              </w:r>
            </w:hyperlink>
          </w:p>
        </w:tc>
        <w:tc>
          <w:tcPr>
            <w:tcW w:w="8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Item 15.</w:t>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202">
              <w:r>
                <w:rPr>
                  <w:rStyle w:val="InternetLink"/>
                  <w:rFonts w:ascii="Helvetica;sans-serif" w:hAnsi="Helvetica;sans-serif"/>
                  <w:b w:val="false"/>
                  <w:color w:val="0000FF"/>
                  <w:sz w:val="20"/>
                  <w:u w:val="single"/>
                </w:rPr>
                <w:t>Exhibits and Financial Statement Schedules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202">
              <w:r>
                <w:rPr>
                  <w:rStyle w:val="InternetLink"/>
                  <w:rFonts w:ascii="Helvetica;sans-serif" w:hAnsi="Helvetica;sans-serif"/>
                  <w:b w:val="false"/>
                  <w:color w:val="0000FF"/>
                  <w:sz w:val="20"/>
                  <w:u w:val="single"/>
                </w:rPr>
                <w:t>124</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Item 16.</w:t>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205">
              <w:r>
                <w:rPr>
                  <w:rStyle w:val="InternetLink"/>
                  <w:rFonts w:ascii="Helvetica;sans-serif" w:hAnsi="Helvetica;sans-serif"/>
                  <w:b w:val="false"/>
                  <w:color w:val="0000FF"/>
                  <w:sz w:val="20"/>
                  <w:u w:val="single"/>
                </w:rPr>
                <w:t>Form 10-K Summary</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205">
              <w:r>
                <w:rPr>
                  <w:rStyle w:val="InternetLink"/>
                  <w:rFonts w:ascii="Helvetica;sans-serif" w:hAnsi="Helvetica;sans-serif"/>
                  <w:b w:val="false"/>
                  <w:color w:val="0000FF"/>
                  <w:sz w:val="20"/>
                  <w:u w:val="single"/>
                </w:rPr>
                <w:t>126</w:t>
              </w:r>
            </w:hyperlink>
          </w:p>
        </w:tc>
      </w:tr>
      <w:tr>
        <w:trPr/>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208">
              <w:r>
                <w:rPr>
                  <w:rStyle w:val="InternetLink"/>
                  <w:rFonts w:ascii="Helvetica;sans-serif" w:hAnsi="Helvetica;sans-serif"/>
                  <w:b w:val="false"/>
                  <w:color w:val="0000FF"/>
                  <w:sz w:val="20"/>
                  <w:u w:val="single"/>
                </w:rPr>
                <w:t>Signatures</w:t>
              </w:r>
            </w:hyperlink>
          </w:p>
        </w:tc>
        <w:tc>
          <w:tcPr>
            <w:tcW w:w="54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208">
              <w:r>
                <w:rPr>
                  <w:rStyle w:val="InternetLink"/>
                  <w:rFonts w:ascii="Helvetica;sans-serif" w:hAnsi="Helvetica;sans-serif"/>
                  <w:b w:val="false"/>
                  <w:color w:val="0000FF"/>
                  <w:sz w:val="20"/>
                  <w:u w:val="single"/>
                </w:rPr>
                <w:t>127</w:t>
              </w:r>
            </w:hyperlink>
          </w:p>
        </w:tc>
      </w:tr>
      <w:tr>
        <w:trPr/>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i</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SPECIAL NOTE REGARDING FORWARD-LOOKING STATEMENTS AND INFORMATION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this Annual Report on Form 10-K (this “Annual Report”), when using the terms the “Company”, “DRS”, “we”, “us” and “our,” unless otherwise indicated or the context otherwise requires, we are referring to Leonardo DRS, Inc. This Annual Report contains forward-looking statements and cautionary statements within the meaning of the Private Securities Litigation Reform Act of 1995. Some of the forward-looking statements can be identified by the use of forward-looking terms such as “believes,” “expects,” “may,” “will,” “shall,” “should,” “would,” “could,” “seeks,” “aims,” “strives,” “targets,” “projects,” “intends,” “plans,” “estimates,” “anticipates” or other comparable terms. Forward-looking statements include, without limitation, all matters that are not historical facts. They appear in a number of places throughout this Annual Report and include, without limitation, statements regarding our intentions, beliefs, assumptions or current expectations concerning, among other things, financial goals, financial position, results of operations, cash flows, prospects, strategies or expectations, and the impact of prevailing economic conditions.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Forward-looking statements are subject to known and unknown risks and uncertainties, many of which may be beyond our control. We caution you that forward-looking statements are not guarantees of future performance or outcomes and that actual performance and outcomes may differ materially from those made in or suggested by the forward-looking statements contained in this Annual Report. In addition, even if future performance and outcomes are consistent with the forward-looking statements contained in this Annual Report, those results or developments may not be indicative of results or developments in subsequent periods. New factors emerge from time to time that may cause our business not to develop as we expect, and it is not possible for us to predict all of them. Factors that could cause actual results and outcomes to differ from those reflected in forward-looking statements include, without limitation:</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Disruptions, including from government shutdowns, or deteriorations in our relationship with the relevant agencies of the U.S. government, as well as any failure to pass routine audits or otherwise comply with governmental requirements including those related to security clearance or procurement rules, including the False Claims Act;</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Significant delays, including from government shutdowns, or reductions in appropriations for our programs and changes in U.S. government priorities and spending levels more broadly;</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Any failure to comply with the amended and restated proxy agreement with the U.S. Department of War, also known as the U.S. Department of Defense (the “DoW”);</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The effect of inflation and other cost pressures on our supply chain and/or our labor costs;</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Our mix of fixed-price, cost-plus and time-and-materials type contracts and any resulting impact on our cash flows due to cost overruns;</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Failure to properly comply with various covenants of the agreements governing our debt could negatively impact our business;</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Our dependence on U.S. government contracts, which often are only partially funded and are subject to immediate termination, some of which are classified, and the concentration of our customer base in the U.S. defense industry;</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Our use of estimates in pricing and accounting for many of our programs that are inherently uncertain and which may not prove to be accurate;</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Our ability to realize the full value of our backlog;</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Our ability to predict future capital needs or to obtain additional financing if needed, on terms acceptable to us, if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ii</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Our ability to respond to the rapid technological changes in the markets in which we compete;</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The effect of global and regional economic downturns and rising interest rates;</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Our ability to maintain an effective system of internal control over financial reporting;</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Our inability to appropriately manage our inventory;</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Our inability to fully realize the value of our total estimated contract value or bookings;</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Our ability to compete efficiently, including due to U.S. government organizational conflict of interest rules which may limit new contract opportunities or require us to wind down existing contracts;</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Our relationships with other industry participants, including any contractual disputes or the inability of our key suppliers to timely deliver our components, parts or services;</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Preferences for set-asides for small or small disadvantaged businesses could impact our ability to be a prime contractor;</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Any failure to meet our contractual obligations including due to potential impacts to our business from supply chain risks, such as longer lead times and shortages of electronics and other components;</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Any security breach, including any cyber-attack, cyber-intrusion, insider threat, or other significant disruption of our IT networks and related systems as well as any act of terrorism or other threat to our physical security and personnel;</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Our ability to fully exploit or obtain patents or other intellectual property protections necessary to secure our proprietary technology, including our ability to avoid infringing upon the intellectual property of third parties or prevent third parties from infringing upon our own intellectual property;</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The conduct of our employees, agents, affiliates, subcontractors, suppliers, business partners or joint ventures in which we participate which may impact our reputation and ability to do business;</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The outcome of litigation, arbitration, investigations, claims, disputes, enforcement actions and other legal proceedings in which we are involved;</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Various geopolitical and economic factors, laws and regulations including the Foreign Corrupt Practices Act (“FCPA”), the Export Control Act, the International Traffic in Arms Regulations (“ITAR”), the Export Administration Regulations (“EAR”), recent U.S. tariffs imposed or threatened to be imposed on other countries and any related retaliatory actions taken by such countries and those that we are exposed to as a result of our international business;</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Our ability to obtain export licenses necessary to conduct certain operations abroad, including any attempts by Congress to prevent proposed sales to certain foreign governments;</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Our ability to attract and retain technical and other key personnel;</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The occurrence of prolonged work stoppages;</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The unavailability or inadequacy of our insurance coverage, customer indemnifications or other liability protections to cover all of our significant risks or to pay for material losses we incur;</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Future changes in U.S. tax laws and regulations or interpretations thereof;</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Future changes in the DoW’s and other governments’ budgets;</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Certain limitations on our ability to use our net operating losses to offset future taxable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iii</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Termination of our leases or our inability to renew our leases on acceptable terms;</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Changes in estimates used in accounting for our pension plans, including with respect to the funding status thereof;</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Changes in future business or other market conditions that could cause business investments and/or recorded goodwill or other long-term assets to become impaired;</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Adverse consequences from any acquisitions such as operating difficulties, dilution and other harmful consequences or any modification, delay or prevention of any future acquisition or investment activity by the Committee on Foreign Investment in the United States (“CFIUS”);</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Natural disasters, severe weather or other significant disruptions;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Failure to properly contain a global pandemic in a timely manner could materially affect how we and our business partners operate;</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Our compliance with environmental laws and regulations, and any environmental liabilities that may affect our reputation or financial position;</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Any conflict of interest that may arise because Leonardo US Holding, LLC (“US Holding”), our majority stockholder, or Leonardo S.p.A., our indirect majority stockholder, may have interests that are different from, or conflict with, those of our other stockholders, including as a result of any ongoing business relationships Leonardo S.p.A. may have with us, and their significant ownership in us may discourage change of control transactions (our third amended and restated certificate of incorporation provides that we waive any interest or expectancy in corporate opportunities presented to Leonardo S.p.A); or</w:t>
      </w:r>
    </w:p>
    <w:p>
      <w:pPr>
        <w:pStyle w:val="TextBody"/>
        <w:bidi w:val="0"/>
        <w:spacing w:lineRule="auto" w:line="288" w:before="0" w:after="180"/>
        <w:ind w:left="0" w:right="0" w:hanging="360"/>
        <w:jc w:val="left"/>
        <w:rPr>
          <w:color w:val="000000"/>
        </w:rPr>
      </w:pPr>
      <w:r>
        <w:rPr>
          <w:color w:val="000000"/>
        </w:rPr>
        <w:t>•    </w:t>
      </w:r>
      <w:r>
        <w:rPr>
          <w:rFonts w:ascii="Helvetica;sans-serif" w:hAnsi="Helvetica;sans-serif"/>
          <w:b w:val="false"/>
          <w:color w:val="000000"/>
          <w:sz w:val="20"/>
        </w:rPr>
        <w:t>Our obligations to provide certain services to Leonardo S.p.A., which may divert human and financial resources from our business.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You should read this Annual Report completely and with the understanding that actual future results may be materially different from expectations. All forward-looking statements made in this Annual Report are qualified by these cautionary statements. These forward-looking statements are made only as of the date of this filing, and we do not undertake any obligation, other than as may be required by law, to update or revise any forward-looking or cautionary statements to reflect changes in assumptions, the occurrence of events, unanticipated or otherwise, and changes in future operating results over time or otherwise.</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Other risks, uncertainties and factors, including those discussed below, under the section entitled </w:t>
      </w:r>
      <w:r>
        <w:rPr>
          <w:color w:val="000000"/>
        </w:rPr>
        <w:t>“</w:t>
      </w:r>
      <w:r>
        <w:rPr>
          <w:rFonts w:ascii="Helvetica;sans-serif" w:hAnsi="Helvetica;sans-serif"/>
          <w:b w:val="false"/>
          <w:i/>
          <w:color w:val="000000"/>
          <w:sz w:val="20"/>
        </w:rPr>
        <w:t>Risk Factors,</w:t>
      </w:r>
      <w:r>
        <w:rPr>
          <w:color w:val="000000"/>
        </w:rPr>
        <w:t xml:space="preserve">” </w:t>
      </w:r>
      <w:r>
        <w:rPr>
          <w:rFonts w:ascii="Helvetica;sans-serif" w:hAnsi="Helvetica;sans-serif"/>
          <w:b w:val="false"/>
          <w:color w:val="000000"/>
          <w:sz w:val="20"/>
        </w:rPr>
        <w:t xml:space="preserve">could cause our actual results to differ materially from those projected in any forward-looking statements we make. Readers should read the discussion of these factors carefully to better understand the risks and uncertainties inherent in our business and underlying any forward-looking statements. </w: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iv</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 xml:space="preserve">ITEM 1. BUSINESS </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Overview</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Leonardo DRS, Inc. provides advanced defense technology to U.S. national security customers and allied defense forces worldwide. We specialize in the design, development, manufacture, and integration of advanced sensing, network computing, force protection, and electric power and propulsion technologies and solutions. As a mid-sized defense technology company, our combination of operational speed and agility, deep domain expertise, and established positions on priority defense platforms has resulted in a durable and diversified portfolio of programs across the DoW. We believe DRS is well positioned to support current operational requirements, while facilitating the DoW’s rapid transition toward more autonomous, software-enabled, interconnected, and multi-domain capabilities required to address increasingly complex and proliferating threats. Enhancements in sensing, artificial intelligence (“AI”)-enabled computing, self-protection, and power generation and management are central to these priorities.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Demand for our technologies is concentrated in areas of sustained priority for the DoW, including counter</w:t>
        <w:noBreakHyphen/>
        <w:t>unmanned aircraft systems (“C-UAS”), advanced infrared sensing, network computing, and electric power and propulsion for next generation navy vessels. These capabilities align closely with national defense priorities such as shipbuilding, layered air and missile defense, electronic warfare, and force protection, where requirements emphasize integrated capability delivery, survivability, and program execution.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DRS benefits from an over 55-year legacy of providing innovative and differentiated products and solutions for defense applications. From our earliest offerings to today’s best-in-class products including naval propulsion, electro-optical sensors, electronic warfare systems and other mission critical technologies, we have continually sought to develop advanced technologies enabling solutions to address complex national security challenges. We continue to target our investments toward high growth areas of the U.S. defense budget. Our diverse technologies, systems and solutions are used across land, air, sea, space and cyber domains on a wide range of platforms for the DoW and the defense agencies of our international allies. Across the spectrum of multi-domain operations, we believe our core capabilities will help the U.S. and its allies maintain a strategic advantage over their adversaries.</w:t>
      </w:r>
    </w:p>
    <w:p>
      <w:pPr>
        <w:pStyle w:val="TextBody"/>
        <w:bidi w:val="0"/>
        <w:spacing w:lineRule="auto" w:line="288" w:before="0" w:after="180"/>
        <w:ind w:left="0" w:right="0" w:firstLine="360"/>
        <w:jc w:val="left"/>
        <w:rPr/>
      </w:pPr>
      <w:r>
        <w:rPr>
          <w:rFonts w:ascii="Helvetica;sans-serif" w:hAnsi="Helvetica;sans-serif"/>
          <w:b w:val="false"/>
          <w:color w:val="000000"/>
          <w:sz w:val="20"/>
        </w:rPr>
        <w:t>Our operations and reporting are structured into the following two technology driven segments based on the capabilities and solutions offered to our customers: Advanced Sensing and Computing (“ASC”) and Integrated Mission Systems (“IMS”). For information regarding segment performance see Part II, Item 7, “</w:t>
      </w:r>
      <w:r>
        <w:rPr>
          <w:rFonts w:ascii="Helvetica;sans-serif" w:hAnsi="Helvetica;sans-serif"/>
          <w:b w:val="false"/>
          <w:i/>
          <w:color w:val="000000"/>
          <w:sz w:val="20"/>
        </w:rPr>
        <w:t>Management’s Discussion and Analysis of Financial Condition and Results of Operations</w:t>
      </w:r>
      <w:r>
        <w:rPr>
          <w:color w:val="000000"/>
        </w:rPr>
        <w:t xml:space="preserve">” </w:t>
      </w:r>
      <w:r>
        <w:rPr>
          <w:rFonts w:ascii="Helvetica;sans-serif" w:hAnsi="Helvetica;sans-serif"/>
          <w:b w:val="false"/>
          <w:color w:val="000000"/>
          <w:sz w:val="20"/>
        </w:rPr>
        <w:t>in this Annual Report.</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 xml:space="preserve">Advanced Sensing and Computing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ASC segment designs, develops and manufactures sensing and network computing technology that enables real-time situational awareness required for enhanced operational decision making and execution by our customers across increasingly complex and contested operating environments.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sensing capabilities span numerous applications, including missions requiring advanced detection, precision targeting and surveillance sensing, long range electro-optic/infrared (“EO/IR”), signals intelligence (“SIGINT”) and other intelligence systems, electronic warfare (“EW”), ground vehicle sensing, next generation active electronically scanned array tactical radars, dismounted soldier sensing and space sensing. Across our offerings, we are focused on advancing sensor range and enhancing the precision, clarity, definition, spectral depth and effectiveness of our sensors to deliver actionable information in time-sensitive mission scenarios in combination with AI, enabled by our advanced edge processing solutions. We also seek to leverage the knowledge and expertise built through our decades of experience to optimize size, weight, power and cost for our customers’ specific mission requirements and to support integration onto a wide range of tactical platforms, including mobile and power-constrained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sensing capabilities are complemented by our rugged, trusted and cyber resilient network edge computing products that support data processing, fusion, and dissemination at the tactical edge. Our network computing offerings are utilized across a broad range of mission applications including platform computing on ground and shipboard (both surface ship and submarine) for advanced battle management, combat systems, radar, command and control (“C2”), tactical networks, tactical computing and communications. These products help support the DoW’s need for greater situational understanding and faster decision-making at the tactical edge by leveraging AI and AI-optimized open architecture software, SAGEcore™, to rapidly share, synthesize and transmit data securely between command centers and forward-positioned defense assets and personnel, while supporting reduced latency, operational continuity, and interoperability through modular, open-system architectures.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Within ASC, we are increasingly combining sensing, computing, and software to support applications such as C-UAS, electronic warfare, and networked sensing, where performance depends on the ability to detect, process, and act on data in real time. These integrated capabilities are designed to support evolving operational concepts that emphasize distributed operations, resilient communications, and decision advantage at the tactical edge.</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Integrated Mission Systems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IMS segment designs, develops, manufactures and integrates power conversion, control and distribution systems, ship propulsion systems, motors and variable frequency drives, force protection systems, and transportation and logistics systems for the U.S. military and allied defense customers.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DRS is a leading provider of next-generation electrical propulsion systems for the U.S. Navy. We provide power conversion, control, distribution and propulsion systems for the U.S. Navy’s top priority shipbuilding programs, including the Columbia Class ballistic missile submarine, the first modern U.S. electric drive submarine.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believe DRS is well positioned to meet the needs of an increasingly electrified and power-intensive fleet through high-efficiency, power-dense permanent magnet motors, energy storage systems, and associated rugged and compact power conversion, electrical actuation, and advanced thermal management technologies. These capabilities support higher onboard power demands, improved efficiency, and enhanced platform performance across next-generation naval systems.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DRS has a long history of providing a number of other critical products to the U.S. Navy with a significant installed base on submarines, aircraft carriers and other surface ships including motor controllers, instrumentation and control equipment, electrical actuation systems, and thermal management systems for electronics and ship stores refrigeration.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DRS is also an integrator of complex systems in ground vehicles for short-range air defense, C-UAS, and vehicle survivability and protection. Our short-range air defense systems integrate advanced active electronically scanned array (“AESA”) radars, EW equipment, reconnaissance and surveillance systems, mission command capabilities, modular combat vehicle turrets, and stabilized sensor suites, as well as kinetic countermeasures to protect against evolving threats. Our force protection systems, including solutions for C-UAS, help protect personnel and defense assets from enemy combatants.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U.S. Defense Market Trends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primary customer is the U.S. government, from which we derived 80% of our sales in 2025. Funding for U.S. government programs is subject to a variety of factors that can affect our business, including the President’s budget requests and procurement priorities and policies; the annual congressional budget authorization and appropriations process; and other U.S. government domestic and international priorities. U.S. government spending levels, particularly defense spending and the timing of funding can affect our financial performance over the short and long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President’s Fiscal Year (“FY”) 2026 budget request was published in June 2025. The budget request includes $848 billion in base (discretionary) funding and $113 billion in reconciliation (mandatory) funding. The One Big Beautiful Bill Act (“OBBBA”) was signed by the President on July 4, 2025, and provides more than $150 billion in mandatory funding (including the $113 billion reconciliation funding) for national defense, available through September 30, 2029.</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Separately, the National Defense Authorization Act (“NDAA”) for FY2026 was signed into law on December 18, 2025. The NDAA authorizes $901 billion for defense, including an $8 billion increase over the President’s DoW budget request from June 2025. On November 12, 2025, the President signed a continuing resolution to fund the U.S. government, including the DoW, through January 30, 2026. On January 20, 2026, Congress unveiled its final appropriations package, which included the Defense Appropriations Act conference report. This legislation provides $839 billion in funding for the DoW, representing an $8 billion increase over the topline in the President’s DoW budget request. On February 3, 2026, Congress passed and the President signed the Consolidated Appropriations Act, 2026, providing funding for the government through the end of the government’s FY26, including authority for defense accounts.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Customers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U.S. government is our largest customer. Revenues derived directly, as a prime contractor, or indirectly, as a subcontractor, from contracts with the U.S. government represented 80%, 79% and 80% of our total revenues for 2025, 2024, and 2023, respectively. Our U.S. government sales are concentrated with the DoW, which constitutes the majority of our U.S. government revenue for any given year. Our revenues with the U.S. government span the Navy, Army, Air Force and other U.S. government agencies which represented 36%, 36%, 3% and 5%, respectively, of our total revenues for 2025.</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remaining 20% of our revenues for 2025 were derived from sales to foreign governments, as well as commercial sales within the U.S. and abroad. Our international sales consist primarily of transactions with foreign governments for defense applications.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Competition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operate in a highly competitive market and we compete with a variety of companies in the defense market including divisions of the large defense primes, mid-tier and smaller defense companies as well as certain non-traditional companies. When appropriate, we also often team with, are supplier to, or find other ways to work with other market participants. Our products are sold in markets in which several of our competitors are substantially larger than we are, enabling them to devote greater resources to research and development. The principal competitive factors evaluated by customers in our markets include product performance, cost, overall value, delivery schedule, embedded positions, past performance, innovation and reputation.</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Contracts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a mid-tier defense technology company with a diverse portfolio of technology that includes offerings at the system, sub-system and component level, we approach each market opportunity with the flexibility and agility inherent in a mid-sized defense company to provide the most value to our customers. We serve as either prime contractor or a subcontractor on key contracts based on the competitive dynamics of each opportunity. We determine our prime versus subcontract position based on our competitive position, likelihood of contract win and overall profit contribution. For 2025, our revenue consisted of 39% as a prime contractor direct with the U.S. government and 61% as a subcontractor, typically as a system provider to the platform provider. In a prime or subcontractor position our contractual terms and conditions and profit levels are relatively consistent.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derive a significant portion of our revenue from long-term programs and programs for which we are the incumbent supplier or have been the sole or dual supplier for many years. A significant percentage of our revenue is derived from programs that are in the production phase.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While the majority of our revenue is derived from the U.S. government, we have a diverse business mix within the U.S. government funding. Currently, no single contract represented more than 10% of our revenues for 2025, 2024, and 2023. </w:t>
      </w:r>
    </w:p>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The amount of our revenues attributable to our contracts by contract type during the periods presented were as follows:</w:t>
      </w:r>
    </w:p>
    <w:tbl>
      <w:tblPr>
        <w:tblW w:w="5142" w:type="dxa"/>
        <w:jc w:val="left"/>
        <w:tblInd w:w="0" w:type="dxa"/>
        <w:tblLayout w:type="fixed"/>
        <w:tblCellMar>
          <w:top w:w="28" w:type="dxa"/>
          <w:left w:w="28" w:type="dxa"/>
          <w:bottom w:w="28" w:type="dxa"/>
          <w:right w:w="28" w:type="dxa"/>
        </w:tblCellMar>
      </w:tblPr>
      <w:tblGrid>
        <w:gridCol w:w="559"/>
        <w:gridCol w:w="492"/>
        <w:gridCol w:w="494"/>
        <w:gridCol w:w="211"/>
        <w:gridCol w:w="646"/>
        <w:gridCol w:w="109"/>
        <w:gridCol w:w="109"/>
        <w:gridCol w:w="109"/>
        <w:gridCol w:w="109"/>
        <w:gridCol w:w="211"/>
        <w:gridCol w:w="646"/>
        <w:gridCol w:w="109"/>
        <w:gridCol w:w="109"/>
        <w:gridCol w:w="109"/>
        <w:gridCol w:w="109"/>
        <w:gridCol w:w="211"/>
        <w:gridCol w:w="646"/>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15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Firm-fixed price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20"/>
              </w:rPr>
              <w:t>Flexibly priced</w:t>
            </w:r>
            <w:r>
              <w:rPr>
                <w:rFonts w:ascii="Helvetica;sans-serif" w:hAnsi="Helvetica;sans-serif"/>
                <w:b w:val="false"/>
                <w:color w:val="000000"/>
                <w:sz w:val="13"/>
              </w:rPr>
              <w:t>(1)</w:t>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180"/>
        <w:ind w:left="0" w:right="0" w:hanging="360"/>
        <w:jc w:val="left"/>
        <w:rPr>
          <w:rFonts w:ascii="Helvetica;sans-serif" w:hAnsi="Helvetica;sans-serif"/>
          <w:b w:val="false"/>
          <w:color w:val="000000"/>
          <w:sz w:val="18"/>
        </w:rPr>
      </w:pPr>
      <w:r>
        <w:rPr>
          <w:rFonts w:ascii="Helvetica;sans-serif" w:hAnsi="Helvetica;sans-serif"/>
          <w:b w:val="false"/>
          <w:color w:val="000000"/>
          <w:sz w:val="18"/>
        </w:rPr>
        <w:t>(1) Includes revenue derived from cost-type and time-and-materials contracts.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Typically we enter into three types of contracts: fixed-price contracts, cost-plus contracts and time-and-materials (“T&amp;M”) contracts (cost-plus contracts and T&amp;M contracts are aggregated above as flexibly priced contracts). Our contracts are normally for production, services or development. Production contracts are typically the fixed-price type, development contracts are sometimes of the cost-plus type, and service contracts are sometimes the T&amp;M type. We believe continued predominance of fixed-price contracts is reflective of the significant portion of production contracts in our U.S. government contract portfolio. </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Fixed-price contracts may provide for a fixed price, or they may be fixed-price-incentive-fee contracts. Under fixed-price contracts, we agree to perform for an agreed-upon price. Accordingly, we derive benefits from cost savings, but bear the risk of cost overruns. Under fixed-price-incentive-fee contracts, if actual costs incurred in the performance of the contracts are less than estimated costs for the contracts the savings are apportioned between the customer and us. If actual costs under such a contract exceed estimated costs, however, excess costs are apportioned between the customer and us, up to a ceiling. We bear all costs that exceed the ceiling, if any.</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Cost-type contracts include cost plus fixed fee, cost plus award fee and cost plus incentive fee contracts. Cost-type contracts generally provide for reimbursement of a contractor’s allowable costs incurred plus fee. As a result, cost-type contracts have less financial risk associated with unanticipated cost growth but generally provide lower profit margins than fixed-price contracts. Cost-type contracts typically require that the contractor use its best efforts to accomplish the scope of the work within some specified time and stated dollar limitation. Fees on cost-type contracts can be fixed in terms of dollar value or can be variable due to award and incentive fees, which are generally based on performance criteria such as cost, schedule, quality and/or technical performance. Award fees are determined and earned based on customer evaluation of the Company’s performance against contractual criteria. Incentive fees are generally based on cost or schedule and provide for an initially negotiated fee to be adjusted later, based on the relationship of total allowable costs to total target costs or as schedule milestones are met. Award and incentive fees are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T&amp;M type contracts provide for reimbursement of labor hours expended at a contractual fixed labor rate per hour, plus the actual costs of material and other direct non-labor costs. The fixed labor rates on T&amp;M type contracts include amounts for the cost of direct labor, indirect contract costs and profit.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Backlog</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total backlog consists of funded and unfunded amounts. Funded backlog represents the revenue value of orders for products and services under existing contracts for which funding is appropriated or otherwise authorized less revenue previously recognized on these contracts. Unfunded backlog represents the revenue value of firm orders for products and services under existing contracts for which funding has not yet been appropriated less funding previously recognized on these contracts. Our funded backlog as of the dates presented was as follows:</w:t>
      </w:r>
    </w:p>
    <w:tbl>
      <w:tblPr>
        <w:tblW w:w="5097" w:type="dxa"/>
        <w:jc w:val="left"/>
        <w:tblInd w:w="0" w:type="dxa"/>
        <w:tblLayout w:type="fixed"/>
        <w:tblCellMar>
          <w:top w:w="28" w:type="dxa"/>
          <w:left w:w="28" w:type="dxa"/>
          <w:bottom w:w="28" w:type="dxa"/>
          <w:right w:w="28" w:type="dxa"/>
        </w:tblCellMar>
      </w:tblPr>
      <w:tblGrid>
        <w:gridCol w:w="542"/>
        <w:gridCol w:w="478"/>
        <w:gridCol w:w="480"/>
        <w:gridCol w:w="211"/>
        <w:gridCol w:w="646"/>
        <w:gridCol w:w="109"/>
        <w:gridCol w:w="109"/>
        <w:gridCol w:w="109"/>
        <w:gridCol w:w="109"/>
        <w:gridCol w:w="211"/>
        <w:gridCol w:w="646"/>
        <w:gridCol w:w="109"/>
        <w:gridCol w:w="109"/>
        <w:gridCol w:w="109"/>
        <w:gridCol w:w="109"/>
        <w:gridCol w:w="211"/>
        <w:gridCol w:w="646"/>
        <w:gridCol w:w="154"/>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Funded backlog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Materials, Manufacturing and Suppliers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manufacturing processes for our products include the assembly of purchased components and subsystems and testing of products at various stages in the assembly process. Although materials and purchased components generally are available from a number of different suppliers, several suppliers serve as the sole source of certain components. If a supplier should cease to deliver such components, generally, but not in all cases, we would expect that other sources would be available; however, added cost and manufacturing delays might result. We have experienced delays attributable to supply shortages, including but not limited to germanium, as well as other raw materials. We have also experienced delays as a result of quality and other related problems with respect to certain components.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Effective management and oversight of suppliers and subcontractors is an important element of our successful performance. If our sources of supply are disrupted, particularly in instances where we rely on only one or two sources of supply, our ability to meet our customer commitments could be adversely impacted. We attempt to mitigate risks with our suppliers by entering into long-term agreements and leveraging company-wide agreements to achieve economies of scale and by negotiating flexible pricing terms in our customer contracts. Revenue, profit and cash flows have been, and will continue to be, adversely impacted by supply chain disruptions.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Research and Development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conduct research and development (“R&amp;D”) activities using our own funds (referred to as company-funded independent research and development (“IR&amp;D”)) and under contractual arrangements with our customers (referred to as customer-funded R&amp;D) to enhance existing products and services and to develop future technologies. R&amp;D costs include basic research, applied research, concept formulation studies, design, development, and related test activities. IR&amp;D costs are allocated to customer contracts as part of the general and administrative overhead costs and generally recoverable on our customer contracts with the U.S. government. Customer-funded R&amp;D costs are charged directly to the related customer contract. R&amp;D costs are expensed as incurred. IR&amp;D costs charged to general and administrative expenses totaled $129 million, $92 million and $82 million in 2025, 2024 and 2023, respectively. The increase in IR&amp;D is focused on accelerating capabilities into the hands of the warfighter in a dynamic threat environment.</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Intellectual Property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believe our intellectual property portfolio is valuable to our operations. We have patents on certain of our technologies and methods, semiconductor devices, rugged computer-related items and electro-optical and infrared focal plane array products, in addition to other technologies and methods. We and our subsidiaries also have certain registered trademarks and copyrights. We also hold certain trade secrets without formal patent filings when we deem it most appropriate to do so, including in order to protect them from disclosure. We also license intellectual property to third parties for certain markets. We do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believe that the conduct of our business as a whole is materially dependent on any single patent, trade secret, trademark or copyright.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When we work on U.S. government contracts or use funding of the U.S. government, the U.S. government may have contractual rights to data for our technologies, source code and other developments associated with such government contracts. Records of our data rights are typically maintained in order to claim these rights as our proprietary technology, but it may not always be possible to delineate our proprietary developments from those developed under U.S. government contracts. The protection of our data from use by the U.S. government, including its ability to allow its use by other U.S. government contractors, is subject to negotiation from time to time between us and the U.S. government. The extent of the U.S. government’s data rights to any particular product generally depends upon whether the product was developed under a government contract and the degree of government funding for the development of such product. While we may retain rights over any technology, product or intellectual property that we develop under U.S. government contracts or using funding of the U.S. government, this requires us to have sufficient contracting leverage and to take timely affirmative measures to preserve our right. In addition, in some cases the U.S. government is empowered to unilaterally use, or allow our competitors to use, patented technologies, subject only to the obligation to pay reasonable compensation.</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Human Capital</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performance depends on the skills, expertise, education and experience of our workforce. As of December 31, 2025, our workforce included approximately 7,300 employees of which approximately 500 (or 7%) were represented by labor unions. We continuously strive to maintain a culture that fosters and rewards growth, agility, problem-solving, innovation and operational excellence. Our engineers work on programs that require advanced technology, such as sensing, electro-optical infrared systems, laser systems, network computing, cyber, communications systems, integration and power propulsion. Some of our employees maintain security clearances which allows us to conduct business activities for our customers’ classified programs.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are committed to upholding the Company’s core values of integrity; agility; excellence; customer focus; community and respect; and innovation. Our commitment to ethical business practices is outlined in our Code of Ethics &amp; Business Conduct (the “Code”). The Code applies to all employees and establishes our expectations for appropriate business conduct in a variety of scenarios. Our employees receive annual compliance training and must formally confirm their commitment to upholding the standards set forth in our Code and ethics program.</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believe our success depends on attracting, developing, and retaining a highly qualified workforce. To support this, we maintain comprehensive talent acquisition and talent management programs designed to attract and retain employees. We recognize and reward employee performance through market-competitive compensation and by providing a broad suite of benefits that support the physical, emotional and financial well-being of our employees and their families.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Maintaining a safe work environment for our employees is of utmost importance. We have policies, processes, and training in place to comply with health and safety laws and to prevent workplace hazards from occurring. Emphasis is placed on encouraging safe behaviors and creating a culture of continuous improvement to minimize or eliminate workplace incidents and illnesses.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strong commitment to employee and leadership development, talent management, and succession planning ensures our workforce is equipped with the critical skills required for today’s work and future opportunities. We invest in developing current leaders and preparing the next generation of leaders to demonstrate behaviors and attributes aligned with our core values, while proactively building bench strength for leadership and other critical roles.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mission and core values guide our actions in supporting an engaged and motivated workforce. We continuously strive to deliver programs that promote performance, development, well-being,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health and safety. We also support our local communities, active military members and their families, and veterans through our charitable giving, employer matching and volunteerism programs.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Joint Ventures, Strategic Investments and Mergers and Acquisitions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continually evaluate our existing portfolio and the related capabilities to maximize our ability to drive value. Through this process we consider the acquisition of, or investments in businesses that we believe will expand or complement our current portfolio, allow access to new customers and enhance technologies. We also may explore the divestiture of businesses that no longer meet our needs or strategy or that could perform better outside of our organization.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hold an approximately 25% interest in Hoverfly Technologies, Inc. (“Hoverfly”), which designs, develops and manufactures power-tethered unmanned aerial systems and related products.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Seasonality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do not consider any material portion of our business to be seasonal. However, a significant portion of our revenue, profit and cash flows are generated in the fourth quarter of our fiscal year. Various factors can affect the distribution of our revenues, profits and cash flows between accounting periods, including the U.S. federal government’s budget cycle based on its October 1 to September 30 fiscal year (which can lead to customers making orders in the weeks and days leading up to September 30 to avoid the loss of expiring and unobligated funds), the timing of government awards, the availability of government funding, the timing of costs incurred (including when materials are received), product deliveries and customer acceptance.</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Product Warranties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Product warranty costs generally are accrued in proportion to product revenue realized in conjunction with our over time revenue recognition policy. Product warranty expense is recognized based on the term of the product warranty, generally one to three years, and the related estimated costs, considering historical claims expense. Accrued warranty costs are reduced as these costs are incurred and as the warranty period expires, and otherwise may be modified as specific product performance issues are identified and resolved. </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 xml:space="preserve">Legislation and Regulation </w:t>
      </w:r>
    </w:p>
    <w:p>
      <w:pPr>
        <w:pStyle w:val="TextBody"/>
        <w:bidi w:val="0"/>
        <w:spacing w:lineRule="auto" w:line="288" w:before="0" w:after="180"/>
        <w:ind w:left="0" w:right="0" w:firstLine="360"/>
        <w:jc w:val="left"/>
        <w:rPr/>
      </w:pPr>
      <w:r>
        <w:rPr>
          <w:rFonts w:ascii="Helvetica;sans-serif" w:hAnsi="Helvetica;sans-serif"/>
          <w:b w:val="false"/>
          <w:color w:val="000000"/>
          <w:sz w:val="20"/>
        </w:rPr>
        <w:t>As a U.S. government contractor, we (and our subcontractors and others with whom we do business) must comply with many significant procurement regulations and other specific legal requirements. These regulations and other requirements increase our performance and compliance costs and risks and regularly evolve. Considerable uncertainty exists regarding future legislation and regulations as the current administration has issued changing guidance on a wide array of topics including but not limited to the Executive Order issued in January 2025, which requires, in relevant part, that every Federal contract or grant award include a clause that requires the contractor or grant recipient to (1) agree that its compliance with all applicable federal anti-discrimination laws is material to the government’s payment decisions on such contract or grant for purposes of the False Claims Act, and (2) certify that it does not operate any programs promoting diversity, equity and inclusion that violate any applicable federal anti-discrimination laws. New laws, regulations or procurement requirements or changes to current ones (including, for example, regulations related to cybersecurity, privacy, recovery of employee compensation costs, counterfeit parts, anti-human trafficking, specialty metals and conflict minerals) can significantly increase our costs and risks and reduce our profitability. If we fail to comply with procurement regulations or other requirements we may be subject to civil and/or criminal penalties and/or administrative sanctions, which may include termination or modification of contracts, forfeiture of profits, suspension of payments, fines and suspension or prohibition from doing business with the U.S. government, any of which could have a material adverse effect on our business, financial condition and results of operations. See Part I Item 1A, “</w:t>
      </w:r>
      <w:r>
        <w:rPr>
          <w:rFonts w:ascii="Helvetica;sans-serif" w:hAnsi="Helvetica;sans-serif"/>
          <w:b w:val="false"/>
          <w:i/>
          <w:color w:val="000000"/>
          <w:sz w:val="20"/>
        </w:rPr>
        <w:t xml:space="preserve">Risk Factors—Risks Relating to Our Business—We are subject to a number of procurement, international trade, and other rules, regulations and requirements related to our industry,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Helvetica;sans-serif" w:hAnsi="Helvetica;sans-serif"/>
          <w:b w:val="false"/>
          <w:i/>
          <w:color w:val="000000"/>
          <w:sz w:val="20"/>
        </w:rPr>
        <w:t>and the businesses we operate. If we fail to comply with such rules, regulations or other requirements we may be subject to civil and/or criminal penalties and/or administrative sanctions</w:t>
      </w:r>
      <w:r>
        <w:rPr>
          <w:color w:val="000000"/>
        </w:rPr>
        <w:t xml:space="preserve">” </w:t>
      </w:r>
      <w:r>
        <w:rPr>
          <w:rFonts w:ascii="Helvetica;sans-serif" w:hAnsi="Helvetica;sans-serif"/>
          <w:b w:val="false"/>
          <w:color w:val="000000"/>
          <w:sz w:val="20"/>
        </w:rPr>
        <w:t>in this Annual Report.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(including our subcontractors and others with whom we do business) are also subject to, and expected to perform in compliance with, a vast array of federal, state, local and international laws, regulations and requirements related to our industry, our products and the businesses we operate. These laws and regulations include, but are not limited to, the Anti-Kickback Act, the Arms Export Control Act, including the ITAR, the Communications Act, the Defense Federal Acquisition Regulation Supplement, the Export Control Reform Act, including the EAR (which includes anti-boycott provisions), the False Claims Act, the Federal Acquisition Regulation, the FCPA, the Lobbying Disclosure Act, the Procurement Integrity Act, the Truthful Cost or Pricing Data Act, the Foreign Trade Regulations, the Foreign Investment Risk Review Modernization Act, the International Emergency Economic Powers Act, the Trading with the Enemy Act, and Executive Orders and regulations, administered by the U.S. Department of the Treasury, DoW, Office of Foreign Assets Control, as well as rules and regulations administered by the U.S. Customs and Border Protection and the Bureau of Alcohol, Tobacco, Firearms and Explosives. If we are found to have violated such requirements, we may be subject to: reductions of the value of contracts; contract modifications or termination; the withholding of payments from our customer; the loss of export privileges; administrative or civil judgments and liabilities; criminal judgments or convictions, liabilities and consent or other voluntary decrees or agreements; other sanctions; the assessment of penalties, fines, or compensatory, treble or other damages or non-monetary relief or actions; or suspension or debarment.</w:t>
      </w:r>
    </w:p>
    <w:p>
      <w:pPr>
        <w:pStyle w:val="TextBody"/>
        <w:bidi w:val="0"/>
        <w:spacing w:lineRule="auto" w:line="288" w:before="0" w:after="180"/>
        <w:ind w:left="0" w:right="0" w:firstLine="360"/>
        <w:jc w:val="left"/>
        <w:rPr/>
      </w:pPr>
      <w:r>
        <w:rPr>
          <w:rFonts w:ascii="Helvetica;sans-serif" w:hAnsi="Helvetica;sans-serif"/>
          <w:b w:val="false"/>
          <w:color w:val="000000"/>
          <w:sz w:val="20"/>
        </w:rPr>
        <w:t>Our operations include the use, generation and disposal of hazardous materials. We are subject to various U.S. federal, state, local and foreign laws and regulations relating to the protection of the environment, including those governing the discharge of pollutants into the air and water, the management and disposal of hazardous substances and wastes, the cleanup of contaminated sites and the maintenance of a safe workplace. See Part I Item 1A, “</w:t>
      </w:r>
      <w:r>
        <w:rPr>
          <w:rFonts w:ascii="Helvetica;sans-serif" w:hAnsi="Helvetica;sans-serif"/>
          <w:b w:val="false"/>
          <w:i/>
          <w:color w:val="000000"/>
          <w:sz w:val="20"/>
        </w:rPr>
        <w:t>Risk Factors—Risks Relating to Our Business—We are subject to environmental laws and regulations, and our ongoing operations may expose us to environmental liabilities affecting our reputation, business, financial condition and results of operations</w:t>
      </w:r>
      <w:r>
        <w:rPr>
          <w:color w:val="000000"/>
        </w:rPr>
        <w:t xml:space="preserve">” </w:t>
      </w:r>
      <w:r>
        <w:rPr>
          <w:rFonts w:ascii="Helvetica;sans-serif" w:hAnsi="Helvetica;sans-serif"/>
          <w:b w:val="false"/>
          <w:color w:val="000000"/>
          <w:sz w:val="20"/>
        </w:rPr>
        <w:t xml:space="preserve">in this Annual Report. Except as described in Item 3, </w:t>
      </w:r>
      <w:r>
        <w:rPr>
          <w:color w:val="000000"/>
        </w:rPr>
        <w:t>“</w:t>
      </w:r>
      <w:r>
        <w:rPr>
          <w:rFonts w:ascii="Helvetica;sans-serif" w:hAnsi="Helvetica;sans-serif"/>
          <w:b w:val="false"/>
          <w:i/>
          <w:color w:val="000000"/>
          <w:sz w:val="20"/>
        </w:rPr>
        <w:t>Legal Proceedings,”</w:t>
      </w:r>
      <w:r>
        <w:rPr>
          <w:color w:val="000000"/>
        </w:rPr>
        <w:t xml:space="preserve"> </w:t>
      </w:r>
      <w:r>
        <w:rPr>
          <w:rFonts w:ascii="Helvetica;sans-serif" w:hAnsi="Helvetica;sans-serif"/>
          <w:b w:val="false"/>
          <w:color w:val="000000"/>
          <w:sz w:val="20"/>
        </w:rPr>
        <w:t xml:space="preserve">we believe that we have been and are in material compliance with environmental laws and regulations and that we have no liabilities under environmental requirements that would be expected to have a material adverse effect on our business, results of operations, financial condition or liquidity. It is possible, however, that the ultimate resolution of the matters discussed under Item 3, </w:t>
      </w:r>
      <w:r>
        <w:rPr>
          <w:color w:val="000000"/>
        </w:rPr>
        <w:t>“</w:t>
      </w:r>
      <w:r>
        <w:rPr>
          <w:rFonts w:ascii="Helvetica;sans-serif" w:hAnsi="Helvetica;sans-serif"/>
          <w:b w:val="false"/>
          <w:i/>
          <w:color w:val="000000"/>
          <w:sz w:val="20"/>
        </w:rPr>
        <w:t>Legal Proceedings,”</w:t>
      </w:r>
      <w:r>
        <w:rPr>
          <w:color w:val="000000"/>
        </w:rPr>
        <w:t xml:space="preserve"> </w:t>
      </w:r>
      <w:r>
        <w:rPr>
          <w:rFonts w:ascii="Helvetica;sans-serif" w:hAnsi="Helvetica;sans-serif"/>
          <w:b w:val="false"/>
          <w:color w:val="000000"/>
          <w:sz w:val="20"/>
        </w:rPr>
        <w:t>could result in a material adverse effect on our results of operations for a particular reporting period, any of which could have a material adverse effect on our business.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Governance Structure</w:t>
      </w:r>
    </w:p>
    <w:p>
      <w:pPr>
        <w:pStyle w:val="TextBody"/>
        <w:bidi w:val="0"/>
        <w:spacing w:lineRule="auto" w:line="288" w:before="0" w:after="180"/>
        <w:ind w:left="0" w:right="0" w:firstLine="360"/>
        <w:jc w:val="left"/>
        <w:rPr/>
      </w:pPr>
      <w:r>
        <w:rPr>
          <w:rFonts w:ascii="Helvetica;sans-serif" w:hAnsi="Helvetica;sans-serif"/>
          <w:b w:val="false"/>
          <w:color w:val="000000"/>
          <w:sz w:val="20"/>
        </w:rPr>
        <w:t>As a U.S. defense contractor with high level personnel and facility security clearances, DRS, our immediate majority stockholder, US Holding, and our indirect majority stockholder, Leonardo S.p.A,. have entered into an amended and restated proxy agreement with the DoW to mitigate against the potential for undue foreign ownership control and influence (“FOCI”) on the performance of classified programs by implementing various limitations on US Holding’s and Leonardo S.p.A.’s rights as the direct foreign majority stockholder of DRS, respectively. Specifically, US Holding has authorized certain cleared U.S. persons to operate as its proxies and exercise the key prerogatives of stock ownership. The amended and restated proxy agreement requires that DRS have the financial and operational ability to operate as an independent entity under an independent Board of Directors (“Board”), subject to certain limited, enumerated consent rights of the majority stockholder (including material mergers and acquisitions and incurrence of debt). See Part I Item 1A, “</w:t>
      </w:r>
      <w:r>
        <w:rPr>
          <w:rFonts w:ascii="Helvetica;sans-serif" w:hAnsi="Helvetica;sans-serif"/>
          <w:b w:val="false"/>
          <w:i/>
          <w:color w:val="000000"/>
          <w:sz w:val="20"/>
        </w:rPr>
        <w:t>Risk Factors—Risks Relating to Our Ownership and Status under the Amended and Restated Proxy Agreement — We operate under an amended and restated proxy agreement with the DoW that regulates significant areas of our governance. If we fail to comply with the amended and restated proxy agreement our classified U.S. government contracts could be terminated, which could have a material adverse impact on our business, financial condition and results of operations</w:t>
      </w:r>
      <w:r>
        <w:rPr>
          <w:color w:val="000000"/>
        </w:rPr>
        <w:t xml:space="preserve">” </w:t>
      </w:r>
      <w:r>
        <w:rPr>
          <w:rFonts w:ascii="Helvetica;sans-serif" w:hAnsi="Helvetica;sans-serif"/>
          <w:b w:val="false"/>
          <w:color w:val="000000"/>
          <w:sz w:val="20"/>
        </w:rPr>
        <w:t>in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At all times subject to the amended and restated proxy agreement, on November 28, 2022, the Company entered into a registration rights agreement (the “Registration Rights Agreement”) and on June 18, 2025, a cooperation agreement (the “Cooperation Agreement”) with Leonardo S.p.A and US Holding. The Registration Rights Agreement, among other things, provides Leonardo S.p.A. and its affiliated entities with customary demand, shelf and piggy-back registration rights to facilitate a public offering of the Company Common Stock held by US Holding. Under the Cooperation Agreement, among other things, (a) Leonardo S.p.A. has certain consent, access and cooperation rights, and (b) US Holding has certain consent rights with respect to actions taken by the Company and its subsidiaries, including with respect to the creation or issuance of any new classes or series of stock (subject to customary exceptions), listing or delisting from any securities exchange, and making material changes to the Company’s accounting policies and changing the Company’s auditor.</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Our Indirect Majority Stockholder</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Leonardo S.p.A., a global high-technology company, is a leading global Aerospace, Defense and Security company and one of Italy’s main industrial companies. Organized into five business Sectors, Leonardo S.p.A. has a significant industrial presence in Italy, the United Kingdom, Germany, Poland, Switzerland and the USA, where it operates through subsidiaries, joint ventures and associates, including GIE ATR, MBDA, Telespazio, Thales Alenia Space, and Hensoldt AG. Leonardo S.p.A. competes internationally by leveraging its areas of technological and product leadership (Helicopters, Defense Electronics &amp; Security, Cyber &amp; Security Solutions, Aeronautics and Space). Listed on the Milan Stock Exchange (under the trading symbol “LDO”), in 2024 Leonardo S.p.A. recorded consolidated revenues of €17.8 billion and invested €2.5 billion in R&amp;D. The group has been part of the Dow Jones Sustainability Index (“DJSI”) since 2010 and was again named as sustainability global leader in the Aerospace &amp; Defense sector of DJSI in 2024.</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Available Information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file reports and other information with the Securities and Exchange Commission (“SEC”). The SEC maintains a website (www.sec.gov) that contains reports, proxy and information statements, and other information. Our website is https://www.leonardodrs.com. We make available on our website, free of charge, our Annual Reports on Form 10-K, Quarterly Reports on Form 10-Q, and Current Reports on Form 8-K that we file with or furnish to the SEC, as well as amendments to those reports, as soon as reasonably practicable after such reports are filed with or furnished to the SEC. We are not including the information contained in our website as part of, or incorporating it by reference into,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1A. RISK FACTORS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You should carefully consider the risks and uncertainties described below, as well as other information contained in this Annual Report, including the notes to our consolidated financial statements </w:t>
      </w:r>
      <w:r>
        <w:rPr>
          <w:rFonts w:ascii="Helvetica;sans-serif" w:hAnsi="Helvetica;sans-serif"/>
          <w:b w:val="false"/>
          <w:color w:val="000000"/>
          <w:sz w:val="20"/>
          <w:shd w:fill="FFFFFF" w:val="clear"/>
        </w:rPr>
        <w:t>and the section titled “</w:t>
      </w:r>
      <w:r>
        <w:rPr>
          <w:rFonts w:ascii="Helvetica;sans-serif" w:hAnsi="Helvetica;sans-serif"/>
          <w:b w:val="false"/>
          <w:i/>
          <w:color w:val="000000"/>
          <w:sz w:val="20"/>
          <w:shd w:fill="FFFFFF" w:val="clear"/>
        </w:rPr>
        <w:t>Management’s Discussion and Analysis of Financial Condition and Results of Operations</w:t>
      </w:r>
      <w:r>
        <w:rPr>
          <w:rFonts w:ascii="Helvetica;sans-serif" w:hAnsi="Helvetica;sans-serif"/>
          <w:b w:val="false"/>
          <w:color w:val="000000"/>
          <w:sz w:val="20"/>
          <w:shd w:fill="FFFFFF" w:val="clear"/>
        </w:rPr>
        <w:t>,”</w:t>
      </w:r>
      <w:r>
        <w:rPr>
          <w:color w:val="000000"/>
        </w:rPr>
        <w:t xml:space="preserve"> </w:t>
      </w:r>
      <w:r>
        <w:rPr>
          <w:rFonts w:ascii="Helvetica;sans-serif" w:hAnsi="Helvetica;sans-serif"/>
          <w:b w:val="false"/>
          <w:color w:val="000000"/>
          <w:sz w:val="20"/>
        </w:rPr>
        <w:t xml:space="preserve">when evaluating our business. The risks described below are not the only ones facing us, and are not necessarily presented in the order of importance. The list of summary risk factors below should be read in conjunction with the remainder of this </w:t>
      </w:r>
      <w:r>
        <w:rPr>
          <w:color w:val="000000"/>
        </w:rPr>
        <w:t>“</w:t>
      </w:r>
      <w:r>
        <w:rPr>
          <w:rFonts w:ascii="Helvetica;sans-serif" w:hAnsi="Helvetica;sans-serif"/>
          <w:b w:val="false"/>
          <w:i/>
          <w:color w:val="000000"/>
          <w:sz w:val="20"/>
        </w:rPr>
        <w:t>Risk Factors”</w:t>
      </w:r>
      <w:r>
        <w:rPr>
          <w:color w:val="000000"/>
        </w:rPr>
        <w:t xml:space="preserve"> </w:t>
      </w:r>
      <w:r>
        <w:rPr>
          <w:rFonts w:ascii="Helvetica;sans-serif" w:hAnsi="Helvetica;sans-serif"/>
          <w:b w:val="false"/>
          <w:color w:val="000000"/>
          <w:sz w:val="20"/>
        </w:rPr>
        <w:t>section and should not be relied upon as an exhaustive summary of the material risks we face. The occurrence of any of the following risks or additional risks and uncertainties not presently known to us or that we currently believe to be immaterial could materially and adversely affect our business, financial condition and results of operations. In any such case, the trading price of our common stock could decline. This Annual Report also contains forward-looking statements and estimates that involve risks and uncertainties. Our actual results could differ materially from those anticipated in the forward-looking statements as a result of a number of factors, including the risks and uncertainties described below.</w:t>
      </w: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Summary Risk Factors</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 xml:space="preserve">We depend on U.S. defense spending for the vast majority of our revenues. Disruptions, including from government shutdowns, or deteriorations in our relationships with the relevant agencies of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government could have a material adverse impact on our business, financial condition and results of operations.</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Significant delays, including from government shutdowns, or reductions in appropriations for our programs and changes in U.S. government priorities and spending levels more broadly may negatively impact our business and could have a material adverse impact on our business, financial condition and results of operations.</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Our results of operations and cash flows are substantially affected by our mix of fixed-price, cost-plus and T&amp;M type contracts. In particular, fixed-price contracts subject us to the risk of loss in the event of cost overruns or higher than anticipated inflation.</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We are subject to the U.S. government’s requirements, including the DoW’s National Industrial Security Program Operating Manual, for our facility security clearances, which are prerequisites to our ability to perform on classified contracts for the U.S. government.</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We are subject to a number of procurement, international trade, and other rules, regulations and requirements related to our industry, our products, and the businesses we operate. If we fail to comply with such rules, regulations or other requirements we may be subject to civil and/or criminal penalties and/or administrative sanctions.</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We may not realize the full value of our total estimated remaining contract value or bookings, including as a result of reduction of funding or cancellation of our U.S. government contracts, which could have a material adverse impact on our business, financial condition and results of operations.</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Our working capital requirements and cash flows are extremely variable and subject to fluctuation, which could have a material adverse effect on our business, financial condition and results of operations.</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We are subject to global and regional economic downturns, rising interest rates and related risks.</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To service indebtedness and fund other cash needs, we will require a significant amount of cash, and our ability to generate cash depends on many factors beyond our control.</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We face intense competition and may suffer losses if we fail to compete efficiently.</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We depend in part upon our relationships and alliances with industry participants in order to generate revenue, which involves risks and uncertainties.</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Contractual disputes with industry participants or the inability of our key suppliers to timely deliver our components, parts or services, could cause our products, systems or services to be produced or delivered in an untimely or unsatisfactory manner.</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We may be susceptible to a security breach, through cyber-attack, cyber-intrusion, insider threats or otherwise, and to other significant disruptions of our IT networks and related systems, or those of our customers, suppliers, vendors, subcontractors, partners, or other third parties.</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We may be at greater risk from terrorism and other threats to our physical security and personnel, than other companies.</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Our future success will depend on our ability to respond to the rapid technological changes in the markets in which we compete, and our ability to introduce new or enhanced products and to enter into new markets.</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 xml:space="preserve">Many of our contracts contain performance obligations that require innovative design capabilities, are technologically complex, require state-of-the-art manufacturing expertise or are dependent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factors not wholly within our control. Failure to meet our contractual obligations could adversely affect our business, financial condition, results of operations, reputation and future prospects.</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We may not be able to fully exploit or obtain patents or other intellectual property protections necessary to secure our proprietary technology.</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Third parties have claimed in the past and may claim in the future that we are infringing directly or indirectly upon their intellectual property rights, and third parties may infringe upon our intellectual property rights.</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Our reputation and ability to do business may be impacted by the improper conduct of our employees, agents, affiliates, subcontractors, suppliers, business partners or joint ventures in which we participate.</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The outcome of litigation, arbitration, investigations, claims, disputes, enforcement actions and other legal proceedings in which we are involved from time to time is unpredictable, and an adverse decision in any such matter could have a material adverse impact on our business, financial condition and results of operations.</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Our international business exposes us to additional risks, including risks related to geopolitical conflicts, including the war in Israel, and economic factors, laws and regulations.</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Our efforts to localize our business operations in new territories present significant challenges and could adversely affect our growth strategy and our financial performance.</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A failure to attract and retain technical and other key personnel could reduce our revenues and our operational effectiveness.</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Our business could be harmed in the event of difficulties with our unionized workforce, including the effects of a prolonged work stoppage.</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 xml:space="preserve">Our insurance coverage, customer indemnifications or other liability protections may be unavailable or inadequate to cover all of our significant risks or our insurers may deny coverage of or be unable to pay for material losses we incur, which could adversely affect our business, financial condition and results of operations. </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We have unfunded obligations under our pension plans, and we use estimates in accounting for our pension plans and changes in our estimates could adversely affect our financial condition and results of operations.</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Acquisitions could result in operating difficulties, dilution and other harmful consequences.</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We have significant operations in locations that could be materially and adversely impacted in the event of a natural disaster, severe weather or other significant disruption.</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We cannot predict the consequences of future geopolitical events, but they may adversely affect the markets in which we operate, our ability to insure against risks, our operations or our results of operations.</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We operate under an amended and restated proxy agreement with the DoW that regulates significant areas of our governance. If we fail to comply with the amended and restated proxy agreement our classified U.S. government contracts could be terminated, which could have a material adverse impact on our business, financial condition and results of operations.</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CFIUS may modify, delay or prevent our future acquisition or investment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Our indirect majority stockholder, Leonardo S.p.A., may have interests that are different from, or conflict with, those of our other stockholders, and their significant ownership in us may discourage mergers and acquisitions or change of control transactions.</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There can be no assurance that we will continue to pay or increase our dividend or to repurchase shares of our common stock. Additionally, there can be no assurance that we will not accelerate our dividend or repurchases of our common stock.</w:t>
      </w:r>
      <w:r>
        <w:rPr>
          <w:color w:val="000000"/>
        </w:rPr>
        <w:t xml:space="preserve"> </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Risks Relating to Our Business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depend on U.S. defense spending for the vast majority of our revenues. Disruptions or deteriorations in our relationships with the relevant agencies of the U.S. government could have a material adverse impact on our business, financial condition and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depend on revenues from contracts and subcontracts with the U.S. government, including defense-related programs with the DoW and a broad range of programs with all branches of the U.S. military. Revenues derived directly or indirectly from contracts with the U.S. government represented approximately 80%, 79% and 80% of our total revenues for the years ended December 31, 2025, 2024, and 2023, respectively, with revenues principally derived directly or indirectly from contracts with the U.S. Navy and U.S. Army, which represented 36% and 36%, respectively, of our total revenues for the year ended December 31, 2025. Because our customer base is concentrated within the U.S. defense industry, any disruption or deterioration in our relationship with the U.S. government and its prime contractors, or any change in the U.S. government’s willingness to commit substantial resources to the continued purchase of our products, could significantly reduce our revenues and have a material adverse impact on our business, financial condition and results of operations.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Significant delays, including from government shutdowns, or reductions in appropriations for our programs and changes in U.S. government priorities and spending levels more broadly may negatively impact our business and could have a material adverse impact on our business, financial condition and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availability of U.S. government funding for significant programs in which we participate may be impacted by a number of factors beyond our control including full or partial government shutdowns, the overall federal budget, changes in spending priorities and defense spending levels, sequestration, the appropriations process, use of continuing resolutions (with restrictions, e.g., on starting new programs) and the permissible level of federal debt. These factors may also delay or adversely impact purchasing or payment decisions by our customers. In the event government funding for significant programs in which we participate becomes unavailable, or is reduced or delayed, our contract or subcontract under such programs may be terminated or adjusted by the U.S. government or the prime contractor. U.S. government priorities and spending levels have fluctuated and may continue to fluctuate over time. We cannot predict the impact on existing, follow-on, replacement or future programs from potential changes in priorities whether due to changes in defense spending levels, the threat environment, procurement strategy, the evolution of warfare, military strategy and planning and/or changes in social, economic or political priorities. As the DoW budget represents the largest part of the federal discretionary budget, it is possible that the various legislative actions might exert downward pressure on defense spending, as well as other non-defense discretionary outlays. The U.S. government may also delay, modify or cancel ongoing competitive bidding processes, procurements and programs, as well as change its acquisition strategy. A significant shift in government priorities, programs or acquisition strategies could have a material adverse impact on our business, financial condition and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Considerable uncertainty exists regarding future budget and program decisions, including U.S. defense spending priorities, what challenges budget reductions will present for the defense industry, whether annual appropriations bills for all agencies will be enacted for U.S. government FY2027 and thereafter, and how the current administration will approach those decisions through the budgeting process. While the FY2026 DoW budget was approved, there remains uncertainty with regard to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government’s spending priorities, including whether and to what extent the DoW’s budget may change, and, if it does, to what extent our business, financial condition and results of operations may be affected. Additionally, the U.S. government’s budget deficit and the national debt could also significantly affect government budgeting priorities and could have an adverse impact on our business, financial condition and results of operations in a number of ways, including the following:</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U.S. government could reduce or delay its spending on, or reprioritize its spending away from, defense programs in which we participate;</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 xml:space="preserve">U.S. defense spending could be impacted by alternate arrangements to sequestration, which increases the uncertainty as to, and the difficulty in predicting, U.S. government spending priorities and levels; </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we may experience reduced or delayed orders or payments or other responses to economic difficulties experienced by our customers and prospective customers, including U.S. federal, state and local governments; and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U.S. government could reduce the outsourcing of functions that we are currently contracted to provide, including as a result of increased insourcing by various U.S. government agencies due to changes in the definition of “inherently governmental” work, such as proposals to limit contractor access to sensitive or classified information and work assignments.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Our results of operations and cash flows are substantially affected by our mix of fixed-price, cost-plus and T&amp;M type contracts. In particular, fixed-price contracts subject us to the risk of loss in the event of cost overruns or higher than anticipated inflation.</w:t>
      </w:r>
    </w:p>
    <w:p>
      <w:pPr>
        <w:pStyle w:val="TextBody"/>
        <w:bidi w:val="0"/>
        <w:spacing w:lineRule="auto" w:line="288" w:before="0" w:after="180"/>
        <w:ind w:left="0" w:right="0" w:firstLine="360"/>
        <w:jc w:val="left"/>
        <w:rPr/>
      </w:pPr>
      <w:r>
        <w:rPr>
          <w:rFonts w:ascii="Helvetica;sans-serif" w:hAnsi="Helvetica;sans-serif"/>
          <w:b w:val="false"/>
          <w:color w:val="000000"/>
          <w:sz w:val="20"/>
        </w:rPr>
        <w:t>We generate revenue through various fixed-price, cost-plus and T&amp;M type contracts. For a general description of our U.S. government contracts and subcontracts, including a discussion of revenue generated thereunder and of cost-reimbursable versus fixed-price contracts, see Part II, Item 7, “</w:t>
      </w:r>
      <w:r>
        <w:rPr>
          <w:rFonts w:ascii="Helvetica;sans-serif" w:hAnsi="Helvetica;sans-serif"/>
          <w:b w:val="false"/>
          <w:i/>
          <w:color w:val="000000"/>
          <w:sz w:val="20"/>
        </w:rPr>
        <w:t>Management’s Discussion and Analysis of Financial Condition and Results of Operations</w:t>
      </w:r>
      <w:r>
        <w:rPr>
          <w:color w:val="000000"/>
        </w:rPr>
        <w:t xml:space="preserve">” </w:t>
      </w:r>
      <w:r>
        <w:rPr>
          <w:rFonts w:ascii="Helvetica;sans-serif" w:hAnsi="Helvetica;sans-serif"/>
          <w:b w:val="false"/>
          <w:color w:val="000000"/>
          <w:sz w:val="20"/>
        </w:rPr>
        <w:t>in this Annual Report.</w:t>
      </w:r>
    </w:p>
    <w:p>
      <w:pPr>
        <w:pStyle w:val="TextBody"/>
        <w:bidi w:val="0"/>
        <w:spacing w:lineRule="auto" w:line="288" w:before="0" w:after="180"/>
        <w:ind w:left="0" w:right="0" w:firstLine="360"/>
        <w:jc w:val="left"/>
        <w:rPr/>
      </w:pPr>
      <w:r>
        <w:rPr>
          <w:rFonts w:ascii="Helvetica;sans-serif" w:hAnsi="Helvetica;sans-serif"/>
          <w:b w:val="false"/>
          <w:color w:val="000000"/>
          <w:sz w:val="20"/>
        </w:rPr>
        <w:t>For the years ended December 31, 2025, 2024, and 2023, approximately 88%, 84% and 84%, respectively, of our revenue was derived from fixed-price contracts. We assume financial risk on fixed-price contracts due to the risk of potential cost overruns, particularly for firm-fixed price contracts in which we assume all of the cost burden. Our failure to anticipate or address risks or technical problems, estimate costs accurately or control costs during performance will reduce our profit or cause a loss on these contracts. U.S. government contracts can expose us to potentially large losses because the U.S. government can hold us responsible for completing a project or, in certain circumstances, paying the entire cost of its replacement by another provider regardless of the size or foreseeability of any cost overruns that occur over the life of the contract. Because many of these contracts involve new technologies and applications and can last for years, unforeseen events, such as technological difficulties, engineering or development challenges, fluctuations in raw materials prices, higher than expected inflation, increased labor costs, problems with our suppliers and cost overruns, can result in the contractual price becoming less favorable or even unprofitable to us over time. Furthermore, if we do not meet contract deadlines or specifications, we may need to renegotiate contracts on less favorable terms, be forced to pay actual or liquidated damages or suffer significant losses if the customer terminates our contract. In addition, some of our contracts have provisions relating to cost controls and audit rights, and if we fail to meet the terms specified in those contracts, we may not realize their full benefits. For further information, see “—</w:t>
      </w:r>
      <w:r>
        <w:rPr>
          <w:rFonts w:ascii="Helvetica;sans-serif" w:hAnsi="Helvetica;sans-serif"/>
          <w:b w:val="false"/>
          <w:i/>
          <w:color w:val="000000"/>
          <w:sz w:val="20"/>
        </w:rPr>
        <w:t>Risks Relating to Our Business</w:t>
      </w:r>
      <w:r>
        <w:rPr>
          <w:color w:val="000000"/>
        </w:rPr>
        <w:t>—</w:t>
      </w:r>
      <w:r>
        <w:rPr>
          <w:rFonts w:ascii="Helvetica;sans-serif" w:hAnsi="Helvetica;sans-serif"/>
          <w:b w:val="false"/>
          <w:i/>
          <w:color w:val="000000"/>
          <w:sz w:val="20"/>
        </w:rPr>
        <w:t>We operate in a highly regulated environment and are routinely audited and reviewed by the U.S. government and its agencies.”</w:t>
      </w:r>
      <w:r>
        <w:rPr>
          <w:color w:val="000000"/>
        </w:rPr>
        <w:t xml:space="preserve"> </w:t>
      </w:r>
      <w:r>
        <w:rPr>
          <w:rFonts w:ascii="Helvetica;sans-serif" w:hAnsi="Helvetica;sans-serif"/>
          <w:b w:val="false"/>
          <w:color w:val="000000"/>
          <w:sz w:val="20"/>
        </w:rPr>
        <w:t>Our results of operations depend on our ability to maximize our earnings from our contracts. Cost overruns could have a material adverse impact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are subject to the U.S. government’s requirements, including the DoW’s National Industrial Security Program Operating Manual, for our facility security clearances, which are prerequisites to our ability to perform on classified contracts for the U.S. government.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require a facility security clearance to perform on classified contracts for the DoW and certain other agencies of the U.S. government. Security clearances are subject to regulations and requirements including, among others, the National Industrial Security Program Operating Manual (the “NISPOM”), which specifies the requirements for the protection of classified information released or disclosed in connection with classified U.S. government contracts. The Defense Counterintelligence and Security Agency (the “DCSA”) manages the facility clearance process under the NISPOM and conducts various facility audits and inspections throughout the lifecycle of a respective facility clearance.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require certain facility and personnel security clearances to perform our classified U.S. government business. Any facility not audit ready, not staffed by appropriately cleared personnel, and/or that fails a routine inspection places that contract in jeopardy. As such, we must comply with the requirements of the NISPOM and other applicable U.S. government industrial security regulations, including extensive requirements related to cybersecurity. If we were to violate the terms and requirements of the NISPOM or such industrial security regulations (which apply to us under the terms of classified contracts), or if one or more of our facility or personnel security clearances is invalidated or terminated, we may not be able to continue to perform our existing classified contracts and may not be able to enter into new classified contracts, which could adversely affect our revenues. Failure to comply with the NISPOM or other security requirements may result in loss of access to classified information and subject us to civil and criminal penalties and administrative sanctions, including termination of contracts, forfeiture of profits, suspension of payments, fines and suspension or prohibition from doing business with the U.S. government, which could have a material adverse impact on our business, financial condition and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Additionally, the NISPOM requires that a corporation maintaining a facility security clearance be effectively insulated from FOCI. A company is considered to be operating under FOCI whenever a foreign interest has the power, direct or indirect, whether or not exercised, and whether or not exercisable, to direct or decide matters affecting the management or operations of that company in a manner that may result in unauthorized access to classified information, may adversely affect the performance of classified contracts, or may undermine U.S. security or export controls.</w:t>
      </w:r>
    </w:p>
    <w:p>
      <w:pPr>
        <w:pStyle w:val="TextBody"/>
        <w:bidi w:val="0"/>
        <w:spacing w:lineRule="auto" w:line="288" w:before="0" w:after="180"/>
        <w:ind w:left="0" w:right="0" w:firstLine="360"/>
        <w:jc w:val="left"/>
        <w:rPr/>
      </w:pPr>
      <w:r>
        <w:rPr>
          <w:rFonts w:ascii="Helvetica;sans-serif" w:hAnsi="Helvetica;sans-serif"/>
          <w:b w:val="false"/>
          <w:color w:val="000000"/>
          <w:sz w:val="20"/>
        </w:rPr>
        <w:t>Leonardo S.p.A., an Italian company listed on the Milan Stock Exchange, owns the entire share capital of US Holding which, in turn, owns approximately 71% of the voting power of our outstanding common stock. As a result, we are deemed to be under FOCI. Furthermore, the Italian state beneficially owns approximately 30.2% of Leonardo S.p.A.’s voting power (through its ownership of approximately 30.2% of the outstanding ordinary shares of Leonardo S.p.A.). In order to be permitted to maintain our security clearances and our access to classified data and to perform or bid on classified programs, we are required to mitigate FOCI through a proxy agreement, which we have done by entering into an amended and restated proxy agreement, with the DoW. The terms of any new proxy agreement or other mitigation agreements could impose heightened or new restrictions, which could further impact our business operations. Proxy agreements, including ours, typically have limited duration and need to be renewed on a regular basis. For additional information on the terms and requirements of the amended and restated proxy agreement, see “—</w:t>
      </w:r>
      <w:r>
        <w:rPr>
          <w:rFonts w:ascii="Helvetica;sans-serif" w:hAnsi="Helvetica;sans-serif"/>
          <w:b w:val="false"/>
          <w:i/>
          <w:color w:val="000000"/>
          <w:sz w:val="20"/>
        </w:rPr>
        <w:t>Risks Relating to Our Ownership and Status under the Amended and Restated Proxy Agreement</w:t>
      </w:r>
      <w:r>
        <w:rPr>
          <w:color w:val="000000"/>
        </w:rPr>
        <w:t>—</w:t>
      </w:r>
      <w:r>
        <w:rPr>
          <w:rFonts w:ascii="Helvetica;sans-serif" w:hAnsi="Helvetica;sans-serif"/>
          <w:b w:val="false"/>
          <w:i/>
          <w:color w:val="000000"/>
          <w:sz w:val="20"/>
        </w:rPr>
        <w:t>We operate under an amended and restated proxy agreement with the DoW that regulates significant areas of our governance. If we fail to comply with the amended and restated proxy agreement, our classified U.S. government contracts could be terminated, which could have a material adverse impact on our business, financial condition and results of operations</w:t>
      </w:r>
      <w:r>
        <w:rPr>
          <w:rFonts w:ascii="Helvetica;sans-serif" w:hAnsi="Helvetica;sans-serif"/>
          <w:b w:val="false"/>
          <w:color w:val="000000"/>
          <w:sz w:val="20"/>
        </w:rPr>
        <w: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While we currently mitigate FOCI under the amended and restated proxy agreement, the DoW reserves the right to terminate such proxy agreement or impose such additional security safeguards as it believes necessary in order to prevent unauthorized access to classified and controlled unclassified information and any U.S. government agency may deny or revoke our access to classified and controlled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unclassified information under its jurisdiction if it considers it necessary to protect national security. Failure to maintain an agreement with the DoW regarding the appropriate FOCI mitigation arrangement could result in invalidation or termination of our facility security clearances, which in turn would mean that we would not be able to perform under current or enter into future contracts with the U.S. government requiring facility security clearances.</w:t>
      </w:r>
    </w:p>
    <w:p>
      <w:pPr>
        <w:pStyle w:val="TextBody"/>
        <w:bidi w:val="0"/>
        <w:spacing w:lineRule="auto" w:line="288" w:before="0" w:after="180"/>
        <w:ind w:left="0" w:right="0" w:firstLine="360"/>
        <w:jc w:val="left"/>
        <w:rPr/>
      </w:pPr>
      <w:r>
        <w:rPr>
          <w:rFonts w:ascii="Helvetica;sans-serif" w:hAnsi="Helvetica;sans-serif"/>
          <w:b w:val="false"/>
          <w:color w:val="000000"/>
          <w:sz w:val="20"/>
        </w:rPr>
        <w:t>We depend on revenues from contracts and subcontracts with the U.S. government, including defense-related programs with the DoW and a broad range of programs with each of the service branches. Revenues derived directly or indirectly from contracts with the U.S. government were approximately 80%, 79% and 80% for the years ended December 31, 2025, 2024, and 2023, respectively. If we fail to maintain an agreement with the DoW regarding the appropriate FOCI mitigation arrangement or otherwise fail to comply with the NISPOM, this could have a material adverse impact on our business, financial condition and results of operations. For further information, see “—</w:t>
      </w:r>
      <w:r>
        <w:rPr>
          <w:rFonts w:ascii="Helvetica;sans-serif" w:hAnsi="Helvetica;sans-serif"/>
          <w:b w:val="false"/>
          <w:i/>
          <w:color w:val="000000"/>
          <w:sz w:val="20"/>
        </w:rPr>
        <w:t>Risks Relating to Our Business</w:t>
      </w:r>
      <w:r>
        <w:rPr>
          <w:color w:val="000000"/>
        </w:rPr>
        <w:t>—</w:t>
      </w:r>
      <w:r>
        <w:rPr>
          <w:rFonts w:ascii="Helvetica;sans-serif" w:hAnsi="Helvetica;sans-serif"/>
          <w:b w:val="false"/>
          <w:i/>
          <w:color w:val="000000"/>
          <w:sz w:val="20"/>
        </w:rPr>
        <w:t>We depend on U.S. defense spending for the vast majority of our revenues. Disruptions or deteriorations in our relationships with the relevant agencies of the U.S. government could have a material adverse impact on our business, financial condition and results of operations.</w:t>
      </w:r>
      <w:r>
        <w:rPr>
          <w:color w:val="000000"/>
        </w:rPr>
        <w:t>”</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depend on U.S. government contracts, which often are only partially funded and are subject to immediate termination. The termination or failure to fund one or more of these contracts could have a material adverse impact on our business, financial condition and results of operations.</w:t>
      </w:r>
    </w:p>
    <w:p>
      <w:pPr>
        <w:pStyle w:val="TextBody"/>
        <w:bidi w:val="0"/>
        <w:spacing w:lineRule="auto" w:line="288" w:before="0" w:after="180"/>
        <w:ind w:left="0" w:right="0" w:firstLine="360"/>
        <w:jc w:val="left"/>
        <w:rPr/>
      </w:pPr>
      <w:r>
        <w:rPr>
          <w:rFonts w:ascii="Helvetica;sans-serif" w:hAnsi="Helvetica;sans-serif"/>
          <w:b w:val="false"/>
          <w:color w:val="000000"/>
          <w:sz w:val="20"/>
        </w:rPr>
        <w:t>Over its lifetime, a U.S. government program may be implemented by the award of many different individual contracts and subcontracts. The funding of U.S. government programs is subject to Congressional appropriations. U.S. government appropriations in turn are affected by general U.S. government budgetary issues and related legislation. Although multi-year contracts may be authorized and appropriated in connection with major procurements, Congress generally appropriates funds on a government fiscal year basis, which runs from October 1 to September 30. Procurement funds are typically made available for obligation over the course of one to three years. Consequently, programs often initially receive only partial funding, and additional funds are obligated only as Congress makes further appropriations. We cannot predict the extent to which total funding and/or funding for individual programs will be included, increased or reduced as part of the annual appropriations process ultimately approved by Congress and the President or in separate supplemental appropriations or continuing resolutions, as applicable. The termination of funding for a U.S. government program would result in a loss of anticipated future revenue attributable to that program, which could have a material adverse impact on our business, financial condition and results of operations. In addition, the termination of a program or the failure to commit additional funds to a program that already has been started could result in lost revenue and increase our overall costs of doing business. The loss of revenues from our possible failure to obtain renewal or follow-on contracts may be significant because we depend on the U.S. government for the vast majority of our revenues. For further information, see “—</w:t>
      </w:r>
      <w:r>
        <w:rPr>
          <w:rFonts w:ascii="Helvetica;sans-serif" w:hAnsi="Helvetica;sans-serif"/>
          <w:b w:val="false"/>
          <w:i/>
          <w:color w:val="000000"/>
          <w:sz w:val="20"/>
        </w:rPr>
        <w:t>Risks Relating to Our Business</w:t>
      </w:r>
      <w:r>
        <w:rPr>
          <w:color w:val="000000"/>
        </w:rPr>
        <w:t>—</w:t>
      </w:r>
      <w:r>
        <w:rPr>
          <w:rFonts w:ascii="Helvetica;sans-serif" w:hAnsi="Helvetica;sans-serif"/>
          <w:b w:val="false"/>
          <w:i/>
          <w:color w:val="000000"/>
          <w:sz w:val="20"/>
        </w:rPr>
        <w:t>We depend on U.S. defense spending for the vast majority of our revenues. Disruptions or deteriorations in our relationships with the relevant agencies of the U.S. government could have a material adverse impact on our business, financial condition and results of operations</w:t>
      </w:r>
      <w:r>
        <w:rPr>
          <w:rFonts w:ascii="Helvetica;sans-serif" w:hAnsi="Helvetica;sans-serif"/>
          <w:b w:val="false"/>
          <w:color w:val="000000"/>
          <w:sz w:val="20"/>
        </w:rPr>
        <w: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U.S. government contracts may generally be terminated, in whole or in part, without prior notice at the U.S. government’s convenience upon payment only for work performed and commitments made at the time of termination. For some contracts, we are a subcontractor and not the prime contractor, and in those arrangements, the U.S. government could terminate the prime contractor for convenience without regard for our performance as a subcontractor. We can give no assurance that one or more of our contracts will not be terminated under those circumstances. Also, we can give no assurance that we would be able to procure new contracts to offset the revenue or backlog lost as a result of any termination of our contracts. Because a significant portion of our revenue depends on our performance and payment under our contracts, the loss of one or more large contracts could have a material adverse impact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Helvetica;sans-serif" w:hAnsi="Helvetica;sans-serif"/>
          <w:b w:val="false"/>
          <w:color w:val="000000"/>
          <w:sz w:val="20"/>
        </w:rPr>
        <w:t>In addition to termination for convenience, U.S. defense contracts are generally also terminable for default based on performance. Termination by the U.S. government, or one of its prime contractors, of a contract due to default could, in addition to the loss of future revenue, obligate us to pay for re-procurement costs in excess of the original contract price, as well as other damages. Termination of a contract due to our default could also impair our reputation and our ability to compete for other contracts which could have a material adverse impact on our business, financial condition and results of operations. Additionally, our U.S. government contracts are heavily regulated and subject to audit and negative audit findings which could result in the termination of these or other contracts or the failure to receive future awards, see “—</w:t>
      </w:r>
      <w:r>
        <w:rPr>
          <w:rFonts w:ascii="Helvetica;sans-serif" w:hAnsi="Helvetica;sans-serif"/>
          <w:b w:val="false"/>
          <w:i/>
          <w:color w:val="000000"/>
          <w:sz w:val="20"/>
        </w:rPr>
        <w:t>Risks Relating to Our Business</w:t>
      </w:r>
      <w:r>
        <w:rPr>
          <w:color w:val="000000"/>
        </w:rPr>
        <w:t>—</w:t>
      </w:r>
      <w:r>
        <w:rPr>
          <w:rFonts w:ascii="Helvetica;sans-serif" w:hAnsi="Helvetica;sans-serif"/>
          <w:b w:val="false"/>
          <w:i/>
          <w:color w:val="000000"/>
          <w:sz w:val="20"/>
        </w:rPr>
        <w:t>We operate in a highly regulated environment and are routinely audited and reviewed by the U.S. government and its agencies</w:t>
      </w:r>
      <w:r>
        <w:rPr>
          <w:rFonts w:ascii="Helvetica;sans-serif" w:hAnsi="Helvetica;sans-serif"/>
          <w:b w:val="false"/>
          <w:color w:val="000000"/>
          <w:sz w:val="20"/>
        </w:rPr>
        <w: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U.S. government also has the ability to stop work under a contract for a limited period of time for its convenience. It is possible that the U.S. government, or one of its prime contractors, could invoke this ability across a limited or broad number of contracts. Such stoppages and delays could introduce inefficiencies and result in financial and other damages for which we may not be able to receive full recovery. They could also ultimately result in termination of a contract (or contracts) for convenience or reduced future orders.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Furthermore, the President issued an Executive Order in January 2025, which requires, in relevant part, that every Federal contract or grant award include a clause that requires the contractor or grant recipient to (1) agree that its compliance with all applicable federal anti-discrimination laws is material to the government’s payment decisions on such contract or grant for purposes of the False Claims Act, and (2) certify that it does not operate any programs promoting diversity, equity and inclusion that violate any applicable federal anti-discrimination laws. The Executive Order increases our compliance risk through an increased risk of civil False Claims Act liability, if our current practices are deemed to violate the federal anti-discrimination laws.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operate in a highly regulated environment and are routinely audited and reviewed by the U.S. government and its agencies.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depend on U.S. government contracts, which are heavily regulated and subject to audit by the U.S. government and its agencies, such as the Defense Contract Audit Agency (“DCAA”), Defense Contract Management Agency, the DoW Inspector General, and others. These agencies review performance on government contracts, direct and indirect rates and pricing practices, and compliance with applicable contracting and procurement laws, regulations and standards. They also review compliance with government standards for our business systems and the adequacy of our internal control systems and policies. Negative findings related to our business and accounting systems and financial controls and capability could result in our ineligibility for future cost-plus contracts. Costs ultimately disallowed or found to be improperly allocated to a specific contract will not be reimbursed or must be refunded if already reimbursed. We record contract revenue based on costs on which we expect to be paid after any final audit. However, we do not know the outcome of any future audits and adjustments in advance, and we may be required to reduce our revenue or profits materially upon completion and final negotiation of audits. As a result of certain cost reduction initiatives across our industry, we have experienced and may continue to experience an increased number of audits and/or a lengthened period of time required to close open audits. For example, the thresholds for certain allowable costs in the U.S., including compensation costs, have been significantly reduced and the allowability of other types of costs are being challenged, debated and, in certain cases, modified, all with potentially significant financial costs to the Company.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If an audit uncovers improper or illegal activities, we may be subject to civil and criminal penalties, sanctions, termination of contracts, forfeiture of profits or suspension or debarment from doing business with the U.S. government. Whether or not illegal activities are alleged, the U.S. government has the ability to decrease or withhold certain payments when it deems systems subject to its review to be inadequate, with significant financial impact. In addition, we could suffer serious reputational harm if allegations of impropriety were made against us or our business partners and suppliers.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Additionally, we are reviewed and rated by our government clients on a contract by contract basis. The receipt of a negative review on one contract could cause us reputational harm and adversely affect our ability to win future contracts.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Due to our reliance on government contracts, negative audit findings or reviews for one or more of these contracts could have a material adverse impact on our business, financial condition and results of operations.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are subject to a number of procurement, international trade, and other rules, regulations and requirements related to our industry, our products, and the businesses we operate. If we fail to comply with such rules, regulations or other requirements we may be subject to civil and/or criminal penalties and/or administrative sanctions.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a U.S. government contractor, we (and our subcontractors and others with whom we do business) must comply with many significant procurement regulations and other specific legal requirements. These regulations and other requirements increase our performance and compliance costs and risks and regularly evolve. New laws, regulations or procurement requirements or changes to current ones (including, for example, evolving and strengthening regulations related to cybersecurity, privacy, recovery of employee compensation costs, counterfeit and/or substitute parts, anti-human trafficking, organizational conflicts of interest, specialty metals, conflict minerals, and recent U.S. tariffs imposed or threatened to be imposed on other countries and any retaliatory actions taken by such countries) can significantly increase our costs and risks and negatively affect our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If we fail to comply with procurement regulations or other requirements, we may be subject to civil and/or criminal penalties and/or administrative sanctions, which may include termination or modification of contracts, forfeiture of profits, suspension of payments, fines and suspension or prohibition from doing business with the U.S. government, any of which could have a material adverse effect on our business, financial condition and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(including our subcontractors and others with whom we do business) are also subject to, and expected to perform in compliance with, a vast array of federal, state, local and international laws, regulations and requirements related to our industry, our products and the businesses we operate. These laws and regulations include, but are not limited to, the Anti-Kickback Act, the Arms Export Control Act, including the ITAR, the Communications Act, the Defense Federal Acquisition Regulations, the EAR (which includes anti-boycott provisions), the False Claims Act, the Federal Acquisition Regulation, the FCPA, the Lobbying Disclosure Act, the Procurement Integrity Act, the Truthful Cost or Pricing Data Act, the Foreign Trade Regulations, the Foreign Investment Risk Review Modernization Act, the International Emergency Economic Powers Act, the Trading with the Enemy Act, and Executive Orders and regulations, administered by the U.S. Department of the Treasury, DoW, Office of Foreign Assets Control, as well as rules and regulations administered by the U.S. Customs and Border Protection and the Bureau of Alcohol, Tobacco, Firearms and Explosives. While we have implemented compliance programs that are intended to avoid violations of these laws, regulations and requirements, given the nature of our operations and the constant evolution of applicable laws, regulations and requirements, we may not be able to prevent future violations. If we are found to have violated such laws, regulations or requirements, we may be subject to: reductions of the value of contracts; contract modifications or termination; the withholding of payments from our customer; the loss of export privileges; administrative or civil judgments and liabilities; criminal judgments or convictions, liabilities and consent or other voluntary decrees or agreements; other sanctions; the assessment of penalties, fines, or compensatory, treble or other damages or non-monetary relief or actions; or suspension or debarment.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If we or those with whom we do business do not comply with the laws, regulations and processes to which we are subject or if U.S. government practices or requirements change significantly, including with respect to the thresholds for allowable costs, it could affect our ability to compete and adversely impact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The U.S. government’s organizational conflict of interest rules could limit our ability to successfully compete for new contracts or may require us to exit or wind down certain existing contracts, any of which could adversely affect our business, financial condition, results of operations and prospects.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Past efforts by the U.S. government to reform its procurement practices have focused, among other areas, on the separation of certain types of work to facilitate objectivity and avoid or mitigate organizational conflicts of interest, and the strengthening of regulations governing organizational conflicts of interest. Organizational conflicts of interest may arise from circumstances in which a contractor has: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impaired objectivity during performance;</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unfair access to non-public information; or</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ability to set the “ground rules” for another procurement for which the contractor competes.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 focus on organizational conflicts of interest issues has resulted in legislation and regulations aimed at increasing organizational conflicts of interest requirements, including, among other things, separating sellers of products and providers of advisory services in major defense acquisition programs. These organizational conflicts of interest regulations have led to increased bid protests related to arguments to disqualify or overturn awards based on conflict grounds.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Considerable uncertainty exists regarding future legislation and regulations as the current administration has issued changing guidance on a wide array of topics. Future legislation and regulations may increase the restrictions in current organizational conflicts of interest regulations and rules. To the extent that organizational conflicts of interest laws, regulations and rules limit our ability to successfully compete for new contracts or task orders with the U.S. government and/or commercial entities, or require us to exit certain existing contracts or wind down certain existing contracts, either because of organizational conflicts of interest issues arising from our business or because companies with which we are affiliated, including Leonardo S.p.A. and its subsidiaries (including US Holding), or with which we otherwise conduct business create organizational conflicts of interest issues for us, our business, financial condition, results of operations and prospects could be materially and adversely affected.</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The U.S. government has and may continue to implement initiatives focused on efficiencies, affordability and cost growth as well as other changes to its procurement practices.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industry has experienced, and we expect will continue to experience, significant changes to business practices globally as a result of an increased focus on affordability, efficiencies, business systems, recovery of costs and a reprioritization of available defense funds to key areas for future defense spending. Any initiatives and changes to procurement practices may change the way U.S. government contracts are solicited, negotiated and managed, which may affect whether and how we pursue opportunities to provide our products and services to the U.S. government, including the terms and conditions under which we do so. For example, in connection with these cost reduction initiatives the U.S. government is pursuing alternatives to shift additional responsibility and performance risks to the contractor. Changes in procurement practices favoring incentive-based fee arrangements, different award criteria, non-traditional contract provisions and government contract negotiation offers also may affect our results of operations and predictability. The U.S. government has been pursuing and may continue to pursue these and other policies that could negatively impact our profitability and adversely impact our business, financial condition and results of operations.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use estimates in pricing and accounting for many of our programs, and changes in our estimates could adversely impact our business, financial condition and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enter into forward pricing rate agreements with our U.S. government clients that establish specific direct and indirect rates to be used in pricing all contracts with the applicable government agency for a specified period of time. This requires us to estimate the costs that we will incur in connection with future contracts. Failure to accurately estimate the costs that we will incur including as a result of changes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underlying assumptions, circumstances or estimates may materially reduce our profit or cause a loss on these contracts and adversely impact our business, financial condition and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Additionally, accounting for our contracts requires judgment relative to assessing costs, including costs associated with customer-directed delays and reductions in scheduled deliveries, unfavorable resolutions of claims and contractual matters, judgments associated with estimating contract revenue and costs and assumptions for schedule and technical issues. Due to the size, nature and performance period of many of our contracts, the estimation of total revenue and cost at completion is complicated and subject to many variables. For example, we must make assumptions regarding: (i) the length of time to complete the contract because costs also include expected increases in wages and prices for supplies and materials; (ii) whether contracts should be accounted for as having one or more performance obligations based on the goods and services promised to the customer; (iii) incentives or penalties related to performance on contracts in estimating revenue and profit rates, and recording them when there is sufficient information for us to assess anticipated performance; and (iv) estimates of award fees in estimating revenue and profit rates based on actual and anticipated awards. Because of the significance of the judgments and estimation processes involved in accounting for our contracts, materially different amounts could be recorded if we used different assumptions or if the underlying circumstances were to change. Changes in underlying assumptions, circumstances or estimates may adversely impact our business, financial condition and results of operations.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may not realize the full value of our total estimated remaining contract value or bookings, including as a result of reduction of funding or cancellation of our U.S. government contracts, which could have a material adverse impact on our business, financial condition and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total backlog consists of funded and unfunded amounts. Funded backlog represents the revenue value of orders for products and services under existing contracts for which funding is appropriated or otherwise authorized less revenue previously recognized on these contracts. Unfunded backlog represents the revenue value of firm orders for products and services under existing contracts for which funding has not yet been appropriated less funding previously recognized on these contracts. We evaluate bookings which we define as the total value of contract awards received from the U.S. government for which it has appropriated funds and legally obligated such funds to the Company through a contract or purchase order, plus the funded value of contract awards and orders received from customers other than the U.S. government. As of December 31, 2025, our total remaining contract value was approximately $8,448 million with bookings for the year of $4,245 million. We historically have not realized all of the revenue included in our total contract value or bookings, and we may not realize all of the revenue included in our total contract value or bookings in the future. There is a higher degree of risk in this regard with respect to unfunded backlog. In addition, there can be no assurance that our total bookings will result in actual revenue in any particular period. This is because the actual receipt, timing, and amount of revenue under contracts included in total contract value and bookings are subject to various contingencies, including Congressional appropriations, many of which are beyond our control. The actual receipt of revenue from contracts included in total estimated contract value and bookings may never occur or may be delayed because: a program schedule could change or the program could be canceled; a contract’s funding or scope could be reduced, modified, delayed, de-obligated or terminated early, including as a result of a lack of appropriated funds or cost cutting initiatives and other efforts to reduce U.S. government spending and/or the automatic federal defense spending cuts required by sequestration; in the case of funded backlog, the period of performance for the contract has expired or the U.S. government has exercised its unilateral right to cancel multi-year contracts and related orders or terminate existing contracts for convenience or default; in the case of unfunded backlog, funding may not be available. Our failure to replace canceled or reduced bookings could have a material adverse impact on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Our business may be harmed if we are unable to appropriately manage our inventory.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are subject to the risk that the inventory we carry may decrease in value over time due to, among other things, changes in customer priorities and needs. Any increase in the level of inventories of finished goods, components and raw materials that we carry, including due to any failure to replace cancelled or reduced backlog or other shortfalls in anticipated sales, may increase our risk of inventory obsolescence and corresponding inventory write-downs and write-offs, and such amounts could be material. If we are unable to appropriately manage our inventory balances it could have a material adverse impact on our business, financial condition and results of operations.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Our working capital requirements and cash flows are extremely variable and subject to fluctuation, which could have a material adverse effect on our business, financial condition and results of operations.</w:t>
      </w:r>
    </w:p>
    <w:p>
      <w:pPr>
        <w:pStyle w:val="TextBody"/>
        <w:bidi w:val="0"/>
        <w:spacing w:lineRule="auto" w:line="288" w:before="0" w:after="180"/>
        <w:ind w:left="0" w:right="0" w:firstLine="360"/>
        <w:jc w:val="left"/>
        <w:rPr/>
      </w:pPr>
      <w:r>
        <w:rPr>
          <w:rFonts w:ascii="Helvetica;sans-serif" w:hAnsi="Helvetica;sans-serif"/>
          <w:b w:val="false"/>
          <w:color w:val="000000"/>
          <w:sz w:val="20"/>
        </w:rPr>
        <w:t>Our working capital requirements and cash flows have historically been, and are expected to continue to be, subject to significant fluctuations. Historically we have had negative cash flows in some quarters of the year, and we expect this pattern to continue in the future. See Part II, Item 7, “</w:t>
      </w:r>
      <w:r>
        <w:rPr>
          <w:rFonts w:ascii="Helvetica;sans-serif" w:hAnsi="Helvetica;sans-serif"/>
          <w:b w:val="false"/>
          <w:i/>
          <w:color w:val="000000"/>
          <w:sz w:val="20"/>
        </w:rPr>
        <w:t>Management’s Discussion and Analysis of Financial Condition and Results of Operations</w:t>
      </w:r>
      <w:r>
        <w:rPr>
          <w:color w:val="000000"/>
        </w:rPr>
        <w:t xml:space="preserve">” </w:t>
      </w:r>
      <w:r>
        <w:rPr>
          <w:rFonts w:ascii="Helvetica;sans-serif" w:hAnsi="Helvetica;sans-serif"/>
          <w:b w:val="false"/>
          <w:color w:val="000000"/>
          <w:sz w:val="20"/>
        </w:rPr>
        <w:t>in this Annual Report. If we are unable to manage fluctuations in cash flow, it could have a material adverse impact on our liquidity, as well as on our business, financial condition and results of operations. Factors which could result in fluctuations in our working capital and cash flows include:</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quantity of product and service sales revenue achieved;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timing of the delivery of products and services;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margins achieved on sales of products and services;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timing and collection of receivables;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 xml:space="preserve">the timing and size of inventory and related component purchases; </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timing of payment on payables and accrued liabilities; and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adequacy of our current financing arrangements and access to additional financing.</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cannot predict future capital needs, the sufficiency of our current financing or our ability to obtain additional financing if needed, on terms acceptable to us, if at all.</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Our operations are capital intensive, and we rely heavily on financing, including working capital financing, such as factoring and supply chain financing. We may also enter into other types of financings in the future, including bank and bond financing. Although we believe that our available cash resources, together with our access to credit facilities, as described in </w:t>
      </w:r>
      <w:r>
        <w:rPr>
          <w:rFonts w:ascii="Helvetica;sans-serif" w:hAnsi="Helvetica;sans-serif"/>
          <w:b w:val="false"/>
          <w:i/>
          <w:color w:val="000000"/>
          <w:sz w:val="20"/>
        </w:rPr>
        <w:t>Note 12: Debt</w:t>
      </w:r>
      <w:r>
        <w:rPr>
          <w:color w:val="000000"/>
        </w:rPr>
        <w:t xml:space="preserve"> </w:t>
      </w:r>
      <w:r>
        <w:rPr>
          <w:rFonts w:ascii="Helvetica;sans-serif" w:hAnsi="Helvetica;sans-serif"/>
          <w:b w:val="false"/>
          <w:color w:val="000000"/>
          <w:sz w:val="20"/>
        </w:rPr>
        <w:t>to the Consolidated Financial Statements, and future cash that we expect to generate from our operations, are sufficient to meet our presently anticipated liquidity needs and capital expenditure requirements, we might in the future need to raise additional funds to, among other things: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fund our operations;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support expansion of capacity;</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address fluctuations in cash flow (including negative cash flow periods);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support more rapid growth of our business;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develop new or enhanced products and solutions;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respond to competitive pressures;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acquire companies or technologies.</w:t>
      </w:r>
    </w:p>
    <w:p>
      <w:pPr>
        <w:pStyle w:val="TextBody"/>
        <w:bidi w:val="0"/>
        <w:spacing w:lineRule="auto" w:line="288" w:before="0" w:after="180"/>
        <w:ind w:left="0" w:right="0" w:firstLine="360"/>
        <w:jc w:val="left"/>
        <w:rPr/>
      </w:pPr>
      <w:r>
        <w:rPr>
          <w:rFonts w:ascii="Helvetica;sans-serif" w:hAnsi="Helvetica;sans-serif"/>
          <w:b w:val="false"/>
          <w:color w:val="000000"/>
          <w:sz w:val="20"/>
        </w:rPr>
        <w:t>We cannot guarantee that we will continue to be able to extend existing working capital financing on commercially reasonable terms or at all and we might be unable to obtain additional financing, if needed, on terms acceptable to us, if at all. If sufficient funds are not available or are not available on terms acceptable to us, our ability to fund our current operations, fund expansion, take advantage of acquisition opportunities, develop or enhance services or products, or otherwise respond to competitive pressures would be significantly limited. We may be required to obtain the consent of US Holding in order to obtain financing and there is no guarantee that their consent will be granted. See “—</w:t>
      </w:r>
      <w:r>
        <w:rPr>
          <w:rFonts w:ascii="Helvetica;sans-serif" w:hAnsi="Helvetica;sans-serif"/>
          <w:b w:val="false"/>
          <w:i/>
          <w:color w:val="000000"/>
          <w:sz w:val="20"/>
        </w:rPr>
        <w:t>Risks Relating to Our Ownership and Status under the Amended and Restated Proxy Agreement</w:t>
      </w:r>
      <w:r>
        <w:rPr>
          <w:color w:val="000000"/>
        </w:rPr>
        <w:t>—</w:t>
      </w:r>
      <w:r>
        <w:rPr>
          <w:rFonts w:ascii="Helvetica;sans-serif" w:hAnsi="Helvetica;sans-serif"/>
          <w:b w:val="false"/>
          <w:i/>
          <w:color w:val="000000"/>
          <w:sz w:val="20"/>
        </w:rPr>
        <w:t>Our indirect majority stockholder, Leonardo S.p.A., may have interests that are different from, or conflict with, those of our other stockholders, and their majority ownership in us may discourage change of control transactions</w:t>
      </w:r>
      <w:r>
        <w:rPr>
          <w:rFonts w:ascii="Helvetica;sans-serif" w:hAnsi="Helvetica;sans-serif"/>
          <w:b w:val="false"/>
          <w:color w:val="000000"/>
          <w:sz w:val="20"/>
        </w:rPr>
        <w:t>.” The existing debt obligations of Leonardo S.p.A., which contain restrictions applicable to subsidiaries of Leonardo S.p.A., including us, may also negatively impact our ability to obtain additional financing on terms acceptable to us, if at all. In addition, any decline in the ratings of our corporate credit or any indications from the rating agencies that their ratings on our corporate credit are under surveillance or review with possible negative implications could adversely impact our ability to access capital. These limitations could have a material adverse impact on our business, financial condition and results of operations.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are subject to global and regional economic downturns, rising interest rates and related risks.</w:t>
      </w:r>
    </w:p>
    <w:p>
      <w:pPr>
        <w:pStyle w:val="TextBody"/>
        <w:bidi w:val="0"/>
        <w:spacing w:lineRule="auto" w:line="288" w:before="0" w:after="180"/>
        <w:ind w:left="0" w:right="0" w:firstLine="360"/>
        <w:jc w:val="left"/>
        <w:rPr/>
      </w:pPr>
      <w:r>
        <w:rPr>
          <w:rFonts w:ascii="Helvetica;sans-serif" w:hAnsi="Helvetica;sans-serif"/>
          <w:b w:val="false"/>
          <w:color w:val="000000"/>
          <w:sz w:val="20"/>
        </w:rPr>
        <w:t>Our business is affected by global and regional demographic and macroeconomic conditions. A significant downturn in global economic growth, or recessionary conditions in major geographic regions for prolonged periods, may lead to a variety of adverse consequences for our business including reduced demand for our technologies, increases in our operating costs and rising interest rates. Similarly, any disruption in access to bank deposits or lending commitments due to bank failure may adversely affect our business, financial condition and results of operations.</w:t>
      </w:r>
      <w:r>
        <w:rPr>
          <w:color w:val="FF0000"/>
        </w:rPr>
        <w:t xml:space="preserve"> </w:t>
      </w:r>
      <w:r>
        <w:rPr>
          <w:rFonts w:ascii="Helvetica;sans-serif" w:hAnsi="Helvetica;sans-serif"/>
          <w:b w:val="false"/>
          <w:color w:val="000000"/>
          <w:sz w:val="20"/>
        </w:rPr>
        <w:t>These and other adverse macroeconomic consequences could result in our inability to operate profitably and reduce our earnings.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Failure to maintain an effective system of internal control over financial reporting or to remediate weaknesses could materially harm our revenues, erode stockholder confidence in our ability to pursue business and report our financial results/condition, and negatively affect the trading price of our common stock.</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a public reporting company, we are required to maintain an effective system of internal control over financial reporting. Failure to maintain an effective system of internal control over financial reporting could adversely impact our public disclosures regarding our business, financial condition or results of operations. Any such failure could also prevent us from maintaining accurate accounting records and discovering accounting errors and financial frauds. Rules adopted by the SEC pursuant to Section 404 of the Sarbanes-Oxley Act require annual assessment of our internal control over financial reporting. The standards that must be met for management to assess the internal control over financial reporting as effective are complex, and require significant documentation, testing and possible remediation to meet the detailed standards. Any assessment by management that there are weaknesses in our internal control over financial reporting may raise concerns for investors. Any actual or perceived weaknesses and conditions that need to be addressed in the internal controls over financial reporting (including those weaknesses identified in periodic reports), or disclosure of management’s assessment of the internal controls over financial reporting may have an adverse impact on the price of our common stock.</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The agreements governing our debt contain various covenants that limit our ability to take certain actions and also require us to meet financial maintenance tests, and failure to comply with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covenants could have an adverse impact on our business, financial condition and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financing arrangements, including our senior unsecured credit agreement, contain restrictions, covenants and events of default that, among other things, require us to satisfy certain financial tests and maintain certain financial ratios and restrict our ability to incur additional indebtedness and to refinance our existing indebtedness.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terms of our financing arrangements may impose various restrictions and covenants on us that could limit our ability to respond to market conditions, provide for capital investment needs or take advantage of business opportunities by limiting the amount of additional borrowings we may incur. These restrictions may include compliance with, or maintenance of, certain financial tests and ratios and may limit or prohibit our ability to, among other things: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borrow money or guarantee debt;</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create liens;</w:t>
      </w:r>
    </w:p>
    <w:p>
      <w:pPr>
        <w:pStyle w:val="TextBody"/>
        <w:bidi w:val="0"/>
        <w:spacing w:lineRule="auto" w:line="288" w:before="0" w:after="180"/>
        <w:ind w:left="0" w:right="0" w:firstLine="360"/>
        <w:jc w:val="left"/>
        <w:rPr/>
      </w:pPr>
      <w:r>
        <w:rPr>
          <w:color w:val="000000"/>
        </w:rPr>
        <w:t>•</w:t>
      </w:r>
      <w:r>
        <w:rPr>
          <w:rFonts w:ascii="Helvetica;sans-serif" w:hAnsi="Helvetica;sans-serif"/>
          <w:b w:val="false"/>
          <w:color w:val="000000"/>
          <w:sz w:val="20"/>
        </w:rPr>
        <w:t>pay dividends or acquire our capital stock;</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make investments and acquisitions;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enter into, or permit to exist, contractual limits on the ability of our subsidiaries to pay dividends to us;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enter into new lines of business;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enter into transactions with affiliates; and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sell assets or merge with other companies.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Various risks, uncertainties and events beyond our control could affect our ability to comply with these restrictions and covenants. Failure to comply with any of the restrictions and covenants that may be in our financing arrangements could result in a default under those arrangements and under other arrangements that may contain cross-default provisions.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 default would permit lenders to accelerate the maturity of the debt under these arrangements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To service indebtedness and fund other cash needs, we will require a significant amount of cash, and our ability to generate cash depends on many factors beyond our control.</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ability to pay principal and interest on our anticipated debt obligations and to fund any planned capital expenditures and other cash needs will depend in part upon the future financial and operating performance of our company and our subsidiaries. Prevailing economic conditions and financial, business, competitive, legislative, regulatory and other factors, many of which are beyond our control, will affect our ability to make these payments.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If we are unable to make payments or we are unable to refinance the debt or obtain new financing under these circumstances, we may consider other options, including:</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sales of assets;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equity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reductions or delays of capital expenditures, strategic acquisitions, investments and alliances; and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negotiations with our lenders to restructure the applicable debt.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Some of our variable rate indebtedness uses the Secured Overnight Financing Rate (“SOFR”) as a benchmark for establishing the rate. Our business may not generate sufficient cash flow from operations, and future borrowings may not be available to us in an amount sufficient, to enable us to pay our anticipated indebtedness or to fund our other liquidity needs. We may need to refinance all or a portion of our anticipated indebtedness on or before maturity. We may not be able to refinance any of our anticipated debt on commercially reasonable terms, or at all.</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face intense competition and may suffer losses if we fail to compete efficiently.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operate in highly competitive markets and compete with many large, small and mid-tier defense contractors, including, at times, our customers, based on performance, cost, overall value, delivery and reputation. Our competitors continuously seek to expand their business relationships with the U.S. government and will continue these efforts in the future, and the U.S. government may choose to use other contractors. We expect that a majority of the business that we seek will be awarded through competitive bidding. The U.S. government has increasingly relied on certain types of contracts that are subject to multiple competitive bidding processes, including multi-vendor Indefinite Delivery Indefinite Quantity (“IDIQ”), Government wide Acquisition Contracts, General Services Administration Schedule and other multi-award contracts, which has resulted in greater competition and increased pricing pressure.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customers’ requirements change and evolve regularly. Accordingly, our future performance depends, in part, on our ability to adapt to changing customer needs rapidly, identify emerging technological trends, develop and manufacture innovative products and services efficiently and bring those offerings to market quickly at cost-effective prices. This includes efforts to provide solutions that integrate capabilities and resources. AI technologies have rapidly developed, and our business may be adversely affected if we cannot successfully integrate the technology into our internal business processes and product and service offerings in a timely, cost-effective, compliant and responsible manner.</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Many of our larger competitors have significantly greater financial resources than we do and have more extensive or more specialized engineering, manufacturing and marketing capabilities than we do in some areas, including as a result of substantial industry consolidation, which increased the market share of certain of our competitors and enabled them to take advantage of economies of scale and develop new technologies. These larger competitors may also benefit from supply chain leverage and pricing flexibility, including, in some cases, the ability to price contracts at a loss, due to their size. Larger competitors, for example, may decide to pursue contracts typically won by mid-tier contractors, such as us. A number of these competitors are also our suppliers and customers. Additionally, some customers, including the DoW, are increasingly purchasing “off the shelf” components from commercial suppliers in lieu of using traditional defense contractors to design and manufacture such items.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Many of our smaller competitors may be able to adapt more quickly to new market opportunities or customer requirements, and focus their resources on developing and commercializing specific technologies or targeting particular market segments. These smaller competitors may be able to: innovate more rapidly or create disruptive technologies that could diminish the demand for our products or services; offer competitive products at lower prices, often due to lower overhead or more efficient operational structures; form strategic alliances, including with large and established companies, that enhance their product offerings or go-to market strategies; or secure funding from venture capital, private equity or other financing sources that support aggressive growth or market penetration strategies.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An increase in competition from these smaller companies may force us to lower our prices or increase our spending on research and development, sales, and marketing, which could have a deleterious effect on our operating margins and profitability. As these companies continue to expand, their scale and scope may also grow, potentially allowing them to compete more directly and effectively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against us. Our failure to compete effectively with these smaller, innovative companies can reduce our market share and materially impact our business, financial condition, and operating results.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may not be able to continue to win competitively awarded contracts or to obtain task orders under multi-award contracts. Further, the competitive bidding process involves significant cost and managerial time to prepare bids and proposals for contracts that may not be awarded to us or may be split with competitors, as well as the risk that we may fail to accurately estimate the resources and costs required to fulfill any contract awarded to us. Any increase in bid protests from unsuccessful bidders typically extends the time until work on a contract can begin. Following any contract award, we may experience significant expense or delay, contract modification or contract rescission as a result of our competitors protesting or challenging contracts awarded to us in competitive bidding.</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Preferences or set-asides for small or small disadvantaged businesses could impact our ability to be a prime contractor and limit our opportunity to work as a subcontractor on certain governmental procurements.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a result of the Small Business Administration (“SBA”) set-aside program, the federal government may decide to restrict certain procurements only to bidders that qualify as small or small disadvantaged businesses. We would not be eligible to perform as a prime contractor on those programs and in general would be restricted to no more than 49% of the work as a subcontractor on those programs. An increase in the amount of procurements under the SBA set-aside program may impact our ability to bid on new procurements as a prime contractor, limit our opportunity to work as a subcontractor or restrict our ability to compete on incumbent work that is placed in the set-aside program.</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depend in part upon our relationships and alliances with industry participants in order to generate revenue, which involves risks and uncertainties.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rely on the strength of our relationships with other industry participants, including major prime contractors and small businesses, to form strategic alliances and we have entered, and expect to continue to enter into joint venture, teaming, partnership, subcontractor and other arrangements. These activities involve risks and uncertainties, including the risk that a joint venture or applicable entity fails to satisfy its obligations, which may result in certain liabilities to us from guarantees and other commitments, the challenges in achieving strategic objectives and expected benefits of the business arrangement, the risk of conflicts arising between us and our partners and the difficulty of managing and resolving such conflicts and the business arrangements generally. In some cases, these relationships are subject to exclusivity arrangements which subject us to the risk that we may be forced to forego superior opportunities with a different partner. In addition, particularly where we act as a subcontractor and form teaming arrangements in which we and other contractors bid on particular contracts or programs, we often lack control over fulfillment of a contract and poor performance on the contract could impact our customer relationship, even when we perform as required. If partners in teaming arrangements suffer financial difficulties, face compliance or other reputational issues or fail to comply with the law, we may be adversely affected to the extent we are relying on such partners. Additionally, the U.S. Department of Justice and Federal Trade Commission have periodically and increasingly focused on ensuring competition in government acquisition and could challenge a teaming arrangement. If any of our existing relationships with our industry partners were impaired or terminated, or if we are unable to enter into future arrangements, we could also experience significant delays in the development of new products ourselves, and we would incur additional development costs. We would need to fund these costs internally or identify new industry partners.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Some of our industry partners and major customers are also potential competitors, which may impair the viability of new or continued strategic relationships. This position may create conflicts of interest and uncertainty in circumstances where we continue to operate as both a subcontractor for and a competitor to one of our industry partners or customers, potentially jeopardizing potential revenue opportunities. While we must compete effectively in the marketplace, our future alliances may depend on our industry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partners’ perception of us. Our ability to win new and/or follow-on contracts may be dependent upon our relationships within the defense industry.</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Contractual disputes with industry participants or the inability of our key suppliers to timely deliver our components, parts or services, could cause our products, systems or services to be produced or delivered in an untimely or unsatisfactory manner.</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act as subcontractor on many contracts and engage subcontractors on many of our own contracts. We may have disputes with our contractual counterparts, including regarding the quality and timeliness of work performed by a subcontractor, customer concerns about a subcontract or subcontractor, our failure to extend existing task orders or issue new task orders under a subcontract, our hiring of personnel of a subcontractor or as a subcontractor or our counterpart’s failure to comply with applicable law. In addition, there are certain parts, components and services for many of our products, systems and services that we source from other manufacturers or vendors. Some of our suppliers, from time to time, experience financial and operational difficulties, which may impair their ability to supply the materials, components, subsystems and services that we require. For example, we have recently witnessed shortages of germanium, as well as other raw materials, castings and electronic components that are used in our products. Shortages within our supply chain of these and similar materials and components that we use could negatively impact our supply chain and manufacturing processes, as well as our ability to deliver on our contracts. In addition, our supply chain may be disrupted by trade conflicts and tariffs imposed on products (including recent U.S. tariffs imposed or threatened to be imposed on other countries and any retaliatory actions taken by such countries), as well as other external events, including natural disasters, extreme weather conditions, future medical epidemics or pandemics, acts of terrorism, cyber-attacks and labor disputes, governmental actions and legislative or regulatory changes, such as product certification or stewardship requirements, sourcing restrictions, product authenticity and climate change or greenhouse gas emission standards. These or any further political or governmental developments or health concerns could result in social, economic and labor instability. Any inability to develop alternative sources of supply on a cost-effective and timely basis could materially impair our ability to manufacture and deliver products, systems and services to our customers.</w:t>
      </w:r>
    </w:p>
    <w:p>
      <w:pPr>
        <w:pStyle w:val="TextBody"/>
        <w:bidi w:val="0"/>
        <w:spacing w:lineRule="auto" w:line="288" w:before="0" w:after="180"/>
        <w:ind w:left="0" w:right="0" w:firstLine="360"/>
        <w:jc w:val="left"/>
        <w:rPr/>
      </w:pPr>
      <w:r>
        <w:rPr>
          <w:rFonts w:ascii="Helvetica;sans-serif" w:hAnsi="Helvetica;sans-serif"/>
          <w:b w:val="false"/>
          <w:color w:val="000000"/>
          <w:sz w:val="20"/>
        </w:rPr>
        <w:t>We may have disputes with our subcontractors or suppliers, material supply constraints or problems, or component, subsystems or services problems in the future. Also, our subcontractors and other suppliers may not be able to acquire or maintain the quality of the materials, components, subsystems and services they supply, which might result in greater product returns, service problems and warranty claims and could harm our business, financial condition and results of operations. Further, warranty claims brought by our customers related to third-party components and materials may arise after our ability to bring corresponding warranty claims against such suppliers expire, which could result in costs to us. In addition, in connection with our government contracts, we are required to procure certain materials, components and parts from supply sources approved by the U.S. government and we rely on our subcontractors and suppliers to comply with applicable laws, regulations and other requirements regarding procurement of counterfeit, unauthorized or otherwise non-compliant parts or materials, including parts or materials they supply to us, and in some circumstances, we rely on their certifications as to their compliance. From time to time, we use components for which there is only one supplier, and that supplier may be unable to meet our needs. The inability of our suppliers to perform, or their inability to perform adequately, could also result in the need for us to transition to alternate suppliers, which could result in significant incremental cost and delay or the need for us to provide other resources to support our existing suppliers.</w:t>
      </w:r>
      <w:r>
        <w:rPr>
          <w:color w:val="000000"/>
        </w:rPr>
        <w:t xml:space="preserve"> </w:t>
      </w:r>
      <w:r>
        <w:rPr>
          <w:rFonts w:ascii="Helvetica;sans-serif" w:hAnsi="Helvetica;sans-serif"/>
          <w:b w:val="false"/>
          <w:color w:val="000000"/>
          <w:sz w:val="20"/>
        </w:rPr>
        <w:t>Each of these subcontractor and supplier risks could have a material adverse impact on our business, financial condition and results of operations.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may be susceptible to a security breach, through cyber-attack, cyber-intrusion, insider threats or otherwise, and to other significant disruptions of our IT networks and related systems, or those of our customers, suppliers, vendors, subcontractors, partners, or other third parties.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store sensitive data, including information relating to national security and other sensitive government functions, intellectual property and technology, proprietary business information,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confidential employee information such as personally identifiable or protected health information on our servers and databases. We are subject to laws and rules issued by U.S. and non-U.S. governments and agencies concerning safeguarding and maintaining information confidentiality including extensive and evolving cyber requirements of the DoW. We face the risk of a security breach with respect to that data, whether through cyber-attack, cyber-intrusion or insider threat via the Internet, malware, e-mail attachments, persons inside our organization or with access to systems inside our organization, threats to the physical security of our facilities and employees or other significant disruption of our IT networks and related systems or those of our suppliers or subcontractors. As an advanced technology-based solutions provider, and particularly as a government contractor with access to national security and other sensitive government information, we face a heightened risk of a security breach or disruption from threats to gain unauthorized access to our and our customers’ proprietary or classified information on our IT networks and related systems and to the IT networks and related systems that we operate and maintain for certain of our customers. These types of information and IT networks and related systems are critical to the operation of our business and essential to our ability to perform day-to-day operations, and, in some cases, are critical to the operations of certain of our customers. We make significant efforts to maintain the security and integrity of these types of information and IT networks and related systems and have implemented various measures to manage the risk of a security breach or disruption. As is the case with many other companies, we have experienced cybersecurity incidents in the past, including denial-of-service attacks, ransomware, and attacks from suspected nation state actors. Our efforts and measures have not been effective in the case of every incident, but no incident has had a material negative impact on us to date. In addition, the rapid evolution and increased adoption of AI or machine learning technologies may intensify our cybersecurity risks. Sensitive data saved on networks, systems and facilities therefore remain vulnerable because of the risk that cybersecurity incidents, including, but not limited to, attempts to gain unauthorized access to data; potential security breaches, particularly cyber-attacks and cyber-intrusions; or disruptions, will occur in the future, and because the techniques used in such attempts are constantly evolving and generally are not recognized until launched against a target. In some cases these attempts are designed not to be detected and, in fact, may not be detected. In some cases, the resources of foreign governments may be behind such attacks due to the nature of our business and the industries in which we operate. Accordingly, we may be unable to anticipate these techniques or to implement adequate security barriers or other preventative measures. Thus, it is impossible for us to entirely mitigate this risk, and there can be no assurance that future cybersecurity incidents will not have a material negative impact on us. A security breach or other significant disruption involving these types of information and IT networks and related systems could: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disrupt the proper functioning of these networks and systems and, therefore, our operations and/or those of certain of our customers;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result in the unauthorized access to, and destruction, loss, theft, misappropriation or release of, proprietary, confidential, sensitive or otherwise valuable information of ours, our customers or our employees, including trade secrets, which could be used to compete against us or for disruptive, destructive or otherwise harmful purposes and outcomes;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result in litigation and governmental investigation and proceedings associated with cybersecurity incidents;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compromise national security and other sensitive government functions;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require significant management attention and resources to remedy the damages that result;</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result in costs which exceed our insurance coverage and/or indemnification arrangements;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subject us to claims for contract breach, damages, credits, penalties or termination; and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damage our reputation with our customers (particularly agencies of the U.S. government) and the general public.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Additionally, a failure to comply with the National Institute of Standards and Technology Special Publication 800-171 or other DoW cybersecurity requirements including the Cybersecurity Material Model Certificate (“CMMC”), whether or not resulting in a security breach or disruption, could restrict our ability to bid for, be awarded and perform on DoW contracts. DoW requirements to comply with the CMMC now and in the future, and any obligations that may be imposed on us under the CMMC that may be different from or in addition to those otherwise required by applicable laws and regulations, may cause additional expense for compliance.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must also rely on the safeguards put in place by customers, suppliers, vendors, subcontractors, partners in teaming arrangements or other third parties to minimize the impact of cyber threats, other security threats or business disruptions. These third parties may have varying levels of cybersecurity expertise and safeguards, and their relationships with government contractors, such as our company, may increase the likelihood that they are targeted by the same cyber threats, including from foreign governments. In the event of a breach affecting these third parties, our business and financial results could suffer materially. With respect to our commercial arrangements with these third parties, we have processes designed to require that the third parties and their employees and agents agree to maintain certain standards for the storage, protection and transfer of confidential, personal and proprietary information. However, we remain at risk of a data breach due to the intentional or unintentional non-compliance by a third-party’s employee or agent, the breakdown of a third-party’s data protection processes, which may not be as sophisticated as ours, or a cyber-attack on a third-party’s information network or systems.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impact of these various factors is difficult to predict, but any of them could result in the loss of information or capabilities, harm to individuals or property, damage to our reputation, loss of business, contractual or regulatory actions and potential liabilities, any one of which could have a material adverse impact on our business, financial condition and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Significant capital investments and other expenditures could be required to remedy cybersecurity challenges and prevent future breaches, including costs associated with additional security technologies, personnel and experts. These costs, which could be material, could adversely impact our results of operations in the period in which they are incurred and may not meaningfully limit the success of future attempts to breach our information technology systems.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Some of our contracts with the U.S. government are classified, which may limit investor insight into portions of our business.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derive a portion of our revenues from programs with the U.S. government that are subject to security restrictions that preclude the dissemination of information that is classified for national security purposes. We are limited in our ability to provide details about these classified programs, their risks or any disputes or claims relating to such programs, and may not disclose such information pursuant to SEC rules permitting confidential treatment of certain information. As a result, investors and others might have less insight into our classified programs than our other businesses and, therefore, less ability to fully evaluate the risks related to our classified business.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may be at greater risk from terrorism and other threats to our physical security and personnel, than other companies.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As a defense contractor, we may be more likely than other companies to be a direct target of, or indirectly damaged by, physical attacks including by active shooters, terrorists or terrorist organizations. It is impossible to predict accurately the likelihood or impact of any attack on our industry generally or on our business. While we have implemented significant physical security protection measures, business continuity plans and established backup sites, in the event of an attack or a threat of an attack, these security measures and contingency plans may be inadequate to prevent significant disruptions in our business, technology or access to the infrastructure necessary to maintain our business. Such attack may harm our personnel, close our facilities or render our backup data and recovery systems inoperable.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Damage to our facilities due to attacks may be significantly in excess of any amount of insurance recovery, and we may not be able to insure against such damage at a reasonable price or at all. The threat of attacks may also negatively affect our ability to attract and retain employees. Any of these events could have a material adverse effect on our business, financial condition and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conduct significant business and manufacturing activities in Israel and have business activities in regions that experience heightened geopolitical tension and frequent incidents of terror and conflict. The ongoing threats of terrorism, acts of war, or armed hostilities in these areas pose a persistent risk that could result in harm to our personnel, damage to our property, or disruption of our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Potential consequences of such events include:</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Temporary or prolonged disruptions to our operations, including manufacturing, R&amp;D facilities, or other crucial aspects of our business.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Increased security costs and heightened challenges in maintaining the safety and security of our personnel and assets.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Additional difficulties in transporting and distributing our products, which may result in delays or loss of sales.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Interruptions in the availability of local infrastructure critical to our operations, including electricity, telecommunications, and water supply.</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Challenges in attracting and retaining skilled employees, particularly those not willing to work in high-risk areas due to personal safety concerns.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Uncertainty and instability in these regions can also adversely impact local and global markets, potentially leading to reduced demand for our products or fluctuations in the pricing of key inputs.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Moreover, our business may suffer from:</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hindrance or limitation of insurance coverage for losses resulting from acts of war or terrorism, potentially leading to significant uninsured liabilities.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Increased difficulties in obtaining financing, as lenders may view our operations as high-risk due to their location in or connection to these regions.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occurrence of any terrorist acts, armed conflicts, or escalations in hostilities can have a severe impact on our business, results of operations, and financial condition. It could also lead to significant volatility in the financial markets, affecting our stock price and investor confidence.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Although we have developed contingency plans aimed at ensuring the continuity of our operations during times of crisis, there can be no assurance that these plans will be fully effective in mitigating the risks posed by terrorism and geopolitical uncertainties in these regions.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Our future success will depend on our ability to respond to the rapid technological changes in the markets in which we compete, and our ability to introduce new or enhanced products and to enter into new markets.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markets in which we compete are characterized by rapid technological developments and frequent new product introductions, enhancements and modifications. This includes efforts to provide solutions that integrate AI technologies, including AI-optimized open architecture software that have rapidly developed and are continuously evolving, and our business may be adversely affected if we cannot successfully integrate the technology into our internal business processes and product and service offerings in a timely, cost-effective, compliant and responsible manner. Additionally, our ability to develop other new products and technologies that anticipate changing customer requirements, reduce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costs and otherwise retain or enhance our competitive position in existing and new markets will be an important factor in our future results of operations. We will continue to make substantial capital expenditures and incur significant R&amp;D costs aimed at improving our manufacturing capability, reducing costs, and developing and introducing new products and enhancements. If we fail to develop and introduce new products and technologies in a timely manner it could have a material adverse effect on our business, financial condition and results of operations. In addition, we cannot be certain that our new products and technologies will be successful or that customers will accept any of our new products.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Many of our contracts contain performance obligations that require innovative design capabilities, are technologically complex, require state-of-the-art manufacturing expertise or are dependent upon factors not wholly within our control. Failure to meet our contractual obligations could adversely affect our business, financial condition, results of operations, reputation and future prospects.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design, develop and manufacture technologically advanced and innovative products and services, which are applied by our customers in a variety of environments, including some under highly demanding operating conditions, to accomplish challenging missions. Problems and delays in development or delivery, or system failures, as a result of issues with respect to design, technology, intellectual property rights, labor, inability to achieve learning curve assumptions, inability to effectively manage a broad array of programs, manufacturing materials or components, or subcontractor performance could prevent us from meeting requirements and create significant risk and liabilities. In addition, any obsolescence of components used in our products may require us to redesign our products, in whole or in part, which could result in increased costs. Similarly, failures to perform on schedule or otherwise to fulfill our contractual obligations could negatively affect our reputation and ability to win future business which could have a material adverse impact on our business, financial condition and results of operations.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In addition, our products cannot be tested and proven in all situations and are otherwise subject to unforeseen problems. Examples of unforeseen problems that could negatively affect revenue, schedule and results of operations include premature failure of products that cannot be accessed for repair or replacement, failure to perform in anticipated or unanticipated battlefield conditions, unintended explosions or similar events, problems with design, quality and workmanship, inadequate delivery of subcontractor components or services and degradation of product performance. These failures could result, either directly or indirectly, in loss of life or property. Among the factors that may affect revenue and results of operations could be inaccurate cost estimates, design issues, human factors, unforeseen costs and expenses not covered by insurance or indemnification from the customer, diversion of management focus in responding to unforeseen problems, loss of follow-on work, and, in the case of certain contracts, repayment to the government customer of contract cost and fee payments we previously received, or replacement obligations. See also </w:t>
      </w:r>
      <w:r>
        <w:rPr>
          <w:color w:val="000000"/>
        </w:rPr>
        <w:t>“—</w:t>
      </w:r>
      <w:r>
        <w:rPr>
          <w:rFonts w:ascii="Helvetica;sans-serif" w:hAnsi="Helvetica;sans-serif"/>
          <w:b w:val="false"/>
          <w:i/>
          <w:color w:val="000000"/>
          <w:sz w:val="20"/>
        </w:rPr>
        <w:t>Risks Relating to Our Business</w:t>
      </w:r>
      <w:r>
        <w:rPr>
          <w:color w:val="000000"/>
        </w:rPr>
        <w:t>—</w:t>
      </w:r>
      <w:r>
        <w:rPr>
          <w:rFonts w:ascii="Helvetica;sans-serif" w:hAnsi="Helvetica;sans-serif"/>
          <w:b w:val="false"/>
          <w:i/>
          <w:color w:val="000000"/>
          <w:sz w:val="20"/>
        </w:rPr>
        <w:t>Our results of operations and cash flows are substantially affected by our mix of fixed-price, cost-plus and time-and-materials type contracts. In particular, fixed-price contracts subject us to the risk of loss in the event of cost overruns or higher than anticipated inflation</w:t>
      </w:r>
      <w:r>
        <w:rPr>
          <w:color w:val="000000"/>
        </w:rPr>
        <w:t xml:space="preserve">” </w:t>
      </w:r>
      <w:r>
        <w:rPr>
          <w:rFonts w:ascii="Helvetica;sans-serif" w:hAnsi="Helvetica;sans-serif"/>
          <w:b w:val="false"/>
          <w:color w:val="000000"/>
          <w:sz w:val="20"/>
        </w:rPr>
        <w:t xml:space="preserve">and </w:t>
      </w:r>
      <w:r>
        <w:rPr>
          <w:color w:val="000000"/>
        </w:rPr>
        <w:t>“—</w:t>
      </w:r>
      <w:r>
        <w:rPr>
          <w:rFonts w:ascii="Helvetica;sans-serif" w:hAnsi="Helvetica;sans-serif"/>
          <w:b w:val="false"/>
          <w:i/>
          <w:color w:val="000000"/>
          <w:sz w:val="20"/>
        </w:rPr>
        <w:t>Risks Relating to Our Business</w:t>
      </w:r>
      <w:r>
        <w:rPr>
          <w:color w:val="000000"/>
        </w:rPr>
        <w:t>—</w:t>
      </w:r>
      <w:r>
        <w:rPr>
          <w:rFonts w:ascii="Helvetica;sans-serif" w:hAnsi="Helvetica;sans-serif"/>
          <w:b w:val="false"/>
          <w:i/>
          <w:color w:val="000000"/>
          <w:sz w:val="20"/>
        </w:rPr>
        <w:t>We use estimates in pricing and accounting for many of our programs, and changes in our estimates could adversely impact our business, financial condition and results of operations</w:t>
      </w:r>
      <w:r>
        <w:rPr>
          <w:rFonts w:ascii="Helvetica;sans-serif" w:hAnsi="Helvetica;sans-serif"/>
          <w:b w:val="false"/>
          <w:color w:val="000000"/>
          <w:sz w:val="20"/>
        </w:rPr>
        <w: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If we are unable to meet our obligations, including due to issues regarding the design, development or manufacture of our products or services, it could have a material adverse impact on our reputation, our ability to compete for other contracts and our business, financial condition and results of operations.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may not be able to fully exploit or obtain patents or other intellectual property protections necessary to secure our proprietary technology.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seek to protect our competitive position by seeking patents, proprietary information and other intellectual property protections when possible and appropriate. However, we do not have the right to prohibit the U.S. government from using certain technologies developed by us or to prohibit third-party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29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companies, including our competitors, from using those technologies in providing products and services to the U.S. government. The U.S. government often obtains the right to royalty-free use of technologies or intellectual property that we develop under U.S. government contracts or with funding from the U.S. government. Further, while we may retain rights over any technology, product or intellectual property that we develop under U.S. government contracts or using funding from the U.S. government, this requires us to take timely affirmative measures to preserve our rights. We are sometimes able to commercially exploit those government-funded technologies and, in many cases, may assert our intellectual property rights to seek to block other non-government users thereof, but we cannot assure you that we will always have such rights and that when we do, that those efforts will be successful. In some cases it may not be appropriate to patent our intellectual property as this involves making the patented technology public. In such cases we may have limited means to protect our intellectual property.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While we enter into confidentiality and non-disclosure agreements with our employees, consultants, partners, customers and others to attempt to limit access to and distribution of proprietary and confidential information, it is possible that:</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some or all of our confidentiality agreements will not be honored;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third parties will independently develop equivalent technology or misappropriate our technology or designs;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disputes will arise with our strategic partners, customers or others concerning the ownership of intellectual property; and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contractual provisions may not be enforceable in certain jurisdictions.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Also, despite the steps taken by us to protect our proprietary rights, it may be possible for unauthorized third parties to copy or reverse-engineer aspects of our products, develop similar technology independently or otherwise obtain and use information from our supply chain that we regard as proprietary, and we may be unable to successfully identify or prosecute unauthorized uses of our technology.</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Third parties have claimed in the past and may claim in the future that we are infringing directly or indirectly upon their intellectual property rights, and third parties may infringe upon our intellectual property rights.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ability to ensure a competitive market position and gain awards of contracts depends in part on our ability to ensure that our intellectual property is protected, that our intellectual property rights are not diluted or subject to misuse, that we are able to license certain third-party intellectual property on reasonable terms and that we are able to operate without infringing the intellectual property rights of others. Third parties have claimed in the past and may claim in the future that we are infringing directly or indirectly upon their intellectual property rights, and we may be found to be infringing or to have infringed directly or indirectly upon those intellectual property rights. For example, in June 2017 another defense contractor filed suit in the United States Court of Federal Claims alleging that the U.S. government had infringed upon four of its patents relating to night vision weapon systems under a contract awarded to one of our subsidiaries. Neither we nor our subsidiary were named as defendants in the case, and the U.S. government assumes all infringement liability. In 2020, we received a notification from a commercial customer claiming that, under an agreement between us and the customer relating to night vision weapon systems on a separate program, we would be required to indemnify the customer if it were to incur any costs as a result of these allegations.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Claims of intellectual property infringement might also require us to enter into costly royalty or license agreements. There can be no assurance that any of our patents and other intellectual property will not be challenged, invalidated, misappropriated or circumvented by third parties. Moreover, we may not be able to obtain royalty or license agreements on terms acceptable to us, or at all. We also may be subject to significant damages or injunctions against development and sale of certain of our products, services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solutions. Our success depends in large part on our proprietary technology. We rely on a combination of patents, copyrights, trademarks, trade secrets, know-how, confidentiality provisions and licensing arrangements to establish and protect our intellectual property rights. Our efforts, however, to protect our intellectual property and proprietary rights may not be sufficient. In addition, the laws concerning intellectual property vary among nations and the protection provided to our intellectual property by the laws and courts of foreign nations may differ from and be more limited than the protection provided in the U.S. If we fail to successfully protect and enforce these rights, our competitive position could suffer. Our pending patent and trademark registration applications may not be issued, and/or competitors may challenge the validity or scope of our patents or trademark registrations. In addition, our patents may not provide us a significant competitive advantage. We may be required to spend significant resources to monitor and enforce our intellectual property rights. Litigation to determine the scope of intellectual property rights, even if ultimately successful, could be costly and could divert management’s attention away from other aspects of our business. Further, in some cases the U.S. government is unilaterally empowered to use, or allow our competitors to use, patented technology, subject only to the obligation to pay reasonable compensation.</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Our reputation and ability to do business may be impacted by the improper conduct of our employees, agents, affiliates, subcontractors, suppliers, business partners or joint ventures in which we participate.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have implemented compliance controls, training, policies and procedures designed to prevent and detect misconduct from being committed by our employees, agents or business partners that would negatively impact our ability to be a U.S. government contractor or subcontractor and/or violate the laws of the jurisdictions in which we operate, including laws governing improper payments to government officials, such as the FCPA, the protection of export-controlled information, such as the ITAR or EAR, false claims, procurement integrity, cost accounting and billing, competition, information security and data privacy and the terms of our contracts. We cannot ensure, however, that our controls, training, policies and procedures will prevent or detect all misconduct. Additionally, we may have limited ability to control the conduct of our affiliates and we have been, and may in the future be, adversely impacted by misconduct of our affiliates.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This risk of improper conduct may increase as we continue to grow and expand our operations. If not prevented, improper actions by those with whom or through whom we do business (including our employees, agents, subcontractors, suppliers, business partners and joint ventures) could subject us to administrative, civil or criminal investigations and enforcement actions; monetary and non-monetary penalties; liabilities; and the loss of privileges and other sanctions, including suspension and debarment, which could negatively impact our reputation and ability to conduct business and could have a material adverse impact on our business, financial condition and results of operations. In addition, misconduct involving data security lapses resulting in the compromise of personal information or the improper use of our customers’ sensitive, export-controlled, or classified information could result in remediation costs, regulatory sanctions against us and serious harm to our reputation and could adversely impact our ability to continue to contract with the U.S. government.</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Our business, financial condition, and results of operations could be materially adversely affected by climate change regulations.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Climate change regulations at the federal, state, or local level or in international jurisdictions could require us to limit emissions, change our manufacturing processes, obtain substitute materials which may cost more or be less available, increase our investment in control technology for greenhouse gas emissions, fund offset projects, or undertake other costly activities. These regulations could significantly increase our costs and restrict our manufacturing operations by virtue of requirements for new equipment. New permits may be required for our current operations, or expansions thereof. Failure to timely receive permits could result in fines, suspension of production, or cessation of operations at one or more facilities. In addition, restrictions on carbon dioxide or other greenhouse gas emissions could result in significant costs such as higher energy costs and the passing down of carbon taxes, emission cap-and-trade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programs, and renewable portfolio standards by utility companies. The cost of complying, or of failing to comply, with these and other climate change and emissions regulations could have an adverse impact on our business, financial condition and results of operations.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The outcome of litigation, arbitration, investigations, claims, disputes, enforcement actions and other legal proceedings in which we are involved from time to time is unpredictable, and an adverse decision in any such matter could have a material adverse impact on our business, financial condition and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size, nature and complexity of our business make us susceptible to investigations, claims, disputes, agency audits, enforcement actions, subpoenas, litigation and other legal proceedings, particularly those involving government authorities. From time to time, we are and may become subject to investigations, claims, disputes, enforcement actions and administrative, civil or criminal litigation, arbitration or other legal proceedings globally and across a broad array of matters, including, but not limited to, government contracts, commercial transactions, false claims, false statements, mischarging, contract performance, fraud, procurement integrity, products liability, warranty liability, the use of hazardous materials, personal injury claims, environmental matters, stockholder-derivative actions, prior acquisitions and divestitures, intellectual property, tax, employees, export/import, anti-corruption, labor, health and safety, accidents, employee benefits and plans, including plan administration, and improper payments, as well as matters relating to our acquisition of assets or companies and other matters. These actions may divert financial and management resources that would otherwise be used to benefit our operations. No assurances can be given that the results of these or any other matters will be favorable to us. Although we maintain insurance policies, these policies may not be adequate to protect us from all material judgments and expenses related to current or future claims and may not cover the conduct that is the subject of the litigation or arbitration. Desired levels of insurance may not be available in the future at economical prices or at all. Although we believe that we have meritorious defenses to the claims made in the litigation matters in which we have been named a party and intend to contest each lawsuit vigorously, no assurances can be given that the results of these matters will be favorable to us. An adverse resolution or outcome of any of these investigations, claims, disputes, enforcement actions, litigation and other legal proceedings could have an adverse impact on our business, financial condition and results of operations. From time to time, the Company may deem it appropriate to take legal action (or threaten to take such action) against a customer, supplier, former employee, subcontractor or other industry participant to protect its contractual and other legal rights. The outcome of such litigation is inherently uncertain, often costly and could adversely impact the Company’s commercial relationships and reputation.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cannot predict the outcome of legal proceedings and other contingencies with certainty. As required by U.S. GAAP, we estimate material loss contingencies and establish liabilities based on our assessment of contingencies where liability is deemed probable and reasonably estimable in light of the facts and circumstances known to us at a particular point in time. Subsequent developments may affect our assessment and estimates of the loss contingency recorded as a liability or as a reserve against assets in our financial statements. It is possible that the ultimate resolution of these matters could result in a material adverse impact on our financial condition, results of operations and/or cash flows from operating activities in a particular reporting period.</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Our international business exposes us to additional risks, including risks related to geopolitical conflicts, including the war in Israel, and economic factors, laws and regulations.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For the years ended December 31, 2025, 2024, and 2023, approximately 8%, 13% and 10%, respectively, of our revenue was derived from sales to customers located in foreign countries and foreign governments. We cannot assure you that we will maintain significant operations internationally or that any such operations will be successful. International business (including our participation in joint ventures and other joint business arrangements) is subject to numerous political and economic factors, legal requirements, cross-cultural considerations and other risks associated with doing business globally.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These risks differ in some respects from those associated with our U.S. business and our exposure to such risks may increase if our international business continues to grow.</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international business is subject to both U.S. and foreign laws and regulations, which may include, without limitation, laws and regulations relating to import-export controls, (such as the ITAR, EAR, and customs laws), tariffs (including recent U.S. tariffs imposed or threatened to be imposed on other countries and any retaliatory actions taken by such countries), embargoes, technology transfer restrictions, government contracts and procurement, data privacy and protection, investment, exchange rates and controls, the FCPA and other anti-corruption laws, including the UK Bribery Act and the Canadian Corruption of Foreign Public Officials Act, Article 5 of the Israeli Penal Law of 1977, the anti-boycott provisions under the EAR, U.S. economic sanctions administered by the Office of Foreign Assets Control and other federal agencies, labor and employment, works councils and other labor groups, anti-human trafficking, taxes, environment, immunity, security restrictions and intellectual property. If we or our employees, affiliates, partners or others with whom we work fail to comply with applicable laws and regulations we may be subject to administrative, civil, commercial or criminal penalties and liabilities, including suspension or debarment from government contracts or suspension of our export privileges. Our international business also exposes us to difficulties associated with repatriating cash generated or held abroad in a tax-efficient manner and changes in tax laws. Our customers outside of the U.S. generally have the ability to terminate contracts for default based on performance. Suspension or debarment, or termination of a contract due to default, in particular, could have a material adverse effect on our reputation, our ability to compete for other contracts and our financial position, results of operations and/or cash flows. New regulations and requirements, or changes to existing ones in the various countries in which we operate can significantly increase our costs and risks of doing business internationally. Any such future violations could have a material adverse impact on our reputation, business, results of operations and financial condition.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Changes in laws, regulations, political leadership and environment, or security risks may significantly affect our ability to conduct or continue to conduct business in international markets. Our international business may be impacted by changes in U.S. and foreign national policies and priorities, and geopolitical relationships, any of which may be influenced by changes in the threat environment, political leadership, geopolitical uncertainties, world events, acts of terrorism, bilateral and multi-lateral relationships, government budgets, and economic and political factors more generally, and any of which could impact funding for programs, alter export authorizations, or delay purchasing decisions or customer payments. These changes may affect the defense spending priorities and procurement policies of foreign governments which may affect our international military sales.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Company is subject to risks associated with a dynamic geopolitical climate, including nation states that could take action to limit our access to key material and subcomponents used in our products. Recently enacted export controls by foreign governments covering rare elements could have a material adverse impact on our business, financial condition and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Global economic conditions and fluctuations in foreign currency exchange rates could further impact our business. For example, the tightening of credit in financial markets outside of the U.S. could adversely affect the ability of our customers and suppliers to obtain financing and could result in a decrease in or cancellation of orders for our products and services or impact the ability of our customers to make payments. In addition, the majority of our foreign costs are denominated in local currencies. Over time, an increasing portion of our contracts with paid customers outside of the U.S. may be denominated in local currencies. Therefore, fluctuations in the value of the U.S. dollar and foreign currencies may affect our results of operations when translated into U.S. dollars. We do not currently engage in significant currency-hedging activities to limit the risk of exchange rate fluctuations. However, in the future,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contracts with non-U.S. customers may also include terms and reflect legal requirements that create additional risks including the risk of non-payment or delayed payment by foreign customers and governments. They may include industrial cooperation agreements requiring specific in-country purchases, investments, manufacturing agreements or other operational or financial obligations, including offset obligations, and provide for significant penalties if we fail to meet such requirements. They may also require us to enter into letters of credit, performance or surety bonds, bank guarantees and/or other financial arrangements to secure our performance obligations. We also increasingly are dependent on in-country suppliers and we face risks related to their failure to perform in accordance with the contracts and applicable laws, particularly where we rely on a sole source supplier. Our ability to sell products outside the U.S. could be adversely affected if we are unable to design our products for export on a cost-effective basis or to obtain and retain all necessary export licenses and authorizations on a timely basis.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Conducting business outside of the U.S. also exposes us to the complexity and necessity of using, and disruptions involving, our international dealers, distributors, sales representatives and consultants as well as the difficulties of managing a geographically dispersed organization and culturally diverse workforces, including compliance with applicable U.S. and local laws and practices, such as anti-corruption and anti-trust/competition laws. Contracts with international customers are significantly different than the contracts with our U.S. customers, and some are more complex and require different skills to manage. Our ability to conduct business outside of the U.S. also depends on our ability to attract and retain sufficient qualified personnel with the skills and/or security clearances in the markets in which we do business.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products and services we provide internationally, including those provided by subsidiaries, subcontractors and joint ventures in which we have an interest, are sometimes in countries with unstable governments, economic or fiscal challenges, military or political conflicts and/or developing legal systems. This may increase the risk to our employees, subcontractors or other third parties, and/or increase the risk of a wide range of liabilities, as well as loss of property or damage to our products.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ongoing conflicts in Israel and the broader Middle East region have the potential to evolve quickly creating uncertainty along with the potential for disruptions to our Israeli operations in the region including, but not limited to, workforce calls for duty, transportation and other logistical impacts and reduced customer confidence.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occurrence and impact of these factors is difficult to predict, but one or more of them could negatively impact our business, financial condition and results of operations.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Our efforts to penetrate new territories present significant challenges and could adversely affect our growth strategy and our financial performance.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initiatives to localize our business operations in new territories could be hindered by local government policies favoring domestic companies, potentially impacting our competitive position and market share. In pursuit of business in new geographical markets, we face the risk that local governments may give preferential treatment to domestic firms. Such preferences can be reflected through a range of policies and practices including, but not limited to, subsidies to local companies, preferential procurement policies, tax advantages, and regulatory requirements designed to protect or promote local industries.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As part of our strategy to tap into emerging markets and expand our global footprint, we may localize our business operations in several new territories. While this expansion presents growth opportunities, it also exposes us to various risks inherent in unfamiliar markets, including: compliance and regulatory risk; cultural and language differences; operational challenges; economic and political instability; foreign currency exchange risk; risk of intellectual property infringement; market competition and consumer preferences; as well as talent acquisition and integration risk. The expansion into new territories requires substantial management attention and financial resources, and any setbacks encountered in these new markets could delay or impede our growth strategy. If we are not able to successfully manage the risks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international expansion, or our investments in these regions do not yield expected returns, our business, financial condition, and operating results may be adversely affected.</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may not be successful in obtaining the export licenses necessary to conduct certain operations abroad, and Congress may prevent proposed sales to certain foreign governments.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must obtain export and other licenses and authorizations from various U.S. and foreign government agencies before we are permitted to undertake certain activities including selling certain products and technologies outside of the U.S. For example, the U.S. Department of State must notify Congress at least 15 to 30 days, depending on the size and location of the proposed sale, prior to authorizing certain sales of defense equipment and services to some foreign governments. During that time, Congress may take action to block the proposed sale. We can give no assurance that we will continue to be successful in obtaining the necessary licenses or authorizations or that Congress will not prevent or delay certain sales. Additionally, in some cases our ability to source components and products in foreign jurisdictions may require licenses or approvals from foreign governments. Our ability to obtain these licenses and authorizations in a timely fashion or at all is subject to risks and uncertainties, including changing U.S. government policies or laws or delays in Congressional action due to geopolitical and other factors. If we are not successful in obtaining or maintaining the necessary licenses or authorizations in a timely manner, our sales relating to those approvals may be reversed, prevented or delayed, and any significant impairment of our ability to sell products or technologies outside of the U.S. could negatively impact our business, financial condition and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Additionally, our cross-border manufacturing and the associated exportation of goods may lead to operational disruptions and increased costs, which could have a material adverse effect on our business, financial condition and results of operations. Cross-border manufacturing operations and the subsequent export of goods to various markets around the world exposes us to a variety of risks that may affect our ability to produce and deliver products efficiently and may also impact our cost structure.</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A failure to attract and retain technical and other key personnel could reduce our revenues and our operational effectiveness.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Our success depends largely upon the continued services of our executive officers and other key employees. We rely on our leadership team in the areas of R&amp;D, operations, security, marketing, sales, customer experience, general and administrative functions, and on individual contributors in our R&amp;D and operations. In addition, the relationships and reputation that many members of our senior management team have established and maintain with U.S. government personnel contribute to our ability to maintain strong customer relationships and to identify new business opportunities.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especially our chief executive officer, or key employees could impair our ability to identify and secure new contracts, disrupt customer relations, and cause us to be in breach of contracts that require us to maintain key personnel or otherwise harm our business. Further, </w:t>
      </w:r>
      <w:r>
        <w:rPr>
          <w:rFonts w:ascii="Helvetica;sans-serif" w:hAnsi="Helvetica;sans-serif"/>
          <w:b w:val="false"/>
          <w:color w:val="000000"/>
          <w:sz w:val="20"/>
          <w:shd w:fill="FFFFFF" w:val="clear"/>
        </w:rPr>
        <w:t>leadership changes</w:t>
      </w:r>
      <w:r>
        <w:rPr>
          <w:color w:val="000000"/>
        </w:rPr>
        <w:t xml:space="preserve"> </w:t>
      </w:r>
      <w:r>
        <w:rPr>
          <w:rFonts w:ascii="Helvetica;sans-serif" w:hAnsi="Helvetica;sans-serif"/>
          <w:b w:val="false"/>
          <w:color w:val="000000"/>
          <w:sz w:val="20"/>
        </w:rPr>
        <w:t xml:space="preserve">have occurred and will continue to occur from time to time and we cannot predict whether significant resignations will occur or whether we will effectively manage leadership transitions. We may face risks related to transitions in both our leadership team and that of Leonardo S.p.A.’s. </w:t>
      </w:r>
      <w:r>
        <w:rPr>
          <w:rFonts w:ascii="Helvetica;sans-serif" w:hAnsi="Helvetica;sans-serif"/>
          <w:b w:val="false"/>
          <w:color w:val="000000"/>
          <w:sz w:val="20"/>
          <w:shd w:fill="FFFFFF" w:val="clear"/>
        </w:rPr>
        <w:t>If we cannot effectively manage leadership transitions and management changes in the future, our reputation and future business prospects could be adversely affected.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There is a high demand for qualified technical and other key personnel, and we believe that our future growth and success will depend upon our ability to attract, train and retain such personnel. Competition for personnel in the defense industry is intense, and there is a limited number of persons with knowledge of and experience in this industry. Additionally, some of our businesses are located in regions where competition for personnel is particularly intense. The rate of turnover for our technical personnel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increase in the future. Our ability to hire personnel in specific sectors may also be limited by non-disclosure or non-solicit agreements that we have entered into. An inability to attract or maintain a sufficient number of technical and other key personnel could have a material adverse effect on our contract performance or on our ability to capitalize on market opportunities.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operating results and growth opportunities are heavily dependent upon our ability to attract and retain sufficient personnel with security clearances and requisite skills in multiple areas, including science, technology, engineering and math. Additionally, as we grow our international business, it is increasingly important that we are able to attract and retain personnel with relevant local qualifications and experience. In addition, in a tightened labor market, we are facing increased competition for talent, both with traditional defense companies and commercial companies. If qualified personnel are scarce or difficult to attract or retain or if we experience a high level of attrition, generally or in particular areas, or if such personnel are unable to obtain security clearances on a timely basis, we could experience higher labor, recruiting or training costs in order to attract and retain necessary employees.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Separately, the Executive Order issued on January 7, 2026, relating to executive salaries and incentive compensation metrics applicable for defense contractors could adversely impact our ability to attract or retain executive officers. </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Our business could be harmed in the event of difficulties with our unionized workforce, including the effects of a prolonged work stoppage.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of December 31, 2025, approximately 500 (or 7%) of our employees were covered by collective bargaining agreements. We generally have been able to renegotiate renewals to expiring agreements without significant disruption of operating activities. If we experience difficulties with renewals and negotiations of existing collective agreements or if our employees pursue new collective representation, we could incur additional expenses and may be subject to work stoppages, slow-downs or other labor-related disruptions. Any such expenses or delays could adversely affect our programs served by employees who are covered by such agreements or representation.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cannot predict how stable our union relationships will be or whether we will be able to successfully negotiate successor collective bargaining agreements without impacting our financial condition. In addition, the presence of unions may limit our flexibility in dealing with our workforce. While a relatively small percentage of our employee base is unionized, work stoppages could negatively impact the specific business segments in which our unionized employees are employed including our ability to manufacture products or provide services on a timely basis, which could negatively impact our business, financial condition and results of operations.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Our insurance coverage, customer indemnifications or other liability protections may be unavailable or inadequate to cover all of our significant risks or our insurers may deny coverage of or be unable to pay for material losses we incur, which could adversely affect our business, financial condition and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provide products and services related to hazardous and high-risk operations. Among such operations, our products and services are used in nuclear-related activities (including providing components for nuclear-powered platforms and sensors used in nuclear applications) and used in support of nuclear-related operations of third parties. Our business also involves the handling, transportation, storage and disposal of potentially dangerous chemicals and unstable materials and is subject to hazards inherent in such activities including chemical spills, storage tank leaks, discharges or releases of toxic or hazardous substances or gases and other hazards incident to the handling, transportation, storage and disposal of dangerous chemicals. We endeavor to obtain insurance agreements from financially solid, responsible, highly rated counterparties in established markets to cover significant risks and liabilities (including, for example, natural disasters, hazardous operations and products liability). Not every risk or liability can be insured, and for risks that are insurable, the policy limits and terms of coverage reasonably obtainable in the market may not be sufficient to cover all actual losses or liabilities incurred. Even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insurance coverage is available, we may not be able to obtain it or renew existing coverage at a price or on terms acceptable to us. Disputes with insurance carriers, including over policy terms, reservation of rights, the applicability of coverage (including exclusions), compliance with provisions (including notice) and/or the insolvency of one or more of our insurers may significantly affect the availability or timing of recovery, and may impact our ability to obtain insurance coverage at reasonable rates in the future.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some circumstances we may be entitled to certain legal protections or indemnifications from our customers through contractual provisions, laws, regulations or otherwise. However, these protections are not always available, can be difficult to obtain, are typically subject to certain terms or limitations, including the availability of funds, and may not be sufficient to cover all losses or liabilities incurred.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If insurance coverage, customer indemnifications and/or other legal protections are not available or are not sufficient to cover our risks or losses, it could have a material adverse impact on our business, reputation, financial condition and results of operations.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have unfunded obligations under our pension plans, and we use estimates in accounting for our pension plans and changes in our estimates could adversely affect our financial condition and results of operations.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We have unfunded obligations under our pension, postretirement and supplemental retirement plans, see </w:t>
      </w:r>
      <w:r>
        <w:rPr>
          <w:rFonts w:ascii="Helvetica;sans-serif" w:hAnsi="Helvetica;sans-serif"/>
          <w:b w:val="false"/>
          <w:i/>
          <w:color w:val="000000"/>
          <w:sz w:val="20"/>
        </w:rPr>
        <w:t>Note 13: Pension and Other Postretirement Benefits</w:t>
      </w:r>
      <w:r>
        <w:rPr>
          <w:color w:val="000000"/>
        </w:rPr>
        <w:t xml:space="preserve"> </w:t>
      </w:r>
      <w:r>
        <w:rPr>
          <w:rFonts w:ascii="Helvetica;sans-serif" w:hAnsi="Helvetica;sans-serif"/>
          <w:b w:val="false"/>
          <w:color w:val="000000"/>
          <w:sz w:val="20"/>
        </w:rPr>
        <w:t>to the Consolidated Financial Statements. The process of determining the funded status of these plans and our pension plan expense or income involves judgment, particularly with respect to our long-term return on pension assets and discount rate assumptions. If our discount rate assumption or long-term return on assets (“ROA”) (which is used to determine the funded status of our pension plans) is decreased due to changes in our assumptions or other reasons, our pension plan funded status and expense could increase which would negatively impact our results of operations. In addition, if our actual return on assets differs from our long-term ROA assumption, our pension plan funded status and pension expense would be impacted.</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Changes in future business or other market conditions could cause business investments and/or recorded goodwill or other long-term assets to become impaired, resulting in substantial losses and write-downs that would adversely affect our business, financial condition and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of December 31, 2025 and 2024, we had goodwill and intangible assets, net, of $1,350 million and $1,370 million, respectively, which represented 30% and 33%, respectively, of our total assets. Our goodwill is subject to an impairment test on an annual basis and is also tested whenever events and circumstances indicate that goodwill may be impaired. Any excess goodwill resulting from the impairment test must be written off in the period of determination. Intangible assets (other than goodwill) are generally amortized over the useful life of such assets. In addition, from time to time, we may acquire or make an investment in a business which will require us to record goodwill based on the purchase price and the value of the acquired assets. We may subsequently experience unforeseen issues with such business which adversely affect the anticipated returns of the business or value of the intangible assets and trigger an evaluation of the recoverability of the recorded goodwill and intangible assets for such business. Future determinations of significant write-offs of goodwill or intangible assets as a result of an impairment test or any accelerated amortization of intangible assets could have a negative impact on our results of operations and financial condition.</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Our ability to use our net operating losses to offset future taxable income may be subject to certain limitations.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In general, under Section 382 of the U.S. Internal Revenue Code of 1986, as amended (the “Tax Code”), a corporation that undergoes an “ownership change” is subject to limitations on its ability to utilize its pre-change net operating losses (“NOLs”) to offset future taxable income. Future changes in our stock ownership, some of which are beyond our control, could result in an ownership change under Section 382 of the Tax Code. Furthermore, our ability to utilize NOLs of any companies that we may acquire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future may be subject to limitations. For these reasons, we may not be able to utilize a material portion of the NOLs reflected on our balance sheet, even if we attain profitability.</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could be liable for certain tax liabilities, including tax liabilities of US Holding and its subsidiaries, under tax law and the tax allocation agreement.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and US Holding have entered into a tax allocation agreement with members of an affiliated group, as defined in Section 1504(a) of the Tax Code, members of one or more consolidated, combined, unitary or similar state tax groups and additional parties who are part of an “expanded affiliated group” for certain tax purposes. Under the tax allocation agreement, we are responsible for U.S. federal and state tax liability attributable to us or any of our subsidiaries, as determined under the tax allocation agreement, for prior taxable periods beginning with the first consolidated taxable year of US Holding that included DRS (i.e., the taxable year ended December 31, 2008) and for future taxable periods in which we are a member of any consolidated, combined or unitary tax return with US Holding or its subsidiaries. In addition, to the extent US Holding fails to pay taxes imposed with respect to any consolidated, combined or unitary tax return of US Holding or any of its subsidiaries that includes us or any of our subsidiaries, the relevant taxing authority could seek to collect such taxes (including taxes for which US Holding or any of its subsidiaries is responsible under the tax allocation agreement) from us or our subsidiaries.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Acquisitions could result in operating difficulties, dilution and other harmful consequences.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have evaluated in the past, and expect to continue to evaluate in the future, potential strategic transactions. Any of these transactions could be material to our financial condition and results of operations. The acquisition and the integration of an acquired company, business or technology may create unforeseen operating difficulties and expenditures and involves risks, including:</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need to implement or remediate controls, procedures, policies and compliance programs appropriate for a larger public company at companies that prior to the acquisition lacked these controls, procedures and policies;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diversion of management time and focus from operating our business to acquisition integration challenges;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cultural challenges associated with integrating employees from the acquired company into our organization;</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retaining employees and customers from the businesses we acquire;</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need to integrate each company’s accounting, management information, human resource and other administrative systems to permit effective management; and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litigation related to acquisitions.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 and the defense industry.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the anticipated benefit of many of our acquisitions may not materialize. Future acquisitions or dispositions could result in potentially dilutive issuances of our equity securities, the incurrence of debt, contingent liabilities or amortization expenses, or write-offs of goodwill, any of which could harm our financial condition and results of operations. Future acquisitions may require us to obtain additional equity or debt financing, which may not be available on favorable terms or at all.</w:t>
      </w:r>
    </w:p>
    <w:p>
      <w:pPr>
        <w:pStyle w:val="TextBody"/>
        <w:bidi w:val="0"/>
        <w:spacing w:lineRule="auto" w:line="288" w:before="0" w:after="180"/>
        <w:ind w:left="0" w:right="0" w:firstLine="360"/>
        <w:jc w:val="left"/>
        <w:rPr/>
      </w:pPr>
      <w:r>
        <w:rPr>
          <w:rFonts w:ascii="Helvetica;sans-serif" w:hAnsi="Helvetica;sans-serif"/>
          <w:b w:val="false"/>
          <w:color w:val="000000"/>
          <w:sz w:val="20"/>
        </w:rPr>
        <w:t>Finally, we may be required to obtain various government approvals and/or the consent of US Holding in order to pursue certain material transactions and there is no guarantee that their consent will be granted. See “—</w:t>
      </w:r>
      <w:r>
        <w:rPr>
          <w:rFonts w:ascii="Helvetica;sans-serif" w:hAnsi="Helvetica;sans-serif"/>
          <w:b w:val="false"/>
          <w:i/>
          <w:color w:val="000000"/>
          <w:sz w:val="20"/>
        </w:rPr>
        <w:t xml:space="preserve">Risks Relating to Our Ownership and Status under the Amended and Restated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Helvetica;sans-serif" w:hAnsi="Helvetica;sans-serif"/>
          <w:b w:val="false"/>
          <w:i/>
          <w:color w:val="000000"/>
          <w:sz w:val="20"/>
        </w:rPr>
        <w:t>Proxy Agreement</w:t>
      </w:r>
      <w:r>
        <w:rPr>
          <w:color w:val="000000"/>
        </w:rPr>
        <w:t>—</w:t>
      </w:r>
      <w:r>
        <w:rPr>
          <w:rFonts w:ascii="Helvetica;sans-serif" w:hAnsi="Helvetica;sans-serif"/>
          <w:b w:val="false"/>
          <w:i/>
          <w:color w:val="000000"/>
          <w:sz w:val="20"/>
        </w:rPr>
        <w:t>Our indirect majority stockholder, Leonardo S.p.A., may have interests that are different from, or conflict with, those of our other stockholders, and their significant ownership in us may discourage change of control transactions</w:t>
      </w:r>
      <w:r>
        <w:rPr>
          <w:rFonts w:ascii="Helvetica;sans-serif" w:hAnsi="Helvetica;sans-serif"/>
          <w:b w:val="false"/>
          <w:color w:val="000000"/>
          <w:sz w:val="20"/>
        </w:rPr>
        <w:t>.”</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Pandemics, epidemics, disease outbreaks and health emergencies, such as the COVID-19 pandemic, have had, and future public health crises could have, an adverse impact on our business, financial condition and results of operations.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Company faces risks related to pandemics, health epidemics and other outbreaks of communicable disease which could significantly disrupt operations, and may materially and adversely affect our business, financial conditions and results of operations. If a new health epidemic or outbreak were to occur, we could experience broad and varied effects similar to the impact of COVID-19, including adverse impacts to our workforce and supply chain, inflationary pressures and increased costs, schedule or production delays, market volatility and other financial ramifications.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extent to which a pandemic or epidemic will impact us in the future will depend on numerous evolving factors and developments that we are unable to predict, including: the severity and transmission rate of the virus(es); the duration of the outbreak, including the risk of a resurgence of the virus in areas in which it appears to have been contained; the extent and effectiveness of containment actions; governmental, business and other actions (which could include limitations on our operations or mandates to provide products, systems or services); the continued success of measures taken by governmental authorities worldwide to stabilize the markets and support economic growth, which is unknown and may not be sufficient to address future market dislocations or avert severe and prolonged reductions in economic activity; the impacts on our supply chain; the impact of the pandemic on economic activity; the effects of additional business or facility closures or other changes to our operations; the health of and the effect on our workforce and our ability to meet staffing needs in our businesses and facilities, particularly if members of our workforce are quarantined as a result of exposure; any impairment in value of our tangible or intangible assets which could be recorded as a result of a weaker economic conditions; and the potential effects on our internal controls, including those over financial reporting, as a result of remote working environments and other conditions such as shelter-in-place and similar orders that apply to our employees and business partners, among others. In addition, disruptions in the credit or financial markets or impacts on our credit ratings from the pandemic could adversely affect our ability to access capital on favorable terms and continue to meet our liquidity needs, all of which are highly uncertain and cannot be predicted.</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have significant operations in locations that could be materially and adversely impacted in the event of a natural disaster or other significant disruption.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operations and the operations of our suppliers and customers could be subject to natural disasters or other significant disruptions, including hurricanes, typhoons, tsunamis, floods, earthquakes, fires, water shortages, other extreme weather conditions, medical epidemics, pandemics, acts of terrorism, power shortages and blackouts, telecommunications failures and other natural and man-made disasters or disruptions. We have significant business operations located in areas that are subject to these risks, for example our facilities in California, Florida and Texas. In the event of such a natural disaster or other disruption, we could experience disruptions or interruptions to our operations or the operations of our suppliers, subcontractors, distributors, resellers or customers, including inability of employees to work, destruction of facilities, and/or loss of life, all of which could materially increase our costs and expenses, delay or decrease orders and revenue from our customers and have a material adverse impact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39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are subject to environmental laws and regulations, and our ongoing operations may expose us to environmental liabilities affecting our reputation, business, financial condition and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operations are subject to federal, state, foreign and local environmental and health and safety laws and regulations. As a result, we have been involved from time to time in administrative or legal proceedings relating to environmental matters. We cannot assure you that the aggregate amount of future clean-up costs and other environmental liabilities will not be material. We could be subject to potentially significant fines or penalties, including criminal sanctions, if we fail to comply with these requirements. Additionally, we have made and will continue to be required to make significant capital and other expenditures in order to comply with these laws and regulations. The requirements of these laws and regulations are complex, change frequently and could become more stringent in the future. We cannot predict what environmental legislation or regulations will be enacted in the future, how existing or future laws or regulations will be administered or interpreted or what environmental conditions may be found to exist. Our products and services are also used in nuclear-related activities (including providing components for nuclear-powered platforms and sensors used in nuclear applications) and used in support of nuclear-related operations of third parties. Our business also involves the handling, transportation, storage and disposal of potentially dangerous chemicals and unstable materials and is subject to hazards inherent in such activities including chemical spills, storage tank leaks, discharges or releases of toxic or hazardous substances or gases and other hazards incident to the handling, transportation, storage and disposal of dangerous chemicals. Also, in the future, contamination may be found to exist at our current or former facilities or at off-site locations to which we or certain companies that we have acquired or previously owned may have sent waste, and we could be held liable for such contamination. The remediation of such contamination, or the enactment of more stringent laws or regulations or more strict interpretation of existing laws and regulations, may require us to make additional expenditures, and could decrease the amount of cash flows available to us for other purposes, including capital expenditures, R&amp;D and other investments and could have a material adverse impact on our business, financial condition and results of operations.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Our leases may be terminated or we may be unable to renew our leases on acceptable terms and if we wish to relocate, we may incur additional costs if we terminate a lease.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have made significant capital expenditures to improve several of our leased facilities in order to make them suitable for our purposes as well as to meet requirements that we are subject to as a U.S. government contractor and obtain facility security clearances. However, at the end of the lease term and during any renewal period for a facility, we may be unable to renew the lease without substantial additional cost, if at all. If we are unable to renew our facility leases, we may close or relocate a facility, which could subject us to construction and other costs and risks, which in turn could have a material adverse effect on our business, financial condition and results of operations, including significant capital expenses that may materially impact our results of operations and ability to meet certain contractual schedule commitments. Additionally, we may have to seek qualification of any new facilities in order to meet customer or contractual requirements. We would also have to obtain facility security clearances for the new facility in order to continue to perform on classified contracts. Further, we may not be able to secure a replacement facility in a location that is as commercially viable as that of the lease we are unable to renew, due to contracts that may require us to have facilities in certain locations. Having to close a facility, even briefly to relocate, would reduce the sales that such facility would be able to contribute to our revenues. Additionally, a relocated facility may generate less revenue and profit, if any, than the facility it was established to replace.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Additionally, many of our facilities are located on leased premises subject to non-cancellable leases. Typically, our leases have initial terms ranging from five to 20 years, with options to renew for specified periods of time. We believe that our future leases will likely also be long-term and non-cancellable and have similar renewal options. If we close or stop fully utilizing a facility, we will most likely remain obligated to perform under the applicable lease, which would include, among other things, making the base rent payments, and paying insurance, taxes and other expenses on the leased property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remainder of the lease term. Our inability to terminate a lease when we stop fully utilizing a facility could negatively impact our business, financial condition and results of operations.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cannot predict the consequences of future geopolitical events, but they may adversely affect the markets in which we operate, our ability to insure against risks, our operations or our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Changes in the U.S. government and other nations’ administration and their associated shifts in policy and priorities could also impact our operations and market conditions. Our business may be impacted by foreign policy actions taken by governments such as tariffs, sanctions, embargoes, export and import controls and other trade restrictions, which can affect the demand for and our ability to sell our products and services, cause disruptions or cost increases to our supply chain, and ultimately adversely affect our business. Ongoing instability and current conflicts in global markets, including in Central America, Eastern Europe, the Middle East and Asia, and the potential for other conflicts and future terrorist activities and other recent geopolitical events throughout the world, including the conflict in Ukraine, new or increased tariffs (including recent U.S. tariffs imposed or threatened to be imposed on other countries and any retaliatory actions taken by such countries) or sanctions and potential trade wars have created and continue to create economic and political uncertainties and impacts that could have a material adverse impact on our business, financial condition and results of operations. These matters cause uncertainty in the world’s financial and insurance markets and may significantly increase the political, economic and social instability in the geographic areas in which we operate. Such instability and any resulting changes in laws, regulations or security risks may dramatically affect our ability to conduct or continue to conduct business in the impacted international markets. If credit in financial markets outside of the U.S. tightened, it could adversely affect the ability of our customers and suppliers to obtain financing and could result in a decrease in or cancellation of orders for our products, systems and services or impact the ability of our customers to make payments. These matters may cause us to incur increased costs or experience difficulty with future borrowings under our credit facilities or in the debt capital markets, future issuances of common stock or other equity securities or otherwise with financing our operating, investing (including any future acquisitions) or financing activities. These matters also may cause our insurance coverages to increase in cost, or in some cases, to be unavailable altogether.</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Risks Relating to Our Ownership and Status under the Amended and Restated Proxy Agreement</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operate under an amended and restated proxy agreement with the DoW that regulates significant areas of our governance. If we fail to comply with the amended and restated proxy agreement, our classified U.S. government contracts could be terminated, which could have a material adverse impact on our business, financial condition and results of operations.</w:t>
      </w:r>
    </w:p>
    <w:p>
      <w:pPr>
        <w:pStyle w:val="TextBody"/>
        <w:bidi w:val="0"/>
        <w:spacing w:lineRule="auto" w:line="288" w:before="0" w:after="180"/>
        <w:ind w:left="0" w:right="0" w:firstLine="360"/>
        <w:jc w:val="left"/>
        <w:rPr/>
      </w:pPr>
      <w:r>
        <w:rPr>
          <w:rFonts w:ascii="Helvetica;sans-serif" w:hAnsi="Helvetica;sans-serif"/>
          <w:b w:val="false"/>
          <w:color w:val="000000"/>
          <w:sz w:val="20"/>
        </w:rPr>
        <w:t>Leonardo S.p.A., an Italian company listed on the Milan Stock Exchange, ultimately owns the entire share capital of our immediate majority stockholder US Holding which, in turn owns approximately 71% our outstanding common stock. As a result, we are deemed to be controlled by a foreign company and to be under FOCI, as defined in the NISPOM, which establishes procedures and requirements for government contractors, such as our company, with regard to classified information. See “—</w:t>
      </w:r>
      <w:r>
        <w:rPr>
          <w:rFonts w:ascii="Helvetica;sans-serif" w:hAnsi="Helvetica;sans-serif"/>
          <w:b w:val="false"/>
          <w:i/>
          <w:color w:val="000000"/>
          <w:sz w:val="20"/>
        </w:rPr>
        <w:t>Risks Relating to Our Business</w:t>
      </w:r>
      <w:r>
        <w:rPr>
          <w:color w:val="000000"/>
        </w:rPr>
        <w:t>—</w:t>
      </w:r>
      <w:r>
        <w:rPr>
          <w:rFonts w:ascii="Helvetica;sans-serif" w:hAnsi="Helvetica;sans-serif"/>
          <w:b w:val="false"/>
          <w:i/>
          <w:color w:val="000000"/>
          <w:sz w:val="20"/>
        </w:rPr>
        <w:t>We are subject to the U.S. government’s requirements, including the DoW’s National Industrial Security Program Operating Manual, for our facility security clearances, which are prerequisites to our ability to perform on classified contracts for the U.S. government</w:t>
      </w:r>
      <w:r>
        <w:rPr>
          <w:rFonts w:ascii="Helvetica;sans-serif" w:hAnsi="Helvetica;sans-serif"/>
          <w:b w:val="false"/>
          <w:color w:val="000000"/>
          <w:sz w:val="20"/>
        </w:rPr>
        <w:t xml:space="preserve">.” Furthermore, the combination of the Italian state beneficially owning approximately 30.2% of Leonardo S.p.A.’s voting power (through its ownership of approximately 30.2% of the outstanding ordinary shares of Leonardo S.p.A.), and the governance of Leonardo S.p.A. itself, has led DRS to be deemed to be controlled by a foreign government by certain U.S. regulatory authorities. In order to be permitted to maintain our security clearances and our access to classified data and to perform or bid on classified programs, we are required to mitigate FOCI through a proxy agreement. We have therefore entered into an amended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restated proxy agreement with the DoW. Among other things, the amended and restated proxy agreement:</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provides that the shares of our common stock owned directly by US Holding and indirectly by Leonardo S.p.A. are voted through proxy holders, who must be independent from current and prior affiliation with Leonardo S.p.A. and its subsidiaries (including US Holding and us) (subject to limited exceptions) and must maintain adequate security clearance;</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provides that the proxy holders are appointed by our immediate majority stockholder US Holding (in consultation with Leonardo S.p.A.), but the appointment is subject to approval of the DCSA, an agency of the DoW, and that the proxy holders must be members of our Board;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restricts our ability to share facilities and personnel with and receive certain services from Leonardo S.p.A. or its other subsidiaries;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requires us to maintain a government security committee of our Board; and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regulates meetings, visits and communications that are not deemed to be routine business visits between us and Leonardo S.p.A. or its other subsidiaries (including US Holding).</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are currently operating under an amended and restated proxy agreement, which expires in March 2030. The terms of any new proxy agreement or other mitigation requirements could impose heightened or new restrictions which could further impact our business operations. Proxy agreements, including ours, typically have limited duration and need to be renewed on a regular basis.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Compliance with the amended and restated proxy agreement requires a significant commitment of resources and management and Board oversight, and the DoW may impose additional security safeguards that it believes necessary to adequately safeguard classified and controlled unclassified information, which could make it more difficult for us to comply with such proxy agreement or adversely impact the manner in which we operate our business. Under the amended and restated proxy agreement, we are required to prepare and submit an annual implementation and compliance report to the DCSA including detailed information with respect to the manner in which we comply with such proxy agreement including with respect to classified information, any acts of noncompliance and other matters specified by DCSA. We are subject to regular audits of our FOCI compliance and have at times been found to not have strictly complied with our proxy agreement or relevant security requirements but have not to date been sanctioned for any such noncompliance. Additionally, the restrictions imposed by the amended and restated proxy agreement on our communications and ability to share facilities, personnel and services with Leonardo S.p.A. or its other subsidiaries mean that we cannot benefit from the full range of synergies and cost savings typically enjoyed by a majority-owned subsidiary.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In the event of a material breach of the amended and restated proxy agreement or the failure of the DoW to renew the current proxy agreement upon its expiration, the DoW may (i) novate our classified contracts to a company not under FOCI at our expense, (ii) terminate our classified contracts and deny us new classified contracts, (iii) revoke our facility security clearance and/or (iv) suspend or debar us from participation in all U.S. government contracts. </w:t>
      </w:r>
    </w:p>
    <w:p>
      <w:pPr>
        <w:pStyle w:val="TextBody"/>
        <w:bidi w:val="0"/>
        <w:spacing w:lineRule="auto" w:line="288" w:before="0" w:after="180"/>
        <w:ind w:left="0" w:right="0" w:firstLine="360"/>
        <w:jc w:val="left"/>
        <w:rPr/>
      </w:pPr>
      <w:r>
        <w:rPr>
          <w:rFonts w:ascii="Helvetica;sans-serif" w:hAnsi="Helvetica;sans-serif"/>
          <w:b w:val="false"/>
          <w:color w:val="000000"/>
          <w:sz w:val="20"/>
        </w:rPr>
        <w:t>We depend on revenues from contracts and subcontracts with the U.S. government, including defense-related programs with the DoW and a broad range of programs with the U.S. Navy and U.S. Army. See “—</w:t>
      </w:r>
      <w:r>
        <w:rPr>
          <w:rFonts w:ascii="Helvetica;sans-serif" w:hAnsi="Helvetica;sans-serif"/>
          <w:b w:val="false"/>
          <w:i/>
          <w:color w:val="000000"/>
          <w:sz w:val="20"/>
        </w:rPr>
        <w:t>Risks Relating to Our Business</w:t>
      </w:r>
      <w:r>
        <w:rPr>
          <w:color w:val="000000"/>
        </w:rPr>
        <w:t>—</w:t>
      </w:r>
      <w:r>
        <w:rPr>
          <w:rFonts w:ascii="Helvetica;sans-serif" w:hAnsi="Helvetica;sans-serif"/>
          <w:b w:val="false"/>
          <w:i/>
          <w:color w:val="000000"/>
          <w:sz w:val="20"/>
        </w:rPr>
        <w:t>We depend on U.S. defense spending for the vast majority of our revenues. Disruptions, including from government shutdowns, or deterioration in our relationships with the relevant agencies of the U.S. government could have a material adverse impact on our business, financial condition and results of operations.</w:t>
      </w:r>
      <w:r>
        <w:rPr>
          <w:color w:val="000000"/>
        </w:rPr>
        <w:t xml:space="preserve">” </w:t>
      </w:r>
      <w:r>
        <w:rPr>
          <w:rFonts w:ascii="Helvetica;sans-serif" w:hAnsi="Helvetica;sans-serif"/>
          <w:b w:val="false"/>
          <w:color w:val="000000"/>
          <w:sz w:val="20"/>
        </w:rPr>
        <w:t>Therefore, if we fail to comply with the terms of the amended and restated proxy agreement and the DoW imposes any of the above remedies, this could have a material adverse impact on our business, financial condition and results of operations. See “—</w:t>
      </w:r>
      <w:r>
        <w:rPr>
          <w:rFonts w:ascii="Helvetica;sans-serif" w:hAnsi="Helvetica;sans-serif"/>
          <w:b w:val="false"/>
          <w:i/>
          <w:color w:val="000000"/>
          <w:sz w:val="20"/>
        </w:rPr>
        <w:t>Risks Relating to Our Ownership and Status under the Amended and Restated Proxy Agreement</w:t>
      </w:r>
      <w:r>
        <w:rPr>
          <w:color w:val="000000"/>
        </w:rPr>
        <w:t>—</w:t>
      </w:r>
      <w:r>
        <w:rPr>
          <w:rFonts w:ascii="Helvetica;sans-serif" w:hAnsi="Helvetica;sans-serif"/>
          <w:b w:val="false"/>
          <w:i/>
          <w:color w:val="000000"/>
          <w:sz w:val="20"/>
        </w:rPr>
        <w:t xml:space="preserve">Our indirect majority stockholder, Leonardo S.p.A., may have interests that are different from, or conflict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Helvetica;sans-serif" w:hAnsi="Helvetica;sans-serif"/>
          <w:b w:val="false"/>
          <w:i/>
          <w:color w:val="000000"/>
          <w:sz w:val="20"/>
        </w:rPr>
        <w:t>with, those of our other stockholders, and their significant ownership in us may discourage change of control transactions</w:t>
      </w:r>
      <w:r>
        <w:rPr>
          <w:rFonts w:ascii="Helvetica;sans-serif" w:hAnsi="Helvetica;sans-serif"/>
          <w:b w:val="false"/>
          <w:color w:val="000000"/>
          <w:sz w:val="20"/>
        </w:rPr>
        <w:t>.</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CFIUS may modify, delay or prevent our future acquisition or investment activities.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are considered a “foreign person” under the regulations administered by CFIUS and will continue to be considered as such in the future for so long as Leonardo S.p.A. has the ability to exercise control over us for purposes of CFIUS’s regulations. As such, acquisitions of or investments in U.S. businesses or foreign companies with U.S. businesses that we may wish to pursue may be subject to CFIUS review, the scope of which was recently expanded by the Foreign Investment Risk Review Modernization Act of 2018 (“FIRRMA”), to include certain non-passive, non-controlling investments in sensitive U.S. businesses and certain acquisitions of real estate even with no underlying U.S. business. FIRRMA, and subsequent implementing regulations that are now in force, also subjects certain categories of investments to mandatory filings. If a particular proposed acquisition or investment in a U.S. business falls within CFIUS’s jurisdiction, we may determine that we are required to make a mandatory filing or that we will submit a voluntary notice to CFIUS, or to proceed with the transaction without notifying CFIUS and risk CFIUS intervention, before or after closing the transaction. CFIUS may decide to block or delay an acquisition or investment by us, impose conditions to mitigate national security concerns with respect to such acquisition or investment or order us to divest all or a portion of a U.S. business that we acquired without first obtaining CFIUS clearance, which may limit the attractiveness of or prevent us from pursuing certain acquisitions or investments that we believe would otherwise be beneficial to us and our stockholders. We may therefore be adversely affected in terms of competing with other companies in our industry which do not have similar foreign ownership issues. Furthermore, because the Italian state beneficially owns approximately 30.2% of the voting power of the outstanding ordinary shares of, and exercises certain governance rights over, Leonardo S.p.A. (through its ownership of approximately 30.2% of Leonardo S.p.A.’s ordinary shares), which in turn has the ability to exercise control over us for purposes of CFIUS’s regulations, we are considered to be foreign government controlled under the regulations administered by CFIUS. Foreign-government-controlled investors may be subject to a higher level of CFIUS scrutiny than non-foreign-government-controlled investors. Additionally, future foreign investments in us could be within the jurisdiction of CFIUS and, given the nature of our business, may trigger a mandatory CFIUS notification requirement or warrant voluntary notification to CFIUS, impacting our ability to attract such investment. Further, CFIUS may decide to block, delay, or impose material conditions on any such future foreign investment in us that it reviews.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Because we are deemed to be controlled by a foreign company, we are required to mitigate FOCI through our amended and restated proxy agreement. </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Our indirect majority stockholder, Leonardo S.p.A., may have interests that are different from, or conflict with, those of our other stockholders, and their significant ownership in us may discourage mergers and acquisitions or change of control transactions.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amended and restated proxy agreement provides that the shares of our common stock owned directly by US Holding and indirectly by Leonardo S.p.A. are voted through proxy holders, who must be independent from current and prior affiliation with Leonardo S.p.A. and its subsidiaries (including US Holding and us) (subject to limited exceptions) and must maintain adequate security clearance. The proxy holders have the right to vote US Holding’s shares of our common stock in the same manner and to the same extent as if they were the absolute owners of such shares in their own right. In exercising their power as proxy holders, the proxy holders are directed to act to protect the legitimate economic interests of our stockholders and in a manner consistent with their fiduciary duties, but they are not generally required to follow instructions of Leonardo S.p.A., US Holding or us.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amended and restated proxy agreement provides that the proxy holders may vote for or consent to in, their sole and absolute discretion, without consultation with US Holding or Leonardo S.p.A., the election of additional directors who are not proxy holders (and who are selected from candidates proposed by US Holding after reasonable consultation with our nominating and corporate governance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committee, and subject to DCSA’s approval in certain circumstances), any changes or amendments to our certificate of incorporation or bylaws, the sale or disposal of our property, assets or business, our incurrence of debt or any pledge, mortgage or encumbrance of any of our assets, or any other matter affecting us, other than as described below.</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However, the proxy holders may only vote for or consent to the following matters with the express written approval of US Holding:</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other than in the ordinary course of business with vendors, customers and suppliers, the sale or disposition of any of our subsidiaries, property, assets or business or those of our subsidiaries or the purchase by us or our subsidiaries of any business, properties, assets or entities, other than in the ordinary course of business, in any individual transaction where our investment (based on our share of the enterprise value) exceeds two percent (2%) of our revenues for the immediately preceding year or where our investment, in the aggregate for all such sales or dispositions in a calendar year, exceeds an amount equal to five percent (5%) of our revenues for the immediately preceding year;</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incurrence of debt or pledge, mortgage, lease or other encumbrance of our assets of those of our subsidiaries in connection with the incurrence of debt if such incurrence would cause the aggregate outstanding principal amount of all debt of us and our subsidiaries to exceed a target leverage ratio set forth in our then-current operating plan, excluding current debt incurred for purposes of funding day-to-day working capital requirements in the ordinary course of business;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any merger, consolidation, reorganization or dissolution of us or any of our subsidiaries except as permitted above and excluding transactions solely among our wholly owned subsidiaries; and</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filing or making of any petition by us or our subsidiaries under the federal bankruptcy laws or any similar law or statute of any state or any foreign country.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the proxy holders may only vote to declare or suspend dividends after prior consultation with US Holding.</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On November 28, 2022, the Company entered into the Registration Rights Agreement and on June 18, 2025, the Amended and Restated Cooperation Agreement with Leonardo S.p.A and US Holding, which are both subject to the amended and restated proxy agreement. The Registration Rights Agreement, among other things, provides Leonardo S.p.A. and its affiliates with customary demand, shelf and piggy-back registration rights to facilitate a public offering of our common stock held by US Holding. The Registration Rights Agreement was exercised in November 2023 and may be exercised in the future. The requirements of the Registration Rights Agreement may burden management attention and resources. The Amended and Restated Cooperation Agreement, among other things, provides (a) Leonardo S.p.A. with certain consent, access and cooperation rights, (b) US Holding with certain consent rights with respect to actions taken by the Company and its subsidiaries, including with respect to the creation or issuance of any new classes or series of stock (subject to customary exceptions), listing or delisting from any securities exchange, and making material changes to the Company’s accounting policies and changing the Company’s auditor, and (c) neither US Holding nor Leonardo S.p.A. with the ability to transfer any Company voting securities for a period of six months following the merger with RADA Electronic Industries Ltd., except in connection with a change in control of the Company or for transfers to affiliates.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Conflicts of interest may arise between our majority stockholder and us. Affiliates of our majority stockholder engage in transactions with us. Further, Leonardo S.p.A. and its affiliates may, from time to time, acquire and hold interests in businesses that compete directly or indirectly with us, and they may either directly, or through affiliates, also maintain business relationships with companies that may directly compete with us. In general, Leonardo S.p.A. or its affiliates could pursue business interests that are detrimental to us but beneficial to themselves or to other companies in which they invest or with whom they have a material relationship. Conflicts of interest could also arise with respect to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opportunities that could be advantageous to Leonardo S.p.A., and they may pursue acquisition opportunities that may be complementary to our business. As a result, those acquisition opportunities may not be available to us. Under the terms of our third amended and restated certificate of incorporation, neither Leonardo S.p.A. nor US Holding have an obligation to offer us corporate opportunities.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a result of these relationships the interests of our indirect majority stockholder, Leonardo S.p.A., may not coincide with our interests or the interests of the other holders of our common stock. So long as Leonardo S.p.A. continues to indirectly control a significant amount of the outstanding shares of our common stock, Leonardo S.p.A. and the proxy holders will continue to be able to strongly influence or effectively control our decisions, including potential mergers or acquisitions, asset sales and other significant corporate transactions. This influence, including the requirement in our amended and restated proxy agreement for approval by the proxy holders and our majority stockholder of mergers and consolidations, may also discourage change of control transactions. Changes in the leadership at our indirect majority stockholder could create uncertainty and potentially exacerbate these risks.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Our third amended and restated certificate of incorporation provides that we waive any interest or expectancy in corporate opportunities presented to Leonardo S.p.A.</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third amended and restated certificate of incorporation provides that we, on our behalf and on behalf of our subsidiaries, renounce and waive any interest or expectancy in, or in being offered an opportunity to participate in, corporate opportunities that are from time to time presented to Leonardo S.p.A., or its officers, directors, agents, stockholders, members, partners, affiliates or subsidiaries, with the exception of the proxy holders, even if the opportunity is one that we or our subsidiaries might reasonably have pursued or had the ability or desire to pursue if granted the opportunity to do so. None of Leonardo S.p.A. or its agents, stockholders, members, partners, affiliates or subsidiaries, with the exception of the proxy holders, will generally be liable to us or any of our subsidiaries for breach of any fiduciary or other duty by reason of the fact that such person pursues, acquires or participates in such corporate opportunity, directs such corporate opportunity to another person or fails to present such corporate opportunity, or information regarding such corporate opportunity, to us or our subsidiaries. To the fullest extent permitted by law, by becoming a stockholder in our company, stockholders will be deemed to have notice of and consented to this provision of our third amended and restated certificate of incorporation. This will allow Leonardo S.p.A. and its affiliates to compete with us. Strong competition for investment opportunities could result in fewer such opportunities for us. We likely will not always be able to compete successfully with our competitors and competitive pressures or other factors may also result in significant price competition, particularly during industry downturns, which could have a material adverse impact on our business, financial condition and results of operations.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We are obligated to provide certain services to Leonardo S.p.A., which may divert human and financial resources from our business, and to rely on provision of certain services from Leonardo S.p.A., which we may be unable to replicate should the need arise.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Although we operate largely independently from Leonardo S.p.A. and the amended and restated proxy agreement contains limitations on services that we may provide to and receive from Leonardo S.p.A. and its affiliates, we have historically provided, and expect to continue to provide, certain services to Leonardo S.p.A. and its affiliates to support its U.S. operations (aside from us) and have historically received and expect to continue to receive certain services from Leonardo S.p.A., including services related to group training support, subject in all cases to the amended and restated proxy agreement. We continue to provide or procure certain services to or from Leonardo S.p.A. and its affiliates and Leonardo S.p.A. and its affiliates continue to provide or procure certain services to or from us pursuant to the tax allocation agreement and existing Affiliated Operations Plan (“AOP”) services agreements which continue pursuant to the terms of such contracts. The tax allocation agreement will remain in effect until terminated upon the written agreement of the parties.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Under our existing AOP services agreements, we continue to provide Leonardo S.p.A. and its affiliates with services in support of its U.S. operations (aside from us), including services related to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financial and accounting support, legal support, trade compliance, marketing and, communications on an arm’s-length basis. Under the tax allocation agreement, we are responsible for administering certain U.S. federal and state tax matters on behalf of Leonardo S.p.A. and its subsidiaries (including US Holding). The provision of such services may divert human and financial resources from focus on our business, and may expose us to additional risks and liabilities. Under our existing AOP services agreements, Leonardo S.p.A. and its affiliates continue to provide us with services, including services related to group training support. If Leonardo S.p.A. or its affiliates cease providing these services to us, either as a result of the termination of the relevant agreements or individual services thereunder or a failure by Leonardo S.p.A. or its affiliates to perform their respective obligations under these agreements, our costs of procuring these services or comparable replacement services may increase. In such event, we will work to replicate or replace these services; however, we cannot assure you that we will be able to obtain the services at the same or better levels or at the same or lower costs directly from third-party providers.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Risks Related to Ownership of our Common Stock</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 xml:space="preserve">There can be no assurance that we will continue to pay or increase our dividend or to repurchase shares of our common stock. Additionally, there can be no assurance that we will not accelerate our dividend or repurchases of our common stock.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Cash dividend payments and share repurchases are subject to limitations under applicable laws and the discretion of our Board and are determined after considering then-existing conditions, including earnings, other operating results and capital requirements and cash deployment alternatives. Additionally, the declaration of a cash dividend payment is contingent upon consent by our indirect majority stockholder. The timing and amount of share repurchases under Board approved share repurchase plans may differ from stated expectations and is within the discretion of management and will depend on many factors, including our ability to generate sufficient cash flows from operations in the future or to borrow money from available financing sources, our results of operations, capital requirements and applicable law and the applicability of presidential executive orders.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1B. UNRESOLVED STAFF COMMENTS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1C. CYBERSECURITY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As a defense contractor developing advanced technologies, we face a multitude of cybersecurity threats that range from attacks common to most industries, such as ransomware and denial-of-service, to attacks from more advanced and persistent, highly capable adversaries, including nation state actors that target the defense industrial base and other critical infrastructure sectors. Our customers, suppliers, subcontractors and joint venture partners face similar cybersecurity threats, and a cybersecurity incident impacting us or any of these entities could materially adversely affect our operations, performance and results of operations.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recognize that cybersecurity is critical to the success of our business. We regularly contract with the U.S. government on programs classified for national security purposes. To adequately safeguard classified and controlled unclassified information, our Cybersecurity Program operates across the enterprise, strongly supported and overseen by our management and the Board. Employees are regularly trained on potential cyber threats and are expected to maintain a high level of cybersecurity awareness. </w:t>
      </w: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Cybersecurity Risk Management and Strategy</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Our Cybersecurity Program</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As described below, we have established policies, standards, processes and practices for assessing, identifying and managing material risks from cybersecurity threats, which are integrated into our overall risk management program and governance structure. Our Cybersecurity Program includes the following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 xml:space="preserve">four core components: Cyber Operations; Cyber and Information Technology Governance and Compliance; Classified Information Systems; and Cyber/Supplier Risk Management. </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 xml:space="preserve">The Cyber Operations team is responsible for maintaining prevention, detection, and response capabilities in a defense-in-depth infrastructure. The prevention, detection, and response capabilities leverage various tools and services. However, this does not mean that we will meet, or maintain, any particular technical standard, specification, framework, or requirement in the future. The Cyber Operations team is engaged to provide timely incident response and works to minimize adverse impacts to our operations. </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 xml:space="preserve">The Cyber and Information Technology Governance and Compliance team works to align the Company’s cyber approach to frameworks such as NIST 800-171, CMMC, and other information technology general controls. The Cyber and Information Technology Governance team develops Company policies designed to reduce, manage, and mitigate cyber risks. </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The Classified Information Systems team maintains the Company’s classified information systems and works closely with the Company’s Industrial Security team to help the Company meet the requirements laid out by the DoW for classified systems.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 xml:space="preserve">The Cyber/Supplier Risk Management team collaborates with the Company’s supply chain function to identify and work with critical suppliers to reduce cyber risk and minimize or eliminate collateral impacts.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a defense contractor, we must comply with extensive regulations, including requirements imposed by the Defense Federal Acquisition Regulation Supplement related to adequately safeguarding controlled unclassified information and reporting cybersecurity incidents to the DoW. We have implemented cybersecurity policies and frameworks based on industry and governmental standards to align closely with DoW requirements, instructions and guidance.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also participate and support multiple threat-sharing communities including the National Defense Information Sharing and Assessment Center, the defense industrial base Cybersecurity Program, and the National Defense Cyber Alliance. Participating in these communities allows us to collaborate with our Defense Industrial Base sector peers, government agencies, information sharing and analysis centers, and cybersecurity associations. The Cybersecurity Program staff also maintains contact with the Federal Bureau of Investigation for sharing of threat information.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Third parties play a key role in support of our Cybersecurity Program. The Chief Information Security Officer coordinates third-party assessments with the Company’s internal audit team. Third parties are regularly engaged to assess our security controls and incident response capabilities. We invest in tools to assess our external vulnerabilities and perform penetration testing regularly.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Third-party assessment findings are logged in our internal audit system and tracked until mitigated and/or remediated. These assessments are documented and reviewed with the Company’s Chief Executive Officer, Chief Operating Officer, Chief Information Officer, General Counsel, as well as the Government Security Committee (“GSC”) of the Board. Both the internal audit team and the Chief Information Security Officer are responsible for reporting any material assessment findings to their respective Board committees.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also maintain third-party management processes to identify and manage the cybersecurity risks associated with third-party service providers.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Governance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Board oversees management’s processes for identifying and mitigating risks, including cybersecurity risks, to help align our risk exposure with our strategic objectives. Senior leadership, including our Chief Information Security Officer, regularly briefs our Board through the GSC depending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the nature and severity of the business impact. The Chief Information Security Officer also provides the GSC with an update on the Company’s risk management process and the risk trends related to cybersecurity at least annually. The Audit Committee maintains oversight of material risk mitigation recommendations identified by third-party assessors and receives reports as assessments occur. Cyber assessments are performed no less than annually. The full Board retains oversight of cybersecurity because of its importance and the heightened risk in the defense industry.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Cybersecurity Program is organized under our Chief Information Security Officer. The current Chief Information Security Officer has extensive information technology and program management experience and has served for over a decade in our corporate information security organization. He has a Masters in cybersecurity from Valparaiso University. Additionally, he has both Certified Information Systems Security Professional-Information Systems Security Management Professional (“CISSP-ISSMP”) and Certified Information Systems Auditor (“CISA”) certifications, and is also a recognized Information Technology Infrastructure Library (“ITIL”) expert. The Chief Information Security Officer reports to the Executive Vice President, General Counsel &amp; Secretary with oversight by the Board. Over the course of the last decade, our management team has gained extensive experience investing in, providing oversight of, and setting the strategy for our Cybersecurity Program.</w:t>
      </w:r>
    </w:p>
    <w:p>
      <w:pPr>
        <w:pStyle w:val="TextBody"/>
        <w:bidi w:val="0"/>
        <w:spacing w:lineRule="auto" w:line="288" w:before="0" w:after="180"/>
        <w:ind w:left="0" w:right="0" w:firstLine="360"/>
        <w:jc w:val="left"/>
        <w:rPr/>
      </w:pPr>
      <w:r>
        <w:rPr>
          <w:rFonts w:ascii="Helvetica;sans-serif" w:hAnsi="Helvetica;sans-serif"/>
          <w:b w:val="false"/>
          <w:color w:val="000000"/>
          <w:sz w:val="20"/>
        </w:rPr>
        <w:t>As of the date of this Annual Report, we do not believe that any risks from cybersecurity threats, including as a result of any previous cybersecurity incidents, have materially affected or are reasonably likely to materially affect our business strategy, results of operations, or financial condition. However, there can be no guarantee that we will not experience such an incident in the future. Such incidents, whether or not successful, could result in our incurring significant costs related to, for example, rebuilding our internal systems, writing down inventory value, implementing additional threat protection measures, providing modifications or replacements to our products and services, defending against litigation, responding to regulatory inquiries or actions, paying damages, providing customers with incentives to maintain a business relationship with us, or taking other remedial steps with respect to third parties, as well as incurring significant program delays and reputational harm. In addition, these threats are constantly evolving, thereby increasing the difficulty of successfully defending against them or implementing adequate preventative measures. See Part I, Item 1A, “</w:t>
      </w:r>
      <w:r>
        <w:rPr>
          <w:rFonts w:ascii="Helvetica;sans-serif" w:hAnsi="Helvetica;sans-serif"/>
          <w:b w:val="false"/>
          <w:i/>
          <w:color w:val="000000"/>
          <w:sz w:val="20"/>
        </w:rPr>
        <w:t>Risk Factors—Risks Related to Our Business—We may be susceptible to a security breach, through cyber-attack, cyber-intrusion, insider threats or otherwise, and to other significant disruptions of our IT networks and related systems, or those of our customers, suppliers, vendors, subcontractors, partners, or other third parties</w:t>
      </w:r>
      <w:r>
        <w:rPr>
          <w:color w:val="000000"/>
        </w:rPr>
        <w:t xml:space="preserve">” </w:t>
      </w:r>
      <w:r>
        <w:rPr>
          <w:rFonts w:ascii="Helvetica;sans-serif" w:hAnsi="Helvetica;sans-serif"/>
          <w:b w:val="false"/>
          <w:color w:val="000000"/>
          <w:sz w:val="20"/>
        </w:rPr>
        <w:t>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2. PROPERTIES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are headquartered in Arlington, Virginia. Our principal executive offices are leased under a lease agreement expiring March 31, 2029, with an option to extend for three years thereafter. We also lease or own space in 17 other states and the District of Columbia in the United States, two cities in Canada and three cities in Israel. We own properties in three states in the United States and in one city in Canada. Two of our sites, one in Goose Creek, South Carolina and one in Israel, each contain a land lease and a building which is owned. The owned building in South Carolina is situated on land leased from a landlord for a period of 25 years ending in 2050 and the owned building in Israel is situated on land leased from the Israeli Land Authority for a period of 49 years ending in 2034. We believe that our facilities are adequate for our intended use and sufficient for our immediate needs, including to meet any security certification requirements or requirements for locating facilities in certain locations. It is not certain whether we will negotiate new leases as existing leases expire or whether we will be able to negotiate new leases without substantial cost. Such determinations will be made as existing leases approach expiration and will be based on an assessment of our requirements at that time. Further, we believe that we can obtain additional space, if necessary, based on prior experience and current real estate market conditions. The table below provides additional information about our significant leased and owned facilities and properties: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48</w:t>
                      </w:r>
                    </w:p>
                  </w:txbxContent>
                </v:textbox>
                <w10:wrap type="none"/>
              </v:rect>
            </w:pict>
          </mc:Fallback>
        </mc:AlternateConten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916"/>
        <w:gridCol w:w="616"/>
        <w:gridCol w:w="620"/>
        <w:gridCol w:w="109"/>
        <w:gridCol w:w="109"/>
        <w:gridCol w:w="109"/>
        <w:gridCol w:w="706"/>
        <w:gridCol w:w="706"/>
        <w:gridCol w:w="713"/>
        <w:gridCol w:w="109"/>
        <w:gridCol w:w="109"/>
        <w:gridCol w:w="109"/>
        <w:gridCol w:w="625"/>
        <w:gridCol w:w="533"/>
        <w:gridCol w:w="535"/>
        <w:gridCol w:w="109"/>
        <w:gridCol w:w="109"/>
        <w:gridCol w:w="109"/>
        <w:gridCol w:w="513"/>
        <w:gridCol w:w="513"/>
        <w:gridCol w:w="514"/>
        <w:gridCol w:w="109"/>
        <w:gridCol w:w="109"/>
        <w:gridCol w:w="109"/>
        <w:gridCol w:w="403"/>
        <w:gridCol w:w="403"/>
        <w:gridCol w:w="581"/>
      </w:tblGrid>
      <w:tr>
        <w:trPr/>
        <w:tc>
          <w:tcPr>
            <w:tcW w:w="9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Operating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Approximate Square Footage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Owned / Leased</w:t>
            </w:r>
          </w:p>
        </w:tc>
      </w:tr>
      <w:tr>
        <w:trPr/>
        <w:tc>
          <w:tcPr>
            <w:tcW w:w="21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 McDaniel Street, West Plains, MO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Warehouse, </w:t>
            </w:r>
          </w:p>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Integrated Mission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447,067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Owned</w:t>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Good Hope Rd., Menomonee Falls, WI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Manufacturing, Engineering, Warehouse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Integrated 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372,856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100 North Babcock Street, Melbourne,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Warehouse, </w:t>
            </w:r>
          </w:p>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336,287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6060 Highway, High Ridge, 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t>
            </w:r>
          </w:p>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Integrated 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183,600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Owned</w:t>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4201 Innovation Way, Bridgeton, MO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Warehouse, </w:t>
            </w:r>
          </w:p>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Integrated Mission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171,500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2014 Bushy Park Road, Goose Creek, 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Manufacturing, Warehouse, 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Integrated 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146,158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Land leased, building owned</w:t>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7200 Redstone Gateway, Huntsville, 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t>
            </w:r>
          </w:p>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131,498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246 Airport Road, Johnstown, 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Warehouse, </w:t>
            </w:r>
          </w:p>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129,716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401 Flint Drive, Menomonee Falls, WI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 xml:space="preserve">Engineering, </w:t>
            </w:r>
          </w:p>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Integrated Mission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118,620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166 Boulder Drive, Building #2, Fitchburg, 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Manufacturing, Warehouse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Integrated 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116,420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10600 Valley View Street, Cypress,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 xml:space="preserve">Engineering, </w:t>
            </w:r>
          </w:p>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 xml:space="preserve">Office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91,506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13532 N Central Expressway, Dallas, 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t>
            </w:r>
          </w:p>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89,982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4910 Executive Court South, Frederick,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t>
              <w:b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88,146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16465 Via Esprillo, San Diego,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t>
              <w:b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84,277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6200 118th Avenue North, Largo,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t>
            </w:r>
          </w:p>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75,968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Owned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49</w:t>
                      </w:r>
                    </w:p>
                  </w:txbxContent>
                </v:textbox>
                <w10:wrap type="none"/>
              </v:rect>
            </w:pict>
          </mc:Fallback>
        </mc:AlternateConten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388"/>
        <w:gridCol w:w="936"/>
        <w:gridCol w:w="940"/>
        <w:gridCol w:w="109"/>
        <w:gridCol w:w="109"/>
        <w:gridCol w:w="109"/>
        <w:gridCol w:w="767"/>
        <w:gridCol w:w="767"/>
        <w:gridCol w:w="769"/>
        <w:gridCol w:w="109"/>
        <w:gridCol w:w="109"/>
        <w:gridCol w:w="109"/>
        <w:gridCol w:w="642"/>
        <w:gridCol w:w="605"/>
        <w:gridCol w:w="607"/>
        <w:gridCol w:w="109"/>
        <w:gridCol w:w="109"/>
        <w:gridCol w:w="109"/>
        <w:gridCol w:w="230"/>
        <w:gridCol w:w="230"/>
        <w:gridCol w:w="231"/>
        <w:gridCol w:w="109"/>
        <w:gridCol w:w="109"/>
        <w:gridCol w:w="109"/>
        <w:gridCol w:w="228"/>
        <w:gridCol w:w="228"/>
        <w:gridCol w:w="329"/>
      </w:tblGrid>
      <w:tr>
        <w:trPr/>
        <w:tc>
          <w:tcPr>
            <w:tcW w:w="138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21 South Street, Danbury, 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Warehouse, </w:t>
            </w:r>
          </w:p>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Integrated 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74,300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Owned</w:t>
            </w:r>
          </w:p>
        </w:tc>
      </w:tr>
      <w:tr>
        <w:trPr/>
        <w:tc>
          <w:tcPr>
            <w:tcW w:w="3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1200 Sherman Street, Dallas,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 xml:space="preserve">Engineering, </w:t>
            </w:r>
          </w:p>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73,646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3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645 Anchors Street, Ft. Walton Beach,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t>
            </w:r>
          </w:p>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72,761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Owned</w:t>
            </w:r>
          </w:p>
        </w:tc>
      </w:tr>
      <w:tr>
        <w:trPr/>
        <w:tc>
          <w:tcPr>
            <w:tcW w:w="3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1240 Seesetown Rd., Sidman, 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Distribution, Warehouse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72,450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3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7700 US Highway 1, Titusville, 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Warehouse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63,309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3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640 Lovejoy, Ft. Walton Beach,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 xml:space="preserve">Engineering, </w:t>
            </w:r>
          </w:p>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60,465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Owned</w:t>
            </w:r>
          </w:p>
        </w:tc>
      </w:tr>
      <w:tr>
        <w:trPr/>
        <w:tc>
          <w:tcPr>
            <w:tcW w:w="3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2750 Blue Water Road, Eagan, MN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Engineering, Lab, 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48,563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3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13544 N Central Expressway, Dallas,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t>
            </w:r>
          </w:p>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48,374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3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2601 Mission Point Blvd, Beavercreek, OH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Engineering, 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47,586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3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2345 Crystal Dr., Arlington, VA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46,184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3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20511 Seneca Meadows Parkway, Germantown,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Engineering, 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42,476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3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150 Bluewater Road, Bedford, NS, 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t>
            </w:r>
          </w:p>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41,750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Owned</w:t>
            </w:r>
          </w:p>
        </w:tc>
      </w:tr>
      <w:tr>
        <w:trPr/>
        <w:tc>
          <w:tcPr>
            <w:tcW w:w="3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Block 7962 Plot 14 Floor 1 Buildings 224-235, 237, 238, Netanya, Israel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Engineering, 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40,238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3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11 Durant Ave, Bethel, 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Distribution Warehouse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Integrated Mission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37,840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32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Block 22884 Plot 982 3 Ha’Sadna Street, Beit She’an, Israel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t>
              <w:b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37,670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Owned</w:t>
            </w:r>
          </w:p>
        </w:tc>
      </w:tr>
      <w:tr>
        <w:trPr/>
        <w:tc>
          <w:tcPr>
            <w:tcW w:w="3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1021 Production Ct, Madison, 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Distribution, 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3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1832 Wright Street, Madison, WI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t>
              <w:b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32,319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3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651 Anchors Street, Ft. Walton Beach, FL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t>
            </w:r>
          </w:p>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31,783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Owned</w:t>
            </w:r>
          </w:p>
        </w:tc>
      </w:tr>
      <w:tr>
        <w:trPr/>
        <w:tc>
          <w:tcPr>
            <w:tcW w:w="3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1620 Old Airport Road, West Plains, 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Distribution, Warehouse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Integrated 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Owned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50</w:t>
                      </w:r>
                    </w:p>
                  </w:txbxContent>
                </v:textbox>
                <w10:wrap type="none"/>
              </v:rect>
            </w:pict>
          </mc:Fallback>
        </mc:AlternateConten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236"/>
        <w:gridCol w:w="892"/>
        <w:gridCol w:w="898"/>
        <w:gridCol w:w="109"/>
        <w:gridCol w:w="109"/>
        <w:gridCol w:w="109"/>
        <w:gridCol w:w="804"/>
        <w:gridCol w:w="804"/>
        <w:gridCol w:w="806"/>
        <w:gridCol w:w="109"/>
        <w:gridCol w:w="109"/>
        <w:gridCol w:w="109"/>
        <w:gridCol w:w="659"/>
        <w:gridCol w:w="659"/>
        <w:gridCol w:w="661"/>
        <w:gridCol w:w="109"/>
        <w:gridCol w:w="109"/>
        <w:gridCol w:w="109"/>
        <w:gridCol w:w="230"/>
        <w:gridCol w:w="230"/>
        <w:gridCol w:w="231"/>
        <w:gridCol w:w="109"/>
        <w:gridCol w:w="109"/>
        <w:gridCol w:w="109"/>
        <w:gridCol w:w="228"/>
        <w:gridCol w:w="228"/>
        <w:gridCol w:w="331"/>
      </w:tblGrid>
      <w:tr>
        <w:trPr/>
        <w:tc>
          <w:tcPr>
            <w:tcW w:w="123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590 Territorial Drive, Bolingbrook, 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t>
            </w:r>
          </w:p>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26,460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 Trowbridge Drive, Bethel, 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Integrated 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23,409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Block 22844 Portions of Plots 90, 91, Beit She’an, Israel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 xml:space="preserve">Manufacturing, Engineering, </w:t>
            </w:r>
          </w:p>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Advanced Sensing and Computing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22,003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166 Boulder Drive, Fitchburg, 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 xml:space="preserve">Engineering, </w:t>
            </w:r>
          </w:p>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Integrated 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640 Independence Blvd, West Plains, MO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Manufacturing, Engineering, Warehouse,</w:t>
            </w:r>
          </w:p>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Integrated Mission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Owned</w:t>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26 Castilian Drive, Goleta,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 xml:space="preserve">Engineering, </w:t>
            </w:r>
          </w:p>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Integrated 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20,823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3. LEGAL PROCEEDINGS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From time to time, we are subject to certain legal proceedings and claims in the ordinary course of business. These matters are subject to many uncertainties, and it is possible that some of these matters ultimately could be decided, resolved or settled in a manner adverse to us. Although the precise amount of liability that may result from these matters is not ascertainable, we believe that any amounts exceeding our recorded accruals should not materially adversely affect our financial condition or liquidity. It is possible, however, that the ultimate resolution of those matters could result in a material adverse effect on our results of operations and/or cash flows from operating activities for a particular reporting period. We establish reserves for specific legal matters when we determine that the likelihood of an unfavorable outcome is probable and the loss is reasonably estimable. The Company reviews the developments in contingencies that could affect the amount of the reserves that have been previously recorded. The Company adjusts provisions and changes to disclosures accordingly to reflect the impact of negotiations, settlements, rulings, advice of legal counsel, and updated information. Significant judgment is required to determine both the probability and the estimated amount of any potential losses.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Some environmental laws, such as the Comprehensive Environmental Response, Compensation and Liability Act of 1980 (also known as “CERCLA” or the “Superfund law”) and similar state statutes, can impose liability upon former owners or operators for the entire cost of investigating and remediating contaminated sites regardless of the lawfulness of the original activities that led to the contamination. In July 2000, an entity which later became a subsidiary of the Company received a Section 104(e) Request for Information (“RFI”) from the National Park Service (“NPS”), pursuant to CERCLA, regarding the presence of radioactive material at a site within a national park, (“Orphan Mine”), which site was operated by an alleged predecessor to our subsidiary over 50 years ago. Following our subsidiary’s response to the RFI, the NPS directed it and another alleged former operator to perform an Engineering Evaluation and Cost Analysis (“EE/CA”) of a portion of the site. Our subsidiary made a good faith offer to conduct an alternative EE/CA work plan, but the NPS rejected this offer and opted to perform the EE/CA itself. The NPS previously posted its intention to open a formal public comment period regarding the EE/CA at the end of 2019. To our knowledge, the EE/CA has not been released and a public comment period has yet to be opened.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Environmental Protection Agency (“EPA”) episodically updates its electronic databases concerning pending Superfund sites. As of June 2023, the entry in EPA’s Superfund database for this site states that this “[s]ite does not qualify for the NPL [National Priorities List] based on existing information. The EPA has determined that no further federal action (NFFA) will be taken at this site.” As a result, DRS has eliminated the Orphan Mine reserve as a liability is no longer probable or estimable. However, it remains possible that the NPS may seek to recover damages, including for remediation and/or loss of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of certain natural resources. We believe that we have legitimate defenses to our subsidiary’s potential liability and that there are other potentially responsible parties for the environmental conditions at the site, including the U.S. government as owner, operator and arranger at the site. The potential liability associated with this matter could change substantially due to such factors as additional information on the nature or extent of contamination, methods of remediation that might be recommended or required, changes in the apportionment of costs among the responsible parties, whether the NPS seeks to recover additional damages, whether the NPS’s plans to investigate additional areas to identify a need for further remedial action for which the Company may be identified as a potentially responsible party, and other actions by governmental agencies or private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4. MINE SAFETY DISCLOSURES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SUPPLEMENTARY ITEM— INFORMATION ABOUT OUR EXECUTIVE OFFICERS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sets forth certain information concerning our executive officers, including the respective age of each individual, as of February 25, 2026. Biographies of each of our executive officers are also below.</w:t>
      </w:r>
    </w:p>
    <w:tbl>
      <w:tblPr>
        <w:tblW w:w="8034" w:type="dxa"/>
        <w:jc w:val="left"/>
        <w:tblInd w:w="0" w:type="dxa"/>
        <w:tblLayout w:type="fixed"/>
        <w:tblCellMar>
          <w:top w:w="28" w:type="dxa"/>
          <w:left w:w="28" w:type="dxa"/>
          <w:bottom w:w="28" w:type="dxa"/>
          <w:right w:w="28" w:type="dxa"/>
        </w:tblCellMar>
      </w:tblPr>
      <w:tblGrid>
        <w:gridCol w:w="635"/>
        <w:gridCol w:w="555"/>
        <w:gridCol w:w="564"/>
        <w:gridCol w:w="109"/>
        <w:gridCol w:w="109"/>
        <w:gridCol w:w="109"/>
        <w:gridCol w:w="155"/>
        <w:gridCol w:w="155"/>
        <w:gridCol w:w="156"/>
        <w:gridCol w:w="109"/>
        <w:gridCol w:w="109"/>
        <w:gridCol w:w="109"/>
        <w:gridCol w:w="1506"/>
        <w:gridCol w:w="1506"/>
        <w:gridCol w:w="2148"/>
      </w:tblGrid>
      <w:tr>
        <w:trPr/>
        <w:tc>
          <w:tcPr>
            <w:tcW w:w="63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Position</w:t>
            </w:r>
          </w:p>
        </w:tc>
      </w:tr>
      <w:tr>
        <w:trPr/>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John A. Baylouny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President and Chief Executive Officer </w:t>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Michael D. Dippold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Executive Vice President, Chief Financial Officer</w:t>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Mark A. Dorfman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Executive Vice President, General Counsel &amp; Secretary</w:t>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Jason W. Rinsky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Executive Vice President, Chief Tax and Treasury Officer</w:t>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Sally A. Wallace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Executive Vice President, Chief Operating Officer</w:t>
            </w:r>
          </w:p>
        </w:tc>
      </w:tr>
    </w:tbl>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John A. Baylouny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Mr. Baylouny has been a director and our President and Chief Executive Officer since January 2026. Prior to assuming the position of President and Chief Executive Officer, Mr. Baylouny served as our Chief Operating Officer since October 2018. Mr. Baylouny also served as our Chief Technology Officer from January 2017 to October 2018. Prior to that, Mr. Baylouny served as Vice President and General Manager of the Company’s Land Systems and Advanced ISR businesses from January 2014 to January 2017, among other leadership roles. Mr. Baylouny has more than 35 years of experience in the aerospace and defense industry with diverse experience in operational responsibility, general management, technology, product and system design and development, and program management.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Mr. Baylouny has a master’s degree in electrical engineering from Stevens Institute of Technology, and a Bachelor of Science degree in electrical engineering from Fairleigh Dickinson University.</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Michael D. Dippold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Mr. Dippold has been our Executive Vice President and Chief Financial Officer since January 2017. As the Executive Vice President, Chief Financial Officer, Mr. Dippold is responsible for overseeing our financial activities and operations, controllership, treasury functions, and economic and business-related strategies. In addition, he currently resides on the USO Board of Governors. Throughout his career at DRS, Mr. Dippold has held a variety of roles of increasing responsibility. Prior to assuming the position of Executive Vice President, Chief Financial Officer, Mr. Dippold served as Senior Vice President, Corporate Controller from December 2015 to January 2017, and Vice President, Assistant Controller from December 2010 to December 2015. Prior to joining DRS in 2006, Mr. Dippold spent three years at KPMG LLP where he worked primarily on defense industry client accounts, including DRS.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Mr. Dippold received a Bachelor of Science degree in accounting from Pennsylvania State University.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Mark A. Dorfman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Mr. Dorfman has been our Executive Vice President, General Counsel and Secretary since February 2011. Mr. Dorfman is responsible for providing advice and counsel to the Company’s Board and executive leadership of the Company on legal and business matters. As the Company’s chief legal officer, Mr. Dorfman oversees the Company's legal and regulatory affairs, including transactions, litigation, corporate governance, internal audit, contracts, insurance, intellectual property protection, and ethics and compliance programs (including environmental health and safety, international trade, and industrial and cybersecurity). Mr. Dorfman joined the Company in 2005 as corporate counsel and was promoted multiple times between 2006 and 2011 to his current executive leadership position. Prior to assuming the position of Executive Vice President, General Counsel and Secretary, Mr. Dorfman served as Senior Vice President, General Counsel and Secretary from December 2009 to February 2011; Vice President, Corporate Counsel from March 2006 to December 2009; and Corporate Counsel from September 2005 to March 2006.</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Prior to joining DRS, from 1999 to 2005, Mr. Dorfman was a corporate attorney first at Chadbourne &amp; Parke LLP and then Lowenstein Sandler PC, where his practice included representation of corporate and other clients in connection with mergers and acquisitions, divestitures, public and private securities offerings, joint ventures and other complex transactions and providing advice and counsel on a variety of matters, including securities law and corporate governance.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Mr. Dorfman holds a Bachelor of Arts degree in political science from Emory University and a juris doctor degree from New York University School of Law.</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Jason W. Rinsky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Mr. Rinsky has been our Executive Vice President, Chief Tax and Treasury Officer since January 2026. Mr. Rinsky is responsible for the global tax and treasury functions as well as the commercial real estate profile for the Company and all of its business units. He previously served as Senior Vice President, Tax and Treasury from 2012 until his most recent promotion. Mr. Rinsky joined the Company in 2006 as Senior Vice President, Corporate Taxation. Mr. Rinsky also chairs DRS’ Retirement Plan Committee which has oversight over approximately $1 billion of defined benefit and defined contribution plan assets. He previously served as Tax Officer for US Holding from 2009 to 2022 and worked at both KPMG and PricewaterhouseCoopers advising clients on tax related matters.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Mr. Rinsky earned his undergraduate degree from Hamilton College and his J.D. and M.B.A. from Seton Hall University.</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Sally A. Wallace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Ms. Wallace has been our Executive Vice President, Chief Operating Officer since January 2026. As Executive Vice President, Chief Operating Officer, Ms. Wallace is responsible for overseeing the business operations and technical strategy of the Company. Ms. Wallace has more than 30 years’ experience, in roles of increasing responsibility, within the defense industry. Prior to assuming the position of Executive Vice President, Chief Operating Officer, Ms. Wallace was the Company’s Executive Vice President, Business Operations, a position she held since late 2016. Throughout her career at DRS, Ms. Wallace has held a variety of roles of increasing responsibility including President of the C4ISR Group within DRS from April 2014 to December 2016, Vice President of Business Operations for DRS Maritime and Combat Support Systems Group from July 2008 to April 2014, as well as the Vice President and General Manager of DRS Power and Control Technologies from 2002 to July 2008.</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Ms. Wallace has a master’s degree in business from the University of Chicago, a master’s degree in mechanical engineering from the University of Connecticut and a Bachelor of Science degree in engineering physics from Grove City College.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5. MARKET FOR REGISTRANT’S COMMON EQUITY, RELATED STOCKHOLDER MATTERS AND ISSUER PURCHASES OF EQUITY SECURITIES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Market Information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stock is listed on the Nasdaq under the symbol “DRS.”</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Dividends</w:t>
      </w:r>
    </w:p>
    <w:p>
      <w:pPr>
        <w:pStyle w:val="TextBody"/>
        <w:bidi w:val="0"/>
        <w:spacing w:lineRule="auto" w:line="288" w:before="0" w:after="180"/>
        <w:ind w:left="0" w:right="0" w:firstLine="360"/>
        <w:jc w:val="left"/>
        <w:rPr/>
      </w:pPr>
      <w:r>
        <w:rPr>
          <w:rFonts w:ascii="Helvetica;sans-serif" w:hAnsi="Helvetica;sans-serif"/>
          <w:b w:val="false"/>
          <w:color w:val="000000"/>
          <w:sz w:val="20"/>
        </w:rPr>
        <w:t>On February 24, 2026, the Company announced that its Board declared a cash dividend of $.09 per share of common stock payable on March 24, 2026 to stockholders of record as of the close of business on March 10, 2026. This payment and any future payments are at the discretion of our Board and will depend upon our financial condition, results of operations, capital requirements, alternative uses of capital and other factors that our Board may consider at its discretion. See Part II, Item 7, “</w:t>
      </w:r>
      <w:r>
        <w:rPr>
          <w:rFonts w:ascii="Helvetica;sans-serif" w:hAnsi="Helvetica;sans-serif"/>
          <w:b w:val="false"/>
          <w:i/>
          <w:color w:val="000000"/>
          <w:sz w:val="20"/>
        </w:rPr>
        <w:t>Management’s Discussion and Analysis of Financial Condition and Results of Operations</w:t>
      </w:r>
      <w:r>
        <w:rPr>
          <w:color w:val="000000"/>
        </w:rPr>
        <w:t xml:space="preserve">” </w:t>
      </w:r>
      <w:r>
        <w:rPr>
          <w:rFonts w:ascii="Helvetica;sans-serif" w:hAnsi="Helvetica;sans-serif"/>
          <w:b w:val="false"/>
          <w:color w:val="000000"/>
          <w:sz w:val="20"/>
        </w:rPr>
        <w:t>included in this Annual Report.</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Holders of Common Stock</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Transfer Agent and Registrar for our common stock is Equiniti Trust Company, LLC located at 28 Liberty Street, Floor 53, New York, NY 10005. As of February 24, 2026, there were 40 registered holders of record of our common stock.</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Common Stock Share Repurchase Program</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summarizes our repurchases of common stock during the three months ended December 31, 2025:</w:t>
      </w:r>
    </w:p>
    <w:tbl>
      <w:tblPr>
        <w:tblW w:w="10205" w:type="dxa"/>
        <w:jc w:val="left"/>
        <w:tblInd w:w="0" w:type="dxa"/>
        <w:tblLayout w:type="fixed"/>
        <w:tblCellMar>
          <w:top w:w="28" w:type="dxa"/>
          <w:left w:w="28" w:type="dxa"/>
          <w:bottom w:w="28" w:type="dxa"/>
          <w:right w:w="28" w:type="dxa"/>
        </w:tblCellMar>
      </w:tblPr>
      <w:tblGrid>
        <w:gridCol w:w="872"/>
        <w:gridCol w:w="553"/>
        <w:gridCol w:w="558"/>
        <w:gridCol w:w="109"/>
        <w:gridCol w:w="109"/>
        <w:gridCol w:w="109"/>
        <w:gridCol w:w="623"/>
        <w:gridCol w:w="584"/>
        <w:gridCol w:w="587"/>
        <w:gridCol w:w="109"/>
        <w:gridCol w:w="109"/>
        <w:gridCol w:w="109"/>
        <w:gridCol w:w="371"/>
        <w:gridCol w:w="1138"/>
        <w:gridCol w:w="192"/>
        <w:gridCol w:w="109"/>
        <w:gridCol w:w="109"/>
        <w:gridCol w:w="109"/>
        <w:gridCol w:w="447"/>
        <w:gridCol w:w="447"/>
        <w:gridCol w:w="448"/>
        <w:gridCol w:w="109"/>
        <w:gridCol w:w="109"/>
        <w:gridCol w:w="109"/>
        <w:gridCol w:w="588"/>
        <w:gridCol w:w="1050"/>
        <w:gridCol w:w="439"/>
      </w:tblGrid>
      <w:tr>
        <w:trPr/>
        <w:tc>
          <w:tcPr>
            <w:tcW w:w="87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Total Number of Shares (or Units)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Average Price Paid per Share (or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Total Number of</w:t>
            </w:r>
          </w:p>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Shares (or Units)</w:t>
            </w:r>
          </w:p>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Purchased as Part of</w:t>
            </w:r>
          </w:p>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Publicly Announced</w:t>
            </w:r>
          </w:p>
          <w:p>
            <w:pPr>
              <w:pStyle w:val="TableContents"/>
              <w:bidi w:val="0"/>
              <w:spacing w:lineRule="auto" w:line="288" w:before="0" w:after="0"/>
              <w:jc w:val="center"/>
              <w:rPr/>
            </w:pPr>
            <w:r>
              <w:rPr>
                <w:rFonts w:ascii="Helvetica;sans-serif" w:hAnsi="Helvetica;sans-serif"/>
                <w:b/>
                <w:color w:val="000000"/>
                <w:sz w:val="16"/>
              </w:rPr>
              <w:t>Plans or Programs</w:t>
            </w:r>
            <w:r>
              <w:rPr>
                <w:rFonts w:ascii="Helvetica;sans-serif" w:hAnsi="Helvetica;sans-serif"/>
                <w:b/>
                <w:color w:val="000000"/>
                <w:sz w:val="10"/>
              </w:rPr>
              <w:t>(1)</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Approximate Dollar Value of Shares (or Units)</w:t>
            </w:r>
          </w:p>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that May Yet Be</w:t>
            </w:r>
          </w:p>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Purchased Under</w:t>
            </w:r>
          </w:p>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the Plans or</w:t>
            </w:r>
          </w:p>
          <w:p>
            <w:pPr>
              <w:pStyle w:val="TableContents"/>
              <w:bidi w:val="0"/>
              <w:spacing w:lineRule="auto" w:line="288" w:before="0" w:after="0"/>
              <w:jc w:val="center"/>
              <w:rPr/>
            </w:pPr>
            <w:r>
              <w:rPr>
                <w:rFonts w:ascii="Helvetica;sans-serif" w:hAnsi="Helvetica;sans-serif"/>
                <w:b/>
                <w:color w:val="000000"/>
                <w:sz w:val="16"/>
              </w:rPr>
              <w:t>Programs</w:t>
            </w:r>
            <w:r>
              <w:rPr>
                <w:rFonts w:ascii="Helvetica;sans-serif" w:hAnsi="Helvetica;sans-serif"/>
                <w:b/>
                <w:color w:val="000000"/>
                <w:sz w:val="10"/>
              </w:rPr>
              <w:t>(1)</w:t>
            </w:r>
          </w:p>
        </w:tc>
      </w:tr>
      <w:tr>
        <w:trPr/>
        <w:tc>
          <w:tcPr>
            <w:tcW w:w="198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i/>
                <w:color w:val="000000"/>
                <w:sz w:val="16"/>
              </w:rPr>
            </w:pPr>
            <w:r>
              <w:rPr>
                <w:rFonts w:ascii="Helvetica;sans-serif" w:hAnsi="Helvetica;sans-serif"/>
                <w:b w:val="false"/>
                <w:i/>
                <w:color w:val="000000"/>
                <w:sz w:val="16"/>
              </w:rPr>
              <w:t>(Dollars 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07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October 1, 2025 - 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91,845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42.00 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91,845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November 1, 2025 - November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91,905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34.78 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91,905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43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December 1, 2025 -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108,814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33.98 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108,814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292,564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292,564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Helvetica;sans-serif" w:hAnsi="Helvetica;sans-serif"/>
          <w:b w:val="false"/>
          <w:color w:val="000000"/>
          <w:sz w:val="18"/>
        </w:rPr>
      </w:pPr>
      <w:r>
        <w:rPr>
          <w:rFonts w:ascii="Helvetica;sans-serif" w:hAnsi="Helvetica;sans-serif"/>
          <w:b w:val="false"/>
          <w:color w:val="000000"/>
          <w:sz w:val="18"/>
        </w:rPr>
        <w:t>________________</w:t>
      </w:r>
    </w:p>
    <w:p>
      <w:pPr>
        <w:pStyle w:val="TextBody"/>
        <w:bidi w:val="0"/>
        <w:spacing w:lineRule="auto" w:line="288" w:before="0" w:after="180"/>
        <w:ind w:left="0" w:right="0" w:hanging="360"/>
        <w:jc w:val="left"/>
        <w:rPr>
          <w:rFonts w:ascii="Helvetica;sans-serif" w:hAnsi="Helvetica;sans-serif"/>
          <w:b w:val="false"/>
          <w:color w:val="000000"/>
          <w:sz w:val="18"/>
        </w:rPr>
      </w:pPr>
      <w:r>
        <w:rPr>
          <w:rFonts w:ascii="Helvetica;sans-serif" w:hAnsi="Helvetica;sans-serif"/>
          <w:b w:val="false"/>
          <w:color w:val="000000"/>
          <w:sz w:val="18"/>
        </w:rPr>
        <w:t>(1)On February 20, 2025, the Company announced that its Board approved a share repurchase program that allows the Company to purchase up to $75 million of its outstanding common stock through March 4, 2027, subject to market conditions. All repurchased shares are expected to be retired.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Share repurchases are at the discretion of our Board and will depend upon our financial condition, results of operations, capital requirements, alternative uses of capital and other factors that our Board may consider at its discretion.</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Performance Graph</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following graph compares the cumulative total stockholder return on our common stock, from November 29, 2022, the date our common stock began trading on Nasdaq, through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to the Standard &amp; Poor’s 500 Index (the “S&amp;P 500 Index”) and the Standard &amp; Poor’s Aerospace &amp; Defense Select Industry Index (the “S&amp;P A&amp;D Select Industry Index”). For purposes of this comparison, we have assumed an initial investment of $100, that dividends have been reinvested, and the returns of each company in the S&amp;P 500 Index and the S&amp;P A&amp;D Select Industry Index have been weighted to reflect relative stock market capitalization.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performance graph does not constitute soliciting material and should not be deemed filed or incorporated by reference into any other previous or future filings by us under the Securities Act or the Exchange Act, except to the extent that we specifically incorporate the performance graph by reference therein.</w:t>
      </w:r>
    </w:p>
    <w:p>
      <w:pPr>
        <w:pStyle w:val="TextBody"/>
        <w:bidi w:val="0"/>
        <w:spacing w:before="0" w:after="180"/>
        <w:jc w:val="left"/>
        <w:rPr/>
      </w:pPr>
      <w:r>
        <w:rPr/>
        <w:drawing>
          <wp:inline distT="0" distB="0" distL="0" distR="0">
            <wp:extent cx="5838825" cy="3619500"/>
            <wp:effectExtent l="0" t="0" r="0" b="0"/>
            <wp:docPr id="6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 descr=""/>
                    <pic:cNvPicPr>
                      <a:picLocks noChangeAspect="1" noChangeArrowheads="1"/>
                    </pic:cNvPicPr>
                  </pic:nvPicPr>
                  <pic:blipFill>
                    <a:blip r:embed="rId2"/>
                    <a:stretch>
                      <a:fillRect/>
                    </a:stretch>
                  </pic:blipFill>
                  <pic:spPr bwMode="auto">
                    <a:xfrm>
                      <a:off x="0" y="0"/>
                      <a:ext cx="5838825" cy="3619500"/>
                    </a:xfrm>
                    <a:prstGeom prst="rect">
                      <a:avLst/>
                    </a:prstGeom>
                  </pic:spPr>
                </pic:pic>
              </a:graphicData>
            </a:graphic>
          </wp:inline>
        </w:drawing>
      </w:r>
      <w:bookmarkStart w:id="0" w:name="i-1"/>
      <w:bookmarkEnd w:id="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 xml:space="preserve">ITEM 7. MANAGEMENT’S DISCUSSION AND ANALYSIS OF FINANCIAL CONDITION AND RESULTS OF OPERATIONS </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You should read this discussion together with our consolidated financial statements and related notes thereto included elsewhere in this Annual Report, as well as Part II, Item 7, “Management’s Discussion and Analysis of Financial Condition and Results of Operations” of our annual report on Form 10-K for the year ended December 31, 2024, which provides additional information on comparisons of the year ended December 31, 2024, to the year ended December 31, 2023.</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This discussion and other parts of this document include forward-looking statements such as those relating to our plans, objectives, expectations and beliefs, which involve risks, uncertainties and assumptions. These forward-looking statements are subject to numerous risks and uncertainties, including, but not limited to, the risks and uncertainties described in “Risk Factors” and “Special Note Regarding Forward-Looking Statements and Information.” Actual results may differ materially from those contained in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Business Overview and Considerations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General</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DRS is an innovative and agile provider of advanced defense technology to U.S. national security customers and allies around the world. We specialize in the design, development and manufacture of advanced sensing, network computing, force protection, and electric power and propulsion technologies and solutions. The strength of our market positioning in these technology areas have created a foundational and diverse base of programs across the DoW and its allies. We believe these technologies will not only support our customers in today’s mission but will also underpin their strategy to migrate towards more autonomous, dynamic, interconnected, and multi-domain capabilities needed to address evolving and emerging threats. We view more advanced capabilities in sensing, computing, self-protection and power as necessary to enable these strategic priorities.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overall strategy is to be a balanced and diversified company, less vulnerable to any one budgetary platform or service decision with a specific focus on establishing strong technical and market positions in areas of priority for the DoW. The U.S. government, primarily with the DoW, is our largest customer and, for the years ended December 31, 2025 and 2024, accounted for approximately 80% and 79%, respectively, of our business as an end-user, with revenues principally derived directly or indirectly from contracts with the U.S. Navy and U.S. Army, which represented 36% and 36%, respectively, of our total revenues for the year ended December 31, 2025 and 37% and 32%, respectively, for the year ended December 31, 2024.</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operations and reporting are structured into the following two technology driven segments based on the capabilities and solutions offered to our customers:</w:t>
      </w:r>
    </w:p>
    <w:p>
      <w:pPr>
        <w:pStyle w:val="TextBody"/>
        <w:bidi w:val="0"/>
        <w:spacing w:lineRule="auto" w:line="288" w:before="0" w:after="180"/>
        <w:ind w:left="0" w:right="0" w:hanging="360"/>
        <w:jc w:val="left"/>
        <w:rPr>
          <w:rFonts w:ascii="Helvetica;sans-serif" w:hAnsi="Helvetica;sans-serif"/>
          <w:b w:val="false"/>
          <w:i/>
          <w:color w:val="000000"/>
          <w:sz w:val="20"/>
        </w:rPr>
      </w:pPr>
      <w:r>
        <w:rPr>
          <w:rFonts w:ascii="Helvetica;sans-serif" w:hAnsi="Helvetica;sans-serif"/>
          <w:b w:val="false"/>
          <w:i/>
          <w:color w:val="000000"/>
          <w:sz w:val="20"/>
        </w:rPr>
        <w:t>Advanced Sensing and Computing</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ASC segment designs, develops and manufactures sensing and network computing technology that enables real-time situational awareness required for enhanced operational decision making and execution by our customers across increasingly complex and contested operating environments.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sensing capabilities span numerous applications, including missions requiring advanced detection, precision targeting and surveillance sensing, long range electro-optic/infrared, signals intelligence and other intelligence systems, electronic warfare, ground vehicle sensing, next generation active electronically scanned array tactical radars, dismounted soldier sensing and space sensing. Across our offerings, we are focused on advancing sensor range and enhancing the precision, clarity, definition, spectral depth and effectiveness of our sensors to deliver actionable information in time-sensitive mission scenarios in combination with AI, enabled by our advanced edge processing solutions. We also seek to leverage the knowledge and expertise built through our decades of experience to optimize size, weight,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power and cost for our customers’ specific mission requirements and to support integration onto a wide range of tactical platforms, including mobile and power-constrained systems.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sensing capabilities are complemented by our rugged, trusted and cyber resilient network edge computing products that support data processing, fusion, and dissemination at the tactical edge. Our network computing offerings are utilized across a broad range of mission applications including platform computing on ground and shipboard (both surface ship and submarine) for advanced battle management, combat systems, radar, command and control, tactical networks, tactical computing and communications. These products help support the DoW’s need for greater situational understanding and faster decision-making at the tactical edge by leveraging AI and AI-optimized open architecture software, SAGEcore™, to rapidly share, synthesize and transmit data securely between command centers and forward-positioned defense assets and personnel, while supporting reduced latency, operational continuity, and interoperability through modular, open-system architectures.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Within ASC, we are increasingly combining sensing, computing, and software to support applications such as C-UAS, electronic warfare, and networked sensing, where performance depends on the ability to detect, process, and act on data in real time. These integrated capabilities are designed to support evolving operational concepts that emphasize distributed operations, resilient communications, and decision advantage at the tactical edge.</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 xml:space="preserve">Integrated Mission Systems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IMS segment designs, develops, manufactures and integrates power conversion, control and distribution systems, ship propulsion systems, motors and variable frequency drives, force protection systems, and transportation and logistics systems for the U.S. military and allied defense customers.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DRS is a leading provider of next-generation electrical propulsion systems for the U.S. Navy. We provide power conversion, control, distribution and propulsion systems for the U.S. Navy’s top priority shipbuilding programs, including the Columbia Class ballistic missile submarine, the first modern U.S. electric drive submarine.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believe DRS is well positioned to meet the needs of an increasingly electrified and power-intensive fleet through high-efficiency, power-dense permanent magnet motors, energy storage systems, and associated rugged and compact power conversion, electrical actuation, and advanced thermal management technologies. These capabilities support higher onboard power demands, improved efficiency, and enhanced platform performance across next-generation naval systems.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DRS has a long history of providing a number of other critical products to the U.S. Navy with a significant installed base on submarines, aircraft carriers and other surface ships including motor controllers, instrumentation and control equipment, electrical actuation systems, and thermal management systems for electronics and ship stores refrigeration.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DRS is also an integrator of complex systems in ground vehicles for short-range air defense, C-UAS, and vehicle survivability and protection. Our short-range air defense systems integrate advanced AESA radars, EW equipment, reconnaissance and surveillance systems, mission command capabilities, modular combat vehicle turrets, and stabilized sensor suites, as well as kinetic countermeasures to protect against evolving threats. Our force protection systems, including solutions for C-UAS, help protect personnel and defense assets from enemy combatants.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Focus on Customer and Execution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DRS and its employees focus on our end-customers – the men and women of the armed forces in the U.S. and its allies. We seek to provide high-quality equipment and services to support their mission success. We strive for excellence in everything we do, in every job in our Company, in order to satisfy our customers’ needs embedded in our contractual commitments. We seek to ensure that we learn from every lesson experienced in our Company and insist that these lessons affect all elements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businesses. This approach permeates through the Company with a focus on continuous improvement at every level.</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Part of this learning has resulted in institutionalizing our continuous improvement process through our Business Excellence initiative called the Always Performing for Excellence (“APEX”) program. The APEX program’s goal is to strive for continuous improvement through unification of all of our business practices, tools and metrics, ongoing employee training and innovation. We believe that excellence is not a destination, but by constantly challenging ourselves to be better, we will improve, and ultimately approach excellence. We challenge ourselves to exceed our customers’ expectations and we partner with them to work to ensure that our execution meets their needs.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Continuous improvement, through the APEX program also allows us to improve our efficiency, which we believe contributes to increased margins, helps us to remain competitive and allows us to make strategic investments, all while maintaining our focus on customer satisfaction. In these elements, our goals are aligned with those of our customers. We are humbled by the dedication and sacrifice that our ultimate customers have made to serve and we work to perform for them with excellence in everything we do.</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Over the past 12 months, the Company has invested to accelerate both increased capacity and the pacing of innovation. Throughout 2025, we increased capital expenditures over 60% and IR&amp;D by over 40%. The investments were highlighted by the opening of a 140,000 square foot naval power and propulsion manufacturing and testing facility in South Carolina, increasing capacity for U.S. Navy submarine and shipbuilding programs. This investment was complemented by $45 million of funding for an incremental 40,000 square feet of capacity expansion. </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Global Events and Business Impacts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Global Conflicts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U.S. and its allies continue to face a global security environment marked by heightened tensions and instability, including threats from state and non-state actors—particularly major powers—as well as terrorist organizations, and diverse regional security challenges and political instability. Demand for defense products, services, and solutions worldwide is driven by these complex and evolving security conditions, considered in the broader context of political and socioeconomic circumstances and priorities. These events, including periods of global unrest, can affect our operations and financial performance and influence demand for our products and services.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ongoing conflict in Ukraine, recent events in Venezuela, and threats elsewhere—particularly in the Middle East and the Western Pacific—have increased global tensions and highlighted evolving security requirements in Europe, the Middle East, the Pacific region, Latin America, and the U.S. These developments have resulted in, and may continue to result in, increased demand for defense products and services.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believe the current global security environment continues to underscore the need for strong deterrence and robust defense capabilities. We are actively evaluating both opportunities and risks associated with these conditions.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Business Environment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Revenues derived directly, as a prime contractor, or indirectly, as a subcontractor, from contracts with the U.S. government represented 80%, 79% and 80% of our total revenues for the years ended December 31, 2025, 2024 and 2023, respectively. Our U.S. government sales are highly concentrated within our DoW customers, which made up the overwhelming majority of our U.S. government revenue for the year ended December 31, 2025, and are principally derived directly or indirectly from contracts with the U.S. Navy and U.S. Army, which represented 36% and 36%, respectively, of our total revenues for the year ended December 31, 2025. Therefore, our revenue is highly correlated to changes in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government spending levels, especially within the DoW. The DoW budget is the largest defense budget in the world.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Given the reliance on the U.S. government, funding for our programs are subject to a variety of factors that can affect our business, including: the President’s budget requests and procurement priorities and policies; the annual congressional budget authorization and appropriations process; and other U.S. government domestic and international priorities. U.S. government spending levels, particularly defense spending and the timing of funding, can affect our financial performance over the short and long term.</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President’s FY2026 budget request was published in June 2025. The request includes $848 billion in base (discretionary) funding and $113 billion in reconciliation (mandatory) funding. The OBBBA was signed by the President on July 4, 2025, and provides more than $150 billion in mandatory funding (including the $113 billion reconciliation funding) for national defense, available through September 30, 2029.</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Separately, the NDAA for FY2026 was signed into law on December 18, 2025. The NDAA authorizes $901 billion for defense, including an $8 billion increase over the President’s DoW budget request from June 2025. On November 12, 2025, the President signed a continuing resolution to fund the U.S. government, including the DoW, through January 30, 2026. On January 20, 2026, Congress unveiled its final appropriations package, which included the Defense Appropriations Act conference report. This legislation provides $839 billion in funding for the DoW, representing an $8 billion increase over the topline in the President’s DoW budget request. On February 3, 2026, Congress passed and the President signed the Consolidated Appropriations Act, 2026, providing funding for the government through the end of the government’s fiscal year, including authority for defense accounts.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Operating Performance Assessment and Reporting</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the majority of our contracts, revenues are recognized using the over time, percentage of completion cost-to-cost method of accounting, with revenue recognized based on the ratio of cumulative costs incurred to date to estimated total contract costs at completion. For contracts accounted for in this way, our reported revenues may contain amounts which we have not billed to customers if we have incurred costs, and recognized related profits, in excess of billed progress or performance based payments.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Under U.S. GAAP, contract costs are charged to work in progress inventory and are expensed as revenues are recognized. The Federal Acquisition Regulation (“FAR”) and the Defense Federal Acquisition Regulation Supplement (“DFARS”), incorporated by reference in U.S. government contracts, provide that internal research and development costs are allowable general and administrative expenses. Unallowable costs, pursuant to the FAR, are excluded from costs accumulated on U.S. government contracts.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defense contracts and subcontracts that require the submission of cost or pricing data are subject to audit, various profit and cost controls, and standard provisions for termination at the convenience of the customer. The DCAA performs these audits on behalf of the U.S. government. The DCAA has the right to perform audits on our incurred costs on cost-type or price redeterminable-type contracts on a yearly basis. Approval of an incurred cost submission can take from one to three years from the date of the submission of the contract cost.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U.S. government contracts are, by their terms, subject to termination by the U.S. government for either convenience or default by the contractor. Fixed-price contracts provide for payment upon termination for items delivered to and accepted by the U.S. government and, if the termination is for convenience, for payment of fair compensation of work performed plus the costs of settling and paying claims by terminated subcontractors, other settlement expenses and a reasonable profit on the costs incurred. Cost-plus contracts provide that, upon termination, the contractor is entitled to reimbursement of its allowable costs and, if the termination is for convenience, a total fee proportionate to the percentage of the work completed under the contract. If a contract termination is for default, however, the contractor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59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paid an amount agreed upon for completed and partially completed products and services accepted by the U.S. government. In these circumstances, the U.S. government is not liable for excess costs incurred by us in procuring undelivered items from another source.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addition to the right of the U.S. government to terminate U.S. government contracts, such contracts are conditioned upon the continuing availability of Congressional appropriations. Congress usually appropriates funds for a given program on a September 30 fiscal year basis, even though contract performance may take many years. Consequently, at the outset of a major program, the contract is typically only partially funded, and additional funds normally are committed to the contract by the procuring agency only as appropriations are made by Congress for future fiscal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Components of Operations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Revenue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Revenue consists primarily of product related revenue, which represented 94%, 94% and 93% of our total revenues for the years ended December 31, 2025, 2024 and 2023, respectively. The remaining revenue was generated from service related contracts. Additionally, 88%, 84% and 84% of our revenue for the years ended December 31, 2025, 2024 and 2023, respectively, was derived from firm-fixed price contracts. For a firm-fixed price contract, customers agree to pay a fixed amount, negotiated in advance, for a specified scope of work. Revenue on fixed-price contracts is generally recognized over time using costs incurred to date relative to total estimated costs at completion to measure progress toward satisfying our performance obligations. Incurred costs represent work performed that corresponds with and thereby best depicts the transfer of control to the customer.</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Under flexibly priced contracts, which consisted of 12%, 16% and 16% of our total revenues for the years ended December 31, 2025, 2024 and 2023, respectively, we are reimbursed for allowable or otherwise defined total costs (defined as cost of revenues plus allowable general and administrative expenses) incurred, plus a fee. The contracts may also include incentives for various performance criteria, including quality, timeliness, cost-effectiveness or other factors. In addition, costs are generally subject to review by clients and regulatory audit agencies, and such reviews could result in costs being disputed as non-reimbursable under the terms of the contract. Revenue for flexibly priced contracts are generally recognized as services are performed and are contractually billable.</w:t>
      </w:r>
    </w:p>
    <w:p>
      <w:pPr>
        <w:pStyle w:val="TextBody"/>
        <w:bidi w:val="0"/>
        <w:spacing w:lineRule="auto" w:line="288" w:before="0" w:after="180"/>
        <w:ind w:left="0" w:right="0" w:firstLine="360"/>
        <w:jc w:val="left"/>
        <w:rPr/>
      </w:pPr>
      <w:r>
        <w:rPr>
          <w:rFonts w:ascii="Helvetica;sans-serif" w:hAnsi="Helvetica;sans-serif"/>
          <w:b w:val="false"/>
          <w:color w:val="000000"/>
          <w:sz w:val="20"/>
        </w:rPr>
        <w:t>Refer to Part II, Item 7,</w:t>
      </w:r>
      <w:r>
        <w:rPr>
          <w:color w:val="000000"/>
        </w:rPr>
        <w:t xml:space="preserve"> “</w:t>
      </w:r>
      <w:r>
        <w:rPr>
          <w:rFonts w:ascii="Helvetica;sans-serif" w:hAnsi="Helvetica;sans-serif"/>
          <w:b w:val="false"/>
          <w:i/>
          <w:color w:val="000000"/>
          <w:sz w:val="20"/>
        </w:rPr>
        <w:t>Management’s Discussion and Analysis of Financial Condition and Results of Operations—Critical Accounting Policies and Estimates”</w:t>
      </w:r>
      <w:r>
        <w:rPr>
          <w:color w:val="000000"/>
        </w:rPr>
        <w:t xml:space="preserve"> </w:t>
      </w:r>
      <w:r>
        <w:rPr>
          <w:rFonts w:ascii="Helvetica;sans-serif" w:hAnsi="Helvetica;sans-serif"/>
          <w:b w:val="false"/>
          <w:color w:val="000000"/>
          <w:sz w:val="20"/>
        </w:rPr>
        <w:t xml:space="preserve">and </w:t>
      </w:r>
      <w:r>
        <w:rPr>
          <w:rFonts w:ascii="Helvetica;sans-serif" w:hAnsi="Helvetica;sans-serif"/>
          <w:b w:val="false"/>
          <w:i/>
          <w:color w:val="000000"/>
          <w:sz w:val="20"/>
        </w:rPr>
        <w:t>Note 2: Revenue from Contracts with Customers</w:t>
      </w:r>
      <w:r>
        <w:rPr>
          <w:color w:val="000000"/>
        </w:rPr>
        <w:t xml:space="preserve"> </w:t>
      </w:r>
      <w:r>
        <w:rPr>
          <w:rFonts w:ascii="Helvetica;sans-serif" w:hAnsi="Helvetica;sans-serif"/>
          <w:b w:val="false"/>
          <w:color w:val="000000"/>
          <w:sz w:val="20"/>
        </w:rPr>
        <w:t>to the Consolidated Financial Statements for additional information.</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Cost of Revenues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Cost of revenues includes materials, labor and overhead costs incurred in the manufacturing, design, and provision of products and services sold in the period as well as warranty costs. Material costs include raw materials, purchased components and sub-assemblies and outside processing and inbound freight. Labor and overhead costs consist of direct and indirect manufacturing costs, including wages and fringe benefits, operating supplies, depreciation and amortization, occupancy costs, and purchasing, receiving, inspection and inbound freight costs.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General and Administrative Expenses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General and administrative (“G&amp;A”) expenses include G&amp;A expenses not included within cost of revenues such as salaries, wages and fringe benefits, facility costs and other costs related to these indirect functions. Additionally, G&amp;A expenses include company-funded independent research and development costs as well as expenditures related to bid and proposal (“B&amp;P”) efforts.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discussion of operating results is intended to help the reader understand the results of operations and financial condition of the Company, as well as individual segments, for the periods presented. Given the nature of our business, we believe revenue and earnings from operations are most relevant to an understanding of our performance at a business and segment level. Our operating cycle is lengthy and involves various types of production contracts and varying delivery schedules. Accordingly, operating results in a particular year may not be indicative of future operating results.</w:t>
      </w:r>
    </w:p>
    <w:tbl>
      <w:tblPr>
        <w:tblW w:w="10997" w:type="dxa"/>
        <w:jc w:val="left"/>
        <w:tblInd w:w="0" w:type="dxa"/>
        <w:tblLayout w:type="fixed"/>
        <w:tblCellMar>
          <w:top w:w="28" w:type="dxa"/>
          <w:left w:w="28" w:type="dxa"/>
          <w:bottom w:w="28" w:type="dxa"/>
          <w:right w:w="28" w:type="dxa"/>
        </w:tblCellMar>
      </w:tblPr>
      <w:tblGrid>
        <w:gridCol w:w="857"/>
        <w:gridCol w:w="239"/>
        <w:gridCol w:w="240"/>
        <w:gridCol w:w="211"/>
        <w:gridCol w:w="646"/>
        <w:gridCol w:w="286"/>
        <w:gridCol w:w="109"/>
        <w:gridCol w:w="109"/>
        <w:gridCol w:w="109"/>
        <w:gridCol w:w="211"/>
        <w:gridCol w:w="646"/>
        <w:gridCol w:w="286"/>
        <w:gridCol w:w="109"/>
        <w:gridCol w:w="109"/>
        <w:gridCol w:w="109"/>
        <w:gridCol w:w="211"/>
        <w:gridCol w:w="646"/>
        <w:gridCol w:w="286"/>
        <w:gridCol w:w="109"/>
        <w:gridCol w:w="109"/>
        <w:gridCol w:w="109"/>
        <w:gridCol w:w="211"/>
        <w:gridCol w:w="541"/>
        <w:gridCol w:w="481"/>
        <w:gridCol w:w="109"/>
        <w:gridCol w:w="109"/>
        <w:gridCol w:w="109"/>
        <w:gridCol w:w="270"/>
        <w:gridCol w:w="271"/>
        <w:gridCol w:w="286"/>
        <w:gridCol w:w="109"/>
        <w:gridCol w:w="109"/>
        <w:gridCol w:w="109"/>
        <w:gridCol w:w="211"/>
        <w:gridCol w:w="541"/>
        <w:gridCol w:w="481"/>
        <w:gridCol w:w="109"/>
        <w:gridCol w:w="109"/>
        <w:gridCol w:w="109"/>
        <w:gridCol w:w="322"/>
        <w:gridCol w:w="324"/>
        <w:gridCol w:w="331"/>
      </w:tblGrid>
      <w:tr>
        <w:trPr/>
        <w:tc>
          <w:tcPr>
            <w:tcW w:w="85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 vs. 2024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 vs. 2023 Change</w:t>
            </w:r>
          </w:p>
        </w:tc>
      </w:tr>
      <w:tr>
        <w:trPr/>
        <w:tc>
          <w:tcPr>
            <w:tcW w:w="13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 except per share amounts)</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3,648 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3,234 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2,826 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414 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408 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14.4 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Cost of revenues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(2,779)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(2,498)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(2,178)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(281)</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(320)</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14.7 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869 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736 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648 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133 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88 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Gross margin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23.8 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22.8 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22.9 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Helvetica;sans-serif" w:hAnsi="Helvetica;sans-serif"/>
                <w:b w:val="false"/>
                <w:color w:val="000000"/>
                <w:sz w:val="20"/>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Helvetica;sans-serif" w:hAnsi="Helvetica;sans-serif"/>
                <w:b w:val="false"/>
                <w:color w:val="000000"/>
                <w:sz w:val="20"/>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(384)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(83)</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20.0 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7.8 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Amortization of acquired intangible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operating expenses,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(71.4)</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(36.4)</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Operating earnings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348 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55 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62 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26.8 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Interest expense,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(61.9)</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(41.7)</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(50.0)</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166.7 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Earnings before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72 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72 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37.5 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Income tax provision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13.7 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112.5 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Net earnings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65 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Basic EPS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0.81 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0.64 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0.24 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0.17 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26.6 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Diluted EPS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0.80 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0.64 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0.23 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28.8 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0.16 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25.0 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Backlog</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8,448 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8,268 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7,751 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180 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517 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6.7 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Bookings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4,245 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4,077 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168 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561 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16.0 </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Year Ended December 31, 2025 Compared to the Year Ended December 31, 2024</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operating results for the year ended December 31, 2025, are highlighted by our strong $8.4 billion of backlog and over $4.2 billion of new orders, demonstrating the strong customer demand for our mission critical technologies. Embedded in our backlog is a diversified, balanced portfolio supported by foundational programs strongly aligned in areas of, in our view, growing importance within the DoW budget priorities. Our backlog position is highlighted by our contract to support the electric power and propulsion system for the Columbia Class production program, as well as continued demand in our force protection, network computing, and advanced sensing programs. We believe the performance on these and other programs within our portfolio will support continued revenue growth.</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Revenue of $3,648 million for the year ended December 31, 2025 represented an increase of $414 million (12.8%) driven by increased demand across our program portfolio. Our gross profit of $869 million increased $133 million (18.1%) from the prior year results attributed to the increased volume and higher profitability levels. This contributed to a gross margin increase of 100 bps attributed to a quantum cascade laser license for specific use in the quantum space, positive program performance on our Columbia Class program and favorable revenue mix as we realized increased revenue from our tactical radars. These benefits were offset in large part by the negotiated conclusion of the work on a legacy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ground surveillance program, which triggered a program charge. Our operating and net earnings increased $55 million (18.8%) and $65 million (30.5%) from the year ended December 31, 2024, respectively, attributed to the higher gross profit, and lower net interest expense, offset slightly by higher tax expense.</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Revenue</w:t>
      </w:r>
    </w:p>
    <w:p>
      <w:pPr>
        <w:pStyle w:val="TextBody"/>
        <w:bidi w:val="0"/>
        <w:spacing w:lineRule="auto" w:line="288" w:before="0" w:after="180"/>
        <w:ind w:left="0" w:right="0" w:firstLine="360"/>
        <w:jc w:val="left"/>
        <w:rPr/>
      </w:pPr>
      <w:r>
        <w:rPr>
          <w:rFonts w:ascii="Helvetica;sans-serif" w:hAnsi="Helvetica;sans-serif"/>
          <w:b w:val="false"/>
          <w:color w:val="000000"/>
          <w:sz w:val="20"/>
        </w:rPr>
        <w:t>For the year ended December 31, 2025, revenue increased by $414 million, or 12.8%, to $3,648 million from $3,234 million for year ended December 31, 2024. The revenue increase in 2025 was attributed to increased customer demand across our portfolio, highlighted by increased revenue contribution from our naval power and propulsion efforts, continued counter drone and short-range air defense (“SHORAD”) programs, as well as the quantum laser license noted above. The revenue growth is attributed to both of our operating segments, see “—</w:t>
      </w:r>
      <w:r>
        <w:rPr>
          <w:rFonts w:ascii="Helvetica;sans-serif" w:hAnsi="Helvetica;sans-serif"/>
          <w:b w:val="false"/>
          <w:i/>
          <w:color w:val="000000"/>
          <w:sz w:val="20"/>
        </w:rPr>
        <w:t>Review of Operating Segments</w:t>
      </w:r>
      <w:r>
        <w:rPr>
          <w:color w:val="000000"/>
        </w:rPr>
        <w:t xml:space="preserve">” </w:t>
      </w:r>
      <w:r>
        <w:rPr>
          <w:rFonts w:ascii="Helvetica;sans-serif" w:hAnsi="Helvetica;sans-serif"/>
          <w:b w:val="false"/>
          <w:color w:val="000000"/>
          <w:sz w:val="20"/>
        </w:rPr>
        <w:t>below for additional detail.</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Cost of Revenues</w:t>
      </w:r>
    </w:p>
    <w:p>
      <w:pPr>
        <w:pStyle w:val="TextBody"/>
        <w:bidi w:val="0"/>
        <w:spacing w:lineRule="auto" w:line="288" w:before="0" w:after="180"/>
        <w:ind w:left="0" w:right="0" w:firstLine="360"/>
        <w:jc w:val="left"/>
        <w:rPr/>
      </w:pPr>
      <w:r>
        <w:rPr>
          <w:rFonts w:ascii="Helvetica;sans-serif" w:hAnsi="Helvetica;sans-serif"/>
          <w:b w:val="false"/>
          <w:color w:val="000000"/>
          <w:sz w:val="20"/>
        </w:rPr>
        <w:t>Cost of revenues increased $281 million, or 11.2%, from $2,498 million to $2,779 million for the year ended December 31, 2025, due to the 12.8% increase in revenue as described above. The 11.2% increase, which was slightly lower than the 12.8% revenue increase, was impacted by improved program performance and favorable revenue mix, due in part to the quantum laser license, which was offset by increased cost at completion estimates, which negatively impacted earnings with net charges totaling approximately 2% of revenue for the year ended December 31, 2025 (see</w:t>
      </w:r>
      <w:r>
        <w:rPr>
          <w:color w:val="000000"/>
        </w:rPr>
        <w:t xml:space="preserve"> </w:t>
      </w:r>
      <w:r>
        <w:rPr>
          <w:rFonts w:ascii="Helvetica;sans-serif" w:hAnsi="Helvetica;sans-serif"/>
          <w:b w:val="false"/>
          <w:i/>
          <w:color w:val="000000"/>
          <w:sz w:val="20"/>
        </w:rPr>
        <w:t>Note 2: Revenue from Contracts with Customers</w:t>
      </w:r>
      <w:r>
        <w:rPr>
          <w:color w:val="000000"/>
        </w:rPr>
        <w:t xml:space="preserve"> </w:t>
      </w:r>
      <w:r>
        <w:rPr>
          <w:rFonts w:ascii="Helvetica;sans-serif" w:hAnsi="Helvetica;sans-serif"/>
          <w:b w:val="false"/>
          <w:color w:val="000000"/>
          <w:sz w:val="20"/>
        </w:rPr>
        <w:t>to the Consolidated Financial Statements for further detail). The increased cost at completion includes the aforementioned legacy ground surveillance program noted above and the impact of cost increases tied to germanium used in our optics and infrared programs that increased our cost of revenues for the period within our ASC segment.</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Gross Profit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Gross profit increased $133 million, or 18.1%, from $736 million for the year ended December 31, 2024, to $869 million for the year ended December 31, 2025, attributed to increased volume offset by the program impacts for the legacy ground surveillance program and optics and infrared programs noted above.</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General and Administrative Expenses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G&amp;A expenses increased by $83 million, or 20.0%, from $414 million for the year ended December 31, 2024, to $497 million for the year ended December 31, 2025. The increase is largely attributed to enhanced IR&amp;D expenditures, B&amp;P expenditures, stock-based compensation expenses and G&amp;A efforts to expand the business internationally. </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Amortization of Acquired Intangible Assets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Amortization of acquired intangible assets for the year ended December 31, 2025 of $22 million remained consistent with the year ended December 31, 2024.</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Other Operating Expenses, Net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Other operating expenses, net decreased $5 million from $7 million for the year ended December 31, 2024 to $2 million for the year ended December 31, 2025. The expense in both periods is attributed to restructuring efforts implemented in our ASC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Operating Earnings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Operating earnings increased by $55 million, or 18.8%, to $348 million for the year ended December 31, 2025, from $293 million for the year ended December 31, 2024, driven by the higher gross profit offset by the impacts of G&amp;A expenditures.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Interest Expense, Net</w:t>
      </w:r>
    </w:p>
    <w:p>
      <w:pPr>
        <w:pStyle w:val="TextBody"/>
        <w:bidi w:val="0"/>
        <w:spacing w:lineRule="auto" w:line="288" w:before="0" w:after="180"/>
        <w:ind w:left="0" w:right="0" w:firstLine="360"/>
        <w:jc w:val="left"/>
        <w:rPr/>
      </w:pPr>
      <w:r>
        <w:rPr>
          <w:rFonts w:ascii="Helvetica;sans-serif" w:hAnsi="Helvetica;sans-serif"/>
          <w:b w:val="false"/>
          <w:color w:val="000000"/>
          <w:sz w:val="20"/>
        </w:rPr>
        <w:t>Net interest expense decreased by $13 million to $8 million for the year ended December 31, 2025, from $21 million for the year ended December 31, 2024. The decrease is primarily attributed to increased interest income as a result of higher cash balances during the year and a decrease in borrowings on our revolving credit facility. Se</w:t>
      </w:r>
      <w:r>
        <w:rPr>
          <w:rFonts w:ascii="Helvetica;sans-serif" w:hAnsi="Helvetica;sans-serif"/>
          <w:b w:val="false"/>
          <w:i/>
          <w:color w:val="000000"/>
          <w:sz w:val="20"/>
        </w:rPr>
        <w:t xml:space="preserve">e Note 12: Debt </w:t>
      </w:r>
      <w:r>
        <w:rPr>
          <w:rFonts w:ascii="Helvetica;sans-serif" w:hAnsi="Helvetica;sans-serif"/>
          <w:b w:val="false"/>
          <w:color w:val="000000"/>
          <w:sz w:val="20"/>
        </w:rPr>
        <w:t>to the Consolidated Financial Statements</w:t>
      </w:r>
      <w:r>
        <w:rPr>
          <w:color w:val="000000"/>
        </w:rPr>
        <w:t xml:space="preserve"> </w:t>
      </w:r>
      <w:r>
        <w:rPr>
          <w:rFonts w:ascii="Helvetica;sans-serif" w:hAnsi="Helvetica;sans-serif"/>
          <w:b w:val="false"/>
          <w:color w:val="000000"/>
          <w:sz w:val="20"/>
        </w:rPr>
        <w:t>for further information regarding our debt.</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Other, Net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Other, net decreased to $4 million for the year ended December 31, 2025, from $8 million for the year ended December 31, 2024 driven by lower foreign exchange rate impacts.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Earnings Before Taxes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Earnings before taxes increased by $72 million to $336 million for the year ended December 31, 2025, from $264 million for the year ended December 31, 2024. This was primarily due to increased operating earnings of $55 million, the decrease of $13 million in net interest expense and the decrease in other, net costs of $4 million, as described above.</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Income Tax Provision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Income tax provision increased by $7 million to $58 million for the year ended December 31, 2025, from $51 million for the year ended December 31, 2024. This was primarily due to an increase in earnings before taxes, partially offset by an increase in tax credits. Our effective tax rate was 17.3% for 2025 compared to 19.3% for 2024.</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Net Earnings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Net earnings increased by $65 million to $278 million for the year ended December 31, 2025, when compared to the year ended December 31, 2024. This was driven by increased earnings before taxes of $72 million offset by the increased income tax provision of $7 million, as described above.</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Basic and Diluted EPS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the year ended December 31, 2025, the weighted average shares outstanding totaled 265.9 million and 268.7 million for basic and diluted shares, respectively, an increase of approximately 2 million and 1 million shares as compared to the prior year. The increase in weighted average shares outstanding is attributed to equity vesting and stock option exercises, offset slightly by shares repurchased throughout the course of the year. Basic and diluted earnings per share (“EPS”) was $1.05 and $1.03 for the year ended December 31, 2025, respectively, as compared to the prior year basic and diluted EPS of $0.81 and $0.80, respectively. The increase in basic and diluted EPS is attributed to the increased net earnings described above, partially offset by the increased weighted average shares outstanding.</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Backlog</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Total backlog includes the following components: </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Funded - Funded backlog represents the revenue value of orders for products and services under existing contracts for which funding is appropriated or otherwise authorized less revenue previously recognized on these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Unfunded - Unfunded backlog represents the revenue value of firm orders for products and services under existing contracts for which funding has not yet been appropriated less funding previously recognized on these contracts.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summarizes the value of our backlog at December 31, 2025 and 2024, incorporating both funded and unfunded components:</w:t>
      </w:r>
    </w:p>
    <w:tbl>
      <w:tblPr>
        <w:tblW w:w="3789" w:type="dxa"/>
        <w:jc w:val="left"/>
        <w:tblInd w:w="0" w:type="dxa"/>
        <w:tblLayout w:type="fixed"/>
        <w:tblCellMar>
          <w:top w:w="28" w:type="dxa"/>
          <w:left w:w="28" w:type="dxa"/>
          <w:bottom w:w="28" w:type="dxa"/>
          <w:right w:w="28" w:type="dxa"/>
        </w:tblCellMar>
      </w:tblPr>
      <w:tblGrid>
        <w:gridCol w:w="537"/>
        <w:gridCol w:w="473"/>
        <w:gridCol w:w="475"/>
        <w:gridCol w:w="211"/>
        <w:gridCol w:w="646"/>
        <w:gridCol w:w="109"/>
        <w:gridCol w:w="109"/>
        <w:gridCol w:w="109"/>
        <w:gridCol w:w="109"/>
        <w:gridCol w:w="211"/>
        <w:gridCol w:w="646"/>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Funded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Unfunded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 backlog</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8,268 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Helvetica;sans-serif" w:hAnsi="Helvetica;sans-serif"/>
          <w:b w:val="false"/>
          <w:color w:val="000000"/>
          <w:sz w:val="20"/>
        </w:rPr>
        <w:t>Backlog increased by $180 million, or 2.2%, from $8,268 million as of December 31, 2024, to $8,448 million as of December 31, 2025. The backlog increase is largely attributed to increased demand in space, ground vehicle, and airborne sensing programs as well as logistic support programs within our ASC segment, partially offset by a reduction in new awards for tactical computing and dismounted soldier sensing programs. See “—</w:t>
      </w:r>
      <w:r>
        <w:rPr>
          <w:rFonts w:ascii="Helvetica;sans-serif" w:hAnsi="Helvetica;sans-serif"/>
          <w:b w:val="false"/>
          <w:i/>
          <w:color w:val="000000"/>
          <w:sz w:val="20"/>
        </w:rPr>
        <w:t>Review of Operating Segments</w:t>
      </w:r>
      <w:r>
        <w:rPr>
          <w:color w:val="000000"/>
        </w:rPr>
        <w:t xml:space="preserve">” </w:t>
      </w:r>
      <w:r>
        <w:rPr>
          <w:rFonts w:ascii="Helvetica;sans-serif" w:hAnsi="Helvetica;sans-serif"/>
          <w:b w:val="false"/>
          <w:color w:val="000000"/>
          <w:sz w:val="20"/>
        </w:rPr>
        <w:t>below for a more detailed analysis.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At December 31, 2025 we changed our remaining performance obligations / backlog. The change resulted in an immaterial impact on prior year and prior quarter amounts. The following table summarizes the adjusted value of our backlog for each of the five quarters in the period ended December 31, 2025:</w:t>
      </w:r>
    </w:p>
    <w:tbl>
      <w:tblPr>
        <w:tblW w:w="7995" w:type="dxa"/>
        <w:jc w:val="left"/>
        <w:tblInd w:w="0" w:type="dxa"/>
        <w:tblLayout w:type="fixed"/>
        <w:tblCellMar>
          <w:top w:w="28" w:type="dxa"/>
          <w:left w:w="28" w:type="dxa"/>
          <w:bottom w:w="28" w:type="dxa"/>
          <w:right w:w="28" w:type="dxa"/>
        </w:tblCellMar>
      </w:tblPr>
      <w:tblGrid>
        <w:gridCol w:w="537"/>
        <w:gridCol w:w="473"/>
        <w:gridCol w:w="475"/>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Q4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Q3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Q2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Q4</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Funded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Unfunded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Total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8,669 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8,366 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8,372 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8,268 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Bookings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define bookings as the total value of contract awards received from the U.S. government for which it has appropriated funds and legally obligated such funds to the Company through a contract or purchase order, plus the funded value of contract awards and orders received from customers other than the U.S. government.</w:t>
      </w:r>
    </w:p>
    <w:p>
      <w:pPr>
        <w:pStyle w:val="TextBody"/>
        <w:bidi w:val="0"/>
        <w:spacing w:lineRule="auto" w:line="288" w:before="0" w:after="180"/>
        <w:ind w:left="0" w:right="0" w:firstLine="360"/>
        <w:jc w:val="left"/>
        <w:rPr/>
      </w:pPr>
      <w:r>
        <w:rPr>
          <w:rFonts w:ascii="Helvetica;sans-serif" w:hAnsi="Helvetica;sans-serif"/>
          <w:b w:val="false"/>
          <w:color w:val="000000"/>
          <w:sz w:val="20"/>
        </w:rPr>
        <w:t>For the year ended December 31, 2025, we generated bookings of $4,245 million, a 4.1% increase over the $4,077 million realized during the year ended December 31, 2024. The bookings increase is attributed to increased customer demand within our IMS segment realizing bookings growth of 21.7%, which was offset in part by ASC new orders which declined from the prior year (5.7%). The bookings increase was driven by strong performance within both our force protection (counter drone and SHORAD) and naval power and propulsion programs. These increases were offset in part by lower new awards received at our ASC segment. See “—</w:t>
      </w:r>
      <w:r>
        <w:rPr>
          <w:rFonts w:ascii="Helvetica;sans-serif" w:hAnsi="Helvetica;sans-serif"/>
          <w:b w:val="false"/>
          <w:i/>
          <w:color w:val="000000"/>
          <w:sz w:val="20"/>
        </w:rPr>
        <w:t>Review of Operating Segments</w:t>
      </w:r>
      <w:r>
        <w:rPr>
          <w:color w:val="000000"/>
        </w:rPr>
        <w:t xml:space="preserve">” </w:t>
      </w:r>
      <w:r>
        <w:rPr>
          <w:rFonts w:ascii="Helvetica;sans-serif" w:hAnsi="Helvetica;sans-serif"/>
          <w:b w:val="false"/>
          <w:color w:val="000000"/>
          <w:sz w:val="20"/>
        </w:rPr>
        <w:t>below for a more detailed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Factors Impacting Our Performance</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U.S. Government Spending and Federal Budget Uncertainty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Changes in the volume and relative mix of U.S. and allied government spending as well as areas of spending growth, including due to the evolution of warfare, could impact our business and results of operations. In particular, our results can be affected by shifts in strategies and priorities on homeland security, intelligence, defense-related programs, infrastructure and urbanization and continued increased spending on technology and innovation, including cybersecurity with respect to our and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information networks and related systems, AI, connected communities and physical infrastructure (for example, the potential impacts for the Russia / Ukraine conflict and the Israel-Hamas war). Cost-cutting and efficiency initiatives, increasing nationalization efforts, current and future budget restrictions, spending cuts and other efforts to reduce government spending and shifts in overall priorities could cause our government customers to reduce or delay funding or invest appropriated funds on a less consistent basis or not at all, and demand for our solutions or services could diminish. Existing contracts could also be canceled due to changes in need and prioritization. Furthermore, any disruption in the functioning of government agencies, including as a result of government closures and shutdowns, could have a negative impact on our operations and cause us to lose revenue or incur additional costs due to, among other things, our inability to maintain access and schedules for government testing or deploy our staff to customer locations or facilities as a result of such disruptions.</w:t>
      </w:r>
    </w:p>
    <w:p>
      <w:pPr>
        <w:pStyle w:val="TextBody"/>
        <w:bidi w:val="0"/>
        <w:spacing w:lineRule="auto" w:line="288" w:before="0" w:after="180"/>
        <w:ind w:left="0" w:right="0" w:firstLine="360"/>
        <w:jc w:val="left"/>
        <w:rPr/>
      </w:pPr>
      <w:r>
        <w:rPr>
          <w:rFonts w:ascii="Helvetica;sans-serif" w:hAnsi="Helvetica;sans-serif"/>
          <w:b w:val="false"/>
          <w:color w:val="000000"/>
          <w:sz w:val="20"/>
        </w:rPr>
        <w:t>There is also uncertainty around the timing, extent, nature and effect of Congressional and other U.S. government actions to address budgetary constraints, caps on certain discretionary budgets, and the ability of Congress to determine how to allocate the available budget authority and pass appropriations bills to fund U.S. government departments and agencies. Additionally, budget deficits and the growing U.S. national debt may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reductions, delays, or cancellations of funding for, services that we are contracted to provide to the U.S. government as a result of any of these impacts or related initiatives, legislation or otherwise could have a material adverse effect on our business and results of operations. See Part I, Item 1A, “</w:t>
      </w:r>
      <w:r>
        <w:rPr>
          <w:rFonts w:ascii="Helvetica;sans-serif" w:hAnsi="Helvetica;sans-serif"/>
          <w:b w:val="false"/>
          <w:i/>
          <w:color w:val="000000"/>
          <w:sz w:val="20"/>
        </w:rPr>
        <w:t>Risk Factors—Risks Related to Our Business—Significant delays, including government shutdowns, or reductions in appropriations for our programs and changes in U.S. government priorities and spending levels more broadly may negatively impact our business and could have a material adverse impact on our business, financial condition and results of operations</w:t>
      </w:r>
      <w:r>
        <w:rPr>
          <w:color w:val="000000"/>
        </w:rPr>
        <w:t xml:space="preserve">” </w:t>
      </w:r>
      <w:r>
        <w:rPr>
          <w:rFonts w:ascii="Helvetica;sans-serif" w:hAnsi="Helvetica;sans-serif"/>
          <w:b w:val="false"/>
          <w:color w:val="000000"/>
          <w:sz w:val="20"/>
        </w:rPr>
        <w:t>and Part II, Item 7, “</w:t>
      </w:r>
      <w:r>
        <w:rPr>
          <w:rFonts w:ascii="Helvetica;sans-serif" w:hAnsi="Helvetica;sans-serif"/>
          <w:b w:val="false"/>
          <w:i/>
          <w:color w:val="000000"/>
          <w:sz w:val="20"/>
        </w:rPr>
        <w:t>Management’s Discussion and Analysis of Financial Condition and Results of Operations—Business Overview and Considerations—Business Environment</w:t>
      </w:r>
      <w:r>
        <w:rPr>
          <w:color w:val="000000"/>
        </w:rPr>
        <w:t xml:space="preserve">” </w:t>
      </w:r>
      <w:r>
        <w:rPr>
          <w:rFonts w:ascii="Helvetica;sans-serif" w:hAnsi="Helvetica;sans-serif"/>
          <w:b w:val="false"/>
          <w:color w:val="000000"/>
          <w:sz w:val="20"/>
        </w:rPr>
        <w:t>in this Annual Report for further details on U.S. government spending’s impact on our business.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Operational Performance on Contracts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Company recognizes revenue for each separately identifiable performance obligation in a contract representing an obligation to transfer a distinct good or service to a customer. In most cases, goods and services provided under the Company’s contracts are accounted for as single performance obligations due to the complex and integrated nature of our products and services. These contracts generally require significant integration of a group of goods and/or services to deliver a combined output. In some contracts, the Company provides multiple distinct goods or services to a customer. In those cases, the Company accounts for the distinct contract deliverables as separate performance obligations and allocates the transaction price to each performance obligation based on its relative standalone selling price, which is generally estimated using cost plus a reasonable margin. While the Company provides warranties on certain contracts, we typically do not provide for services beyond standard assurances and therefore do not consider warranties to be separate performance obligations.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Typically, we enter into three types of contracts: fixed-price contracts, cost-plus contracts and T&amp;M contracts. The majority of our total revenues are derived from fixed-price contracts; refer to the revenue disaggregation disclosures in </w:t>
      </w:r>
      <w:r>
        <w:rPr>
          <w:rFonts w:ascii="Helvetica;sans-serif" w:hAnsi="Helvetica;sans-serif"/>
          <w:b w:val="false"/>
          <w:i/>
          <w:color w:val="000000"/>
          <w:sz w:val="20"/>
        </w:rPr>
        <w:t>Note 2: Revenue from Contracts with Customers</w:t>
      </w:r>
      <w:r>
        <w:rPr>
          <w:color w:val="000000"/>
        </w:rPr>
        <w:t xml:space="preserve"> </w:t>
      </w:r>
      <w:r>
        <w:rPr>
          <w:rFonts w:ascii="Helvetica;sans-serif" w:hAnsi="Helvetica;sans-serif"/>
          <w:b w:val="false"/>
          <w:color w:val="000000"/>
          <w:sz w:val="20"/>
        </w:rPr>
        <w:t>to the Consolidated Financial Statements.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fixed-price contracts, customers agree to pay a fixed amount, negotiated in advance for a specified scope of work.</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For cost-plus contracts, typically we are reimbursed for allowable or otherwise defined total costs (defined as cost of revenues plus allowable general and administrative expenses) incurred, plus a fee. The contracts may also include incentives for various performance criteria, including quality, timeliness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and cost-effectiveness. In addition, costs are generally subject to review by clients and regulatory audit agencies, and such reviews could result in costs being disputed as non-reimbursable under the terms of the contract.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T&amp;M contracts provide for reimbursement of labor hours expended at a contractual fixed labor rate per hour, plus the actual costs of material and other direct non-labor costs. The fixed labor rates on T&amp;M contracts include amounts for the cost of direct labor, indirect contract costs and profit.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Revenue from contracts with customers is recognized when the performance obligations are satisfied through the transfer of control over the good or service to the customer, which may occur either over time or at a point in time.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Revenues for the majority of our contracts are measured using the over time, percentage of completion cost-to-cost method of accounting to calculate percentage of completion. We believe this is an appropriate measure of progress toward satisfaction of performance obligations as this measure most accurately depicts the progress of our work and transfer of control to our customers. Due to the long-term nature of many of our contracts, developing the estimated transaction price and total cost at completion often requires judgment. The estimated transaction price may include variable consideration such as performance incentives, requests for equitable adjustment (“REAs”) and claims. Variable consideration is included in the estimated transaction price only to the extent it is probable that a significant reversal of cumulative revenue recognized will not occur when the uncertainty associated with the variable consideration is subsequently resolved. Factors that must be considered in estimating the cost of the work to be completed include the nature and complexity of the work to be performed, subcontractor performance and the risk and impact of delayed performance.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After establishing the estimated total cost at completion, we follow a standard Estimate at Completion (“EAC”) process in which we review the progress and performance on our ongoing contracts on a routine basis. Adjustments to original estimates for a contract's revenue, estimated costs at completion and estimated profit or loss often are required as work progresses under a contract, as experience is gained and as more information is obtained, even though the scope of work required under the contract may not change and are also required if contract modifications occur. When adjustments in estimated total costs at completion are determined, the related impact on revenue and operating earnings are recognized using the cumulative catch-up method, which recognizes in the current period the cumulative effect of such adjustments for all prior periods. Any anticipated losses on these contracts are fully recognized in the period in which the losses become evident.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represents the net impact that changes in our estimates, particularly those regarding our fixed-price programs, have had on our revenues for the periods presented:</w:t>
      </w:r>
    </w:p>
    <w:tbl>
      <w:tblPr>
        <w:tblW w:w="5268" w:type="dxa"/>
        <w:jc w:val="left"/>
        <w:tblInd w:w="0" w:type="dxa"/>
        <w:tblLayout w:type="fixed"/>
        <w:tblCellMar>
          <w:top w:w="28" w:type="dxa"/>
          <w:left w:w="28" w:type="dxa"/>
          <w:bottom w:w="28" w:type="dxa"/>
          <w:right w:w="28" w:type="dxa"/>
        </w:tblCellMar>
      </w:tblPr>
      <w:tblGrid>
        <w:gridCol w:w="640"/>
        <w:gridCol w:w="564"/>
        <w:gridCol w:w="566"/>
        <w:gridCol w:w="211"/>
        <w:gridCol w:w="436"/>
        <w:gridCol w:w="286"/>
        <w:gridCol w:w="109"/>
        <w:gridCol w:w="109"/>
        <w:gridCol w:w="109"/>
        <w:gridCol w:w="211"/>
        <w:gridCol w:w="436"/>
        <w:gridCol w:w="286"/>
        <w:gridCol w:w="109"/>
        <w:gridCol w:w="109"/>
        <w:gridCol w:w="109"/>
        <w:gridCol w:w="211"/>
        <w:gridCol w:w="436"/>
        <w:gridCol w:w="331"/>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15"/>
            <w:tcBorders>
              <w:right w:val="single" w:sz="8" w:space="0" w:color="FFFFFF"/>
            </w:tcBorders>
            <w:tcMar>
              <w:top w:w="0" w:type="dxa"/>
              <w:left w:w="0" w:type="dxa"/>
              <w:bottom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(59)</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 of revenue</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Regulations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Increased audit, review, investigation and general scrutiny by U.S. government agencies of performance under government contracts and compliance with the terms of those contracts and applicable laws, including executive orders,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DoW and the U.S. intelligence community, including those related to cybersecurity, could impact our ability to perform in the markets we serve.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International Sales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International revenue, including foreign military sales, foreign military financing, and direct commercial sales, accounted for approximately 8%, 13% and 10% of our revenue for the years ended December 31, 2025, 2024 and 2023, respectively. The reduction in international sales is due in part to the reduction of exposure to the Ukraine conflict coupled with the decrease in revenue on the legacy ground surveillance program noted above. We believe that despite the reduction, international sales will be an important growth opportunity driven by higher defense spending within Europe and recent foreign military sales agreements signed between the U.S. and allied nations in the Middle East. We remain subject to the spending levels, pace and priorities of the U.S. government as well as international governments and commercial customers, and to general economic conditions that could adversely affect us, our customers and our suppliers.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Additionally, some international sales may expose us to foreign exchange fluctuations and changing dynamics of foreign competitiveness based on variations in the value of the U.S. dollar relative to other currencies. The impact of those fluctuations is reflected throughout our Consolidated Financial Statements, but in the aggregate, did not have a material impact on our results of operations for the years ended December 31, 2025, 2024 and 2023.</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Acquisitions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consider the acquisition of businesses and investments that we believe will expand or complement our current portfolio and allow access to new customers or technologies. We also may explore the divestiture of businesses that no longer meet our needs or strategy or that could perform better outside of our organization.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Review of Operating Segments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following is a discussion of operating results for each of our operating segments. We have elected to use revenue, operating earnings, operating margin, bookings and backlog to provide detailed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Helvetica;sans-serif" w:hAnsi="Helvetica;sans-serif"/>
          <w:b w:val="false"/>
          <w:color w:val="000000"/>
          <w:sz w:val="20"/>
        </w:rPr>
        <w:t xml:space="preserve">information on our segment performance. Additional information regarding our segments can be found in </w:t>
      </w:r>
      <w:r>
        <w:rPr>
          <w:rFonts w:ascii="Helvetica;sans-serif" w:hAnsi="Helvetica;sans-serif"/>
          <w:b w:val="false"/>
          <w:i/>
          <w:color w:val="000000"/>
          <w:sz w:val="20"/>
        </w:rPr>
        <w:t>Note 18: Segment Information</w:t>
      </w:r>
      <w:r>
        <w:rPr>
          <w:color w:val="000000"/>
        </w:rPr>
        <w:t xml:space="preserve"> </w:t>
      </w:r>
      <w:r>
        <w:rPr>
          <w:rFonts w:ascii="Helvetica;sans-serif" w:hAnsi="Helvetica;sans-serif"/>
          <w:b w:val="false"/>
          <w:color w:val="000000"/>
          <w:sz w:val="20"/>
        </w:rPr>
        <w:t>within the Consolidated Financial Statements.</w:t>
      </w:r>
    </w:p>
    <w:tbl>
      <w:tblPr>
        <w:tblW w:w="10358" w:type="dxa"/>
        <w:jc w:val="left"/>
        <w:tblInd w:w="0" w:type="dxa"/>
        <w:tblLayout w:type="fixed"/>
        <w:tblCellMar>
          <w:top w:w="28" w:type="dxa"/>
          <w:left w:w="28" w:type="dxa"/>
          <w:bottom w:w="28" w:type="dxa"/>
          <w:right w:w="28" w:type="dxa"/>
        </w:tblCellMar>
      </w:tblPr>
      <w:tblGrid>
        <w:gridCol w:w="537"/>
        <w:gridCol w:w="473"/>
        <w:gridCol w:w="371"/>
        <w:gridCol w:w="211"/>
        <w:gridCol w:w="646"/>
        <w:gridCol w:w="286"/>
        <w:gridCol w:w="109"/>
        <w:gridCol w:w="109"/>
        <w:gridCol w:w="109"/>
        <w:gridCol w:w="211"/>
        <w:gridCol w:w="646"/>
        <w:gridCol w:w="286"/>
        <w:gridCol w:w="109"/>
        <w:gridCol w:w="109"/>
        <w:gridCol w:w="109"/>
        <w:gridCol w:w="211"/>
        <w:gridCol w:w="646"/>
        <w:gridCol w:w="286"/>
        <w:gridCol w:w="109"/>
        <w:gridCol w:w="109"/>
        <w:gridCol w:w="109"/>
        <w:gridCol w:w="211"/>
        <w:gridCol w:w="481"/>
        <w:gridCol w:w="109"/>
        <w:gridCol w:w="109"/>
        <w:gridCol w:w="109"/>
        <w:gridCol w:w="109"/>
        <w:gridCol w:w="270"/>
        <w:gridCol w:w="271"/>
        <w:gridCol w:w="286"/>
        <w:gridCol w:w="109"/>
        <w:gridCol w:w="109"/>
        <w:gridCol w:w="109"/>
        <w:gridCol w:w="211"/>
        <w:gridCol w:w="481"/>
        <w:gridCol w:w="109"/>
        <w:gridCol w:w="109"/>
        <w:gridCol w:w="109"/>
        <w:gridCol w:w="109"/>
        <w:gridCol w:w="322"/>
        <w:gridCol w:w="324"/>
        <w:gridCol w:w="511"/>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 vs. 2024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 vs. 2023 Change</w:t>
            </w:r>
          </w:p>
        </w:tc>
      </w:tr>
      <w:tr>
        <w:trPr/>
        <w:tc>
          <w:tcPr>
            <w:tcW w:w="13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i/>
                <w:color w:val="000000"/>
                <w:sz w:val="20"/>
              </w:rPr>
            </w:pPr>
            <w:r>
              <w:rPr>
                <w:rFonts w:ascii="Helvetica;sans-serif" w:hAnsi="Helvetica;sans-serif"/>
                <w:b/>
                <w:i/>
                <w:color w:val="000000"/>
                <w:sz w:val="20"/>
              </w:rPr>
              <w:t>Revenues:</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2,355 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15.7 </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1,021 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14.9 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11.5 </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Corporate &amp; Eliminations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(36.4)</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(15.4)</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3,648 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3,234 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2,826 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14.4 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i/>
                <w:color w:val="000000"/>
                <w:sz w:val="20"/>
              </w:rPr>
            </w:pPr>
            <w:r>
              <w:rPr>
                <w:rFonts w:ascii="Helvetica;sans-serif" w:hAnsi="Helvetica;sans-serif"/>
                <w:b/>
                <w:i/>
                <w:color w:val="000000"/>
                <w:sz w:val="20"/>
              </w:rPr>
              <w:t>Operating earnings:</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31.1 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34.6 </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27.2 </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Corporate &amp; Eliminations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(333.3)</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earnings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348 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26.8 </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994" w:type="dxa"/>
            <w:gridSpan w:val="12"/>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i/>
                <w:color w:val="000000"/>
                <w:sz w:val="20"/>
              </w:rPr>
            </w:pPr>
            <w:r>
              <w:rPr>
                <w:rFonts w:ascii="Helvetica;sans-serif" w:hAnsi="Helvetica;sans-serif"/>
                <w:b/>
                <w:i/>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10.2 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8.6</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7.4</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8.8 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10.3</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9.0</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i/>
                <w:color w:val="000000"/>
                <w:sz w:val="20"/>
              </w:rPr>
            </w:pPr>
            <w:r>
              <w:rPr>
                <w:rFonts w:ascii="Helvetica;sans-serif" w:hAnsi="Helvetica;sans-serif"/>
                <w:b/>
                <w:i/>
                <w:color w:val="000000"/>
                <w:sz w:val="20"/>
              </w:rPr>
              <w:t>Bookings:</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2,459 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2,609 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(5.7)</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13.1 </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1,786 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1,468 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1,209 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21.7 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21.4 </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bookings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4,245 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4,077 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3,516 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16.0 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i/>
                <w:color w:val="000000"/>
                <w:sz w:val="20"/>
              </w:rPr>
            </w:pPr>
            <w:r>
              <w:rPr>
                <w:rFonts w:ascii="Helvetica;sans-serif" w:hAnsi="Helvetica;sans-serif"/>
                <w:b/>
                <w:i/>
                <w:color w:val="000000"/>
                <w:sz w:val="20"/>
              </w:rPr>
              <w:t>Backlog:</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2,992 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24.6 </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5,198 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5,276 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5,349 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backlog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8,448 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8,268 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7,751 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6.7 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Year Ended December 31, 2025 Compared to the Year Ended December 31, 2024</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ASC</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Revenue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In total, ASC segment revenue increased $237 million, or 11.2%, from $2,118 million for the year ended December 31, 2024 to $2,355 million for the year ended December 31, 2025. The increase is attributed to the quantum laser license as well as increased demand realized throughout the segment. Major drivers include continued expansion of dismounted and ground vehicle sensing, tactical radar programs for C-UAS applications and naval computing programs across the portfolio. </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Operating Earnings and Operating Margin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ASC’s operating earnings increased by $57 million, or 31.1%, from $183 million for the year ended December 31, 2024 to $240 million for the year ended December 31, 2025. Operating margin increased from 8.6% for the year ended December 31, 2024 to 10.2% for the year ended December 31, 2025.</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increase in operating earnings and operating margin is driven by the increase in overall revenue contribution noted above, coupled with the profit increase associated with the quantum laser license. This was offset in part by increased G&amp;A expenditures and increased IR&amp;D investments during the period.</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Bookings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ASC’s bookings decreased by $150 million, or 5.7%, from $2,609 million for the year ended December 31, 2024 to $2,459 million for the year ended December 31, 2025. The decrease in new awards is a result of certain multi-year bookings realized in the prior year on naval and airborne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 xml:space="preserve">computing programs that did not recur in 2025. Despite the decline in new orders, the ASC segment realized a book to bill ratio of 1.0 to 1 for the year ended December 31, 2025, continuing to demonstrate a strong foundation for growth. New bookings were highlighted by demand in airborne and ground vehicle sensing coupled with continued need for tactical radars for SHORAD and counter drone activities. </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Backlog</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ASC’s backlog increased by $258 million, or 8.6%, from $2,992 million for the year ended December 31, 2024 to $3,250 million for the year ended December 31, 2025. This was attributed to the increased demand and new awards realized (noted above) which were 1.0x that of the revenue generated during the period, coupled with increased unfunded backlog attributed to our recent SDA missile tracking award, driving an increase in the overall backlog position.</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IMS</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Revenue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IMS revenue increased by $169 million, or 14.9%, from $1,138 million for the year ended December 31, 2024 to $1,307 million for the year ended December 31, 2025. The increase is attributed primarily to our increased output within our power and propulsion programs with the U.S. Navy’s surface and submarine platforms. The naval growth was compounded by force protection efforts for SHORAD and counter drone programs. This was offset by the decrease in revenue related to the negotiated conclusion of a legacy ground surveillance program of approximately $67 million in the period. </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Operating Earnings and Operating Margin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total, IMS’s operating earnings decreased by $2 million, or 1.7%, from $117 million for the year ended December 31, 2024 to $115 million for the year ended December 31, 2025, driven by the negotiated conclusion of work on a legacy ground surveillance program noted earlier. The impact was offset by increased revenue output noted above. Operating margin decreased 150 bps from 10.3% for the year ended December 31, 2024 to 8.8% for the year ended December 31, 2025. This decrease in operating margin is attributed to the impact of the legacy ground surveillance program noted above and minor increases in G&amp;A and IR&amp;D expenditures which were largely offset by operational leverage realized on the expanding revenue base coupled with improved program performance on our Columbia Class program.</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Bookings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Bookings for the year ended December 31, 2025 were $1,786 million, an increase of $318 million as compared to the year ended December 31, 2024, driving a book to bill ratio of 1.4 to 1. The new awards are highlighted by the receipt of awards totaling approximately $580 million for new Columbia Class funding, approximately $570 million of additional naval power awards outside of the Columbia Class programs and approximately $323 million of short-range air defense and C-UAS programs during the period.</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Backlog</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Backlog decreased by $78 million, or 1.5%, to $5,198 million for the year ended December 31, 2025, from $5,276 million for the year ended December 31, 2024. The backlog decrease is largely attributed to a reduction in unfunded backlog as awards were received on Columbia Class programs within our power and propulsion line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Liquidity and Capital Resources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endeavor to ensure the most efficient conversion of operating earnings into cash for deployment in our business and to maximize stockholder value through cash deployment activities. In addition to our cash position, we use various financial measures to assist in capital deployment decision-making,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69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Helvetica;sans-serif" w:hAnsi="Helvetica;sans-serif"/>
          <w:b w:val="false"/>
          <w:color w:val="000000"/>
          <w:sz w:val="20"/>
        </w:rPr>
        <w:t xml:space="preserve">including cash provided by operating activities. We believe that the combination of our existing cash, access to credit facilities as described in </w:t>
      </w:r>
      <w:r>
        <w:rPr>
          <w:rFonts w:ascii="Helvetica;sans-serif" w:hAnsi="Helvetica;sans-serif"/>
          <w:b w:val="false"/>
          <w:i/>
          <w:color w:val="000000"/>
          <w:sz w:val="20"/>
        </w:rPr>
        <w:t>Note 12: Debt</w:t>
      </w:r>
      <w:r>
        <w:rPr>
          <w:color w:val="000000"/>
        </w:rPr>
        <w:t xml:space="preserve"> </w:t>
      </w:r>
      <w:r>
        <w:rPr>
          <w:rFonts w:ascii="Helvetica;sans-serif" w:hAnsi="Helvetica;sans-serif"/>
          <w:b w:val="false"/>
          <w:color w:val="000000"/>
          <w:sz w:val="20"/>
        </w:rPr>
        <w:t>to the Consolidated Financial Statements, and future cash that we expect to generate from our operations will be sufficient to meet our short and long-term liquidity needs. There can be no assurance, however, that our business will continue to generate cash flow at current levels or that anticipated operational improvements will be achieved. We may also pursue acquisitions or other strategic priorities that will require additional liquidity beyond the liquidity we generate through our operations. Our cash balance as of December 31, 2025 was $647 million compared to $598 million as of December 31, 2024.</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summarizes our cash flows for the periods presented:</w:t>
      </w:r>
    </w:p>
    <w:tbl>
      <w:tblPr>
        <w:tblW w:w="8712" w:type="dxa"/>
        <w:jc w:val="left"/>
        <w:tblInd w:w="0" w:type="dxa"/>
        <w:tblLayout w:type="fixed"/>
        <w:tblCellMar>
          <w:top w:w="28" w:type="dxa"/>
          <w:left w:w="28" w:type="dxa"/>
          <w:bottom w:w="28" w:type="dxa"/>
          <w:right w:w="28" w:type="dxa"/>
        </w:tblCellMar>
      </w:tblPr>
      <w:tblGrid>
        <w:gridCol w:w="2028"/>
        <w:gridCol w:w="1787"/>
        <w:gridCol w:w="1795"/>
        <w:gridCol w:w="211"/>
        <w:gridCol w:w="481"/>
        <w:gridCol w:w="109"/>
        <w:gridCol w:w="109"/>
        <w:gridCol w:w="109"/>
        <w:gridCol w:w="109"/>
        <w:gridCol w:w="211"/>
        <w:gridCol w:w="481"/>
        <w:gridCol w:w="109"/>
        <w:gridCol w:w="109"/>
        <w:gridCol w:w="109"/>
        <w:gridCol w:w="109"/>
        <w:gridCol w:w="211"/>
        <w:gridCol w:w="481"/>
        <w:gridCol w:w="154"/>
      </w:tblGrid>
      <w:tr>
        <w:trPr/>
        <w:tc>
          <w:tcPr>
            <w:tcW w:w="2028"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5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cash used in investing activities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cash (used in) provided by financing activities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Effect of exchange rate changes on cash and cash equivalents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increase in 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Year Ended December 31, 2025 Compared to the Year Ended December 31, 2024</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Operating Activities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generated cash from operating activities of $366 million for the year ended December 31, 2025, as compared to $271 million for the year ended December 31, 2024. The increase in cash from operating activities is attributed to improved profit generation during the period and lower cash used to fund working capital. In total our changes in our assets and liabilities absorbed $65 million of cash for the year ended December 31, 2025, compared to $79 million for the year ended December 31, 2024.</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Investing Activities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Investing activities used $154 million of cash during the year ended December 31, 2025 as compared to $84 million during the year ended December 31, 2024. The $70 million increase is primarily due to higher capital expenditures attributed to capacity expansion throughout the portfolio, highlighted by our new naval power facility project in South Carolina and a $15 million investment to extend our ownership stake in Hoverfly, a power-tethered unmanned aerial systems company.</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Financing Activities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Cash used in financing activities for the year ended December 31, 2025 was $163 million compared to $56 million for the year ended December 31, 2024. The change was primarily due to cash outlays related to dividends paid in the current period and share buy backs under the share repurchase program announced in the first quarter of 2025. These outflows were offset in part by higher debt repayments in the prior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Material Cash Requirements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of December 31, 2025, our material cash requirements were as follows:</w:t>
      </w:r>
    </w:p>
    <w:tbl>
      <w:tblPr>
        <w:tblW w:w="4862" w:type="dxa"/>
        <w:jc w:val="left"/>
        <w:tblInd w:w="0" w:type="dxa"/>
        <w:tblLayout w:type="fixed"/>
        <w:tblCellMar>
          <w:top w:w="28" w:type="dxa"/>
          <w:left w:w="28" w:type="dxa"/>
          <w:bottom w:w="28" w:type="dxa"/>
          <w:right w:w="28" w:type="dxa"/>
        </w:tblCellMar>
      </w:tblPr>
      <w:tblGrid>
        <w:gridCol w:w="922"/>
        <w:gridCol w:w="812"/>
        <w:gridCol w:w="816"/>
        <w:gridCol w:w="211"/>
        <w:gridCol w:w="646"/>
        <w:gridCol w:w="109"/>
        <w:gridCol w:w="109"/>
        <w:gridCol w:w="109"/>
        <w:gridCol w:w="109"/>
        <w:gridCol w:w="254"/>
        <w:gridCol w:w="580"/>
        <w:gridCol w:w="185"/>
      </w:tblGrid>
      <w:tr>
        <w:trP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Due Within</w:t>
            </w:r>
          </w:p>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1 Year</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20"/>
              </w:rPr>
              <w:t>Loans from banks</w:t>
            </w:r>
            <w:r>
              <w:rPr>
                <w:rFonts w:ascii="Helvetica;sans-serif" w:hAnsi="Helvetica;sans-serif"/>
                <w:b w:val="false"/>
                <w:color w:val="000000"/>
                <w:sz w:val="13"/>
              </w:rPr>
              <w:t>(1)</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Operating leases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20"/>
              </w:rPr>
              <w:t>Finance leases and other</w:t>
            </w:r>
            <w:r>
              <w:rPr>
                <w:rFonts w:ascii="Helvetica;sans-serif" w:hAnsi="Helvetica;sans-serif"/>
                <w:b w:val="false"/>
                <w:color w:val="000000"/>
                <w:sz w:val="13"/>
              </w:rPr>
              <w:t>(2)</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20"/>
              </w:rPr>
              <w:t>Postretirement obligations</w:t>
            </w:r>
            <w:r>
              <w:rPr>
                <w:rFonts w:ascii="Helvetica;sans-serif" w:hAnsi="Helvetica;sans-serif"/>
                <w:b w:val="false"/>
                <w:color w:val="000000"/>
                <w:sz w:val="13"/>
              </w:rPr>
              <w:t>(3)</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20"/>
              </w:rPr>
              <w:t>Purchase commitments</w:t>
            </w:r>
            <w:r>
              <w:rPr>
                <w:rFonts w:ascii="Helvetica;sans-serif" w:hAnsi="Helvetica;sans-serif"/>
                <w:b w:val="false"/>
                <w:color w:val="000000"/>
                <w:sz w:val="13"/>
              </w:rPr>
              <w:t>(4)</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897 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975 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Helvetica;sans-serif" w:hAnsi="Helvetica;sans-serif"/>
          <w:b w:val="false"/>
          <w:color w:val="000000"/>
          <w:sz w:val="18"/>
        </w:rPr>
      </w:pPr>
      <w:r>
        <w:rPr>
          <w:rFonts w:ascii="Helvetica;sans-serif" w:hAnsi="Helvetica;sans-serif"/>
          <w:b w:val="false"/>
          <w:color w:val="000000"/>
          <w:sz w:val="18"/>
        </w:rPr>
        <w:t>________________</w:t>
      </w:r>
    </w:p>
    <w:p>
      <w:pPr>
        <w:pStyle w:val="TextBody"/>
        <w:bidi w:val="0"/>
        <w:spacing w:lineRule="auto" w:line="288" w:before="0" w:after="0"/>
        <w:ind w:left="0" w:right="0" w:hanging="360"/>
        <w:jc w:val="left"/>
        <w:rPr>
          <w:rFonts w:ascii="Helvetica;sans-serif" w:hAnsi="Helvetica;sans-serif"/>
          <w:b w:val="false"/>
          <w:color w:val="000000"/>
          <w:sz w:val="18"/>
        </w:rPr>
      </w:pPr>
      <w:r>
        <w:rPr>
          <w:rFonts w:ascii="Helvetica;sans-serif" w:hAnsi="Helvetica;sans-serif"/>
          <w:b w:val="false"/>
          <w:color w:val="000000"/>
          <w:sz w:val="18"/>
        </w:rPr>
        <w:t>(1)Includes scheduled interest payments.</w:t>
      </w:r>
    </w:p>
    <w:p>
      <w:pPr>
        <w:pStyle w:val="TextBody"/>
        <w:bidi w:val="0"/>
        <w:spacing w:lineRule="auto" w:line="288" w:before="0" w:after="0"/>
        <w:ind w:left="0" w:right="0" w:hanging="360"/>
        <w:jc w:val="left"/>
        <w:rPr/>
      </w:pPr>
      <w:r>
        <w:rPr>
          <w:rFonts w:ascii="Helvetica;sans-serif" w:hAnsi="Helvetica;sans-serif"/>
          <w:b w:val="false"/>
          <w:color w:val="000000"/>
          <w:sz w:val="18"/>
        </w:rPr>
        <w:t xml:space="preserve">(2)Finance leases and other includes financing arrangement </w:t>
      </w:r>
      <w:r>
        <w:rPr>
          <w:rFonts w:ascii="Helvetica;sans-serif" w:hAnsi="Helvetica;sans-serif"/>
          <w:b w:val="false"/>
          <w:color w:val="000000"/>
          <w:sz w:val="20"/>
        </w:rPr>
        <w:t>rel</w:t>
      </w:r>
      <w:r>
        <w:rPr>
          <w:rFonts w:ascii="Helvetica;sans-serif" w:hAnsi="Helvetica;sans-serif"/>
          <w:b w:val="false"/>
          <w:color w:val="000000"/>
          <w:sz w:val="18"/>
        </w:rPr>
        <w:t xml:space="preserve">ated to our Menomonee Falls, WI manufacturing facility. See </w:t>
      </w:r>
      <w:r>
        <w:rPr>
          <w:rFonts w:ascii="Helvetica;sans-serif" w:hAnsi="Helvetica;sans-serif"/>
          <w:b w:val="false"/>
          <w:i/>
          <w:color w:val="000000"/>
          <w:sz w:val="18"/>
        </w:rPr>
        <w:t xml:space="preserve">Note 12: Debt </w:t>
      </w:r>
      <w:r>
        <w:rPr>
          <w:rFonts w:ascii="Helvetica;sans-serif" w:hAnsi="Helvetica;sans-serif"/>
          <w:b w:val="false"/>
          <w:color w:val="000000"/>
          <w:sz w:val="18"/>
        </w:rPr>
        <w:t>to the Consolidated Financial Statements.</w:t>
      </w:r>
    </w:p>
    <w:p>
      <w:pPr>
        <w:pStyle w:val="TextBody"/>
        <w:bidi w:val="0"/>
        <w:spacing w:lineRule="auto" w:line="288" w:before="0" w:after="0"/>
        <w:ind w:left="0" w:right="0" w:hanging="360"/>
        <w:jc w:val="left"/>
        <w:rPr/>
      </w:pPr>
      <w:r>
        <w:rPr>
          <w:rFonts w:ascii="Helvetica;sans-serif" w:hAnsi="Helvetica;sans-serif"/>
          <w:b w:val="false"/>
          <w:color w:val="000000"/>
          <w:sz w:val="18"/>
        </w:rPr>
        <w:t xml:space="preserve">(3)Postretirement obligations include those amounts we expect to pay out in benefit payments and are further explained in </w:t>
      </w:r>
      <w:r>
        <w:rPr>
          <w:rFonts w:ascii="Helvetica;sans-serif" w:hAnsi="Helvetica;sans-serif"/>
          <w:b w:val="false"/>
          <w:i/>
          <w:color w:val="000000"/>
          <w:sz w:val="18"/>
        </w:rPr>
        <w:t>Note 13: Pension and Other Postretirement Benefits</w:t>
      </w:r>
      <w:r>
        <w:rPr>
          <w:color w:val="000000"/>
        </w:rPr>
        <w:t xml:space="preserve"> </w:t>
      </w:r>
      <w:r>
        <w:rPr>
          <w:rFonts w:ascii="Helvetica;sans-serif" w:hAnsi="Helvetica;sans-serif"/>
          <w:b w:val="false"/>
          <w:color w:val="000000"/>
          <w:sz w:val="18"/>
        </w:rPr>
        <w:t>to the Consolidated Financial Statements.</w:t>
      </w:r>
    </w:p>
    <w:p>
      <w:pPr>
        <w:pStyle w:val="TextBody"/>
        <w:bidi w:val="0"/>
        <w:spacing w:lineRule="auto" w:line="288" w:before="0" w:after="180"/>
        <w:ind w:left="0" w:right="0" w:hanging="360"/>
        <w:jc w:val="left"/>
        <w:rPr>
          <w:rFonts w:ascii="Helvetica;sans-serif" w:hAnsi="Helvetica;sans-serif"/>
          <w:b w:val="false"/>
          <w:color w:val="000000"/>
          <w:sz w:val="18"/>
        </w:rPr>
      </w:pPr>
      <w:r>
        <w:rPr>
          <w:rFonts w:ascii="Helvetica;sans-serif" w:hAnsi="Helvetica;sans-serif"/>
          <w:b w:val="false"/>
          <w:color w:val="000000"/>
          <w:sz w:val="18"/>
        </w:rPr>
        <w:t>(4)Purchase commitments include open purchase orders with vendors for which the Company is contractually obligated.</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Subsequent to year-end, the Company terminated the senior unsecured credit agreement with Bank of America (the “2022 Credit Agreement”), repaid the remaining outstanding balance of the term loan under the 2022 Credit Agreement (the “2022 Term Loan A”), and entered into a new credit agreement. See </w:t>
      </w:r>
      <w:r>
        <w:rPr>
          <w:rFonts w:ascii="Helvetica;sans-serif" w:hAnsi="Helvetica;sans-serif"/>
          <w:b w:val="false"/>
          <w:i/>
          <w:color w:val="000000"/>
          <w:sz w:val="20"/>
        </w:rPr>
        <w:t xml:space="preserve">Note 12: Debt </w:t>
      </w:r>
      <w:r>
        <w:rPr>
          <w:rFonts w:ascii="Helvetica;sans-serif" w:hAnsi="Helvetica;sans-serif"/>
          <w:b w:val="false"/>
          <w:color w:val="000000"/>
          <w:sz w:val="20"/>
        </w:rPr>
        <w:t>to the Consolidated Financial Statements for further information.</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Off-Balance Sheet Arrangements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of December 31, 2025 and 2024, we had no significant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Critical Accounting Policies and Estimates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The following is not intended to be a comprehensive list of all of our accounting policies. Our significant accounting policies are more fully described in </w:t>
      </w:r>
      <w:r>
        <w:rPr>
          <w:rFonts w:ascii="Helvetica;sans-serif" w:hAnsi="Helvetica;sans-serif"/>
          <w:b w:val="false"/>
          <w:i/>
          <w:color w:val="000000"/>
          <w:sz w:val="20"/>
        </w:rPr>
        <w:t>Note 1: Summary of Significant Accounting Policies</w:t>
      </w:r>
      <w:r>
        <w:rPr>
          <w:color w:val="000000"/>
        </w:rPr>
        <w:t xml:space="preserve"> </w:t>
      </w:r>
      <w:r>
        <w:rPr>
          <w:rFonts w:ascii="Helvetica;sans-serif" w:hAnsi="Helvetica;sans-serif"/>
          <w:b w:val="false"/>
          <w:color w:val="000000"/>
          <w:sz w:val="20"/>
        </w:rPr>
        <w:t>to the Consolidated Financial Statements. The accounting treatment of a particular transaction is dictated by accounting principles generally accepted in the United States of America. Other areas require management's judgment to make estimates and assumptions that affect the reported amounts of assets and liabilities and the reported amounts of revenues and costs and expenses during the reporting period. Ultimately, actual amounts may differ from these estimates. We believe that critical accounting estimates have the following attributes: (1) they require management to make assumptions about matters that are uncertain at the time of the estimate; and (2) different estimates we reasonably could have used, or changes in the estimates that are reasonably likely to occur, that would have a material effect on our consolidated financial condition or results of operations.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believe the following critical accounting policies contain the more significant judgments and estimates used in the preparation of our Consolidated Financial Statements: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Revenue Recognition on Contracts and Contract Estimates</w:t>
      </w:r>
    </w:p>
    <w:p>
      <w:pPr>
        <w:pStyle w:val="TextBody"/>
        <w:bidi w:val="0"/>
        <w:spacing w:lineRule="auto" w:line="288" w:before="0" w:after="180"/>
        <w:ind w:left="0" w:right="0" w:hanging="360"/>
        <w:jc w:val="left"/>
        <w:rPr/>
      </w:pPr>
      <w:r>
        <w:rPr>
          <w:color w:val="000000"/>
        </w:rPr>
        <w:t>•</w:t>
      </w:r>
      <w:r>
        <w:rPr>
          <w:rFonts w:ascii="Helvetica;sans-serif" w:hAnsi="Helvetica;sans-serif"/>
          <w:b w:val="false"/>
          <w:color w:val="000000"/>
          <w:sz w:val="20"/>
        </w:rPr>
        <w:t>Income Taxes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Revenue Recognition on Contracts and Contract Estimates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recognize revenue from contracts with customers using the five-step model prescribed in ASC 606. Substantially all of our contracts are accounted for using the over time, percentage of completion cost-to-cost method of accounting as determined by the ratio of cumulative costs incurred to date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estimated total contract costs at completion. We believe this is an appropriate measure of progress toward satisfaction of performance obligations as this measure most accurately depicts the progress of our work and transfer of control to our customers.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Revenue and cost estimates for substantially all over time contract performance obligations are reviewed and updated quarterly. Contract estimates are based on various assumptions to project the outcome of future events that can span multiple years. These assumptions include labor productivity and availability, the complexity of the work to be performed, the cost and availability of materials, the performance of subcontractors and the availability and timing of funding from the customer. Changes in estimates affecting sales, costs and profits are recognized in the period in which the change becomes known using the cumulative catch-up method. Under this method, the impact of the adjustment on profit recorded to date on a contract is recognized in the period the adjustment is identified. Revenue and profit in future periods of contract performance are recognized using the adjusted estimate. The aggregate net impact of adjustments in contract estimates that negatively impacted our revenue and profit totals were $59 million, $25 million, and $23 million for 2025, 2024, and 2023, respectively. The changes in estimates are primarily attributed to changes in our firm-fixed-priced development type programs. As changes happen in the design to meet required specifications, those changes often result in changes to the overall profitability of the programs. Our contract reviews are conducted at least quarterly in which we incorporate our best estimate to complete the program known at that point in time.</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For further discussion, see </w:t>
      </w:r>
      <w:r>
        <w:rPr>
          <w:rFonts w:ascii="Helvetica;sans-serif" w:hAnsi="Helvetica;sans-serif"/>
          <w:b w:val="false"/>
          <w:i/>
          <w:color w:val="000000"/>
          <w:sz w:val="20"/>
        </w:rPr>
        <w:t>Note 2</w:t>
      </w:r>
      <w:r>
        <w:rPr>
          <w:rFonts w:ascii="Helvetica;sans-serif" w:hAnsi="Helvetica;sans-serif"/>
          <w:b w:val="false"/>
          <w:color w:val="000000"/>
          <w:sz w:val="20"/>
        </w:rPr>
        <w:t xml:space="preserve">: </w:t>
      </w:r>
      <w:r>
        <w:rPr>
          <w:rFonts w:ascii="Helvetica;sans-serif" w:hAnsi="Helvetica;sans-serif"/>
          <w:b w:val="false"/>
          <w:i/>
          <w:color w:val="000000"/>
          <w:sz w:val="20"/>
        </w:rPr>
        <w:t>Revenue from Contracts with Customers</w:t>
      </w:r>
      <w:r>
        <w:rPr>
          <w:color w:val="000000"/>
        </w:rPr>
        <w:t xml:space="preserve"> </w:t>
      </w:r>
      <w:r>
        <w:rPr>
          <w:rFonts w:ascii="Helvetica;sans-serif" w:hAnsi="Helvetica;sans-serif"/>
          <w:b w:val="false"/>
          <w:color w:val="000000"/>
          <w:sz w:val="20"/>
        </w:rPr>
        <w:t>to the Consolidated Financial Statements.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Income Taxes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account for income taxes under the asset and liability method in accordance with the accounting standard for income taxes. The asset and liability method requires the recognition of deferred tax assets and liabilities for the expected future tax consequences of temporary differences between the carrying amounts and tax bases of assets and liabilities. Under this method, changes in tax rates and laws are recognized in income in the period such changes are enacted.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record net deferred tax assets to the extent we believe these assets will more likely than not be realized. In making such determination, we consider all available positive and negative evidence, including future reversals of existing taxable temporary differences, projected future taxable income, tax planning strategies and recent results of operations. If we were to determine that we would be able to realize our deferred income tax assets in the future in excess of their net recorded amount or would no longer be able to realize our deferred income tax assets in the future as currently recorded, we would make an adjustment to the valuation allowance which would decrease or increase the provision for income taxes.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provision for federal, state, foreign and local income taxes is calculated on earnings before taxes based on current tax law and includes the cumulative effect of any changes in tax rates from those used previously in determining deferred tax assets and liabilities. Such provision differs from the amounts currently payable because certain items of income and expense are recognized in different reporting periods for financial reporting purposes than for income tax purposes.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recognize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greater than 50% likely to be realized upon ultimate settlement. We recognize interest and penalties related to uncertain tax positions in our income tax expense.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As of December 31, 2025 and 2024, we had gross deferred tax assets of $252 million and $297 million, respectively, and deferred tax asset valuation allowances of $36 million and $25 million, respectively. The deferred tax assets principally relate to capitalized R&amp;D, benefit accruals, inventory obsolescence, tax benefit carryforwards and contract reserves. The deferred tax assets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December 31, 2025 and 2024 include $7 million related to tax benefit carryforwards associated with net operating losses. The decrease in the deferred tax asset as compared to the prior year is primarily attributed to the deduction of previously capitalized R&amp;D expenditures pursuant to Section 174 of the Tax Code. The OBBBA allows taxpayers to make elections to deduct the capitalized expenditures over certain periods.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Accounting Standards Updates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See </w:t>
      </w:r>
      <w:r>
        <w:rPr>
          <w:rFonts w:ascii="Helvetica;sans-serif" w:hAnsi="Helvetica;sans-serif"/>
          <w:b w:val="false"/>
          <w:i/>
          <w:color w:val="000000"/>
          <w:sz w:val="20"/>
        </w:rPr>
        <w:t>Note 1: Summary of Significant Accounting Policies</w:t>
      </w:r>
      <w:r>
        <w:rPr>
          <w:color w:val="000000"/>
        </w:rPr>
        <w:t xml:space="preserve"> </w:t>
      </w:r>
      <w:r>
        <w:rPr>
          <w:rFonts w:ascii="Helvetica;sans-serif" w:hAnsi="Helvetica;sans-serif"/>
          <w:b w:val="false"/>
          <w:color w:val="000000"/>
          <w:sz w:val="20"/>
        </w:rPr>
        <w:t>to the Consolidated Financial Statements for information regarding accounting standards we adopted in 2025 and other new accounting standards that have been issued by the Financial Accounting Standards Board but are not effective until after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7A. QUANTITATIVE AND QUALITATIVE DISCLOSURES ABOUT MARKET RISK</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Equity Risk</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We currently have limited risk related to fluctuations in marketable securities. Outside of pension assets which are disclosed in </w:t>
      </w:r>
      <w:r>
        <w:rPr>
          <w:rFonts w:ascii="Helvetica;sans-serif" w:hAnsi="Helvetica;sans-serif"/>
          <w:b w:val="false"/>
          <w:i/>
          <w:color w:val="000000"/>
          <w:sz w:val="20"/>
        </w:rPr>
        <w:t>Note 13: Pension and Other Postretirement Benefits</w:t>
      </w:r>
      <w:r>
        <w:rPr>
          <w:color w:val="000000"/>
        </w:rPr>
        <w:t xml:space="preserve"> </w:t>
      </w:r>
      <w:r>
        <w:rPr>
          <w:rFonts w:ascii="Helvetica;sans-serif" w:hAnsi="Helvetica;sans-serif"/>
          <w:b w:val="false"/>
          <w:color w:val="000000"/>
          <w:sz w:val="20"/>
        </w:rPr>
        <w:t>to the Consolidated Financial Statements, the only investments the Company holds are overnight money market accounts. Fluctuations are unlikely and would have limited impact on the financial statements of the Company.</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Interest Rate Risk</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We are exposed to interest rate risk on variable rate borrowings. As of December 31, 2025, we had an outstanding balance of $191 million under our 2022 Term Loan A, and no amounts outstanding under our revolving credit facilities. A 0.5% increase or decrease in our weighted average interest rate on our variable debt outstanding as of December 31, 2025, would result in an increase or decrease in our annual interest expense of approximately $1 million. The carrying value of the Company’s borrowings under the 2022 Credit Agreement approximate their fair values at December 31, 2025. See </w:t>
      </w:r>
      <w:r>
        <w:rPr>
          <w:rFonts w:ascii="Helvetica;sans-serif" w:hAnsi="Helvetica;sans-serif"/>
          <w:b w:val="false"/>
          <w:i/>
          <w:color w:val="000000"/>
          <w:sz w:val="20"/>
        </w:rPr>
        <w:t>Note 12: Debt</w:t>
      </w:r>
      <w:r>
        <w:rPr>
          <w:color w:val="000000"/>
        </w:rPr>
        <w:t xml:space="preserve"> </w:t>
      </w:r>
      <w:r>
        <w:rPr>
          <w:rFonts w:ascii="Helvetica;sans-serif" w:hAnsi="Helvetica;sans-serif"/>
          <w:b w:val="false"/>
          <w:color w:val="000000"/>
          <w:sz w:val="20"/>
        </w:rPr>
        <w:t>to the Consolidated Financial Statements for additional information.</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Foreign Currency Risk</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certain circumstances, we may be exposed to foreign currency risk. However, as the overwhelming majority of our revenue is derived from U.S. sources directly as a prime contractor or indirectly as a subcontractor for the U.S. government as end-customer, we have limited foreign currency exposure. A 10% fluctuation in exchange rates would not have a material impact on our financial statements. We do not enter into or issue derivative instruments for trading purposes.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Inflation Risk</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have experienced inflationary pressures to our supply chain costs, including those associated with micro-electronics, commodities (e.g., metals), and others. These costs have impacted our profitability. Bids for longer-term firm-fixed price contracts typically include assumptions for labor and other cost escalations in amounts that have been sufficient to cover cost increases over the period of performance. However, these costs could rise further and may not be mitigated. As a result, they could affect our financial results negatively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8. FINANCIAL STATEMENTS AND SUPPLEMENTARY DATA</w:t>
      </w:r>
    </w:p>
    <w:tbl>
      <w:tblPr>
        <w:tblW w:w="7515" w:type="dxa"/>
        <w:jc w:val="left"/>
        <w:tblInd w:w="0" w:type="dxa"/>
        <w:tblLayout w:type="fixed"/>
        <w:tblCellMar>
          <w:top w:w="28" w:type="dxa"/>
          <w:left w:w="28" w:type="dxa"/>
          <w:bottom w:w="28" w:type="dxa"/>
          <w:right w:w="28" w:type="dxa"/>
        </w:tblCellMar>
      </w:tblPr>
      <w:tblGrid>
        <w:gridCol w:w="2528"/>
        <w:gridCol w:w="2219"/>
        <w:gridCol w:w="2227"/>
        <w:gridCol w:w="158"/>
        <w:gridCol w:w="158"/>
        <w:gridCol w:w="225"/>
      </w:tblGrid>
      <w:tr>
        <w:trPr/>
        <w:tc>
          <w:tcPr>
            <w:tcW w:w="2528"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INDEX TO CONSOLIDATED FINANCIAL STATEMENTS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Page</w:t>
            </w:r>
          </w:p>
        </w:tc>
      </w:tr>
      <w:tr>
        <w:trPr/>
        <w:tc>
          <w:tcPr>
            <w:tcW w:w="69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82">
              <w:r>
                <w:rPr>
                  <w:rStyle w:val="InternetLink"/>
                  <w:rFonts w:ascii="Helvetica;sans-serif" w:hAnsi="Helvetica;sans-serif"/>
                  <w:b w:val="false"/>
                  <w:color w:val="0000FF"/>
                  <w:sz w:val="20"/>
                  <w:u w:val="single"/>
                </w:rPr>
                <w:t>Reports of Independent Registered Public Accounting Firm</w:t>
              </w:r>
            </w:hyperlink>
            <w:r>
              <w:rPr>
                <w:color w:val="000000"/>
              </w:rPr>
              <w:t xml:space="preserve"> </w:t>
            </w:r>
            <w:r>
              <w:rPr>
                <w:rFonts w:ascii="Helvetica;sans-serif" w:hAnsi="Helvetica;sans-serif"/>
                <w:b w:val="false"/>
                <w:color w:val="000000"/>
                <w:sz w:val="20"/>
              </w:rPr>
              <w:t>(PCAOB ID No. 42)</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82">
              <w:r>
                <w:rPr>
                  <w:rStyle w:val="InternetLink"/>
                  <w:rFonts w:ascii="Helvetica;sans-serif" w:hAnsi="Helvetica;sans-serif"/>
                  <w:b w:val="false"/>
                  <w:color w:val="0000FF"/>
                  <w:sz w:val="20"/>
                  <w:u w:val="single"/>
                </w:rPr>
                <w:t>75</w:t>
              </w:r>
            </w:hyperlink>
          </w:p>
        </w:tc>
      </w:tr>
      <w:tr>
        <w:trPr/>
        <w:tc>
          <w:tcPr>
            <w:tcW w:w="69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85">
              <w:r>
                <w:rPr>
                  <w:rStyle w:val="InternetLink"/>
                  <w:rFonts w:ascii="Helvetica;sans-serif" w:hAnsi="Helvetica;sans-serif"/>
                  <w:b w:val="false"/>
                  <w:color w:val="0000FF"/>
                  <w:sz w:val="20"/>
                  <w:u w:val="single"/>
                </w:rPr>
                <w:t>Consolidated Statements of Earnings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85">
              <w:r>
                <w:rPr>
                  <w:rStyle w:val="InternetLink"/>
                  <w:rFonts w:ascii="Helvetica;sans-serif" w:hAnsi="Helvetica;sans-serif"/>
                  <w:b w:val="false"/>
                  <w:color w:val="0000FF"/>
                  <w:sz w:val="20"/>
                  <w:u w:val="single"/>
                </w:rPr>
                <w:t>77</w:t>
              </w:r>
            </w:hyperlink>
          </w:p>
        </w:tc>
      </w:tr>
      <w:tr>
        <w:trPr/>
        <w:tc>
          <w:tcPr>
            <w:tcW w:w="69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88">
              <w:r>
                <w:rPr>
                  <w:rStyle w:val="InternetLink"/>
                  <w:rFonts w:ascii="Helvetica;sans-serif" w:hAnsi="Helvetica;sans-serif"/>
                  <w:b w:val="false"/>
                  <w:color w:val="0000FF"/>
                  <w:sz w:val="20"/>
                  <w:u w:val="single"/>
                </w:rPr>
                <w:t>Consolidated Statements of Comprehensive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88">
              <w:r>
                <w:rPr>
                  <w:rStyle w:val="InternetLink"/>
                  <w:rFonts w:ascii="Helvetica;sans-serif" w:hAnsi="Helvetica;sans-serif"/>
                  <w:b w:val="false"/>
                  <w:color w:val="0000FF"/>
                  <w:sz w:val="20"/>
                  <w:u w:val="single"/>
                </w:rPr>
                <w:t>78</w:t>
              </w:r>
            </w:hyperlink>
          </w:p>
        </w:tc>
      </w:tr>
      <w:tr>
        <w:trPr/>
        <w:tc>
          <w:tcPr>
            <w:tcW w:w="69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91">
              <w:r>
                <w:rPr>
                  <w:rStyle w:val="InternetLink"/>
                  <w:rFonts w:ascii="Helvetica;sans-serif" w:hAnsi="Helvetica;sans-serif"/>
                  <w:b w:val="false"/>
                  <w:color w:val="0000FF"/>
                  <w:sz w:val="20"/>
                  <w:u w:val="single"/>
                </w:rPr>
                <w:t>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91">
              <w:r>
                <w:rPr>
                  <w:rStyle w:val="InternetLink"/>
                  <w:rFonts w:ascii="Helvetica;sans-serif" w:hAnsi="Helvetica;sans-serif"/>
                  <w:b w:val="false"/>
                  <w:color w:val="0000FF"/>
                  <w:sz w:val="20"/>
                  <w:u w:val="single"/>
                </w:rPr>
                <w:t>79</w:t>
              </w:r>
            </w:hyperlink>
          </w:p>
        </w:tc>
      </w:tr>
      <w:tr>
        <w:trPr/>
        <w:tc>
          <w:tcPr>
            <w:tcW w:w="69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94">
              <w:r>
                <w:rPr>
                  <w:rStyle w:val="InternetLink"/>
                  <w:rFonts w:ascii="Helvetica;sans-serif" w:hAnsi="Helvetica;sans-serif"/>
                  <w:b w:val="false"/>
                  <w:color w:val="0000FF"/>
                  <w:sz w:val="20"/>
                  <w:u w:val="single"/>
                </w:rPr>
                <w:t>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94">
              <w:r>
                <w:rPr>
                  <w:rStyle w:val="InternetLink"/>
                  <w:rFonts w:ascii="Helvetica;sans-serif" w:hAnsi="Helvetica;sans-serif"/>
                  <w:b w:val="false"/>
                  <w:color w:val="0000FF"/>
                  <w:sz w:val="20"/>
                  <w:u w:val="single"/>
                </w:rPr>
                <w:t>80</w:t>
              </w:r>
            </w:hyperlink>
          </w:p>
        </w:tc>
      </w:tr>
      <w:tr>
        <w:trPr/>
        <w:tc>
          <w:tcPr>
            <w:tcW w:w="69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97">
              <w:r>
                <w:rPr>
                  <w:rStyle w:val="InternetLink"/>
                  <w:rFonts w:ascii="Helvetica;sans-serif" w:hAnsi="Helvetica;sans-serif"/>
                  <w:b w:val="false"/>
                  <w:color w:val="0000FF"/>
                  <w:sz w:val="20"/>
                  <w:u w:val="single"/>
                </w:rPr>
                <w:t>Consolidated Statements of Stockholders’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97">
              <w:r>
                <w:rPr>
                  <w:rStyle w:val="InternetLink"/>
                  <w:rFonts w:ascii="Helvetica;sans-serif" w:hAnsi="Helvetica;sans-serif"/>
                  <w:b w:val="false"/>
                  <w:color w:val="0000FF"/>
                  <w:sz w:val="20"/>
                  <w:u w:val="single"/>
                </w:rPr>
                <w:t>81</w:t>
              </w:r>
            </w:hyperlink>
          </w:p>
        </w:tc>
      </w:tr>
      <w:tr>
        <w:trPr/>
        <w:tc>
          <w:tcPr>
            <w:tcW w:w="69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df40665b18f4d65a64872f9a7ba15b6_100">
              <w:r>
                <w:rPr>
                  <w:rStyle w:val="InternetLink"/>
                  <w:rFonts w:ascii="Helvetica;sans-serif" w:hAnsi="Helvetica;sans-serif"/>
                  <w:b w:val="false"/>
                  <w:color w:val="0000FF"/>
                  <w:sz w:val="20"/>
                  <w:u w:val="single"/>
                </w:rPr>
                <w:t>Notes to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df40665b18f4d65a64872f9a7ba15b6_100">
              <w:r>
                <w:rPr>
                  <w:rStyle w:val="InternetLink"/>
                  <w:rFonts w:ascii="Helvetica;sans-serif" w:hAnsi="Helvetica;sans-serif"/>
                  <w:b w:val="false"/>
                  <w:color w:val="0000FF"/>
                  <w:sz w:val="20"/>
                  <w:u w:val="single"/>
                </w:rPr>
                <w:t>82</w:t>
              </w:r>
            </w:hyperlink>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74</w:t>
                      </w:r>
                    </w:p>
                  </w:txbxContent>
                </v:textbox>
                <w10:wrap type="none"/>
              </v:rect>
            </w:pict>
          </mc:Fallback>
        </mc:AlternateContent>
      </w:r>
    </w:p>
    <w:p>
      <w:pPr>
        <w:pStyle w:val="TextBody"/>
        <w:bidi w:val="0"/>
        <w:spacing w:before="0" w:after="180"/>
        <w:jc w:val="center"/>
        <w:rPr/>
      </w:pPr>
      <w:r>
        <w:rPr/>
      </w:r>
    </w:p>
    <w:p>
      <w:pPr>
        <w:pStyle w:val="TextBody"/>
        <w:bidi w:val="0"/>
        <w:spacing w:before="0" w:after="180"/>
        <w:ind w:left="0" w:right="0" w:firstLine="360"/>
        <w:jc w:val="left"/>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Report of Independent Registered Public Accounting Firm</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To the Stockholders and the Board of Directors of Leonardo DRS, Inc.</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Opinion on the Financial Statements</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We have audited the accompanying consolidated balance sheets of Leonardo DRS, Inc. (the Company) as of December 31, 2025 and 2024, the related consolidated statements of earnings, comprehensive income,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26, 2026 expressed an unqualified opinion thereon.</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Basis for Opinion</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Critical Audit Matter</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75</w:t>
                      </w:r>
                    </w:p>
                  </w:txbxContent>
                </v:textbox>
                <w10:wrap type="none"/>
              </v:rect>
            </w:pict>
          </mc:Fallback>
        </mc:AlternateContent>
      </w:r>
    </w:p>
    <w:p>
      <w:pPr>
        <w:pStyle w:val="TextBody"/>
        <w:bidi w:val="0"/>
        <w:spacing w:before="0" w:after="180"/>
        <w:jc w:val="center"/>
        <w:rPr/>
      </w:pPr>
      <w:r>
        <w:rPr/>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536"/>
        <w:gridCol w:w="471"/>
        <w:gridCol w:w="472"/>
        <w:gridCol w:w="2670"/>
        <w:gridCol w:w="2502"/>
        <w:gridCol w:w="3554"/>
      </w:tblGrid>
      <w:tr>
        <w:trPr/>
        <w:tc>
          <w:tcPr>
            <w:tcW w:w="53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54" w:type="dxa"/>
            <w:tcBorders/>
            <w:vAlign w:val="center"/>
          </w:tcPr>
          <w:p>
            <w:pPr>
              <w:pStyle w:val="TableContents"/>
              <w:bidi w:val="0"/>
              <w:spacing w:before="0" w:after="283"/>
              <w:jc w:val="left"/>
              <w:rPr>
                <w:sz w:val="4"/>
                <w:szCs w:val="4"/>
              </w:rPr>
            </w:pPr>
            <w:r>
              <w:rPr>
                <w:sz w:val="4"/>
                <w:szCs w:val="4"/>
              </w:rPr>
            </w:r>
          </w:p>
        </w:tc>
      </w:tr>
      <w:tr>
        <w:trPr/>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6"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Revenue recognition – Estimates to complete for certain long-term contracts</w:t>
            </w:r>
          </w:p>
        </w:tc>
      </w:tr>
      <w:tr>
        <w:trPr/>
        <w:tc>
          <w:tcPr>
            <w:tcW w:w="147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Description of the Matter</w:t>
            </w:r>
          </w:p>
        </w:tc>
        <w:tc>
          <w:tcPr>
            <w:tcW w:w="8726"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As described in Note 2 to the consolidated financial statements, revenues for the majority of contracts are recognized using the over-time percentage of completion cost-to-cost method of accounting measured by the ratio of cumulative costs incurred to date to estimated contract costs at completion (the “cost-to-cost method of accounting”). Under this method, the costs incurred represent an appropriate measure of progress toward satisfaction of performance obligations as this measure most accurately depicts the progress of work performed and transfer of control to the customers.</w:t>
            </w:r>
          </w:p>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Due to the long-term nature of contracts, developing the estimated total cost at completion often requires management to make judgments. Factors that must be considered in estimating the cost of the work to be completed include the nature and complexity of the work to be performed, subcontractor performance and the risk and impact of delayed performance. Adjustments to original estimates for a contract's revenue, estimated costs at completion and estimated profit or loss often are required as work progresses under these contracts and as experience is gained and more information is obtained by management.</w:t>
            </w:r>
          </w:p>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Auditing the Company’s estimated costs at completion for certain long-term contracts that recognize revenue using the cost-to-cost method of accounting was complex due to the judgment involved in evaluating management’s estimates. Estimates of total cost at completion for long-term contracts are affected by management’s assessment of the current status of the contract and expectation for performance on the contract, as well as historical experience.</w:t>
            </w:r>
          </w:p>
        </w:tc>
      </w:tr>
      <w:tr>
        <w:trPr/>
        <w:tc>
          <w:tcPr>
            <w:tcW w:w="147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How We Addressed the Matter in Our Audit</w:t>
            </w:r>
          </w:p>
        </w:tc>
        <w:tc>
          <w:tcPr>
            <w:tcW w:w="8726"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We obtained an understanding, evaluated the design, and tested the operating effectiveness of the relevant internal controls related to the Company’s revenue recognition process. For example, we tested internal controls over management’s review of the estimate at completion analysis and the estimated total costs at completion for certain long-term contracts. We also tested management’s controls to validate that the data used in the estimate at completion analysis was complete and accurate.</w:t>
            </w:r>
          </w:p>
          <w:p>
            <w:pPr>
              <w:pStyle w:val="TableContents"/>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To test the Company’s estimates of the costs at completion for certain long-term contracts, our audit procedures included, among other things, evaluating management’s cost estimates by comparing planned costs to actual costs incurred to date and historical cost experience of similar contracts, agreeing underlying data to source documents, and meeting with program management to confirm our understanding of the risks associated with the contract and current contract performance.</w:t>
            </w:r>
          </w:p>
        </w:tc>
      </w:tr>
    </w:tbl>
    <w:p>
      <w:pPr>
        <w:pStyle w:val="TextBody"/>
        <w:bidi w:val="0"/>
        <w:spacing w:before="0" w:after="18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/s/ Ernst &amp; Young LLP</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We have served as the Company’s auditor since 2022.</w:t>
      </w:r>
    </w:p>
    <w:p>
      <w:pPr>
        <w:pStyle w:val="TextBody"/>
        <w:bidi w:val="0"/>
        <w:spacing w:lineRule="auto" w:line="288" w:before="0" w:after="60"/>
        <w:jc w:val="left"/>
        <w:rPr>
          <w:rFonts w:ascii="Helvetica;sans-serif" w:hAnsi="Helvetica;sans-serif"/>
          <w:b w:val="false"/>
          <w:color w:val="000000"/>
          <w:sz w:val="20"/>
        </w:rPr>
      </w:pPr>
      <w:r>
        <w:rPr>
          <w:rFonts w:ascii="Helvetica;sans-serif" w:hAnsi="Helvetica;sans-serif"/>
          <w:b w:val="false"/>
          <w:color w:val="000000"/>
          <w:sz w:val="20"/>
        </w:rPr>
        <w:t>Tysons, Virginia</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February 26, 2026</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76</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 xml:space="preserve">Consolidated Statements of Earnings </w:t>
      </w:r>
    </w:p>
    <w:tbl>
      <w:tblPr>
        <w:tblW w:w="7497" w:type="dxa"/>
        <w:jc w:val="left"/>
        <w:tblInd w:w="0" w:type="dxa"/>
        <w:tblLayout w:type="fixed"/>
        <w:tblCellMar>
          <w:top w:w="28" w:type="dxa"/>
          <w:left w:w="28" w:type="dxa"/>
          <w:bottom w:w="28" w:type="dxa"/>
          <w:right w:w="28" w:type="dxa"/>
        </w:tblCellMar>
      </w:tblPr>
      <w:tblGrid>
        <w:gridCol w:w="1527"/>
        <w:gridCol w:w="1341"/>
        <w:gridCol w:w="1347"/>
        <w:gridCol w:w="211"/>
        <w:gridCol w:w="541"/>
        <w:gridCol w:w="109"/>
        <w:gridCol w:w="109"/>
        <w:gridCol w:w="109"/>
        <w:gridCol w:w="109"/>
        <w:gridCol w:w="211"/>
        <w:gridCol w:w="541"/>
        <w:gridCol w:w="109"/>
        <w:gridCol w:w="109"/>
        <w:gridCol w:w="109"/>
        <w:gridCol w:w="109"/>
        <w:gridCol w:w="211"/>
        <w:gridCol w:w="541"/>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 except per share amounts)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Revenues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Cost of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Gross profit </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 expenses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Amortization of acquired intangible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operating expenses,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 xml:space="preserve">Operating earnings </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Interest expense, net</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 xml:space="preserve">Earnings before taxes </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Income tax provision</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Net earnings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Net earnings per share from common stock:</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Basic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Diluted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 xml:space="preserve">Consolidated Statements of Comprehensive Income </w:t>
      </w:r>
    </w:p>
    <w:tbl>
      <w:tblPr>
        <w:tblW w:w="8531" w:type="dxa"/>
        <w:jc w:val="left"/>
        <w:tblInd w:w="0" w:type="dxa"/>
        <w:tblLayout w:type="fixed"/>
        <w:tblCellMar>
          <w:top w:w="28" w:type="dxa"/>
          <w:left w:w="28" w:type="dxa"/>
          <w:bottom w:w="28" w:type="dxa"/>
          <w:right w:w="28" w:type="dxa"/>
        </w:tblCellMar>
      </w:tblPr>
      <w:tblGrid>
        <w:gridCol w:w="2507"/>
        <w:gridCol w:w="1458"/>
        <w:gridCol w:w="1464"/>
        <w:gridCol w:w="211"/>
        <w:gridCol w:w="481"/>
        <w:gridCol w:w="109"/>
        <w:gridCol w:w="109"/>
        <w:gridCol w:w="109"/>
        <w:gridCol w:w="109"/>
        <w:gridCol w:w="211"/>
        <w:gridCol w:w="481"/>
        <w:gridCol w:w="109"/>
        <w:gridCol w:w="109"/>
        <w:gridCol w:w="109"/>
        <w:gridCol w:w="109"/>
        <w:gridCol w:w="211"/>
        <w:gridCol w:w="481"/>
        <w:gridCol w:w="154"/>
      </w:tblGrid>
      <w:tr>
        <w:trPr/>
        <w:tc>
          <w:tcPr>
            <w:tcW w:w="2507"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5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 xml:space="preserve">Net earnings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Other comprehensive income (loss), net of income taxes:</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Foreign currency translation (loss) gain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Pension and other postretirement benefit plan adjustments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unrealized gain on derivative instruments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 xml:space="preserve">Other comprehensive income, net of income taxes </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 xml:space="preserve">Total comprehensive income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3203"/>
        <w:gridCol w:w="2354"/>
        <w:gridCol w:w="2343"/>
        <w:gridCol w:w="211"/>
        <w:gridCol w:w="646"/>
        <w:gridCol w:w="109"/>
        <w:gridCol w:w="109"/>
        <w:gridCol w:w="109"/>
        <w:gridCol w:w="109"/>
        <w:gridCol w:w="211"/>
        <w:gridCol w:w="646"/>
        <w:gridCol w:w="155"/>
      </w:tblGrid>
      <w:tr>
        <w:trPr/>
        <w:tc>
          <w:tcPr>
            <w:tcW w:w="3203"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7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 except per share amounts)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Helvetica;sans-serif" w:hAnsi="Helvetica;sans-serif"/>
                <w:b/>
                <w:color w:val="000000"/>
                <w:sz w:val="16"/>
              </w:rPr>
            </w:pPr>
            <w:r>
              <w:rPr>
                <w:rFonts w:ascii="Helvetica;sans-serif" w:hAnsi="Helvetica;sans-serif"/>
                <w:b/>
                <w:color w:val="000000"/>
                <w:sz w:val="16"/>
              </w:rPr>
              <w:t>2024</w:t>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ASSETS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20"/>
              </w:rPr>
            </w:pPr>
            <w:r>
              <w:rPr>
                <w:rFonts w:ascii="Helvetica;sans-serif" w:hAnsi="Helvetica;sans-serif"/>
                <w:b w:val="false"/>
                <w:i/>
                <w:color w:val="000000"/>
                <w:sz w:val="20"/>
              </w:rPr>
              <w:t>Current assets: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Accounts receivable, net</w:t>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Contract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Inventories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Prepaid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current assets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20"/>
              </w:rPr>
            </w:pPr>
            <w:r>
              <w:rPr>
                <w:rFonts w:ascii="Helvetica;sans-serif" w:hAnsi="Helvetica;sans-serif"/>
                <w:b w:val="false"/>
                <w:i/>
                <w:color w:val="000000"/>
                <w:sz w:val="20"/>
              </w:rPr>
              <w:t>Noncurrent assets:</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Property, plant and equipment,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Intangible assets,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Goodwill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Deferred tax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noncurrent assets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2,021 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 assets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LIABILITIES AND STOCKHOLDERS' EQUITY</w:t>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20"/>
              </w:rPr>
            </w:pPr>
            <w:r>
              <w:rPr>
                <w:rFonts w:ascii="Helvetica;sans-serif" w:hAnsi="Helvetica;sans-serif"/>
                <w:b w:val="false"/>
                <w:i/>
                <w:color w:val="000000"/>
                <w:sz w:val="20"/>
              </w:rPr>
              <w:t>Current 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Short-term borrowings and current portion of long-term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Accounts payable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Contract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current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current liabilities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20"/>
              </w:rPr>
            </w:pPr>
            <w:r>
              <w:rPr>
                <w:rFonts w:ascii="Helvetica;sans-serif" w:hAnsi="Helvetica;sans-serif"/>
                <w:b w:val="false"/>
                <w:i/>
                <w:color w:val="000000"/>
                <w:sz w:val="20"/>
              </w:rPr>
              <w:t>Noncurrent liabilities: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Long-term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Pension and other postretirement benefit plan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Deferred tax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noncurrent liabilities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Commitments and contingencies (Note 16)</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20"/>
              </w:rPr>
            </w:pPr>
            <w:r>
              <w:rPr>
                <w:rFonts w:ascii="Helvetica;sans-serif" w:hAnsi="Helvetica;sans-serif"/>
                <w:b w:val="false"/>
                <w:i/>
                <w:color w:val="000000"/>
                <w:sz w:val="20"/>
              </w:rPr>
              <w:t>Stockholders' equity:</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Preferred stock, $0.01 par value: 10,000,000 shares authorized; none issued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Common stock, $0.01 par value: 350,000,000 shares authorized; 265,822,404 and 265,064,755 shares issued and outstanding as of December 31, 2025 and 2024, respectively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Additional paid-in capital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Accumulated deficit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(2,593)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Accumulated other comprehensive loss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stockholders' equity </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2,557 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 liabilities and stockholders' equity</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4,486 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4,184 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79</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Consolidated Statements of Cash Flows</w:t>
      </w:r>
    </w:p>
    <w:tbl>
      <w:tblPr>
        <w:tblW w:w="9791" w:type="dxa"/>
        <w:jc w:val="left"/>
        <w:tblInd w:w="0" w:type="dxa"/>
        <w:tblLayout w:type="fixed"/>
        <w:tblCellMar>
          <w:top w:w="28" w:type="dxa"/>
          <w:left w:w="28" w:type="dxa"/>
          <w:bottom w:w="28" w:type="dxa"/>
          <w:right w:w="28" w:type="dxa"/>
        </w:tblCellMar>
      </w:tblPr>
      <w:tblGrid>
        <w:gridCol w:w="2435"/>
        <w:gridCol w:w="2144"/>
        <w:gridCol w:w="2155"/>
        <w:gridCol w:w="211"/>
        <w:gridCol w:w="466"/>
        <w:gridCol w:w="109"/>
        <w:gridCol w:w="109"/>
        <w:gridCol w:w="109"/>
        <w:gridCol w:w="109"/>
        <w:gridCol w:w="211"/>
        <w:gridCol w:w="466"/>
        <w:gridCol w:w="109"/>
        <w:gridCol w:w="109"/>
        <w:gridCol w:w="109"/>
        <w:gridCol w:w="109"/>
        <w:gridCol w:w="211"/>
        <w:gridCol w:w="466"/>
        <w:gridCol w:w="154"/>
      </w:tblGrid>
      <w:tr>
        <w:trPr/>
        <w:tc>
          <w:tcPr>
            <w:tcW w:w="2435"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6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8"/>
              </w:rPr>
            </w:pPr>
            <w:r>
              <w:rPr>
                <w:rFonts w:ascii="Helvetica;sans-serif" w:hAnsi="Helvetica;sans-serif"/>
                <w:b/>
                <w:color w:val="000000"/>
                <w:sz w:val="18"/>
              </w:rPr>
              <w:t>Operating activities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Net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18"/>
              </w:rPr>
            </w:pPr>
            <w:r>
              <w:rPr>
                <w:rFonts w:ascii="Helvetica;sans-serif" w:hAnsi="Helvetica;sans-serif"/>
                <w:b w:val="false"/>
                <w:color w:val="000000"/>
                <w:sz w:val="18"/>
              </w:rPr>
              <w:t>Adjustments to reconcile net earnings to net cash provided by operating activities: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Depreciation and amortization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Deferred income taxes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Stock-based compensation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Changes in assets and liabilities: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Accounts receivable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Contract assets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Inventories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Prepaid expenses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 current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 noncurrent assets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Defined benefit obligations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Accounts payable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Contract liabilities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 current liabilities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 noncurrent liabilities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Net cash provided by operating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8"/>
              </w:rPr>
            </w:pPr>
            <w:r>
              <w:rPr>
                <w:rFonts w:ascii="Helvetica;sans-serif" w:hAnsi="Helvetica;sans-serif"/>
                <w:b/>
                <w:color w:val="000000"/>
                <w:sz w:val="18"/>
              </w:rPr>
              <w:t>Investing activities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Capital expenditures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Proceeds from sales of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Purchases of investments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Net cash used in investing activities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8"/>
              </w:rPr>
            </w:pPr>
            <w:r>
              <w:rPr>
                <w:rFonts w:ascii="Helvetica;sans-serif" w:hAnsi="Helvetica;sans-serif"/>
                <w:b/>
                <w:color w:val="000000"/>
                <w:sz w:val="18"/>
              </w:rPr>
              <w:t>Financing activities</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Net increase (decrease) in borrowings (maturities of 90 days or less)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Repayments of borrowings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Proceeds from borrowings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Proceeds from stock issuance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Repurchases of common stock</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Payments of employee taxes withheld from stock-based awards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Dividends paid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Dividends paid to related party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Net cash (used in) provided by financing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Effect of exchange rate changes on cash and cash equivalents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Net increase in cash and cash equivalents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161 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Cash and cash equivalents at beginning of year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Cash and cash equivalents at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647 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598 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8"/>
              </w:rPr>
            </w:pPr>
            <w:r>
              <w:rPr>
                <w:rFonts w:ascii="Helvetica;sans-serif" w:hAnsi="Helvetica;sans-serif"/>
                <w:b w:val="false"/>
                <w:color w:val="000000"/>
                <w:sz w:val="18"/>
              </w:rPr>
              <w:t>467 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80</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Consolidated Statements of Stockholders’ Equity</w:t>
      </w:r>
    </w:p>
    <w:tbl>
      <w:tblPr>
        <w:tblW w:w="10205" w:type="dxa"/>
        <w:jc w:val="left"/>
        <w:tblInd w:w="0" w:type="dxa"/>
        <w:tblLayout w:type="fixed"/>
        <w:tblCellMar>
          <w:top w:w="28" w:type="dxa"/>
          <w:left w:w="28" w:type="dxa"/>
          <w:bottom w:w="28" w:type="dxa"/>
          <w:right w:w="28" w:type="dxa"/>
        </w:tblCellMar>
      </w:tblPr>
      <w:tblGrid>
        <w:gridCol w:w="1222"/>
        <w:gridCol w:w="725"/>
        <w:gridCol w:w="679"/>
        <w:gridCol w:w="320"/>
        <w:gridCol w:w="411"/>
        <w:gridCol w:w="166"/>
        <w:gridCol w:w="109"/>
        <w:gridCol w:w="109"/>
        <w:gridCol w:w="109"/>
        <w:gridCol w:w="282"/>
        <w:gridCol w:w="866"/>
        <w:gridCol w:w="145"/>
        <w:gridCol w:w="109"/>
        <w:gridCol w:w="109"/>
        <w:gridCol w:w="109"/>
        <w:gridCol w:w="555"/>
        <w:gridCol w:w="991"/>
        <w:gridCol w:w="288"/>
        <w:gridCol w:w="109"/>
        <w:gridCol w:w="109"/>
        <w:gridCol w:w="109"/>
        <w:gridCol w:w="267"/>
        <w:gridCol w:w="820"/>
        <w:gridCol w:w="140"/>
        <w:gridCol w:w="109"/>
        <w:gridCol w:w="109"/>
        <w:gridCol w:w="109"/>
        <w:gridCol w:w="211"/>
        <w:gridCol w:w="646"/>
        <w:gridCol w:w="163"/>
      </w:tblGrid>
      <w:tr>
        <w:trPr/>
        <w:tc>
          <w:tcPr>
            <w:tcW w:w="122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5"/>
              </w:rPr>
            </w:pPr>
            <w:r>
              <w:rPr>
                <w:rFonts w:ascii="Helvetica;sans-serif" w:hAnsi="Helvetica;sans-serif"/>
                <w:b/>
                <w:color w:val="000000"/>
                <w:sz w:val="15"/>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5"/>
              </w:rPr>
            </w:pPr>
            <w:r>
              <w:rPr>
                <w:rFonts w:ascii="Helvetica;sans-serif" w:hAnsi="Helvetica;sans-serif"/>
                <w:b/>
                <w:color w:val="000000"/>
                <w:sz w:val="15"/>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5"/>
              </w:rPr>
            </w:pPr>
            <w:r>
              <w:rPr>
                <w:rFonts w:ascii="Helvetica;sans-serif" w:hAnsi="Helvetica;sans-serif"/>
                <w:b/>
                <w:color w:val="000000"/>
                <w:sz w:val="15"/>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5"/>
              </w:rPr>
            </w:pPr>
            <w:r>
              <w:rPr>
                <w:rFonts w:ascii="Helvetica;sans-serif" w:hAnsi="Helvetica;sans-serif"/>
                <w:b/>
                <w:color w:val="000000"/>
                <w:sz w:val="15"/>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2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Balance as of December 31, 2022</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5,147 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(2,974)</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2,127 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Total comprehensive income</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activity</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2626"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26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Balance as of December 31, 2023</w:t>
            </w:r>
          </w:p>
        </w:tc>
        <w:tc>
          <w:tcPr>
            <w:tcW w:w="7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5,175 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(47)</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(2,806)</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2,325 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comprehensive income</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activity</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Balance as of December 31, 2024</w:t>
            </w:r>
          </w:p>
        </w:tc>
        <w:tc>
          <w:tcPr>
            <w:tcW w:w="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5,194 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(47)</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(2,593)</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2,557 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comprehensive income</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activity</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Issuances of stock under employee stock purchase plan</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Cash dividends of $0.36 per share</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Repurchases of common stock</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Balance as of December 31, 2025</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5,083 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(2,315)</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2,730 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1. Summary of Significant Accounting Policies</w:t>
      </w:r>
    </w:p>
    <w:p>
      <w:pPr>
        <w:pStyle w:val="TextBody"/>
        <w:bidi w:val="0"/>
        <w:spacing w:lineRule="auto" w:line="288" w:before="0" w:after="180"/>
        <w:jc w:val="left"/>
        <w:rPr/>
      </w:pPr>
      <w:r>
        <w:rPr>
          <w:rFonts w:ascii="Helvetica;sans-serif" w:hAnsi="Helvetica;sans-serif"/>
          <w:b/>
          <w:color w:val="000000"/>
          <w:sz w:val="20"/>
        </w:rPr>
        <w:t>A.</w:t>
      </w:r>
      <w:r>
        <w:rPr>
          <w:rFonts w:ascii="Helvetica;sans-serif" w:hAnsi="Helvetica;sans-serif"/>
          <w:b/>
          <w:color w:val="000000"/>
          <w:sz w:val="20"/>
        </w:rPr>
        <w:t>Organization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Leonardo DRS, Inc., together with its wholly owned subsidiaries (hereinafter, “DRS,” “the Company,” “us,” “our,” or “we”) is a supplier of defense electronics products, systems and military support services. The Company’s largest stockholder is Leonardo S.p.A, an Italian multi-national aerospace, defense and security company headquartered in Rome, Italy, through its ultimate sole ownership of Leonardo US Holding, LLC (“US Holding”). US Holding is the majority stockholder of the Company.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DRS is a provider of defense products and technologies that are used across land, air, sea, space and cyber domains. Our diverse array of defense systems and solutions are offered to all branches of the U.S. military, major aerospace and defense prime contractors, government intelligence agencies, international military customers and industrial markets for deployment on a wide range of military platforms. We focus our capabilities in areas of critical importance to the U.S. military, such as advanced sensing, network computing, force protection, and electric power and propulsion.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These capabilities directly align with our two reportable operating segments: Advanced Sensing and Computing (“ASC”) and Integrated Mission Systems (“IMS”). The U.S. government is our largest customer and accounts for approximately 80%, 79%, and 80% of our total revenues as an end-user for the years ended December 31, 2025, 2024 and 2023, respectively. Our U.S. government revenues are highly concentrated with the U.S. Department of War, also known as the U.S. Department of Defense (the “DoW”). Specific international and commercial market opportunities exist within these segments and comprise approximately 20%, 21%, and 20% of our total revenues for the years ended December 31, 2025, 2024 and 2023, respectively. Our two reportable segments reflect the way performance is assessed and resources are allocated by our Chief Executive Officer, who is our chief operating decision maker (“CODM”).</w:t>
      </w:r>
    </w:p>
    <w:p>
      <w:pPr>
        <w:pStyle w:val="TextBody"/>
        <w:bidi w:val="0"/>
        <w:spacing w:lineRule="auto" w:line="256" w:before="0" w:after="180"/>
        <w:jc w:val="left"/>
        <w:rPr>
          <w:rFonts w:ascii="Helvetica;sans-serif" w:hAnsi="Helvetica;sans-serif"/>
          <w:b w:val="false"/>
          <w:i/>
          <w:color w:val="000000"/>
          <w:sz w:val="20"/>
        </w:rPr>
      </w:pPr>
      <w:r>
        <w:rPr>
          <w:rFonts w:ascii="Helvetica;sans-serif" w:hAnsi="Helvetica;sans-serif"/>
          <w:b w:val="false"/>
          <w:i/>
          <w:color w:val="000000"/>
          <w:sz w:val="20"/>
        </w:rPr>
        <w:t>Advanced Sensing and Computing</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ASC segment designs, develops and manufactures sensing and network computing technology that enables real-time situational awareness required for enhanced operational decision making and execution by our customers across increasingly complex and contested operating environments.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sensing capabilities span numerous applications, including missions requiring advanced detection, precision targeting and surveillance sensing, long range electro-optic/infrared (“EO/IR”), signals intelligence (“SIGINT”) and other intelligence systems, electronic warfare (“EW”), ground vehicle sensing, next generation active electronically scanned array tactical radars, dismounted soldier sensing and space sensing. Across our offerings, we are focused on advancing sensor range and enhancing the precision, clarity, definition, spectral depth and effectiveness of our sensors to deliver actionable information in time-sensitive mission scenarios in combination with artificial intelligence (“AI”), enabled by our advanced edge processing solutions. We also seek to leverage the knowledge and expertise built through our decades of experience to optimize size, weight, power and cost for our customers’ specific mission requirements and to support integration onto a wide range of tactical platforms, including mobile and power-constrained systems.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sensing capabilities are complemented by our rugged, trusted and cyber resilient network edge computing products that support data processing, fusion, and dissemination at the tactical edge. Our network computing offerings are utilized across a broad range of mission applications including platform computing on ground and shipboard (both surface ship and submarine) for advanced battle management, combat systems, radar, command and control (“C2”), tactical networks, tactical computing and communications. These products help support the DoW’s need for greater situational understanding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82</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faster decision-making at the tactical edge by leveraging AI and AI-optimized open architecture software, SAGEcore™, to rapidly share, synthesize and transmit data securely between command centers and forward-positioned defense assets and personnel, while supporting reduced latency, operational continuity, and interoperability through modular, open-system architectures.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Within ASC, we are increasingly combining sensing, computing, and software to support applications such as C-UAS, electronic warfare, and networked sensing, where performance depends on the ability to detect, process, and act on data in real time. These integrated capabilities are designed to support evolving operational concepts that emphasize distributed operations, resilient communications, and decision advantage at the tactical edge.</w:t>
      </w:r>
    </w:p>
    <w:p>
      <w:pPr>
        <w:pStyle w:val="TextBody"/>
        <w:bidi w:val="0"/>
        <w:spacing w:lineRule="auto" w:line="288" w:before="0" w:after="180"/>
        <w:ind w:left="0" w:right="0" w:firstLine="360"/>
        <w:jc w:val="left"/>
        <w:rPr/>
      </w:pPr>
      <w:r>
        <w:rPr>
          <w:rFonts w:ascii="Helvetica;sans-serif" w:hAnsi="Helvetica;sans-serif"/>
          <w:b w:val="false"/>
          <w:i/>
          <w:color w:val="000000"/>
          <w:sz w:val="20"/>
        </w:rPr>
        <w:t>Integrated Mission Systems</w:t>
      </w:r>
      <w:r>
        <w:rPr>
          <w:color w:val="000000"/>
        </w:rPr>
        <w:t xml:space="preserve">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IMS segment designs, develops, manufactures and integrates power conversion, control and distribution systems, ship propulsion systems, motors and variable frequency drives, force protection systems, and transportation and logistics systems for the U.S. military and allied defense customers.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DRS is a leading provider of next-generation electrical propulsion systems for the U.S. Navy. We provide power conversion, control, distribution and propulsion systems for the U.S. Navy’s top priority shipbuilding programs, including the Columbia Class ballistic missile submarine, the first modern U.S. electric drive submarine.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believe DRS is well positioned to meet the needs of an increasingly electrified and power-intensive fleet through high-efficiency, power-dense permanent magnet motors, energy storage systems, and associated rugged and compact power conversion, electrical actuation, and advanced thermal management technologies. These capabilities support higher onboard power demands, improved efficiency, and enhanced platform performance across next-generation naval systems.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DRS has a long history of providing a number of other critical products to the U.S. Navy with a significant installed base on submarines, aircraft carriers and other surface ships including motor controllers, instrumentation and control equipment, electrical actuation systems, and thermal management systems for electronics and ship stores refrigeration.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DRS is also an integrator of complex systems in ground vehicles for short-range air defense, C-UAS, and vehicle survivability and protection. Our short-range air defense systems integrate advanced active electronically scanned array (“AESA”) radars, EW equipment, reconnaissance and surveillance systems, mission command capabilities, modular combat vehicle turrets, and stabilized sensor suites, as well as kinetic countermeasures to protect against evolving threats. Our force protection systems, including solutions for C-UAS, help protect personnel and defense assets from enemy combatants.</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Other</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Company separately presents the unallocable general and administrative costs associated with corporate functions and certain non-operating subsidiaries of the Company as Corporate &amp; Eliminations.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See </w:t>
      </w:r>
      <w:r>
        <w:rPr>
          <w:rFonts w:ascii="Helvetica;sans-serif" w:hAnsi="Helvetica;sans-serif"/>
          <w:b w:val="false"/>
          <w:i/>
          <w:color w:val="000000"/>
          <w:sz w:val="20"/>
        </w:rPr>
        <w:t>Note 18:</w:t>
      </w:r>
      <w:r>
        <w:rPr>
          <w:color w:val="000000"/>
        </w:rPr>
        <w:t xml:space="preserve"> </w:t>
      </w:r>
      <w:r>
        <w:rPr>
          <w:rFonts w:ascii="Helvetica;sans-serif" w:hAnsi="Helvetica;sans-serif"/>
          <w:b w:val="false"/>
          <w:i/>
          <w:color w:val="000000"/>
          <w:sz w:val="20"/>
        </w:rPr>
        <w:t>Segment Information</w:t>
      </w:r>
      <w:r>
        <w:rPr>
          <w:color w:val="000000"/>
        </w:rPr>
        <w:t xml:space="preserve"> </w:t>
      </w:r>
      <w:r>
        <w:rPr>
          <w:rFonts w:ascii="Helvetica;sans-serif" w:hAnsi="Helvetica;sans-serif"/>
          <w:b w:val="false"/>
          <w:color w:val="000000"/>
          <w:sz w:val="20"/>
        </w:rPr>
        <w:t>for further information regarding our operating segments.</w:t>
      </w:r>
    </w:p>
    <w:p>
      <w:pPr>
        <w:pStyle w:val="TextBody"/>
        <w:bidi w:val="0"/>
        <w:spacing w:lineRule="auto" w:line="288" w:before="0" w:after="180"/>
        <w:jc w:val="left"/>
        <w:rPr/>
      </w:pPr>
      <w:r>
        <w:rPr>
          <w:rFonts w:ascii="Helvetica;sans-serif" w:hAnsi="Helvetica;sans-serif"/>
          <w:b/>
          <w:color w:val="000000"/>
          <w:sz w:val="20"/>
        </w:rPr>
        <w:t>B.</w:t>
      </w:r>
      <w:r>
        <w:rPr>
          <w:rFonts w:ascii="Helvetica;sans-serif" w:hAnsi="Helvetica;sans-serif"/>
          <w:b/>
          <w:color w:val="000000"/>
          <w:sz w:val="20"/>
        </w:rPr>
        <w:t>Basis of Presentation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accompanying Consolidated Financial Statements have been prepared in accordance with accounting principles generally accepted in the United States of America (“U.S. GAAP”) and include the accounts of DRS, its wholly owned subsidiaries and its controlling interests. Interests in joint ventures that are controlled by the Company, or for which the Company is otherwise deemed to be the primary beneficiary, are consolidated. For joint ventures in which the Company does not have a controlling interest, but exerts significant influence, the Company applies the equity method of accounting. All intercompany transactions and balances have been eliminated in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83</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jc w:val="left"/>
        <w:rPr/>
      </w:pPr>
      <w:r>
        <w:rPr>
          <w:rFonts w:ascii="Helvetica;sans-serif" w:hAnsi="Helvetica;sans-serif"/>
          <w:b/>
          <w:color w:val="000000"/>
          <w:sz w:val="20"/>
        </w:rPr>
        <w:t>C.</w:t>
      </w:r>
      <w:r>
        <w:rPr>
          <w:rFonts w:ascii="Helvetica;sans-serif" w:hAnsi="Helvetica;sans-serif"/>
          <w:b/>
          <w:color w:val="000000"/>
          <w:sz w:val="20"/>
        </w:rPr>
        <w:t>Use of Estimates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These estimates and assumptions include those relating to the recognition of contract revenues and estimated costs to complete contracts in process, recoverability of reported amounts of goodwill and intangible assets, valuation of acquired intangibles, accounting for business combinations, valuation of pensions and other postretirement benefits, the valuation of deferred tax assets and liabilities and the valuation of unrecognized tax benefits. Actual results could differ from these estimates.</w:t>
      </w:r>
    </w:p>
    <w:p>
      <w:pPr>
        <w:pStyle w:val="TextBody"/>
        <w:bidi w:val="0"/>
        <w:spacing w:lineRule="auto" w:line="288" w:before="0" w:after="180"/>
        <w:jc w:val="left"/>
        <w:rPr/>
      </w:pPr>
      <w:r>
        <w:rPr>
          <w:rFonts w:ascii="Helvetica;sans-serif" w:hAnsi="Helvetica;sans-serif"/>
          <w:b/>
          <w:color w:val="000000"/>
          <w:sz w:val="20"/>
        </w:rPr>
        <w:t>D.</w:t>
      </w:r>
      <w:r>
        <w:rPr>
          <w:rFonts w:ascii="Helvetica;sans-serif" w:hAnsi="Helvetica;sans-serif"/>
          <w:b/>
          <w:color w:val="000000"/>
          <w:sz w:val="20"/>
        </w:rPr>
        <w:t>Revenue Recognition</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Our revenues consist primarily of sales of products (tangible goods) to customers. We recognize the majority of our revenue from contracts with customers using an over time, percentage of completion cost-to-cost method of accounting measured by the ratio of cumulative costs incurred to date to estimated total contract costs at completion (the “cost-to-cost method”). On certain other contracts, primarily time-and-materials (“T&amp;M”) and cost-plus contracts, revenue is recognized using the right-to-invoice practical expedient as we are contractually able to bill our customers based on control transferred to the customer. See </w:t>
      </w:r>
      <w:r>
        <w:rPr>
          <w:rFonts w:ascii="Helvetica;sans-serif" w:hAnsi="Helvetica;sans-serif"/>
          <w:b w:val="false"/>
          <w:i/>
          <w:color w:val="000000"/>
          <w:sz w:val="20"/>
        </w:rPr>
        <w:t>Note 2</w:t>
      </w:r>
      <w:r>
        <w:rPr>
          <w:rFonts w:ascii="Helvetica;sans-serif" w:hAnsi="Helvetica;sans-serif"/>
          <w:b w:val="false"/>
          <w:color w:val="000000"/>
          <w:sz w:val="20"/>
        </w:rPr>
        <w:t xml:space="preserve">: </w:t>
      </w:r>
      <w:r>
        <w:rPr>
          <w:rFonts w:ascii="Helvetica;sans-serif" w:hAnsi="Helvetica;sans-serif"/>
          <w:b w:val="false"/>
          <w:i/>
          <w:color w:val="000000"/>
          <w:sz w:val="20"/>
        </w:rPr>
        <w:t>Revenue from Contracts with Customers</w:t>
      </w:r>
      <w:r>
        <w:rPr>
          <w:color w:val="000000"/>
        </w:rPr>
        <w:t xml:space="preserve"> </w:t>
      </w:r>
      <w:r>
        <w:rPr>
          <w:rFonts w:ascii="Helvetica;sans-serif" w:hAnsi="Helvetica;sans-serif"/>
          <w:b w:val="false"/>
          <w:color w:val="000000"/>
          <w:sz w:val="20"/>
        </w:rPr>
        <w:t>for additional information regarding revenue recognition.</w:t>
      </w:r>
    </w:p>
    <w:p>
      <w:pPr>
        <w:pStyle w:val="TextBody"/>
        <w:bidi w:val="0"/>
        <w:spacing w:lineRule="auto" w:line="288" w:before="0" w:after="180"/>
        <w:jc w:val="left"/>
        <w:rPr/>
      </w:pPr>
      <w:r>
        <w:rPr>
          <w:rFonts w:ascii="Helvetica;sans-serif" w:hAnsi="Helvetica;sans-serif"/>
          <w:b/>
          <w:color w:val="000000"/>
          <w:sz w:val="20"/>
        </w:rPr>
        <w:t>E.</w:t>
      </w:r>
      <w:r>
        <w:rPr>
          <w:rFonts w:ascii="Helvetica;sans-serif" w:hAnsi="Helvetica;sans-serif"/>
          <w:b/>
          <w:color w:val="000000"/>
          <w:sz w:val="20"/>
        </w:rPr>
        <w:t>Cost of Revenues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Cost of revenues includes materials, labor and overhead costs incurred in the manufacturing, design, and provision of products and services sold in the period as well as warranty costs. Material costs include raw materials, purchased components and sub-assemblies, outside processing and inbound freight costs. Labor and overhead costs consist of direct and indirect manufacturing costs, including wages and fringe benefits, operating supplies, depreciation and amortization, occupancy costs, and purchasing, receiving and inspection costs.</w:t>
      </w:r>
    </w:p>
    <w:p>
      <w:pPr>
        <w:pStyle w:val="TextBody"/>
        <w:bidi w:val="0"/>
        <w:spacing w:lineRule="auto" w:line="288" w:before="0" w:after="180"/>
        <w:jc w:val="left"/>
        <w:rPr/>
      </w:pPr>
      <w:r>
        <w:rPr>
          <w:rFonts w:ascii="Helvetica;sans-serif" w:hAnsi="Helvetica;sans-serif"/>
          <w:b/>
          <w:color w:val="000000"/>
          <w:sz w:val="20"/>
        </w:rPr>
        <w:t>F.</w:t>
      </w:r>
      <w:r>
        <w:rPr>
          <w:rFonts w:ascii="Helvetica;sans-serif" w:hAnsi="Helvetica;sans-serif"/>
          <w:b/>
          <w:color w:val="000000"/>
          <w:sz w:val="20"/>
        </w:rPr>
        <w:t>Costs to Obtain or Fulfill a Contract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Costs to obtain a contract are incremental direct costs incurred to obtain a contract with a customer, including sales commissions and dealer fees, and are capitalized if material. Costs to fulfill a contract include costs directly related to a contract or a specific anticipated contract (for example, mobilization, set-up and certain design costs) that generate or enhance our ability to satisfy our performance obligations under these contracts. These costs are capitalized to the extent they are expected to be recovered from the associated contract. Capitalized costs to obtain or fulfill a contract are amortized to expense over the expected period of benefit for contracts with terms greater than one year on a systematic basis that is consistent with the pattern of transfer of the associated goods and services to the customer. As a practical expedient, capitalized costs to obtain a contract with a term of one year or less are expensed as incurred. Capitalized costs to obtain or fulfill a contract were $21 million and $38 million at December 31, 2025 and 2024, respectively.</w:t>
      </w:r>
    </w:p>
    <w:p>
      <w:pPr>
        <w:pStyle w:val="TextBody"/>
        <w:bidi w:val="0"/>
        <w:spacing w:lineRule="auto" w:line="288" w:before="0" w:after="180"/>
        <w:jc w:val="left"/>
        <w:rPr/>
      </w:pPr>
      <w:r>
        <w:rPr>
          <w:rFonts w:ascii="Helvetica;sans-serif" w:hAnsi="Helvetica;sans-serif"/>
          <w:b/>
          <w:color w:val="000000"/>
          <w:sz w:val="20"/>
        </w:rPr>
        <w:t>G.</w:t>
      </w:r>
      <w:r>
        <w:rPr>
          <w:rFonts w:ascii="Helvetica;sans-serif" w:hAnsi="Helvetica;sans-serif"/>
          <w:b/>
          <w:color w:val="000000"/>
          <w:sz w:val="20"/>
        </w:rPr>
        <w:t>Research and Development Expenses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conduct research and development (“R&amp;D”) activities using our own funds (referred to as company-funded independent research and development (“IR&amp;D”)) and under contractual arrangements with our customers (referred to as customer-funded R&amp;D) to enhance existing products and services and to develop future technologies. R&amp;D costs include basic research, applied research, concept formulation studies, design, development, and related test activities. IR&amp;D costs are allocated to customer contracts as part of the general and administrative overhead costs and generally recoverable on our customer contracts with the U.S. government. Customer-funded R&amp;D costs are charged directly to the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84</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customer contract. R&amp;D costs are expensed as incurred. IR&amp;D charged to general and administrative expenses totaled $129 million, $92 million, and $82 million in 2025, 2024 and 2023, respectively.</w:t>
      </w:r>
    </w:p>
    <w:p>
      <w:pPr>
        <w:pStyle w:val="TextBody"/>
        <w:bidi w:val="0"/>
        <w:spacing w:lineRule="auto" w:line="288" w:before="0" w:after="180"/>
        <w:jc w:val="left"/>
        <w:rPr/>
      </w:pPr>
      <w:r>
        <w:rPr>
          <w:rFonts w:ascii="Helvetica;sans-serif" w:hAnsi="Helvetica;sans-serif"/>
          <w:b/>
          <w:color w:val="000000"/>
          <w:sz w:val="20"/>
        </w:rPr>
        <w:t>H.</w:t>
      </w:r>
      <w:r>
        <w:rPr>
          <w:rFonts w:ascii="Helvetica;sans-serif" w:hAnsi="Helvetica;sans-serif"/>
          <w:b/>
          <w:color w:val="000000"/>
          <w:sz w:val="20"/>
        </w:rPr>
        <w:t>Foreign Currency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Significant transactions in foreign currencies are translated into U.S. dollars at the approximate prevailing rate at the time of the transaction. Foreign exchange transaction gains and losses in 2025, 2024 and 2023 were immaterial to the Company's results of operations. The operations of the Company's foreign subsidiaries are translated from the local (functional) currencies into U.S. dollars using weighted average rates of exchange during each monthly period. The rates of exchange at each balance sheet date are used for translating certain balance sheet accounts and gains or losses resulting from these translation adjustments are included in the accompanying Consolidated Balance Sheets as a component of accumulated other comprehensive loss.</w:t>
      </w:r>
    </w:p>
    <w:p>
      <w:pPr>
        <w:pStyle w:val="TextBody"/>
        <w:bidi w:val="0"/>
        <w:spacing w:lineRule="auto" w:line="288" w:before="0" w:after="180"/>
        <w:jc w:val="left"/>
        <w:rPr/>
      </w:pPr>
      <w:r>
        <w:rPr>
          <w:rFonts w:ascii="Helvetica;sans-serif" w:hAnsi="Helvetica;sans-serif"/>
          <w:b/>
          <w:color w:val="000000"/>
          <w:sz w:val="20"/>
        </w:rPr>
        <w:t>I.</w:t>
      </w:r>
      <w:r>
        <w:rPr>
          <w:rFonts w:ascii="Helvetica;sans-serif" w:hAnsi="Helvetica;sans-serif"/>
          <w:b/>
          <w:color w:val="000000"/>
          <w:sz w:val="20"/>
        </w:rPr>
        <w:t>Cash and Cash Equivalents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Cash and cash equivalents include cash on hand, deposits with banks or other short-term, highly liquid investments with original maturities of three months or less.</w:t>
      </w:r>
    </w:p>
    <w:p>
      <w:pPr>
        <w:pStyle w:val="TextBody"/>
        <w:bidi w:val="0"/>
        <w:spacing w:lineRule="auto" w:line="288" w:before="0" w:after="180"/>
        <w:jc w:val="left"/>
        <w:rPr/>
      </w:pPr>
      <w:r>
        <w:rPr>
          <w:rFonts w:ascii="Helvetica;sans-serif" w:hAnsi="Helvetica;sans-serif"/>
          <w:b/>
          <w:color w:val="000000"/>
          <w:sz w:val="20"/>
        </w:rPr>
        <w:t>J.</w:t>
      </w:r>
      <w:r>
        <w:rPr>
          <w:rFonts w:ascii="Helvetica;sans-serif" w:hAnsi="Helvetica;sans-serif"/>
          <w:b/>
          <w:color w:val="000000"/>
          <w:sz w:val="20"/>
        </w:rPr>
        <w:t>Accounts Receivable</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Accounts receivable consist of amounts currently due from customers. We maintain an allowance recorded in the allowance for current expected credit losses account that is estimated and recorded utilizing relevant information about past events, including historical experience, current conditions and a reasonable and supportable forecast that affects the collectability of the related financial asset. See </w:t>
      </w:r>
      <w:r>
        <w:rPr>
          <w:rFonts w:ascii="Helvetica;sans-serif" w:hAnsi="Helvetica;sans-serif"/>
          <w:b w:val="false"/>
          <w:i/>
          <w:color w:val="000000"/>
          <w:sz w:val="20"/>
        </w:rPr>
        <w:t>Note 3</w:t>
      </w:r>
      <w:r>
        <w:rPr>
          <w:rFonts w:ascii="Helvetica;sans-serif" w:hAnsi="Helvetica;sans-serif"/>
          <w:b w:val="false"/>
          <w:color w:val="000000"/>
          <w:sz w:val="20"/>
        </w:rPr>
        <w:t xml:space="preserve">: </w:t>
      </w:r>
      <w:r>
        <w:rPr>
          <w:rFonts w:ascii="Helvetica;sans-serif" w:hAnsi="Helvetica;sans-serif"/>
          <w:b w:val="false"/>
          <w:i/>
          <w:color w:val="000000"/>
          <w:sz w:val="20"/>
        </w:rPr>
        <w:t>Accounts Receivable</w:t>
      </w:r>
      <w:r>
        <w:rPr>
          <w:color w:val="000000"/>
        </w:rPr>
        <w:t xml:space="preserve"> </w:t>
      </w:r>
      <w:r>
        <w:rPr>
          <w:rFonts w:ascii="Helvetica;sans-serif" w:hAnsi="Helvetica;sans-serif"/>
          <w:b w:val="false"/>
          <w:color w:val="000000"/>
          <w:sz w:val="20"/>
        </w:rPr>
        <w:t>for additional information regarding accounts receivable.</w:t>
      </w:r>
    </w:p>
    <w:p>
      <w:pPr>
        <w:pStyle w:val="TextBody"/>
        <w:bidi w:val="0"/>
        <w:spacing w:lineRule="auto" w:line="288" w:before="0" w:after="180"/>
        <w:jc w:val="left"/>
        <w:rPr/>
      </w:pPr>
      <w:r>
        <w:rPr>
          <w:rFonts w:ascii="Helvetica;sans-serif" w:hAnsi="Helvetica;sans-serif"/>
          <w:b/>
          <w:color w:val="000000"/>
          <w:sz w:val="20"/>
        </w:rPr>
        <w:t>K.</w:t>
      </w:r>
      <w:r>
        <w:rPr>
          <w:rFonts w:ascii="Helvetica;sans-serif" w:hAnsi="Helvetica;sans-serif"/>
          <w:b/>
          <w:color w:val="000000"/>
          <w:sz w:val="20"/>
        </w:rPr>
        <w:t>Inventories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Inventories are recorded at the lower of cost (determined by either actual, weighted average or first-in, first-out methods) or net realizable value, and include direct production costs as well as indirect costs, such as factory overhead. The net realizable value is calculated as the expected sales price in the course of normal operations net of estimated costs to finish and sell the goods. See </w:t>
      </w:r>
      <w:r>
        <w:rPr>
          <w:rFonts w:ascii="Helvetica;sans-serif" w:hAnsi="Helvetica;sans-serif"/>
          <w:b w:val="false"/>
          <w:i/>
          <w:color w:val="000000"/>
          <w:sz w:val="20"/>
        </w:rPr>
        <w:t>Note 5</w:t>
      </w:r>
      <w:r>
        <w:rPr>
          <w:rFonts w:ascii="Helvetica;sans-serif" w:hAnsi="Helvetica;sans-serif"/>
          <w:b w:val="false"/>
          <w:color w:val="000000"/>
          <w:sz w:val="20"/>
        </w:rPr>
        <w:t xml:space="preserve">: </w:t>
      </w:r>
      <w:r>
        <w:rPr>
          <w:rFonts w:ascii="Helvetica;sans-serif" w:hAnsi="Helvetica;sans-serif"/>
          <w:b w:val="false"/>
          <w:i/>
          <w:color w:val="000000"/>
          <w:sz w:val="20"/>
        </w:rPr>
        <w:t>Inventories</w:t>
      </w:r>
      <w:r>
        <w:rPr>
          <w:color w:val="000000"/>
        </w:rPr>
        <w:t xml:space="preserve"> </w:t>
      </w:r>
      <w:r>
        <w:rPr>
          <w:rFonts w:ascii="Helvetica;sans-serif" w:hAnsi="Helvetica;sans-serif"/>
          <w:b w:val="false"/>
          <w:color w:val="000000"/>
          <w:sz w:val="20"/>
        </w:rPr>
        <w:t>for additional information regarding inventories.</w:t>
      </w:r>
    </w:p>
    <w:p>
      <w:pPr>
        <w:pStyle w:val="TextBody"/>
        <w:bidi w:val="0"/>
        <w:spacing w:lineRule="auto" w:line="288" w:before="0" w:after="180"/>
        <w:jc w:val="left"/>
        <w:rPr/>
      </w:pPr>
      <w:r>
        <w:rPr>
          <w:rFonts w:ascii="Helvetica;sans-serif" w:hAnsi="Helvetica;sans-serif"/>
          <w:b/>
          <w:color w:val="000000"/>
          <w:sz w:val="20"/>
        </w:rPr>
        <w:t>L.</w:t>
      </w:r>
      <w:r>
        <w:rPr>
          <w:rFonts w:ascii="Helvetica;sans-serif" w:hAnsi="Helvetica;sans-serif"/>
          <w:b/>
          <w:color w:val="000000"/>
          <w:sz w:val="20"/>
        </w:rPr>
        <w:t>Property, Plant and Equipment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Property, plant and equipment is carried at cost less accumulated depreciation. Depreciation is calculated using the straight-line method. The estimated useful lives of plant, machinery and equipment and building and building improvements generally range from 3 to 10 years and 15 to 40 years, respectively. Leasehold improvements are amortized over the shorter of the estimated useful life of the improvements or the remaining life of the lease.</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When assets are retired or otherwise disposed of, the cost and related accumulated depreciation or amortization are removed from the Consolidated Balance Sheets, and the net gain or loss is included in the determination of net earnings. Maintenance and repairs are charged to operations as incurred and renewals and improvements are capitalized. See </w:t>
      </w:r>
      <w:r>
        <w:rPr>
          <w:rFonts w:ascii="Helvetica;sans-serif" w:hAnsi="Helvetica;sans-serif"/>
          <w:b w:val="false"/>
          <w:i/>
          <w:color w:val="000000"/>
          <w:sz w:val="20"/>
        </w:rPr>
        <w:t>Note 6</w:t>
      </w:r>
      <w:r>
        <w:rPr>
          <w:rFonts w:ascii="Helvetica;sans-serif" w:hAnsi="Helvetica;sans-serif"/>
          <w:b w:val="false"/>
          <w:color w:val="000000"/>
          <w:sz w:val="20"/>
        </w:rPr>
        <w:t xml:space="preserve">: </w:t>
      </w:r>
      <w:r>
        <w:rPr>
          <w:rFonts w:ascii="Helvetica;sans-serif" w:hAnsi="Helvetica;sans-serif"/>
          <w:b w:val="false"/>
          <w:i/>
          <w:color w:val="000000"/>
          <w:sz w:val="20"/>
        </w:rPr>
        <w:t>Property, Plant and Equipment</w:t>
      </w:r>
      <w:r>
        <w:rPr>
          <w:color w:val="000000"/>
        </w:rPr>
        <w:t xml:space="preserve"> </w:t>
      </w:r>
      <w:r>
        <w:rPr>
          <w:rFonts w:ascii="Helvetica;sans-serif" w:hAnsi="Helvetica;sans-serif"/>
          <w:b w:val="false"/>
          <w:color w:val="000000"/>
          <w:sz w:val="20"/>
        </w:rPr>
        <w:t>for additional information regarding property, plant and equipment.</w:t>
      </w:r>
    </w:p>
    <w:p>
      <w:pPr>
        <w:pStyle w:val="TextBody"/>
        <w:bidi w:val="0"/>
        <w:spacing w:lineRule="auto" w:line="288" w:before="0" w:after="180"/>
        <w:jc w:val="left"/>
        <w:rPr/>
      </w:pPr>
      <w:r>
        <w:rPr>
          <w:rFonts w:ascii="Helvetica;sans-serif" w:hAnsi="Helvetica;sans-serif"/>
          <w:b/>
          <w:color w:val="000000"/>
          <w:sz w:val="20"/>
        </w:rPr>
        <w:t>M.</w:t>
      </w:r>
      <w:r>
        <w:rPr>
          <w:rFonts w:ascii="Helvetica;sans-serif" w:hAnsi="Helvetica;sans-serif"/>
          <w:b/>
          <w:color w:val="000000"/>
          <w:sz w:val="20"/>
        </w:rPr>
        <w:t>Goodwill</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Goodwill represents the excess purchase price paid to acquire a business over the fair value of net assets acquired. Goodwill is assigned to reporting units and is reviewed for impairment at the reporting unit level on an annual basis, or whenever changes in circumstances indicate that the carrying amount may not be recoverable. A reporting unit is an operating segment, or one level below that operating segment (the component level) if discrete financial information is prepared and regularly reviewed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85</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segment manager. Two or more components of an operating segment may be aggregated and deemed a single reporting unit if the components have similar economic characteristics.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The Company uses quantitative assessments and qualitative factors to determine whether it is more likely than not that the fair value of a reporting unit is less than its carrying value. If a qualitative assessment is performed and the Company concludes that it is more likely than not that the fair value of a reporting unit is less than its carrying amount, then a quantitative assessment is performed. </w:t>
      </w:r>
      <w:r>
        <w:rPr>
          <w:rFonts w:ascii="Helvetica;sans-serif" w:hAnsi="Helvetica;sans-serif"/>
          <w:b w:val="false"/>
          <w:color w:val="000000"/>
          <w:sz w:val="20"/>
          <w:shd w:fill="FFFFFF" w:val="clear"/>
        </w:rPr>
        <w:t xml:space="preserve">When performing a quantitative assessment, we compare the fair values of each of our reporting units to their respective carrying values. In order to compute the fair value of our reporting units, we primarily use the income approach based on the discounted cash flows that each reporting unit expects to generate in the future, consistent with our operating plans. Determining the fair value of our reporting units requires significant judgments, including the timing and amount of future cash flows, long-term growth rates, determination of the weighted average cost of capital and terminal value assumptions. </w:t>
      </w:r>
      <w:r>
        <w:rPr>
          <w:rFonts w:ascii="Helvetica;sans-serif" w:hAnsi="Helvetica;sans-serif"/>
          <w:b w:val="false"/>
          <w:color w:val="000000"/>
          <w:sz w:val="20"/>
        </w:rPr>
        <w:t xml:space="preserve">If, based on the quantitative assessment, the Company concludes that the carrying value of the reporting unit exceeds its fair value, the Company will recognize a goodwill impairment loss in an amount equal to that excess. The Company completed impairment tests as of October 1, 2025, 2024, and 2023 and no adjustment to the carrying value of goodwill was deemed to be necessary. See </w:t>
      </w:r>
      <w:r>
        <w:rPr>
          <w:rFonts w:ascii="Helvetica;sans-serif" w:hAnsi="Helvetica;sans-serif"/>
          <w:b w:val="false"/>
          <w:i/>
          <w:color w:val="000000"/>
          <w:sz w:val="20"/>
        </w:rPr>
        <w:t>Note 8</w:t>
      </w:r>
      <w:r>
        <w:rPr>
          <w:rFonts w:ascii="Helvetica;sans-serif" w:hAnsi="Helvetica;sans-serif"/>
          <w:b w:val="false"/>
          <w:color w:val="000000"/>
          <w:sz w:val="20"/>
        </w:rPr>
        <w:t xml:space="preserve">: </w:t>
      </w:r>
      <w:r>
        <w:rPr>
          <w:rFonts w:ascii="Helvetica;sans-serif" w:hAnsi="Helvetica;sans-serif"/>
          <w:b w:val="false"/>
          <w:i/>
          <w:color w:val="000000"/>
          <w:sz w:val="20"/>
        </w:rPr>
        <w:t>Goodwill</w:t>
      </w:r>
      <w:r>
        <w:rPr>
          <w:color w:val="000000"/>
        </w:rPr>
        <w:t xml:space="preserve"> </w:t>
      </w:r>
      <w:r>
        <w:rPr>
          <w:rFonts w:ascii="Helvetica;sans-serif" w:hAnsi="Helvetica;sans-serif"/>
          <w:b w:val="false"/>
          <w:color w:val="000000"/>
          <w:sz w:val="20"/>
        </w:rPr>
        <w:t>for additional information regarding goodwill.</w:t>
      </w:r>
    </w:p>
    <w:p>
      <w:pPr>
        <w:pStyle w:val="TextBody"/>
        <w:bidi w:val="0"/>
        <w:spacing w:lineRule="auto" w:line="288" w:before="0" w:after="180"/>
        <w:jc w:val="left"/>
        <w:rPr/>
      </w:pPr>
      <w:r>
        <w:rPr>
          <w:rFonts w:ascii="Helvetica;sans-serif" w:hAnsi="Helvetica;sans-serif"/>
          <w:b/>
          <w:color w:val="000000"/>
          <w:sz w:val="20"/>
        </w:rPr>
        <w:t>N.</w:t>
      </w:r>
      <w:r>
        <w:rPr>
          <w:rFonts w:ascii="Helvetica;sans-serif" w:hAnsi="Helvetica;sans-serif"/>
          <w:b/>
          <w:color w:val="000000"/>
          <w:sz w:val="20"/>
        </w:rPr>
        <w:t>Long-Lived Assets and Acquired Identifiable Intangible Assets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Identifiable intangible assets represent assets acquired as part of the Company's business acquisitions and include customer and program/contract-related assets. The values assigned to acquired identifiable intangible assets are determined as of the date of acquisition based on estimates and judgments regarding expectations for the estimated future after-tax cash flows from those assets over their lives, including the probability of expected future contract renewals and revenues, all of which are discounted to present value.</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The Company assesses the recoverability of the carrying value of its long-lived assets and intangible assets with finite useful lives whenever events or changes in circumstances indicate that the carrying amount of the assets or asset group may not be recoverable. If there are any indicators of impairment present, the Company then evaluates the recoverability of the potentially impaired long-lived assets and acquired identifiable intangible assets based upon expectations of undiscounted net cash flows from such assets. If the sum of the expected future undiscounted net cash flows is less than the carrying amount of the asset or asset group, a loss is recognized for the difference between the estimated fair value and the carrying amount of the assets. Assets to be disposed of, including those of discontinued operations, are reported at the lower of the carrying amount or fair value, less the costs to sell. See </w:t>
      </w:r>
      <w:r>
        <w:rPr>
          <w:rFonts w:ascii="Helvetica;sans-serif" w:hAnsi="Helvetica;sans-serif"/>
          <w:b w:val="false"/>
          <w:i/>
          <w:color w:val="000000"/>
          <w:sz w:val="20"/>
        </w:rPr>
        <w:t>Note 6</w:t>
      </w:r>
      <w:r>
        <w:rPr>
          <w:rFonts w:ascii="Helvetica;sans-serif" w:hAnsi="Helvetica;sans-serif"/>
          <w:b w:val="false"/>
          <w:color w:val="000000"/>
          <w:sz w:val="20"/>
        </w:rPr>
        <w:t xml:space="preserve">: </w:t>
      </w:r>
      <w:r>
        <w:rPr>
          <w:rFonts w:ascii="Helvetica;sans-serif" w:hAnsi="Helvetica;sans-serif"/>
          <w:b w:val="false"/>
          <w:i/>
          <w:color w:val="000000"/>
          <w:sz w:val="20"/>
        </w:rPr>
        <w:t>Property, Plant and Equipment</w:t>
      </w:r>
      <w:r>
        <w:rPr>
          <w:rFonts w:ascii="Helvetica;sans-serif" w:hAnsi="Helvetica;sans-serif"/>
          <w:b w:val="false"/>
          <w:color w:val="000000"/>
          <w:sz w:val="20"/>
        </w:rPr>
        <w:t xml:space="preserve">, </w:t>
      </w:r>
      <w:r>
        <w:rPr>
          <w:rFonts w:ascii="Helvetica;sans-serif" w:hAnsi="Helvetica;sans-serif"/>
          <w:b w:val="false"/>
          <w:i/>
          <w:color w:val="000000"/>
          <w:sz w:val="20"/>
        </w:rPr>
        <w:t>Note 9</w:t>
      </w:r>
      <w:r>
        <w:rPr>
          <w:rFonts w:ascii="Helvetica;sans-serif" w:hAnsi="Helvetica;sans-serif"/>
          <w:b w:val="false"/>
          <w:color w:val="000000"/>
          <w:sz w:val="20"/>
        </w:rPr>
        <w:t xml:space="preserve">: </w:t>
      </w:r>
      <w:r>
        <w:rPr>
          <w:rFonts w:ascii="Helvetica;sans-serif" w:hAnsi="Helvetica;sans-serif"/>
          <w:b w:val="false"/>
          <w:i/>
          <w:color w:val="000000"/>
          <w:sz w:val="20"/>
        </w:rPr>
        <w:t>Intangible Assets</w:t>
      </w:r>
      <w:r>
        <w:rPr>
          <w:color w:val="000000"/>
        </w:rPr>
        <w:t xml:space="preserve"> </w:t>
      </w:r>
      <w:r>
        <w:rPr>
          <w:rFonts w:ascii="Helvetica;sans-serif" w:hAnsi="Helvetica;sans-serif"/>
          <w:b w:val="false"/>
          <w:color w:val="000000"/>
          <w:sz w:val="20"/>
        </w:rPr>
        <w:t xml:space="preserve">and </w:t>
      </w:r>
      <w:r>
        <w:rPr>
          <w:rFonts w:ascii="Helvetica;sans-serif" w:hAnsi="Helvetica;sans-serif"/>
          <w:b w:val="false"/>
          <w:i/>
          <w:color w:val="000000"/>
          <w:sz w:val="20"/>
        </w:rPr>
        <w:t>Note 10: Leases</w:t>
      </w:r>
      <w:r>
        <w:rPr>
          <w:color w:val="000000"/>
        </w:rPr>
        <w:t xml:space="preserve"> </w:t>
      </w:r>
      <w:r>
        <w:rPr>
          <w:rFonts w:ascii="Helvetica;sans-serif" w:hAnsi="Helvetica;sans-serif"/>
          <w:b w:val="false"/>
          <w:color w:val="000000"/>
          <w:sz w:val="20"/>
        </w:rPr>
        <w:t>for additional information regarding long-lived assets and intangible assets.</w:t>
      </w:r>
    </w:p>
    <w:p>
      <w:pPr>
        <w:pStyle w:val="TextBody"/>
        <w:bidi w:val="0"/>
        <w:spacing w:lineRule="auto" w:line="288" w:before="0" w:after="180"/>
        <w:jc w:val="left"/>
        <w:rPr/>
      </w:pPr>
      <w:r>
        <w:rPr>
          <w:rFonts w:ascii="Helvetica;sans-serif" w:hAnsi="Helvetica;sans-serif"/>
          <w:b/>
          <w:color w:val="000000"/>
          <w:sz w:val="20"/>
        </w:rPr>
        <w:t>O.</w:t>
      </w:r>
      <w:r>
        <w:rPr>
          <w:rFonts w:ascii="Helvetica;sans-serif" w:hAnsi="Helvetica;sans-serif"/>
          <w:b/>
          <w:color w:val="000000"/>
          <w:sz w:val="20"/>
        </w:rPr>
        <w:t>Pension and Other Postretirement Benefits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The obligations for the Company's pension plans and postretirement benefit plans and the related annual costs of employee benefits are calculated based on several long-term assumptions, including discount rates for employee benefit liabilities, rates of return on plan assets, and expected annual increases in the costs of medical and other health care benefits in the case of postretirement benefit plans. These long-term assumptions are subject to revision based on changes in interest rates, financial market conditions, expected versus actual returns on plan assets, participant mortality rates and other actuarial assumptions, including benefit formulas and levels, and rates of increase in the costs of benefits. Changes in these assumptions, if significant, can materially affect the amount of annual net periodic benefit costs recognized in the Company's results of operations from one year to the next, the liabilities for the pension plans and postretirement benefit plans and the Company's annual cash requirements to fund these plans. See </w:t>
      </w:r>
      <w:r>
        <w:rPr>
          <w:rFonts w:ascii="Helvetica;sans-serif" w:hAnsi="Helvetica;sans-serif"/>
          <w:b w:val="false"/>
          <w:i/>
          <w:color w:val="000000"/>
          <w:sz w:val="20"/>
        </w:rPr>
        <w:t>Note 13</w:t>
      </w:r>
      <w:r>
        <w:rPr>
          <w:rFonts w:ascii="Helvetica;sans-serif" w:hAnsi="Helvetica;sans-serif"/>
          <w:b w:val="false"/>
          <w:color w:val="000000"/>
          <w:sz w:val="20"/>
        </w:rPr>
        <w:t xml:space="preserve">: </w:t>
      </w:r>
      <w:r>
        <w:rPr>
          <w:rFonts w:ascii="Helvetica;sans-serif" w:hAnsi="Helvetica;sans-serif"/>
          <w:b w:val="false"/>
          <w:i/>
          <w:color w:val="000000"/>
          <w:sz w:val="20"/>
        </w:rPr>
        <w:t>Pension and Other Postretirement Benefits</w:t>
      </w:r>
      <w:r>
        <w:rPr>
          <w:color w:val="000000"/>
        </w:rPr>
        <w:t xml:space="preserve"> </w:t>
      </w:r>
      <w:r>
        <w:rPr>
          <w:rFonts w:ascii="Helvetica;sans-serif" w:hAnsi="Helvetica;sans-serif"/>
          <w:b w:val="false"/>
          <w:color w:val="000000"/>
          <w:sz w:val="20"/>
        </w:rPr>
        <w:t>for further information regarding our pension and postretirement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86</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jc w:val="left"/>
        <w:rPr/>
      </w:pPr>
      <w:r>
        <w:rPr>
          <w:rFonts w:ascii="Helvetica;sans-serif" w:hAnsi="Helvetica;sans-serif"/>
          <w:b/>
          <w:color w:val="000000"/>
          <w:sz w:val="20"/>
        </w:rPr>
        <w:t>P.</w:t>
      </w:r>
      <w:r>
        <w:rPr>
          <w:rFonts w:ascii="Helvetica;sans-serif" w:hAnsi="Helvetica;sans-serif"/>
          <w:b/>
          <w:color w:val="000000"/>
          <w:sz w:val="20"/>
        </w:rPr>
        <w:t>Income Taxes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Beginning October 4, 2022, DRS began filing a consolidated return with only DRS and subsidiaries for federal and state purposes. Prior to October 4, 2022, DRS was included in the U.S. federal and state tax returns of US Holding. DRS and US Holding had entered into a Tax Allocation Agreement (“Tax Allocation Agreement”), dated as of November 16, 2020, with members of an affiliated group, as defined in Section 1504(a) of the U.S. Internal Revenue Code of 1986, as amended (the “Tax Code”), members of one or more consolidated, combined, unitary or similar state tax groups and additional parties who are part of an “expanded affiliated group” for certain tax purposes. The agreement provided for the method of computing and allocating the consolidated U.S. federal tax liability of the affiliated group among its members and of allocating any state group tax liabilities among the state members for the taxable year ending December 31, 2008 and each subsequent year in which the parties are members of a group (whether federal or state). The agreement also provided for reimbursement of US Holding and/or DRS for payment of such tax liabilities, for compensation of any member for use of its “net operating loss” or “tax credits” in arriving at such tax liabilities and the allocation and payment of any refund arising from a carryback of net operating losses or tax credits from subsequent taxable years. Under the agreement, the parties agreed to calculate and allocate their respective tax liabilities and other tax attributes for taxable years beginning with the first consolidated taxable year that included DRS (i.e., the taxable year ended December 31, 2008) as if the agreement was then in effect. Although DRS filed its federal consolidated return outside of US Holding post October 3, 2022, the Tax Allocation Agreement will remain in effect for all historic unaudited periods (federal or state) and all applicable prospective periods where the expanded affiliated relationship may warrant it.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provision for income taxes is determined using the asset and liability approach of accounting for income taxes. Under this approach, deferred taxes represent the future tax consequences expected to occur when the reported amounts of assets and liabilities are recovered or paid. Income taxes as presented attribute deferred income taxes of US Holding to DRS in a manner that is systematic, rational and consistent with the asset and liability method and the governing Tax Allocation Agreement which allocates the tax liability amongst the entities, including DRS.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provision for income taxes represents income taxes paid or payable for the current year plus the change in deferred taxes during the year. Deferred taxes result from differences between the financial and tax basis of DRS’ assets and liabilities and are adjusted for changes in tax rates and tax laws when such changes are enacted.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general, the taxable income of DRS is included in the consolidated U.S. federal and state tax returns of US Holding for the short taxable year ended October 3, 2022. Where applicable, US Holding’s current portion of U.S. federal income taxes payable were offset against DRS’ net operating loss carryforwards in the period the related tax expense was recorded. Consequently, our net operating loss carryforwards are deemed to have been settled with US Holding in each year in an amount commensurate with the carrying value of the tax effected net operating loss utilized.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If management determines that some portion or all of a deferred tax asset is not “more likely than not” to be realized, a valuation allowance is recorded as a component of the income tax provision to reduce the deferred tax asset to the amounts expected to be realized. In determining whether the Company’s deferred tax assets are realizable, management considers all evidence, both positive and negative, including the history of financial reporting earnings, existing taxable temporary differences and their projected reversals, as well as projected future income and tax planning strategies. We believe it is more likely than not that we will generate sufficient taxable income in future periods to realize our deferred tax assets, subject to the valuation allowances recognized.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Company assesses its tax positions for all periods open to examination by tax authorities based on the latest available information. Those positions are evaluated to determine whether they will more likely than not be sustained upon examination by the relevant taxing authorities. Liabilities for unrecognized tax benefits are measured based on the largest amount of benefit that is greater than 50%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87</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likely of being realized upon ultimate settlement. These unrecognized tax benefits are recorded as a component of income tax expense. Interest and penalties related to unrecognized tax benefits are not material.</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Company treats the global intangible low-taxed income (“GILTI”) tax as a period cost when incurred.</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See </w:t>
      </w:r>
      <w:r>
        <w:rPr>
          <w:rFonts w:ascii="Helvetica;sans-serif" w:hAnsi="Helvetica;sans-serif"/>
          <w:b w:val="false"/>
          <w:i/>
          <w:color w:val="000000"/>
          <w:sz w:val="20"/>
        </w:rPr>
        <w:t>Note 11</w:t>
      </w:r>
      <w:r>
        <w:rPr>
          <w:rFonts w:ascii="Helvetica;sans-serif" w:hAnsi="Helvetica;sans-serif"/>
          <w:b w:val="false"/>
          <w:color w:val="000000"/>
          <w:sz w:val="20"/>
        </w:rPr>
        <w:t xml:space="preserve">: </w:t>
      </w:r>
      <w:r>
        <w:rPr>
          <w:rFonts w:ascii="Helvetica;sans-serif" w:hAnsi="Helvetica;sans-serif"/>
          <w:b w:val="false"/>
          <w:i/>
          <w:color w:val="000000"/>
          <w:sz w:val="20"/>
        </w:rPr>
        <w:t>Income Taxes</w:t>
      </w:r>
      <w:r>
        <w:rPr>
          <w:color w:val="000000"/>
        </w:rPr>
        <w:t xml:space="preserve"> </w:t>
      </w:r>
      <w:r>
        <w:rPr>
          <w:rFonts w:ascii="Helvetica;sans-serif" w:hAnsi="Helvetica;sans-serif"/>
          <w:b w:val="false"/>
          <w:color w:val="000000"/>
          <w:sz w:val="20"/>
        </w:rPr>
        <w:t>for additional information regarding income taxes.</w:t>
      </w:r>
    </w:p>
    <w:p>
      <w:pPr>
        <w:pStyle w:val="TextBody"/>
        <w:bidi w:val="0"/>
        <w:spacing w:lineRule="auto" w:line="288" w:before="0" w:after="180"/>
        <w:jc w:val="left"/>
        <w:rPr/>
      </w:pPr>
      <w:r>
        <w:rPr>
          <w:rFonts w:ascii="Helvetica;sans-serif" w:hAnsi="Helvetica;sans-serif"/>
          <w:b/>
          <w:color w:val="000000"/>
          <w:sz w:val="20"/>
        </w:rPr>
        <w:t>Q.</w:t>
      </w:r>
      <w:r>
        <w:rPr>
          <w:rFonts w:ascii="Helvetica;sans-serif" w:hAnsi="Helvetica;sans-serif"/>
          <w:b/>
          <w:color w:val="000000"/>
          <w:sz w:val="20"/>
        </w:rPr>
        <w:t>Earnings Per Share (“EPS”)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Basic EPS is computed by dividing net earnings by the weighted average number of shares of common stock outstanding during each period. The computation of diluted EPS includes the dilutive effect of outstanding stock-based compensation awards, only in periods in which such effect would have been dilutive for the period. See </w:t>
      </w:r>
      <w:r>
        <w:rPr>
          <w:rFonts w:ascii="Helvetica;sans-serif" w:hAnsi="Helvetica;sans-serif"/>
          <w:b w:val="false"/>
          <w:i/>
          <w:color w:val="000000"/>
          <w:sz w:val="20"/>
        </w:rPr>
        <w:t>Note 15</w:t>
      </w:r>
      <w:r>
        <w:rPr>
          <w:rFonts w:ascii="Helvetica;sans-serif" w:hAnsi="Helvetica;sans-serif"/>
          <w:b w:val="false"/>
          <w:color w:val="000000"/>
          <w:sz w:val="20"/>
        </w:rPr>
        <w:t xml:space="preserve">: </w:t>
      </w:r>
      <w:r>
        <w:rPr>
          <w:rFonts w:ascii="Helvetica;sans-serif" w:hAnsi="Helvetica;sans-serif"/>
          <w:b w:val="false"/>
          <w:i/>
          <w:color w:val="000000"/>
          <w:sz w:val="20"/>
        </w:rPr>
        <w:t>Earnings Per Share, Stock Repurchases, and Dividends</w:t>
      </w:r>
      <w:r>
        <w:rPr>
          <w:color w:val="000000"/>
        </w:rPr>
        <w:t xml:space="preserve"> </w:t>
      </w:r>
      <w:r>
        <w:rPr>
          <w:rFonts w:ascii="Helvetica;sans-serif" w:hAnsi="Helvetica;sans-serif"/>
          <w:b w:val="false"/>
          <w:color w:val="000000"/>
          <w:sz w:val="20"/>
        </w:rPr>
        <w:t>for additional information regarding earnings per share.</w:t>
      </w:r>
    </w:p>
    <w:p>
      <w:pPr>
        <w:pStyle w:val="TextBody"/>
        <w:bidi w:val="0"/>
        <w:spacing w:lineRule="auto" w:line="288" w:before="0" w:after="180"/>
        <w:jc w:val="left"/>
        <w:rPr/>
      </w:pPr>
      <w:r>
        <w:rPr>
          <w:rFonts w:ascii="Helvetica;sans-serif" w:hAnsi="Helvetica;sans-serif"/>
          <w:b/>
          <w:color w:val="000000"/>
          <w:sz w:val="20"/>
        </w:rPr>
        <w:t>R.</w:t>
      </w:r>
      <w:r>
        <w:rPr>
          <w:rFonts w:ascii="Helvetica;sans-serif" w:hAnsi="Helvetica;sans-serif"/>
          <w:b/>
          <w:color w:val="000000"/>
          <w:sz w:val="20"/>
        </w:rPr>
        <w:t>Fair Value Measurements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Fair value is the price the Company would receive to sell an asset or pay to transfer a liability in an orderly transaction with a market participant on the measurement date. We are required to maximize the use of observable inputs and minimize the use of unobservable inputs in measuring fair value, and to utilize a three-level fair value hierarchy that prioritizes the inputs used to measure fair value. The three hierarchical levels used to measure fair value are as follows: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Level 1 — Quoted prices in active markets for identical assets or liabilities.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Level 2 — Quoted prices for similar assets or liabilities in active markets; quoted prices for identical or similar assets or liabilities in markets that are not active; and inputs other than quoted prices that are directly or indirectly observable.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Level 3 — Significant inputs to the valuation model are unobservable.</w:t>
      </w:r>
    </w:p>
    <w:p>
      <w:pPr>
        <w:pStyle w:val="TextBody"/>
        <w:bidi w:val="0"/>
        <w:spacing w:lineRule="auto" w:line="288" w:before="0" w:after="180"/>
        <w:ind w:left="0" w:right="0" w:firstLine="360"/>
        <w:jc w:val="left"/>
        <w:rPr/>
      </w:pPr>
      <w:r>
        <w:rPr>
          <w:rFonts w:ascii="Helvetica;sans-serif" w:hAnsi="Helvetica;sans-serif"/>
          <w:b w:val="false"/>
          <w:color w:val="000000"/>
          <w:sz w:val="20"/>
        </w:rPr>
        <w:t>In certain instances, fair value is determined through information obtained from third parties using the latest available market data. In obtaining such data from third parties, we have evaluated the methodologies used to develop the estimate of fair value in order to assess whether such valuations are representative of fair value. The Company categorizes plan assets for disclosure purposes in accordance with this fair value hierarchy. See</w:t>
      </w:r>
      <w:r>
        <w:rPr>
          <w:color w:val="000000"/>
        </w:rPr>
        <w:t xml:space="preserve"> </w:t>
      </w:r>
      <w:r>
        <w:rPr>
          <w:rFonts w:ascii="Helvetica;sans-serif" w:hAnsi="Helvetica;sans-serif"/>
          <w:b w:val="false"/>
          <w:i/>
          <w:color w:val="000000"/>
          <w:sz w:val="20"/>
        </w:rPr>
        <w:t>Note 13: Pension and Other Postretirement Benefits</w:t>
      </w:r>
      <w:r>
        <w:rPr>
          <w:color w:val="000000"/>
        </w:rPr>
        <w:t xml:space="preserve"> </w:t>
      </w:r>
      <w:r>
        <w:rPr>
          <w:rFonts w:ascii="Helvetica;sans-serif" w:hAnsi="Helvetica;sans-serif"/>
          <w:b w:val="false"/>
          <w:color w:val="000000"/>
          <w:sz w:val="20"/>
        </w:rPr>
        <w:t>for further information regarding our pension and postretirement plans.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The fair value of the Company’s outstanding debt obligations is calculated using Level 2 inputs, based on interest rates available for debt with terms and maturities similar to the Company’s existing debt arrangements. See </w:t>
      </w:r>
      <w:r>
        <w:rPr>
          <w:rFonts w:ascii="Helvetica;sans-serif" w:hAnsi="Helvetica;sans-serif"/>
          <w:b w:val="false"/>
          <w:i/>
          <w:color w:val="000000"/>
          <w:sz w:val="20"/>
        </w:rPr>
        <w:t xml:space="preserve">Note 12: Debt </w:t>
      </w:r>
      <w:r>
        <w:rPr>
          <w:rFonts w:ascii="Helvetica;sans-serif" w:hAnsi="Helvetica;sans-serif"/>
          <w:b w:val="false"/>
          <w:color w:val="000000"/>
          <w:sz w:val="20"/>
        </w:rPr>
        <w:t>for further information regarding debt.</w:t>
      </w:r>
    </w:p>
    <w:p>
      <w:pPr>
        <w:pStyle w:val="TextBody"/>
        <w:bidi w:val="0"/>
        <w:spacing w:lineRule="auto" w:line="288" w:before="0" w:after="180"/>
        <w:jc w:val="left"/>
        <w:rPr/>
      </w:pPr>
      <w:r>
        <w:rPr>
          <w:rFonts w:ascii="Helvetica;sans-serif" w:hAnsi="Helvetica;sans-serif"/>
          <w:b/>
          <w:color w:val="000000"/>
          <w:sz w:val="20"/>
        </w:rPr>
        <w:t>S.</w:t>
      </w:r>
      <w:r>
        <w:rPr>
          <w:rFonts w:ascii="Helvetica;sans-serif" w:hAnsi="Helvetica;sans-serif"/>
          <w:b/>
          <w:color w:val="000000"/>
          <w:sz w:val="20"/>
        </w:rPr>
        <w:t>Financial Instruments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financial instruments consist primarily of cash and cash equivalents, accounts receivable, accounts payable and accrued expenses and other current liabilities. Financial instruments are reported in the Consolidated Balance Sheets at carrying value, which approximates fair value, as of December 31, 2025 and 2024.</w:t>
      </w:r>
    </w:p>
    <w:p>
      <w:pPr>
        <w:pStyle w:val="TextBody"/>
        <w:bidi w:val="0"/>
        <w:spacing w:lineRule="auto" w:line="288" w:before="0" w:after="180"/>
        <w:jc w:val="left"/>
        <w:rPr/>
      </w:pPr>
      <w:r>
        <w:rPr>
          <w:rFonts w:ascii="Helvetica;sans-serif" w:hAnsi="Helvetica;sans-serif"/>
          <w:b/>
          <w:color w:val="000000"/>
          <w:sz w:val="20"/>
        </w:rPr>
        <w:t>T.</w:t>
      </w:r>
      <w:r>
        <w:rPr>
          <w:rFonts w:ascii="Helvetica;sans-serif" w:hAnsi="Helvetica;sans-serif"/>
          <w:b/>
          <w:color w:val="000000"/>
          <w:sz w:val="20"/>
        </w:rPr>
        <w:t>Acquisitions, Investments, and Variable Interest Entities</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Acquisitions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Our Consolidated Financial Statements include the operations of acquired businesses from the date of acquisition. We account for acquired businesses using the acquisition method of accounting, which requires that any assets acquired, and liabilities assumed be measured at their respective fair values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88</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the acquisition date. The accounting for business combinations requires the Company to make significant judgments and estimates. Any excess of the fair value of consideration transferred over the assigned values of the net assets acquired is recognized as goodwill.</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Investments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Company has an equity investment in the preferred stock of a private company of $21 million at December 31, 2025 that is included in other noncurrent assets in our Consolidated Balance Sheets. As there is not a readily determinable fair value, the investment is recorded at cost and will be adjusted if we identify an observable price change or an impairment when a qualitative impairment assessment is performed.</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Variable Interest Entities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Company occasionally forms joint ventures and/or enters into arrangements with special purpose limited liability companies for the purpose of bidding and executing on specific projects. The Company analyzes each such arrangement to determine whether it represents a variable interest entity (“VIE”). If the arrangement is determined to be a VIE, the Company assesses whether it is the primary beneficiary of the VIE and if it is, consequently required to consolidate the VIE. The Company did not have any investments in VIEs as of December 31, 2025 and 2024.</w:t>
      </w:r>
    </w:p>
    <w:p>
      <w:pPr>
        <w:pStyle w:val="TextBody"/>
        <w:bidi w:val="0"/>
        <w:spacing w:lineRule="auto" w:line="288" w:before="0" w:after="180"/>
        <w:jc w:val="left"/>
        <w:rPr/>
      </w:pPr>
      <w:r>
        <w:rPr>
          <w:rFonts w:ascii="Helvetica;sans-serif" w:hAnsi="Helvetica;sans-serif"/>
          <w:b/>
          <w:color w:val="000000"/>
          <w:sz w:val="20"/>
        </w:rPr>
        <w:t>U.</w:t>
      </w:r>
      <w:r>
        <w:rPr>
          <w:rFonts w:ascii="Helvetica;sans-serif" w:hAnsi="Helvetica;sans-serif"/>
          <w:b/>
          <w:color w:val="000000"/>
          <w:sz w:val="20"/>
        </w:rPr>
        <w:t>Stock-based Compensation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fair value of stock awards is determined based on the closing market price of the Company's common stock on the grant date. Compensation expense for stock awards is recorded based on the grant date fair value and recognized over the vesting period.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purposes of measuring compensation expense, the amount of shares ultimately expected to vest is estimated at each reporting date based on Company's expectations regarding the relevant service or performance criteria. For awards with a service condition only, the Company recognizes the compensation expense on a straight-line basis.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See </w:t>
      </w:r>
      <w:r>
        <w:rPr>
          <w:rFonts w:ascii="Helvetica;sans-serif" w:hAnsi="Helvetica;sans-serif"/>
          <w:b w:val="false"/>
          <w:i/>
          <w:color w:val="000000"/>
          <w:sz w:val="20"/>
        </w:rPr>
        <w:t>Note 14:</w:t>
      </w:r>
      <w:r>
        <w:rPr>
          <w:color w:val="000000"/>
        </w:rPr>
        <w:t xml:space="preserve"> </w:t>
      </w:r>
      <w:r>
        <w:rPr>
          <w:rFonts w:ascii="Helvetica;sans-serif" w:hAnsi="Helvetica;sans-serif"/>
          <w:b w:val="false"/>
          <w:i/>
          <w:color w:val="000000"/>
          <w:sz w:val="20"/>
        </w:rPr>
        <w:t>Stock-based Compensation Plans</w:t>
      </w:r>
      <w:r>
        <w:rPr>
          <w:color w:val="000000"/>
        </w:rPr>
        <w:t xml:space="preserve"> </w:t>
      </w:r>
      <w:r>
        <w:rPr>
          <w:rFonts w:ascii="Helvetica;sans-serif" w:hAnsi="Helvetica;sans-serif"/>
          <w:b w:val="false"/>
          <w:color w:val="000000"/>
          <w:sz w:val="20"/>
        </w:rPr>
        <w:t>for further information regarding our stock-based compensation plans.</w:t>
      </w:r>
    </w:p>
    <w:p>
      <w:pPr>
        <w:pStyle w:val="TextBody"/>
        <w:bidi w:val="0"/>
        <w:spacing w:lineRule="auto" w:line="288" w:before="0" w:after="180"/>
        <w:jc w:val="left"/>
        <w:rPr/>
      </w:pPr>
      <w:r>
        <w:rPr>
          <w:rFonts w:ascii="Helvetica;sans-serif" w:hAnsi="Helvetica;sans-serif"/>
          <w:b/>
          <w:color w:val="000000"/>
          <w:sz w:val="20"/>
        </w:rPr>
        <w:t>V.</w:t>
      </w:r>
      <w:r>
        <w:rPr>
          <w:rFonts w:ascii="Helvetica;sans-serif" w:hAnsi="Helvetica;sans-serif"/>
          <w:b/>
          <w:color w:val="000000"/>
          <w:sz w:val="20"/>
        </w:rPr>
        <w:t>Derivative Instruments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Derivative instruments are recorded on the Consolidated Balance Sheets at fair value. Unrealized gains and losses on derivatives designated as cash flow hedges are reported in other comprehensive income (loss) and reclassified to earnings in a manner that matches the timing of the earnings impact of the hedged transactions. Settlement amounts related to derivatives designated as cash flow hedges are presented within operating activities on the Consolidated Statements of Cash Flows.</w:t>
      </w:r>
    </w:p>
    <w:p>
      <w:pPr>
        <w:pStyle w:val="TextBody"/>
        <w:bidi w:val="0"/>
        <w:spacing w:lineRule="auto" w:line="288" w:before="0" w:after="180"/>
        <w:jc w:val="left"/>
        <w:rPr/>
      </w:pPr>
      <w:r>
        <w:rPr>
          <w:rFonts w:ascii="Helvetica;sans-serif" w:hAnsi="Helvetica;sans-serif"/>
          <w:b/>
          <w:color w:val="000000"/>
          <w:sz w:val="20"/>
        </w:rPr>
        <w:t>W.</w:t>
      </w:r>
      <w:r>
        <w:rPr>
          <w:rFonts w:ascii="Helvetica;sans-serif" w:hAnsi="Helvetica;sans-serif"/>
          <w:b/>
          <w:color w:val="000000"/>
          <w:sz w:val="20"/>
        </w:rPr>
        <w:t>New Accounting Pronouncements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Recently Adopted Accounting Pronouncements</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Improvements to Income Tax Disclosures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In December 2023, the Financial Accounting Standards Board (the “FASB”) issued Accounting Standards Update (“ASU”) 2023-09, </w:t>
      </w:r>
      <w:r>
        <w:rPr>
          <w:rFonts w:ascii="Helvetica;sans-serif" w:hAnsi="Helvetica;sans-serif"/>
          <w:b w:val="false"/>
          <w:i/>
          <w:color w:val="000000"/>
          <w:sz w:val="20"/>
        </w:rPr>
        <w:t>Income Taxes (Topic 740): Improvements to Income Tax Disclosures</w:t>
      </w:r>
      <w:r>
        <w:rPr>
          <w:rFonts w:ascii="Helvetica;sans-serif" w:hAnsi="Helvetica;sans-serif"/>
          <w:b w:val="false"/>
          <w:color w:val="000000"/>
          <w:sz w:val="20"/>
        </w:rPr>
        <w:t xml:space="preserve">, which requires additional disclosures regarding rate reconciliation, income taxes paid, and other income tax disclosures. We adopted the new standard effective December 31, 2025 and applied the disclosure requirements on a prospective basis. See </w:t>
      </w:r>
      <w:r>
        <w:rPr>
          <w:rFonts w:ascii="Helvetica;sans-serif" w:hAnsi="Helvetica;sans-serif"/>
          <w:b w:val="false"/>
          <w:i/>
          <w:color w:val="000000"/>
          <w:sz w:val="20"/>
        </w:rPr>
        <w:t>Note 11: Income Taxes</w:t>
      </w:r>
      <w:r>
        <w:rPr>
          <w:rFonts w:ascii="Helvetica;sans-serif" w:hAnsi="Helvetica;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6"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89</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Accounting Guidance Issued but Not Yet Adopted as of December 31, 2025</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Disaggregation of Income Statement Expenses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In November 2024, the FASB issued ASU 2024-03, </w:t>
      </w:r>
      <w:r>
        <w:rPr>
          <w:rFonts w:ascii="Helvetica;sans-serif" w:hAnsi="Helvetica;sans-serif"/>
          <w:b w:val="false"/>
          <w:i/>
          <w:color w:val="000000"/>
          <w:sz w:val="20"/>
        </w:rPr>
        <w:t>Income Statement—Reporting Comprehensive Income—Expense Disaggregation Disclosures (Subtopic 220-40): Disaggregation of Income Statement Expenses</w:t>
      </w:r>
      <w:r>
        <w:rPr>
          <w:rFonts w:ascii="Helvetica;sans-serif" w:hAnsi="Helvetica;sans-serif"/>
          <w:b w:val="false"/>
          <w:color w:val="000000"/>
          <w:sz w:val="20"/>
        </w:rPr>
        <w:t>, which requires disclosure of specified information about certain costs and expenses. The new standard is effective for fiscal years beginning after December 15, 2026 and interim periods within fiscal years beginning after December 15, 2027, on a prospective basis. We are currently evaluating the impact of adopting this new pronouncement.</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Targeted Improvements to the Accounting for Internal-Use Software</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In September 2025, the FASB issued ASU 2025-06, </w:t>
      </w:r>
      <w:r>
        <w:rPr>
          <w:rFonts w:ascii="Helvetica;sans-serif" w:hAnsi="Helvetica;sans-serif"/>
          <w:b w:val="false"/>
          <w:i/>
          <w:color w:val="000000"/>
          <w:sz w:val="20"/>
        </w:rPr>
        <w:t>Intangibles—Goodwill and Other—Internal-Use Software (Subtopic 350-40): Targeted Improvements to the Accounting for Internal-Use Software</w:t>
      </w:r>
      <w:r>
        <w:rPr>
          <w:rFonts w:ascii="Helvetica;sans-serif" w:hAnsi="Helvetica;sans-serif"/>
          <w:b w:val="false"/>
          <w:color w:val="000000"/>
          <w:sz w:val="20"/>
        </w:rPr>
        <w:t>, which removes references to project stages, requiring companies to capitalize internal-use software costs when management commits to funding the software project and it is probable the project will be completed. The new standard is effective for fiscal years beginning after December 15, 2027 and interim periods within those fiscal years, and may be applied on a prospective, modified transition, or retrospective transition basis. We are currently evaluating the impact of adopting this new pronouncement.</w:t>
      </w:r>
    </w:p>
    <w:p>
      <w:pPr>
        <w:pStyle w:val="TextBody"/>
        <w:bidi w:val="0"/>
        <w:spacing w:lineRule="auto" w:line="288" w:before="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Accounting for Government Grants Received by Business Entities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In December 2025, the FASB issued ASU 2025-10, </w:t>
      </w:r>
      <w:r>
        <w:rPr>
          <w:rFonts w:ascii="Helvetica;sans-serif" w:hAnsi="Helvetica;sans-serif"/>
          <w:b w:val="false"/>
          <w:i/>
          <w:color w:val="000000"/>
          <w:sz w:val="20"/>
        </w:rPr>
        <w:t>Government Grants (Topic 832)—Accounting for Government Grants Received by Business Entities</w:t>
      </w:r>
      <w:r>
        <w:rPr>
          <w:rFonts w:ascii="Helvetica;sans-serif" w:hAnsi="Helvetica;sans-serif"/>
          <w:b w:val="false"/>
          <w:color w:val="000000"/>
          <w:sz w:val="20"/>
        </w:rPr>
        <w:t>, which establishes the accounting for government grants received by business entities. The new standard is effective for fiscal years beginning after December 15, 2028 and interim periods within those fiscal years, and may be applied on a modified prospective, modified retrospective, or retrospective transition basis. We are currently evaluating the impact of adopting this new pronouncement.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2. Revenue from Contracts with Customers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Company recognizes revenue for each separately identifiable performance obligation in a contract representing an obligation to transfer a distinct good or service to a customer. In most cases, goods and services provided under the Company’s contracts are accounted for as single performance obligations due to the complex and integrated nature of our products and services. These contracts generally require significant integration of a group of goods and/or services to deliver a combined output. In some contracts, the Company provides multiple distinct goods or services to a customer. In those cases, the Company accounts for the distinct contract deliverables as separate performance obligations and allocates the transaction price to each performance obligation based on its relative standalone selling price, which is generally estimated using cost plus a reasonable margin. While the Company provides warranties on certain contracts, we typically do not provide for services beyond standard assurances and therefore do not consider warranties to be separate performance obligations.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Typically, we enter into three types of contracts: fixed-price contracts, cost-plus contracts and T&amp;M contracts (cost-plus contracts and T&amp;M contracts are aggregated below as flexibly priced contracts). The majority of our total revenues are derived from fixed-price contracts. Refer to the revenue disaggregation disclosures that follow.</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For fixed-price contracts, customers agree to pay a fixed amount, negotiated in advance for a specified scope of work.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For cost-plus contracts, typically we are reimbursed for allowable or otherwise defined total costs (defined as cost of revenues plus allowable general and administrative expenses) incurred, plus a fee. The contracts may also include incentives for various performance criteria, including quality, timeliness and cost-effectiveness. In addition, costs are generally subject to review by clients and regulatory audit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7"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90</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agencies, and such reviews could result in costs being disputed as non-reimbursable under the terms of the contract.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T&amp;M contracts provide for reimbursement of labor hours expended at a contractual fixed labor rate per hour, plus the actual costs of material and other direct non-labor costs. The fixed labor rates on T&amp;M contracts include amounts for the cost of direct labor, indirect contract costs and profit.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Revenue from contracts with customers is recognized when the performance obligations are satisfied through the transfer of control over the good or service to the customer, which may occur either over time or at a point in time.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Revenues for the majority of our contracts are measured using the over time, percentage of completion cost-to-cost method of accounting to calculate percentage of completion. We believe this is an appropriate measure of progress toward satisfaction of performance obligations as this measure most accurately depicts the progress of our work and transfer of control to our customers. Due to the long-term nature of many of our contracts, developing the estimated transaction price and total cost at completion often requires judgment. The estimated transaction price may include variable consideration such as performance incentives, requests for equitable adjustment (“REAs”) and claims. Variable consideration is included in the estimated transaction price only to the extent it is probable that a significant reversal of cumulative revenue recognized will not occur when the uncertainty associated with the variable consideration is subsequently resolved. Factors that must be considered in estimating the cost of the work to be completed include the nature and complexity of the work to be performed, subcontractor performance and the risk and impact of delayed performance.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After establishing the estimated total cost at completion, we follow a standard Estimate at Completion (“EAC”) process in which we review the progress and performance on our ongoing contracts on a routine basis. Adjustments to original estimates for a contract's revenue, estimated costs at completion and estimated profit or loss often are required as work progresses under a contract, as experience is gained and as more information is obtained, even though the scope of work required under the contract may not change and are also required if contract modifications occur. When adjustments in estimated total costs at completion are determined, the related impact on revenue and operating earnings are recognized using the cumulative catch-up method, which recognizes in the current period the cumulative effect of such adjustments for all prior periods. Any anticipated losses on these contracts are fully recognized in the period in which the losses become evident.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Net EAC adjustments had the following impacts to revenue for the periods presented:</w:t>
      </w:r>
    </w:p>
    <w:tbl>
      <w:tblPr>
        <w:tblW w:w="7277" w:type="dxa"/>
        <w:jc w:val="left"/>
        <w:tblInd w:w="0" w:type="dxa"/>
        <w:tblLayout w:type="fixed"/>
        <w:tblCellMar>
          <w:top w:w="28" w:type="dxa"/>
          <w:left w:w="28" w:type="dxa"/>
          <w:bottom w:w="28" w:type="dxa"/>
          <w:right w:w="28" w:type="dxa"/>
        </w:tblCellMar>
      </w:tblPr>
      <w:tblGrid>
        <w:gridCol w:w="1187"/>
        <w:gridCol w:w="1046"/>
        <w:gridCol w:w="1051"/>
        <w:gridCol w:w="211"/>
        <w:gridCol w:w="601"/>
        <w:gridCol w:w="286"/>
        <w:gridCol w:w="109"/>
        <w:gridCol w:w="109"/>
        <w:gridCol w:w="109"/>
        <w:gridCol w:w="211"/>
        <w:gridCol w:w="601"/>
        <w:gridCol w:w="286"/>
        <w:gridCol w:w="109"/>
        <w:gridCol w:w="109"/>
        <w:gridCol w:w="109"/>
        <w:gridCol w:w="211"/>
        <w:gridCol w:w="601"/>
        <w:gridCol w:w="331"/>
      </w:tblGrid>
      <w:tr>
        <w:trPr/>
        <w:tc>
          <w:tcPr>
            <w:tcW w:w="118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3" w:type="dxa"/>
            <w:gridSpan w:val="15"/>
            <w:tcBorders>
              <w:right w:val="single" w:sz="8" w:space="0" w:color="FFFFFF"/>
            </w:tcBorders>
            <w:tcMar>
              <w:top w:w="0" w:type="dxa"/>
              <w:left w:w="0" w:type="dxa"/>
              <w:bottom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Revenue and operating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(59)</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 of revenue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earnings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Impact on diluted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(0.07)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(0.07)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impacts noted above are attributed primarily to changes in our fixed-price development type programs as well as the impacts of inflation and production inefficiencies on certain fixed-price production programs. In 2025, the adjustments are largely attributed to a negotiated conclusion of a legacy ground surveillance program triggering a revision in the anticipated recovery on the contract as well as the impact of raw material pricing on certain fixed price programs. These impacts were partially offset by improved contractual performance realized on our propulsion contracts on the Columbia Class submarine contracts.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Conversely, if the requirements for the recognition of contracts over time are not met, revenue is recognized at a point in time when control transfers to the customer, which is generally upon transfer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8"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91</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title. In such cases, the production that is in progress and costs that will be recognized at a future point in time are reported within inventories.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Contract Assets and Liabilities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timing of revenue recognition, billings and cash collections results in billed accounts receivable, unbilled receivables (contract assets), and customer advances and deposits (contract liabilities) on the Consolidated Balance Sheets. Amounts are billed as work progresses in accordance with agreed-upon contractual terms, either at periodic intervals (e.g., biweekly or monthly) or upon achievement of contractual milestones. Generally, billing occurs subsequent to revenue recognition, resulting in contract assets. However, we sometimes receive advances or deposits from our customers before revenue is recognized, resulting in contract liabilities. Contract assets and contract liabilities as of the dates presented were:</w:t>
      </w:r>
    </w:p>
    <w:tbl>
      <w:tblPr>
        <w:tblW w:w="3638" w:type="dxa"/>
        <w:jc w:val="left"/>
        <w:tblInd w:w="0" w:type="dxa"/>
        <w:tblLayout w:type="fixed"/>
        <w:tblCellMar>
          <w:top w:w="28" w:type="dxa"/>
          <w:left w:w="28" w:type="dxa"/>
          <w:bottom w:w="28" w:type="dxa"/>
          <w:right w:w="28" w:type="dxa"/>
        </w:tblCellMar>
      </w:tblPr>
      <w:tblGrid>
        <w:gridCol w:w="601"/>
        <w:gridCol w:w="530"/>
        <w:gridCol w:w="533"/>
        <w:gridCol w:w="211"/>
        <w:gridCol w:w="481"/>
        <w:gridCol w:w="109"/>
        <w:gridCol w:w="109"/>
        <w:gridCol w:w="109"/>
        <w:gridCol w:w="109"/>
        <w:gridCol w:w="211"/>
        <w:gridCol w:w="481"/>
        <w:gridCol w:w="154"/>
      </w:tblGrid>
      <w:tr>
        <w:trPr/>
        <w:tc>
          <w:tcPr>
            <w:tcW w:w="60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Contract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Contract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Revenue recognized in 2025 and 2024 that was included in the contract liability balance at the beginning of each year was $298 million and $288 million, respectively.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Contract assets related to amounts withheld by customers until contract completion are not considered a significant financing component of our contracts because the intent is to protect the customers from our failure to satisfactorily complete our performance obligations. Payments received from customers in advance of revenue recognition (contract liabilities) are not considered a significant financing component of our contracts because they are utilized to pay for contract costs within a one-year period or are requested by us to ensure the customers meet their payment obligations.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Value of Remaining Performance Obligations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of December 31, 2025 the total value of our remaining performance obligations was $8,448 million. We expect to recognize approximately 33% of our December 31, 2025 remaining performance obligations as revenue over the next twelve months, with the remainder to be recognized thereafter. Approximately 50% of our remaining performance obligations relates to long-term contracts on electric power and propulsion programs with the U.S. Navy, which are expected to be recognized as revenue over a span of up to 11 years.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At December 31, 2025, we changed our remaining performance obligations. The change had an immaterial impact on the prior year amount and there was no impact on the Consolidated Financial Statements.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Disaggregation of Revenue</w:t>
      </w:r>
    </w:p>
    <w:p>
      <w:pPr>
        <w:pStyle w:val="TextBody"/>
        <w:bidi w:val="0"/>
        <w:spacing w:lineRule="auto" w:line="288" w:before="0" w:after="180"/>
        <w:ind w:left="0" w:right="0" w:firstLine="360"/>
        <w:jc w:val="left"/>
        <w:rPr/>
      </w:pPr>
      <w:r>
        <w:rPr>
          <w:rFonts w:ascii="Helvetica;sans-serif" w:hAnsi="Helvetica;sans-serif"/>
          <w:b w:val="false"/>
          <w:i/>
          <w:color w:val="000000"/>
          <w:sz w:val="20"/>
        </w:rPr>
        <w:t>ASC</w:t>
      </w:r>
      <w:r>
        <w:rPr>
          <w:rFonts w:ascii="Helvetica;sans-serif" w:hAnsi="Helvetica;sans-serif"/>
          <w:b w:val="false"/>
          <w:color w:val="000000"/>
          <w:sz w:val="20"/>
        </w:rPr>
        <w:t xml:space="preserve">: ASC revenue is primarily derived from U.S. government development and production contracts and is generally recognized using the over time, percentage of completion cost-to-cost method of accounting. We disaggregate ASC revenue by geographical region, customer relationship and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9"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92</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type. We believe these categories best depict how the nature, amount, timing and uncertainty of ASC revenue and cash flows are affected by economic factors.</w:t>
      </w:r>
    </w:p>
    <w:tbl>
      <w:tblPr>
        <w:tblW w:w="6987" w:type="dxa"/>
        <w:jc w:val="left"/>
        <w:tblInd w:w="0" w:type="dxa"/>
        <w:tblLayout w:type="fixed"/>
        <w:tblCellMar>
          <w:top w:w="28" w:type="dxa"/>
          <w:left w:w="28" w:type="dxa"/>
          <w:bottom w:w="28" w:type="dxa"/>
          <w:right w:w="28" w:type="dxa"/>
        </w:tblCellMar>
      </w:tblPr>
      <w:tblGrid>
        <w:gridCol w:w="1226"/>
        <w:gridCol w:w="1080"/>
        <w:gridCol w:w="1084"/>
        <w:gridCol w:w="211"/>
        <w:gridCol w:w="646"/>
        <w:gridCol w:w="109"/>
        <w:gridCol w:w="109"/>
        <w:gridCol w:w="109"/>
        <w:gridCol w:w="109"/>
        <w:gridCol w:w="211"/>
        <w:gridCol w:w="646"/>
        <w:gridCol w:w="109"/>
        <w:gridCol w:w="109"/>
        <w:gridCol w:w="109"/>
        <w:gridCol w:w="109"/>
        <w:gridCol w:w="211"/>
        <w:gridCol w:w="646"/>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right w:val="single" w:sz="8" w:space="0" w:color="FFFFFF"/>
            </w:tcBorders>
            <w:tcMar>
              <w:top w:w="0" w:type="dxa"/>
              <w:left w:w="0" w:type="dxa"/>
              <w:bottom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Revenue by Geographical Region</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right w:val="single" w:sz="8" w:space="0" w:color="FFFFFF"/>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International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Intersegment sales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Revenue by Customer Relationship</w:t>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right w:val="single" w:sz="8" w:space="0" w:color="FFFFFF"/>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Prime contractor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Subcontractor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Intersegment sales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Revenue by Contract Type</w:t>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right w:val="single" w:sz="8" w:space="0" w:color="FFFFFF"/>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Firm-fixed price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20"/>
              </w:rPr>
              <w:t>Flexibly priced</w:t>
            </w:r>
            <w:r>
              <w:rPr>
                <w:rFonts w:ascii="Helvetica;sans-serif" w:hAnsi="Helvetica;sans-serif"/>
                <w:b w:val="false"/>
                <w:color w:val="000000"/>
                <w:sz w:val="13"/>
              </w:rPr>
              <w:t>(1)</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Intersegment sales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Helvetica;sans-serif" w:hAnsi="Helvetica;sans-serif"/>
          <w:b w:val="false"/>
          <w:color w:val="000000"/>
          <w:sz w:val="18"/>
        </w:rPr>
      </w:pPr>
      <w:r>
        <w:rPr>
          <w:rFonts w:ascii="Helvetica;sans-serif" w:hAnsi="Helvetica;sans-serif"/>
          <w:b w:val="false"/>
          <w:color w:val="000000"/>
          <w:sz w:val="18"/>
        </w:rPr>
        <w:t>________________</w:t>
      </w:r>
    </w:p>
    <w:p>
      <w:pPr>
        <w:pStyle w:val="TextBody"/>
        <w:bidi w:val="0"/>
        <w:spacing w:lineRule="auto" w:line="288" w:before="0" w:after="180"/>
        <w:ind w:left="0" w:right="0" w:hanging="360"/>
        <w:jc w:val="left"/>
        <w:rPr>
          <w:rFonts w:ascii="Helvetica;sans-serif" w:hAnsi="Helvetica;sans-serif"/>
          <w:b w:val="false"/>
          <w:color w:val="000000"/>
          <w:sz w:val="18"/>
        </w:rPr>
      </w:pPr>
      <w:r>
        <w:rPr>
          <w:rFonts w:ascii="Helvetica;sans-serif" w:hAnsi="Helvetica;sans-serif"/>
          <w:b w:val="false"/>
          <w:color w:val="000000"/>
          <w:sz w:val="18"/>
        </w:rPr>
        <w:t>(1)Includes revenue derived from cost-type and time-and-materials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100"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93</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ind w:left="0" w:right="0" w:firstLine="360"/>
        <w:jc w:val="left"/>
        <w:rPr/>
      </w:pPr>
      <w:r>
        <w:rPr>
          <w:rFonts w:ascii="Helvetica;sans-serif" w:hAnsi="Helvetica;sans-serif"/>
          <w:b w:val="false"/>
          <w:i/>
          <w:color w:val="000000"/>
          <w:sz w:val="20"/>
        </w:rPr>
        <w:t>IMS</w:t>
      </w:r>
      <w:r>
        <w:rPr>
          <w:rFonts w:ascii="Helvetica;sans-serif" w:hAnsi="Helvetica;sans-serif"/>
          <w:b w:val="false"/>
          <w:color w:val="000000"/>
          <w:sz w:val="20"/>
        </w:rPr>
        <w:t>: IMS revenue is primarily derived from U.S. government development and production contracts and is generally recognized using the over time, percentage of completion cost-to-cost method of accounting. We disaggregate IMS revenue by geographical region, customer relationship and contract type. We believe these categories best depict how the nature, amount, timing and uncertainty of IMS revenue and cash flows are affected by economic factors.</w:t>
      </w:r>
    </w:p>
    <w:tbl>
      <w:tblPr>
        <w:tblW w:w="6987" w:type="dxa"/>
        <w:jc w:val="left"/>
        <w:tblInd w:w="0" w:type="dxa"/>
        <w:tblLayout w:type="fixed"/>
        <w:tblCellMar>
          <w:top w:w="28" w:type="dxa"/>
          <w:left w:w="28" w:type="dxa"/>
          <w:bottom w:w="28" w:type="dxa"/>
          <w:right w:w="28" w:type="dxa"/>
        </w:tblCellMar>
      </w:tblPr>
      <w:tblGrid>
        <w:gridCol w:w="1226"/>
        <w:gridCol w:w="1080"/>
        <w:gridCol w:w="1084"/>
        <w:gridCol w:w="211"/>
        <w:gridCol w:w="646"/>
        <w:gridCol w:w="109"/>
        <w:gridCol w:w="109"/>
        <w:gridCol w:w="109"/>
        <w:gridCol w:w="109"/>
        <w:gridCol w:w="211"/>
        <w:gridCol w:w="646"/>
        <w:gridCol w:w="109"/>
        <w:gridCol w:w="109"/>
        <w:gridCol w:w="109"/>
        <w:gridCol w:w="109"/>
        <w:gridCol w:w="211"/>
        <w:gridCol w:w="646"/>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Revenue by Geographical Region</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right w:val="single" w:sz="8" w:space="0" w:color="FFFFFF"/>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International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Intersegment sales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Revenue by Customer Relationship</w:t>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right w:val="single" w:sz="8" w:space="0" w:color="FFFFFF"/>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Prime contractor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Subcontractor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Intersegment sales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Revenue by Contract Type</w:t>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right w:val="single" w:sz="8" w:space="0" w:color="FFFFFF"/>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Firm-fixed price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20"/>
              </w:rPr>
              <w:t>Flexibly priced</w:t>
            </w:r>
            <w:r>
              <w:rPr>
                <w:rFonts w:ascii="Helvetica;sans-serif" w:hAnsi="Helvetica;sans-serif"/>
                <w:b w:val="false"/>
                <w:color w:val="000000"/>
                <w:sz w:val="13"/>
              </w:rPr>
              <w:t>(1)</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Intersegment sales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Helvetica;sans-serif" w:hAnsi="Helvetica;sans-serif"/>
          <w:b w:val="false"/>
          <w:color w:val="000000"/>
          <w:sz w:val="18"/>
        </w:rPr>
      </w:pPr>
      <w:r>
        <w:rPr>
          <w:rFonts w:ascii="Helvetica;sans-serif" w:hAnsi="Helvetica;sans-serif"/>
          <w:b w:val="false"/>
          <w:color w:val="000000"/>
          <w:sz w:val="18"/>
        </w:rPr>
        <w:t>________________</w:t>
      </w:r>
    </w:p>
    <w:p>
      <w:pPr>
        <w:pStyle w:val="TextBody"/>
        <w:bidi w:val="0"/>
        <w:spacing w:lineRule="auto" w:line="288" w:before="0" w:after="180"/>
        <w:ind w:left="0" w:right="0" w:hanging="360"/>
        <w:jc w:val="left"/>
        <w:rPr>
          <w:rFonts w:ascii="Helvetica;sans-serif" w:hAnsi="Helvetica;sans-serif"/>
          <w:b w:val="false"/>
          <w:color w:val="000000"/>
          <w:sz w:val="18"/>
        </w:rPr>
      </w:pPr>
      <w:r>
        <w:rPr>
          <w:rFonts w:ascii="Helvetica;sans-serif" w:hAnsi="Helvetica;sans-serif"/>
          <w:b w:val="false"/>
          <w:color w:val="000000"/>
          <w:sz w:val="18"/>
        </w:rPr>
        <w:t>(1)Includes revenue derived from cost-type and time-and-materials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3. Accounts Receivable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Accounts receivable, net consists of the following:</w:t>
      </w:r>
    </w:p>
    <w:tbl>
      <w:tblPr>
        <w:tblW w:w="4883" w:type="dxa"/>
        <w:jc w:val="left"/>
        <w:tblInd w:w="0" w:type="dxa"/>
        <w:tblLayout w:type="fixed"/>
        <w:tblCellMar>
          <w:top w:w="28" w:type="dxa"/>
          <w:left w:w="28" w:type="dxa"/>
          <w:bottom w:w="28" w:type="dxa"/>
          <w:right w:w="28" w:type="dxa"/>
        </w:tblCellMar>
      </w:tblPr>
      <w:tblGrid>
        <w:gridCol w:w="1052"/>
        <w:gridCol w:w="927"/>
        <w:gridCol w:w="930"/>
        <w:gridCol w:w="211"/>
        <w:gridCol w:w="481"/>
        <w:gridCol w:w="109"/>
        <w:gridCol w:w="109"/>
        <w:gridCol w:w="109"/>
        <w:gridCol w:w="109"/>
        <w:gridCol w:w="211"/>
        <w:gridCol w:w="481"/>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2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Less allowance for credit losses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Accounts receivable, net</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Company records accounts receivable that is not expected to be collected within one year as other noncurrent assets. As of December 31, 2025, the Company had $53 million of noncurrent accounts receivable.</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The Company maintains certain agreements with financial institutions to sell certain trade receivables. See </w:t>
      </w:r>
      <w:r>
        <w:rPr>
          <w:rFonts w:ascii="Helvetica;sans-serif" w:hAnsi="Helvetica;sans-serif"/>
          <w:b w:val="false"/>
          <w:i/>
          <w:color w:val="000000"/>
          <w:sz w:val="20"/>
        </w:rPr>
        <w:t>Note 4: Sale of Receivables</w:t>
      </w:r>
      <w:r>
        <w:rPr>
          <w:color w:val="000000"/>
        </w:rPr>
        <w:t xml:space="preserve"> </w:t>
      </w:r>
      <w:r>
        <w:rPr>
          <w:rFonts w:ascii="Helvetica;sans-serif" w:hAnsi="Helvetica;sans-serif"/>
          <w:b w:val="false"/>
          <w:color w:val="000000"/>
          <w:sz w:val="20"/>
        </w:rPr>
        <w:t>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4. Sale of Receivables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Company is party to factoring facilities with various financial institutions (the “purchasers”) with an aggregate capacity of $225 million.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receivables sold under the factoring facilities are without recourse for any customer credit risk and result in a true sale. Receivables are derecognized in their entirety when sold, and the Company’s continuing involvement is limited to their servicing, for which the Company receives a fee commensurate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1"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94</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with the service provided and therefore no servicing asset or liability related to these receivables was recognized for any period presented. The fair value of the sold receivables approximated their book value due to their short-term nature. Proceeds from the sold receivables are primarily reflected in operating cash flows on the Consolidated Statements of Cash Flows.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During the years ended December 31, 2025, 2024 and 2023, the Company incurred purchase discount fees of $1 million, $2 million, and $5 million, respectively, which are presented in general and administrative expenses on the Consolidated Statements of Earnings.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table below summarizes the activity under the factoring facilities:</w:t>
      </w:r>
    </w:p>
    <w:tbl>
      <w:tblPr>
        <w:tblW w:w="5949" w:type="dxa"/>
        <w:jc w:val="left"/>
        <w:tblInd w:w="0" w:type="dxa"/>
        <w:tblLayout w:type="fixed"/>
        <w:tblCellMar>
          <w:top w:w="28" w:type="dxa"/>
          <w:left w:w="28" w:type="dxa"/>
          <w:bottom w:w="28" w:type="dxa"/>
          <w:right w:w="28" w:type="dxa"/>
        </w:tblCellMar>
      </w:tblPr>
      <w:tblGrid>
        <w:gridCol w:w="1438"/>
        <w:gridCol w:w="1265"/>
        <w:gridCol w:w="1272"/>
        <w:gridCol w:w="211"/>
        <w:gridCol w:w="481"/>
        <w:gridCol w:w="109"/>
        <w:gridCol w:w="109"/>
        <w:gridCol w:w="109"/>
        <w:gridCol w:w="109"/>
        <w:gridCol w:w="211"/>
        <w:gridCol w:w="481"/>
        <w:gridCol w:w="154"/>
      </w:tblGrid>
      <w:tr>
        <w:trPr/>
        <w:tc>
          <w:tcPr>
            <w:tcW w:w="1438"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39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Sales of receivables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Cash returned to purchasers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Outstanding balance sold to purchasers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Cash collected, not remitted to purchasers</w:t>
            </w:r>
            <w:r>
              <w:rPr>
                <w:rFonts w:ascii="Helvetica;sans-serif" w:hAnsi="Helvetica;sans-serif"/>
                <w:b w:val="false"/>
                <w:color w:val="000000"/>
                <w:sz w:val="13"/>
              </w:rPr>
              <w:t>(1)</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 xml:space="preserve">Remaining sold receivables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Helvetica;sans-serif" w:hAnsi="Helvetica;sans-serif"/>
          <w:b w:val="false"/>
          <w:color w:val="000000"/>
          <w:sz w:val="18"/>
        </w:rPr>
      </w:pPr>
      <w:r>
        <w:rPr>
          <w:rFonts w:ascii="Helvetica;sans-serif" w:hAnsi="Helvetica;sans-serif"/>
          <w:b w:val="false"/>
          <w:color w:val="000000"/>
          <w:sz w:val="18"/>
        </w:rPr>
        <w:t>________________</w:t>
      </w:r>
    </w:p>
    <w:p>
      <w:pPr>
        <w:pStyle w:val="TextBody"/>
        <w:bidi w:val="0"/>
        <w:spacing w:lineRule="auto" w:line="288" w:before="0" w:after="180"/>
        <w:ind w:left="0" w:right="0" w:hanging="360"/>
        <w:jc w:val="left"/>
        <w:rPr>
          <w:rFonts w:ascii="Helvetica;sans-serif" w:hAnsi="Helvetica;sans-serif"/>
          <w:b w:val="false"/>
          <w:color w:val="000000"/>
          <w:sz w:val="18"/>
        </w:rPr>
      </w:pPr>
      <w:r>
        <w:rPr>
          <w:rFonts w:ascii="Helvetica;sans-serif" w:hAnsi="Helvetica;sans-serif"/>
          <w:b w:val="false"/>
          <w:color w:val="000000"/>
          <w:sz w:val="18"/>
        </w:rPr>
        <w:t>(1)Represents cash collected on behalf of purchasers and not yet remitted. This balance is included within short-term borrowings and current portion of long-term debt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5. Inventories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Inventories consists of the following:</w:t>
      </w:r>
    </w:p>
    <w:tbl>
      <w:tblPr>
        <w:tblW w:w="3563" w:type="dxa"/>
        <w:jc w:val="left"/>
        <w:tblInd w:w="0" w:type="dxa"/>
        <w:tblLayout w:type="fixed"/>
        <w:tblCellMar>
          <w:top w:w="28" w:type="dxa"/>
          <w:left w:w="28" w:type="dxa"/>
          <w:bottom w:w="28" w:type="dxa"/>
          <w:right w:w="28" w:type="dxa"/>
        </w:tblCellMar>
      </w:tblPr>
      <w:tblGrid>
        <w:gridCol w:w="575"/>
        <w:gridCol w:w="506"/>
        <w:gridCol w:w="508"/>
        <w:gridCol w:w="211"/>
        <w:gridCol w:w="481"/>
        <w:gridCol w:w="109"/>
        <w:gridCol w:w="109"/>
        <w:gridCol w:w="109"/>
        <w:gridCol w:w="109"/>
        <w:gridCol w:w="211"/>
        <w:gridCol w:w="481"/>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1589"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Work in progress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Finished goods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6. Property, Plant and Equipment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Property, plant and equipment by major asset class consists of the following: </w:t>
      </w:r>
    </w:p>
    <w:tbl>
      <w:tblPr>
        <w:tblW w:w="5904" w:type="dxa"/>
        <w:jc w:val="left"/>
        <w:tblInd w:w="0" w:type="dxa"/>
        <w:tblLayout w:type="fixed"/>
        <w:tblCellMar>
          <w:top w:w="28" w:type="dxa"/>
          <w:left w:w="28" w:type="dxa"/>
          <w:bottom w:w="28" w:type="dxa"/>
          <w:right w:w="28" w:type="dxa"/>
        </w:tblCellMar>
      </w:tblPr>
      <w:tblGrid>
        <w:gridCol w:w="1421"/>
        <w:gridCol w:w="1252"/>
        <w:gridCol w:w="1257"/>
        <w:gridCol w:w="211"/>
        <w:gridCol w:w="481"/>
        <w:gridCol w:w="109"/>
        <w:gridCol w:w="109"/>
        <w:gridCol w:w="109"/>
        <w:gridCol w:w="109"/>
        <w:gridCol w:w="211"/>
        <w:gridCol w:w="481"/>
        <w:gridCol w:w="154"/>
      </w:tblGrid>
      <w:tr>
        <w:trPr/>
        <w:tc>
          <w:tcPr>
            <w:tcW w:w="142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3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Land, buildings and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Plant and machinery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Equipment and 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 property, plant and equipment, at cost</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Less accumulated depreciation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 property, plant and equipment, net</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Depreciation expense related to property, plant and equipment was $71 million, $69 million, and $63 million for the years ended December 31,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2"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95</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Land, buildings and improvements include assets under finance leases in the amount of $89 million and $97 million as of December 31, 2025 and 2024, respectively. See </w:t>
      </w:r>
      <w:r>
        <w:rPr>
          <w:rFonts w:ascii="Helvetica;sans-serif" w:hAnsi="Helvetica;sans-serif"/>
          <w:b w:val="false"/>
          <w:i/>
          <w:color w:val="000000"/>
          <w:sz w:val="20"/>
        </w:rPr>
        <w:t>Note 10: Leases</w:t>
      </w:r>
      <w:r>
        <w:rPr>
          <w:color w:val="000000"/>
        </w:rPr>
        <w:t xml:space="preserve"> </w:t>
      </w:r>
      <w:r>
        <w:rPr>
          <w:rFonts w:ascii="Helvetica;sans-serif" w:hAnsi="Helvetica;sans-serif"/>
          <w:b w:val="false"/>
          <w:color w:val="000000"/>
          <w:sz w:val="20"/>
        </w:rPr>
        <w:t>for additional information.</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As of December 31, 2025 and 2024, the Company accounted for our manufacturing facility in Menomonee Falls, WI as a financing arrangement and is included in land, buildings and improvements in the above table. See </w:t>
      </w:r>
      <w:r>
        <w:rPr>
          <w:rFonts w:ascii="Helvetica;sans-serif" w:hAnsi="Helvetica;sans-serif"/>
          <w:b w:val="false"/>
          <w:i/>
          <w:color w:val="000000"/>
          <w:sz w:val="20"/>
        </w:rPr>
        <w:t xml:space="preserve">Note 12: Debt </w:t>
      </w:r>
      <w:r>
        <w:rPr>
          <w:rFonts w:ascii="Helvetica;sans-serif" w:hAnsi="Helvetica;sans-serif"/>
          <w:b w:val="false"/>
          <w:color w:val="000000"/>
          <w:sz w:val="20"/>
        </w:rPr>
        <w:t xml:space="preserve">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7. Other Liabilities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 summary of significant other liabilities by balance sheet caption follows:</w:t>
      </w:r>
    </w:p>
    <w:tbl>
      <w:tblPr>
        <w:tblW w:w="5394" w:type="dxa"/>
        <w:jc w:val="left"/>
        <w:tblInd w:w="0" w:type="dxa"/>
        <w:tblLayout w:type="fixed"/>
        <w:tblCellMar>
          <w:top w:w="28" w:type="dxa"/>
          <w:left w:w="28" w:type="dxa"/>
          <w:bottom w:w="28" w:type="dxa"/>
          <w:right w:w="28" w:type="dxa"/>
        </w:tblCellMar>
      </w:tblPr>
      <w:tblGrid>
        <w:gridCol w:w="1237"/>
        <w:gridCol w:w="1089"/>
        <w:gridCol w:w="1094"/>
        <w:gridCol w:w="211"/>
        <w:gridCol w:w="481"/>
        <w:gridCol w:w="109"/>
        <w:gridCol w:w="109"/>
        <w:gridCol w:w="109"/>
        <w:gridCol w:w="109"/>
        <w:gridCol w:w="211"/>
        <w:gridCol w:w="481"/>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 xml:space="preserve">December 31, </w:t>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Salaries, wages and accrued bonuses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Fringe benefits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Provision for contract losses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Taxes payable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Warranty reserves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 other current liabilities</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Unrecognized tax benefits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Warranty reserves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Other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 other noncurrent liabilities</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8. Goodwill</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 summary of the carrying amount of goodwill by reportable segment follows:</w:t>
      </w:r>
    </w:p>
    <w:tbl>
      <w:tblPr>
        <w:tblW w:w="6255" w:type="dxa"/>
        <w:jc w:val="left"/>
        <w:tblInd w:w="0" w:type="dxa"/>
        <w:tblLayout w:type="fixed"/>
        <w:tblCellMar>
          <w:top w:w="28" w:type="dxa"/>
          <w:left w:w="28" w:type="dxa"/>
          <w:bottom w:w="28" w:type="dxa"/>
          <w:right w:w="28" w:type="dxa"/>
        </w:tblCellMar>
      </w:tblPr>
      <w:tblGrid>
        <w:gridCol w:w="1041"/>
        <w:gridCol w:w="917"/>
        <w:gridCol w:w="921"/>
        <w:gridCol w:w="211"/>
        <w:gridCol w:w="481"/>
        <w:gridCol w:w="109"/>
        <w:gridCol w:w="109"/>
        <w:gridCol w:w="109"/>
        <w:gridCol w:w="109"/>
        <w:gridCol w:w="109"/>
        <w:gridCol w:w="211"/>
        <w:gridCol w:w="481"/>
        <w:gridCol w:w="109"/>
        <w:gridCol w:w="109"/>
        <w:gridCol w:w="109"/>
        <w:gridCol w:w="109"/>
        <w:gridCol w:w="211"/>
        <w:gridCol w:w="646"/>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ASC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IMS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Balance at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Balance at December 31, 2025</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Goodwill as of the periods presented is reported net of $2,362 million and $606 million of accumulated impairments for the ASC and IMS segments,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9. Intangible Assets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Intangible assets mainly refer to the fair value of existing customer contractual relationships attributable to an acquired business and patents and licenses which are being amortized over their respective lives. The fair value of intangible assets typically is determined, as of the date of acquisition, based on estimates and judgments regarding expectations for the estimated future after-tax earnings and cash flows (including cash flows for working capital) arising from backlog and follow-on sales to the customer over their estimated lives, including the probability of expected future contract renewals and sales, less a contributory assets charge, all of which is discounted to present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3"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96</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All intangible assets are being amortized over their estimated useful lives, as indicated below, with no estimated residual values. Intangible assets consists of the following:</w:t>
      </w:r>
    </w:p>
    <w:tbl>
      <w:tblPr>
        <w:tblW w:w="10205" w:type="dxa"/>
        <w:jc w:val="left"/>
        <w:tblInd w:w="0" w:type="dxa"/>
        <w:tblLayout w:type="fixed"/>
        <w:tblCellMar>
          <w:top w:w="28" w:type="dxa"/>
          <w:left w:w="28" w:type="dxa"/>
          <w:bottom w:w="28" w:type="dxa"/>
          <w:right w:w="28" w:type="dxa"/>
        </w:tblCellMar>
      </w:tblPr>
      <w:tblGrid>
        <w:gridCol w:w="588"/>
        <w:gridCol w:w="344"/>
        <w:gridCol w:w="345"/>
        <w:gridCol w:w="261"/>
        <w:gridCol w:w="801"/>
        <w:gridCol w:w="135"/>
        <w:gridCol w:w="109"/>
        <w:gridCol w:w="109"/>
        <w:gridCol w:w="109"/>
        <w:gridCol w:w="368"/>
        <w:gridCol w:w="840"/>
        <w:gridCol w:w="191"/>
        <w:gridCol w:w="109"/>
        <w:gridCol w:w="109"/>
        <w:gridCol w:w="109"/>
        <w:gridCol w:w="269"/>
        <w:gridCol w:w="614"/>
        <w:gridCol w:w="139"/>
        <w:gridCol w:w="109"/>
        <w:gridCol w:w="109"/>
        <w:gridCol w:w="109"/>
        <w:gridCol w:w="261"/>
        <w:gridCol w:w="801"/>
        <w:gridCol w:w="135"/>
        <w:gridCol w:w="109"/>
        <w:gridCol w:w="109"/>
        <w:gridCol w:w="109"/>
        <w:gridCol w:w="368"/>
        <w:gridCol w:w="840"/>
        <w:gridCol w:w="191"/>
        <w:gridCol w:w="109"/>
        <w:gridCol w:w="109"/>
        <w:gridCol w:w="109"/>
        <w:gridCol w:w="266"/>
        <w:gridCol w:w="607"/>
        <w:gridCol w:w="206"/>
      </w:tblGrid>
      <w:tr>
        <w:trPr/>
        <w:tc>
          <w:tcPr>
            <w:tcW w:w="58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 2024</w:t>
            </w:r>
          </w:p>
        </w:tc>
      </w:tr>
      <w:tr>
        <w:trPr/>
        <w:tc>
          <w:tcPr>
            <w:tcW w:w="12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Helvetica;sans-serif" w:hAnsi="Helvetica;sans-serif"/>
                <w:b/>
                <w:color w:val="000000"/>
                <w:sz w:val="16"/>
              </w:rPr>
            </w:pPr>
            <w:r>
              <w:rPr>
                <w:rFonts w:ascii="Helvetica;sans-serif" w:hAnsi="Helvetica;sans-serif"/>
                <w:b/>
                <w:color w:val="000000"/>
                <w:sz w:val="16"/>
              </w:rPr>
              <w:t>Net Carrying Amount</w:t>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Acquired intangible assets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1,087 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(984)</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1,087 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(962)</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Patents and licenses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Helvetica;sans-serif" w:hAnsi="Helvetica;sans-serif"/>
                <w:b/>
                <w:color w:val="000000"/>
                <w:sz w:val="20"/>
              </w:rPr>
              <w:t>Total intangible assets</w:t>
            </w:r>
            <w:r>
              <w:rPr>
                <w:color w:val="000000"/>
              </w:rPr>
              <w:t xml:space="preserve">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1,105 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(993)</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1,101 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(969)</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132 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Amortization expense related to acquired intangible assets was $22 million, $22 million, and $22 million for the years ended December 31, 2025, 2024 and 2023, respectively.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Acquired intangible assets are amortized on a straight-line basis over their estimated useful lives of 10 to 15 years. The net acquired intangible asset balances consists primarily of technology related intangibles of $72 million and customer related assets of $31 million as of December 31, 2025. Patents and licenses are amortized on a straight-line basis over their estimated useful lives of 5 to 10 years. The estimated annual amortization expense related to intangible assets for the subsequent five years is as follows:</w:t>
      </w:r>
    </w:p>
    <w:tbl>
      <w:tblPr>
        <w:tblW w:w="5157" w:type="dxa"/>
        <w:jc w:val="left"/>
        <w:tblInd w:w="0" w:type="dxa"/>
        <w:tblLayout w:type="fixed"/>
        <w:tblCellMar>
          <w:top w:w="28" w:type="dxa"/>
          <w:left w:w="28" w:type="dxa"/>
          <w:bottom w:w="28" w:type="dxa"/>
          <w:right w:w="28" w:type="dxa"/>
        </w:tblCellMar>
      </w:tblPr>
      <w:tblGrid>
        <w:gridCol w:w="794"/>
        <w:gridCol w:w="696"/>
        <w:gridCol w:w="700"/>
        <w:gridCol w:w="109"/>
        <w:gridCol w:w="109"/>
        <w:gridCol w:w="109"/>
        <w:gridCol w:w="750"/>
        <w:gridCol w:w="1338"/>
        <w:gridCol w:w="552"/>
      </w:tblGrid>
      <w:tr>
        <w:trPr/>
        <w:tc>
          <w:tcPr>
            <w:tcW w:w="7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i/>
                <w:color w:val="000000"/>
                <w:sz w:val="16"/>
              </w:rPr>
            </w:pPr>
            <w:r>
              <w:rPr>
                <w:rFonts w:ascii="Helvetica;sans-serif" w:hAnsi="Helvetica;sans-serif"/>
                <w:b w:val="false"/>
                <w:i/>
                <w:color w:val="000000"/>
                <w:sz w:val="16"/>
              </w:rPr>
              <w:t>(Dollars in millions)</w:t>
            </w:r>
          </w:p>
          <w:p>
            <w:pPr>
              <w:pStyle w:val="TableContents"/>
              <w:bidi w:val="0"/>
              <w:spacing w:lineRule="auto" w:line="288" w:before="0" w:after="0"/>
              <w:jc w:val="left"/>
              <w:rPr>
                <w:rFonts w:ascii="Helvetica;sans-serif" w:hAnsi="Helvetica;sans-serif"/>
                <w:b/>
                <w:color w:val="000000"/>
                <w:sz w:val="16"/>
              </w:rPr>
            </w:pPr>
            <w:r>
              <w:rPr>
                <w:rFonts w:ascii="Helvetica;sans-serif" w:hAnsi="Helvetica;sans-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Estimated Annual Amortization</w:t>
            </w:r>
          </w:p>
        </w:tc>
      </w:tr>
      <w:tr>
        <w:trPr/>
        <w:tc>
          <w:tcPr>
            <w:tcW w:w="2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5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5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10. Leases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Company leases various real estate for manufacturing facilities, administrative offices, warehouses and machinery under both finance leases and operating leases. In addition, the Company leases vehicles and office equipment under operating leases. We determine whether our contracts are or contain a lease at the inception of such arrangements. A contract is or contains a lease if it conveys the right to control the use of an identified asset for a period of time in exchange for consideration.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Right-of-use (“ROU”) assets and lease liabilities are recorded on the Consolidated Balance Sheets as of the lease commencement based on the present value of the future lease payments over the lease term. As our leases generally do not provide an implicit rate, we use our incremental borrowing rate, which is determined based on the rate of interest that the Company would have to pay to borrow an amount equal to the lease payments on a collateralized basis over a similar term as of the lease commencement date. In addition to the present value of the future lease payments, the calculation of the ROU asset also includes lease payments made at or before the commencement date of the lease, less any lease incentives received. The remaining lease cost is amortized over the remaining life of the lease on a straight-line basis. We evaluate ROU assets for impairment consistent with the treatment of other long-lived assets.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Some of our leases include options to extend the lease terms or to terminate the lease early. We include the impact of the option in the determination of the ROU assets and liabilities when it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4"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97</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reasonably certain that we will exercise the option. Our U.S. and Canadian lease payments are largely fixed, but may include variable payments that do not depend on an index or rate, such as usage-based amounts, and are recorded as a lease cost in the period incurred. Lease payments in Israel are tied to the Consumer Price Index (“CPI”) as published by Israel’s Central Bureau of Statistics. These leases are paid in Israeli New Shekels (“ISL”) but are recorded in U.S. dollars on the general ledger. These leases are recalculated each quarter to recognize the changes in both the CPI and the ISL. The Company’s lease agreements do not contain any material residual value guarantees or restrictive covenants.</w:t>
      </w:r>
    </w:p>
    <w:p>
      <w:pPr>
        <w:pStyle w:val="TextBody"/>
        <w:bidi w:val="0"/>
        <w:spacing w:lineRule="auto" w:line="288" w:before="0" w:after="180"/>
        <w:ind w:left="0" w:right="0" w:firstLine="360"/>
        <w:jc w:val="left"/>
        <w:rPr/>
      </w:pPr>
      <w:r>
        <w:rPr>
          <w:rFonts w:ascii="Helvetica;sans-serif" w:hAnsi="Helvetica;sans-serif"/>
          <w:b w:val="false"/>
          <w:color w:val="000000"/>
          <w:sz w:val="20"/>
        </w:rPr>
        <w:t>We elected not to recognize a ROU asset and lease liability for leases with an initial term of twelve months or less. These leases are expensed on a straight-line basis over the lease term.</w:t>
      </w:r>
      <w:r>
        <w:rPr>
          <w:color w:val="EE2724"/>
        </w:rPr>
        <w:t xml:space="preserve"> </w:t>
      </w:r>
      <w:r>
        <w:rPr>
          <w:rFonts w:ascii="Helvetica;sans-serif" w:hAnsi="Helvetica;sans-serif"/>
          <w:b w:val="false"/>
          <w:color w:val="000000"/>
          <w:sz w:val="20"/>
        </w:rPr>
        <w:t xml:space="preserve">The Company elected the practical expedient to not separate lease and non-lease components and to instead account for them as a single component. We have elected this practical expedient for all classes of assets.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of December 31, 2025, the Company had approximately $28 million of operating lease commitments for a facility lease that has not yet commenced. The lease is expected to commence in 2028 with a lease term of 10 years.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Lease Cost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Company’s total lease cost consists of the following: </w:t>
      </w:r>
    </w:p>
    <w:tbl>
      <w:tblPr>
        <w:tblW w:w="5906" w:type="dxa"/>
        <w:jc w:val="left"/>
        <w:tblInd w:w="0" w:type="dxa"/>
        <w:tblLayout w:type="fixed"/>
        <w:tblCellMar>
          <w:top w:w="28" w:type="dxa"/>
          <w:left w:w="28" w:type="dxa"/>
          <w:bottom w:w="28" w:type="dxa"/>
          <w:right w:w="28" w:type="dxa"/>
        </w:tblCellMar>
      </w:tblPr>
      <w:tblGrid>
        <w:gridCol w:w="1128"/>
        <w:gridCol w:w="993"/>
        <w:gridCol w:w="998"/>
        <w:gridCol w:w="211"/>
        <w:gridCol w:w="376"/>
        <w:gridCol w:w="109"/>
        <w:gridCol w:w="109"/>
        <w:gridCol w:w="109"/>
        <w:gridCol w:w="109"/>
        <w:gridCol w:w="211"/>
        <w:gridCol w:w="376"/>
        <w:gridCol w:w="109"/>
        <w:gridCol w:w="109"/>
        <w:gridCol w:w="109"/>
        <w:gridCol w:w="109"/>
        <w:gridCol w:w="211"/>
        <w:gridCol w:w="376"/>
        <w:gridCol w:w="154"/>
      </w:tblGrid>
      <w:tr>
        <w:trPr/>
        <w:tc>
          <w:tcPr>
            <w:tcW w:w="112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20"/>
              </w:rPr>
              <w:t>Operating lease cost</w:t>
            </w:r>
            <w:r>
              <w:rPr>
                <w:rFonts w:ascii="Helvetica;sans-serif" w:hAnsi="Helvetica;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20"/>
              </w:rPr>
              <w:t>Finance lease cost</w:t>
            </w:r>
            <w:r>
              <w:rPr>
                <w:rFonts w:ascii="Helvetica;sans-serif" w:hAnsi="Helvetica;sans-serif"/>
                <w:b w:val="false"/>
                <w:color w:val="000000"/>
                <w:sz w:val="13"/>
              </w:rPr>
              <w:t>(2)</w:t>
            </w:r>
            <w:r>
              <w:rPr>
                <w:rFonts w:ascii="Helvetica;sans-serif" w:hAnsi="Helvetica;sans-serif"/>
                <w:b w:val="false"/>
                <w:color w:val="000000"/>
                <w:sz w:val="20"/>
              </w:rPr>
              <w:t>:</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Amortization of right-of-use assets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Interest on lease liabilities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 lease cost</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Helvetica;sans-serif" w:hAnsi="Helvetica;sans-serif"/>
          <w:b w:val="false"/>
          <w:color w:val="000000"/>
          <w:sz w:val="18"/>
        </w:rPr>
      </w:pPr>
      <w:r>
        <w:rPr>
          <w:rFonts w:ascii="Helvetica;sans-serif" w:hAnsi="Helvetica;sans-serif"/>
          <w:b w:val="false"/>
          <w:color w:val="000000"/>
          <w:sz w:val="18"/>
        </w:rPr>
        <w:t>________________</w:t>
      </w:r>
    </w:p>
    <w:p>
      <w:pPr>
        <w:pStyle w:val="TextBody"/>
        <w:bidi w:val="0"/>
        <w:spacing w:lineRule="auto" w:line="288" w:before="0" w:after="0"/>
        <w:ind w:left="0" w:right="0" w:hanging="360"/>
        <w:jc w:val="left"/>
        <w:rPr>
          <w:rFonts w:ascii="Helvetica;sans-serif" w:hAnsi="Helvetica;sans-serif"/>
          <w:b w:val="false"/>
          <w:color w:val="000000"/>
          <w:sz w:val="18"/>
        </w:rPr>
      </w:pPr>
      <w:r>
        <w:rPr>
          <w:rFonts w:ascii="Helvetica;sans-serif" w:hAnsi="Helvetica;sans-serif"/>
          <w:b w:val="false"/>
          <w:color w:val="000000"/>
          <w:sz w:val="18"/>
        </w:rPr>
        <w:t>(1)Operating lease cost is included within cost of revenues or general and administrative expenses, dependent upon the nature and use of the ROU asset, in the Consolidated Statements of Earnings. Operating lease cost includes short-term leases of approximately $1 million, $2 million, and $3 million and an insignificant amount of variable lease cost for 2025, 2024 and 2023, respectively.</w:t>
      </w:r>
    </w:p>
    <w:p>
      <w:pPr>
        <w:pStyle w:val="TextBody"/>
        <w:bidi w:val="0"/>
        <w:spacing w:lineRule="auto" w:line="288" w:before="0" w:after="180"/>
        <w:ind w:left="0" w:right="0" w:hanging="360"/>
        <w:jc w:val="left"/>
        <w:rPr>
          <w:rFonts w:ascii="Helvetica;sans-serif" w:hAnsi="Helvetica;sans-serif"/>
          <w:b w:val="false"/>
          <w:color w:val="000000"/>
          <w:sz w:val="18"/>
        </w:rPr>
      </w:pPr>
      <w:r>
        <w:rPr>
          <w:rFonts w:ascii="Helvetica;sans-serif" w:hAnsi="Helvetica;sans-serif"/>
          <w:b w:val="false"/>
          <w:color w:val="000000"/>
          <w:sz w:val="18"/>
        </w:rPr>
        <w:t>(2)Finance lease cost is recorded as depreciation and amortization expense within cost of revenues or general and administrative expenses, dependent upon the nature and use of the ROU asset, and interest expense, net in the Consolidated Statements of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5"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98</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Supplemental Balance Sheet Information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Supplemental balance sheet information related to leases is as follows: </w:t>
      </w:r>
    </w:p>
    <w:tbl>
      <w:tblPr>
        <w:tblW w:w="4433" w:type="dxa"/>
        <w:jc w:val="left"/>
        <w:tblInd w:w="0" w:type="dxa"/>
        <w:tblLayout w:type="fixed"/>
        <w:tblCellMar>
          <w:top w:w="28" w:type="dxa"/>
          <w:left w:w="28" w:type="dxa"/>
          <w:bottom w:w="28" w:type="dxa"/>
          <w:right w:w="28" w:type="dxa"/>
        </w:tblCellMar>
      </w:tblPr>
      <w:tblGrid>
        <w:gridCol w:w="889"/>
        <w:gridCol w:w="783"/>
        <w:gridCol w:w="787"/>
        <w:gridCol w:w="211"/>
        <w:gridCol w:w="481"/>
        <w:gridCol w:w="109"/>
        <w:gridCol w:w="109"/>
        <w:gridCol w:w="109"/>
        <w:gridCol w:w="109"/>
        <w:gridCol w:w="211"/>
        <w:gridCol w:w="481"/>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ROU assets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20"/>
              </w:rPr>
              <w:t>Operating leases</w:t>
            </w:r>
            <w:r>
              <w:rPr>
                <w:rFonts w:ascii="Helvetica;sans-serif" w:hAnsi="Helvetica;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20"/>
              </w:rPr>
              <w:t>Finance leases</w:t>
            </w:r>
            <w:r>
              <w:rPr>
                <w:rFonts w:ascii="Helvetica;sans-serif" w:hAnsi="Helvetica;sans-serif"/>
                <w:b w:val="false"/>
                <w:color w:val="000000"/>
                <w:sz w:val="13"/>
              </w:rPr>
              <w:t>(2)</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 leased assets</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Lease liabilities</w:t>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Current lease liabilities:</w:t>
            </w:r>
          </w:p>
        </w:tc>
        <w:tc>
          <w:tcPr>
            <w:tcW w:w="801"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20"/>
              </w:rPr>
              <w:t>Operating</w:t>
            </w:r>
            <w:r>
              <w:rPr>
                <w:rFonts w:ascii="Helvetica;sans-serif" w:hAnsi="Helvetica;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20"/>
              </w:rPr>
              <w:t>Finance</w:t>
            </w:r>
            <w:r>
              <w:rPr>
                <w:rFonts w:ascii="Helvetica;sans-serif" w:hAnsi="Helvetica;sans-serif"/>
                <w:b w:val="false"/>
                <w:color w:val="000000"/>
                <w:sz w:val="13"/>
              </w:rPr>
              <w:t>(2)</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Noncurrent lease liabilities: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20"/>
              </w:rPr>
              <w:t>Operating</w:t>
            </w:r>
            <w:r>
              <w:rPr>
                <w:rFonts w:ascii="Helvetica;sans-serif" w:hAnsi="Helvetica;sans-serif"/>
                <w:b w:val="false"/>
                <w:color w:val="000000"/>
                <w:sz w:val="13"/>
              </w:rPr>
              <w:t>(1)</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20"/>
              </w:rPr>
              <w:t>Finance</w:t>
            </w:r>
            <w:r>
              <w:rPr>
                <w:rFonts w:ascii="Helvetica;sans-serif" w:hAnsi="Helvetica;sans-serif"/>
                <w:b w:val="false"/>
                <w:color w:val="000000"/>
                <w:sz w:val="13"/>
              </w:rPr>
              <w:t>(2)</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 lease liabilities</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Helvetica;sans-serif" w:hAnsi="Helvetica;sans-serif"/>
          <w:b w:val="false"/>
          <w:color w:val="000000"/>
          <w:sz w:val="18"/>
        </w:rPr>
      </w:pPr>
      <w:r>
        <w:rPr>
          <w:rFonts w:ascii="Helvetica;sans-serif" w:hAnsi="Helvetica;sans-serif"/>
          <w:b w:val="false"/>
          <w:color w:val="000000"/>
          <w:sz w:val="18"/>
        </w:rPr>
        <w:t>________________</w:t>
      </w:r>
    </w:p>
    <w:p>
      <w:pPr>
        <w:pStyle w:val="TextBody"/>
        <w:bidi w:val="0"/>
        <w:spacing w:lineRule="auto" w:line="288" w:before="0" w:after="0"/>
        <w:ind w:left="0" w:right="0" w:hanging="360"/>
        <w:jc w:val="left"/>
        <w:rPr>
          <w:rFonts w:ascii="Helvetica;sans-serif" w:hAnsi="Helvetica;sans-serif"/>
          <w:b w:val="false"/>
          <w:color w:val="000000"/>
          <w:sz w:val="18"/>
        </w:rPr>
      </w:pPr>
      <w:r>
        <w:rPr>
          <w:rFonts w:ascii="Helvetica;sans-serif" w:hAnsi="Helvetica;sans-serif"/>
          <w:b w:val="false"/>
          <w:color w:val="000000"/>
          <w:sz w:val="18"/>
        </w:rPr>
        <w:t>(1)Operating lease ROU assets are included within other noncurrent assets and operating lease liabilities are included within other current liabilities (current portion) and other noncurrent liabilities (noncurrent portion) in the Consolidated Balance Sheets.</w:t>
      </w:r>
    </w:p>
    <w:p>
      <w:pPr>
        <w:pStyle w:val="TextBody"/>
        <w:bidi w:val="0"/>
        <w:spacing w:lineRule="auto" w:line="288" w:before="0" w:after="180"/>
        <w:ind w:left="0" w:right="0" w:hanging="360"/>
        <w:jc w:val="left"/>
        <w:rPr>
          <w:rFonts w:ascii="Helvetica;sans-serif" w:hAnsi="Helvetica;sans-serif"/>
          <w:b w:val="false"/>
          <w:color w:val="000000"/>
          <w:sz w:val="18"/>
        </w:rPr>
      </w:pPr>
      <w:r>
        <w:rPr>
          <w:rFonts w:ascii="Helvetica;sans-serif" w:hAnsi="Helvetica;sans-serif"/>
          <w:b w:val="false"/>
          <w:color w:val="000000"/>
          <w:sz w:val="18"/>
        </w:rPr>
        <w:t>(2)Finance lease ROU assets are included within property, plant and equipment, net and finance lease liabilities are included within short-term borrowings and current portion of long-term debt (current portion) and long-term debt (noncurrent portion) in the Consolidated Balance Sheets.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Supplemental Cash Flow Information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Supplemental cash flow information related to leases is as follows:</w:t>
      </w:r>
    </w:p>
    <w:tbl>
      <w:tblPr>
        <w:tblW w:w="9056" w:type="dxa"/>
        <w:jc w:val="left"/>
        <w:tblInd w:w="0" w:type="dxa"/>
        <w:tblLayout w:type="fixed"/>
        <w:tblCellMar>
          <w:top w:w="28" w:type="dxa"/>
          <w:left w:w="28" w:type="dxa"/>
          <w:bottom w:w="28" w:type="dxa"/>
          <w:right w:w="28" w:type="dxa"/>
        </w:tblCellMar>
      </w:tblPr>
      <w:tblGrid>
        <w:gridCol w:w="2267"/>
        <w:gridCol w:w="1997"/>
        <w:gridCol w:w="2005"/>
        <w:gridCol w:w="211"/>
        <w:gridCol w:w="376"/>
        <w:gridCol w:w="109"/>
        <w:gridCol w:w="109"/>
        <w:gridCol w:w="109"/>
        <w:gridCol w:w="109"/>
        <w:gridCol w:w="211"/>
        <w:gridCol w:w="376"/>
        <w:gridCol w:w="109"/>
        <w:gridCol w:w="109"/>
        <w:gridCol w:w="109"/>
        <w:gridCol w:w="109"/>
        <w:gridCol w:w="211"/>
        <w:gridCol w:w="376"/>
        <w:gridCol w:w="154"/>
      </w:tblGrid>
      <w:tr>
        <w:trPr/>
        <w:tc>
          <w:tcPr>
            <w:tcW w:w="2267"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6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2023</w:t>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amounts included in the measurement of lease liabilities:</w:t>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cash flows from finance leases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Financing cash flows from finance leases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 obtained in exchange for new lease liabilities:</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Finance leases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6"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99</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Weighted Average Lease Term and Discount Rate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Lease terms and discount rates related to leases are as follows: </w:t>
      </w:r>
    </w:p>
    <w:tbl>
      <w:tblPr>
        <w:tblW w:w="5846" w:type="dxa"/>
        <w:jc w:val="left"/>
        <w:tblInd w:w="0" w:type="dxa"/>
        <w:tblLayout w:type="fixed"/>
        <w:tblCellMar>
          <w:top w:w="28" w:type="dxa"/>
          <w:left w:w="28" w:type="dxa"/>
          <w:bottom w:w="28" w:type="dxa"/>
          <w:right w:w="28" w:type="dxa"/>
        </w:tblCellMar>
      </w:tblPr>
      <w:tblGrid>
        <w:gridCol w:w="1309"/>
        <w:gridCol w:w="1151"/>
        <w:gridCol w:w="1155"/>
        <w:gridCol w:w="218"/>
        <w:gridCol w:w="218"/>
        <w:gridCol w:w="488"/>
        <w:gridCol w:w="109"/>
        <w:gridCol w:w="109"/>
        <w:gridCol w:w="109"/>
        <w:gridCol w:w="218"/>
        <w:gridCol w:w="218"/>
        <w:gridCol w:w="544"/>
      </w:tblGrid>
      <w:tr>
        <w:trP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 average remaining lease term:</w:t>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leases</w:t>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years</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Finance leases</w:t>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 years</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 average discount rate:</w:t>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leases</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5.5 </w:t>
            </w:r>
          </w:p>
        </w:tc>
        <w:tc>
          <w:tcPr>
            <w:tcW w:w="4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Finance leases</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5.9 </w:t>
            </w:r>
          </w:p>
        </w:tc>
        <w:tc>
          <w:tcPr>
            <w:tcW w:w="4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Maturity of Lease Liabilities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As of December 31, 2025, future minimum rental payments on leases with initial non-cancellable lease terms in excess of one year were due as follows: </w:t>
      </w:r>
    </w:p>
    <w:tbl>
      <w:tblPr>
        <w:tblW w:w="6667" w:type="dxa"/>
        <w:jc w:val="left"/>
        <w:tblInd w:w="0" w:type="dxa"/>
        <w:tblLayout w:type="fixed"/>
        <w:tblCellMar>
          <w:top w:w="28" w:type="dxa"/>
          <w:left w:w="28" w:type="dxa"/>
          <w:bottom w:w="28" w:type="dxa"/>
          <w:right w:w="28" w:type="dxa"/>
        </w:tblCellMar>
      </w:tblPr>
      <w:tblGrid>
        <w:gridCol w:w="1136"/>
        <w:gridCol w:w="996"/>
        <w:gridCol w:w="1002"/>
        <w:gridCol w:w="109"/>
        <w:gridCol w:w="109"/>
        <w:gridCol w:w="109"/>
        <w:gridCol w:w="454"/>
        <w:gridCol w:w="809"/>
        <w:gridCol w:w="236"/>
        <w:gridCol w:w="109"/>
        <w:gridCol w:w="109"/>
        <w:gridCol w:w="109"/>
        <w:gridCol w:w="392"/>
        <w:gridCol w:w="700"/>
        <w:gridCol w:w="288"/>
      </w:tblGrid>
      <w:tr>
        <w:trP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i/>
                <w:color w:val="000000"/>
                <w:sz w:val="16"/>
              </w:rPr>
            </w:pPr>
            <w:r>
              <w:rPr>
                <w:rFonts w:ascii="Helvetica;sans-serif" w:hAnsi="Helvetica;sans-serif"/>
                <w:b w:val="false"/>
                <w:i/>
                <w:color w:val="000000"/>
                <w:sz w:val="16"/>
              </w:rPr>
              <w:t>(Dollars in millions)</w:t>
            </w:r>
          </w:p>
          <w:p>
            <w:pPr>
              <w:pStyle w:val="TableContents"/>
              <w:bidi w:val="0"/>
              <w:spacing w:lineRule="auto" w:line="288" w:before="0" w:after="0"/>
              <w:jc w:val="left"/>
              <w:rPr>
                <w:rFonts w:ascii="Helvetica;sans-serif" w:hAnsi="Helvetica;sans-serif"/>
                <w:b/>
                <w:color w:val="000000"/>
                <w:sz w:val="16"/>
              </w:rPr>
            </w:pPr>
            <w:r>
              <w:rPr>
                <w:rFonts w:ascii="Helvetica;sans-serif" w:hAnsi="Helvetica;sans-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Finance Leases</w:t>
            </w:r>
          </w:p>
        </w:tc>
      </w:tr>
      <w:tr>
        <w:trPr/>
        <w:tc>
          <w:tcPr>
            <w:tcW w:w="3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288" w:type="dxa"/>
            <w:tcBorders>
              <w:top w:val="single" w:sz="8" w:space="0" w:color="FFFFFF"/>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 lease payments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158 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Present value of lease liabilities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123 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106 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Less: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Long-term lease obligations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95 </w:t>
            </w:r>
          </w:p>
        </w:tc>
        <w:tc>
          <w:tcPr>
            <w:tcW w:w="2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96 </w:t>
            </w:r>
          </w:p>
        </w:tc>
        <w:tc>
          <w:tcPr>
            <w:tcW w:w="2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11. Income Taxes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Earnings before taxes consists of the following:</w:t>
      </w:r>
    </w:p>
    <w:tbl>
      <w:tblPr>
        <w:tblW w:w="5127" w:type="dxa"/>
        <w:jc w:val="left"/>
        <w:tblInd w:w="0" w:type="dxa"/>
        <w:tblLayout w:type="fixed"/>
        <w:tblCellMar>
          <w:top w:w="28" w:type="dxa"/>
          <w:left w:w="28" w:type="dxa"/>
          <w:bottom w:w="28" w:type="dxa"/>
          <w:right w:w="28" w:type="dxa"/>
        </w:tblCellMar>
      </w:tblPr>
      <w:tblGrid>
        <w:gridCol w:w="732"/>
        <w:gridCol w:w="645"/>
        <w:gridCol w:w="648"/>
        <w:gridCol w:w="211"/>
        <w:gridCol w:w="481"/>
        <w:gridCol w:w="109"/>
        <w:gridCol w:w="109"/>
        <w:gridCol w:w="109"/>
        <w:gridCol w:w="109"/>
        <w:gridCol w:w="211"/>
        <w:gridCol w:w="481"/>
        <w:gridCol w:w="109"/>
        <w:gridCol w:w="109"/>
        <w:gridCol w:w="109"/>
        <w:gridCol w:w="109"/>
        <w:gridCol w:w="211"/>
        <w:gridCol w:w="481"/>
        <w:gridCol w:w="154"/>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Earnings before taxes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Domestic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Foreign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7" name="Frame1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100</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Income tax provision consists of the following:</w:t>
      </w:r>
    </w:p>
    <w:tbl>
      <w:tblPr>
        <w:tblW w:w="4272" w:type="dxa"/>
        <w:jc w:val="left"/>
        <w:tblInd w:w="0" w:type="dxa"/>
        <w:tblLayout w:type="fixed"/>
        <w:tblCellMar>
          <w:top w:w="28" w:type="dxa"/>
          <w:left w:w="28" w:type="dxa"/>
          <w:bottom w:w="28" w:type="dxa"/>
          <w:right w:w="28" w:type="dxa"/>
        </w:tblCellMar>
      </w:tblPr>
      <w:tblGrid>
        <w:gridCol w:w="537"/>
        <w:gridCol w:w="473"/>
        <w:gridCol w:w="475"/>
        <w:gridCol w:w="211"/>
        <w:gridCol w:w="376"/>
        <w:gridCol w:w="109"/>
        <w:gridCol w:w="109"/>
        <w:gridCol w:w="109"/>
        <w:gridCol w:w="109"/>
        <w:gridCol w:w="211"/>
        <w:gridCol w:w="376"/>
        <w:gridCol w:w="109"/>
        <w:gridCol w:w="109"/>
        <w:gridCol w:w="109"/>
        <w:gridCol w:w="109"/>
        <w:gridCol w:w="211"/>
        <w:gridCol w:w="376"/>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Current:</w:t>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State</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Foreign</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Total current</w:t>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Deferred:</w:t>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Federal</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State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Foreign</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Total deferred</w:t>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reconciliation from the statutory federal income tax rate to our effective income tax rate for the year ended December 31, 2025 follows:</w:t>
      </w:r>
    </w:p>
    <w:tbl>
      <w:tblPr>
        <w:tblW w:w="7170" w:type="dxa"/>
        <w:jc w:val="left"/>
        <w:tblInd w:w="0" w:type="dxa"/>
        <w:tblLayout w:type="fixed"/>
        <w:tblCellMar>
          <w:top w:w="28" w:type="dxa"/>
          <w:left w:w="28" w:type="dxa"/>
          <w:bottom w:w="28" w:type="dxa"/>
          <w:right w:w="28" w:type="dxa"/>
        </w:tblCellMar>
      </w:tblPr>
      <w:tblGrid>
        <w:gridCol w:w="1600"/>
        <w:gridCol w:w="1409"/>
        <w:gridCol w:w="1415"/>
        <w:gridCol w:w="344"/>
        <w:gridCol w:w="613"/>
        <w:gridCol w:w="177"/>
        <w:gridCol w:w="177"/>
        <w:gridCol w:w="177"/>
        <w:gridCol w:w="177"/>
        <w:gridCol w:w="270"/>
        <w:gridCol w:w="271"/>
        <w:gridCol w:w="540"/>
      </w:tblGrid>
      <w:tr>
        <w:trPr/>
        <w:tc>
          <w:tcPr>
            <w:tcW w:w="160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 2025</w:t>
            </w:r>
          </w:p>
        </w:tc>
      </w:tr>
      <w:tr>
        <w:trPr/>
        <w:tc>
          <w:tcPr>
            <w:tcW w:w="4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U.S. federal statutory income tax rate</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21.0 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val="false"/>
                <w:color w:val="000000"/>
                <w:sz w:val="20"/>
              </w:rPr>
              <w:t>Domestic state &amp; local, net of federal benefit</w:t>
            </w:r>
            <w:r>
              <w:rPr>
                <w:rFonts w:ascii="Helvetica;sans-serif" w:hAnsi="Helvetica;sans-serif"/>
                <w:b w:val="false"/>
                <w:color w:val="000000"/>
                <w:sz w:val="13"/>
              </w:rPr>
              <w:t>(1)</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5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Tax credits:</w:t>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Research and development</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w:t>
            </w:r>
          </w:p>
        </w:tc>
        <w:tc>
          <w:tcPr>
            <w:tcW w:w="5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w:t>
            </w:r>
          </w:p>
        </w:tc>
        <w:tc>
          <w:tcPr>
            <w:tcW w:w="5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Nontaxable and nondeductible items, net:</w:t>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Excess tax benefit on stock-based compensation</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w:t>
            </w:r>
          </w:p>
        </w:tc>
        <w:tc>
          <w:tcPr>
            <w:tcW w:w="5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Nondeductible officer compensation</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5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0.3 </w:t>
            </w:r>
          </w:p>
        </w:tc>
        <w:tc>
          <w:tcPr>
            <w:tcW w:w="5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Cross-border taxes:</w:t>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Global intangible low-taxed income</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5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(0.3)</w:t>
            </w:r>
          </w:p>
        </w:tc>
        <w:tc>
          <w:tcPr>
            <w:tcW w:w="5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Foreign reconciling items:</w:t>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Canada</w:t>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Changes in valuation allowance</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5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Israel</w:t>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Rate differential</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(0.6)</w:t>
            </w:r>
          </w:p>
        </w:tc>
        <w:tc>
          <w:tcPr>
            <w:tcW w:w="5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(0.6)</w:t>
            </w:r>
          </w:p>
        </w:tc>
        <w:tc>
          <w:tcPr>
            <w:tcW w:w="5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Income tax provision and effective tax rate</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17.3 </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0"/>
        <w:ind w:left="0" w:right="0" w:hanging="360"/>
        <w:jc w:val="left"/>
        <w:rPr>
          <w:rFonts w:ascii="Helvetica;sans-serif" w:hAnsi="Helvetica;sans-serif"/>
          <w:b w:val="false"/>
          <w:color w:val="000000"/>
          <w:sz w:val="18"/>
        </w:rPr>
      </w:pPr>
      <w:r>
        <w:rPr>
          <w:rFonts w:ascii="Helvetica;sans-serif" w:hAnsi="Helvetica;sans-serif"/>
          <w:b w:val="false"/>
          <w:color w:val="000000"/>
          <w:sz w:val="18"/>
        </w:rPr>
        <w:t>________________</w:t>
      </w:r>
    </w:p>
    <w:p>
      <w:pPr>
        <w:pStyle w:val="TextBody"/>
        <w:bidi w:val="0"/>
        <w:spacing w:lineRule="auto" w:line="288" w:before="0" w:after="0"/>
        <w:ind w:left="0" w:right="0" w:hanging="360"/>
        <w:jc w:val="left"/>
        <w:rPr>
          <w:rFonts w:ascii="Helvetica;sans-serif" w:hAnsi="Helvetica;sans-serif"/>
          <w:b w:val="false"/>
          <w:color w:val="000000"/>
          <w:sz w:val="18"/>
        </w:rPr>
      </w:pPr>
      <w:r>
        <w:rPr>
          <w:rFonts w:ascii="Helvetica;sans-serif" w:hAnsi="Helvetica;sans-serif"/>
          <w:b w:val="false"/>
          <w:color w:val="000000"/>
          <w:sz w:val="18"/>
        </w:rPr>
        <w:t>(1)State taxes in Connecticut, Florida, and Pennsylvania comprise the majority (greater than 50 percent) of the taxes in this category.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8" name="Frame10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101</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reconciliation from the statutory federal income tax rate to our effective income tax rate for the years ended December 31, 2024 and 2023 (as previously disclosed, prior to the adoption of ASU 2023-09) follows:</w:t>
      </w:r>
    </w:p>
    <w:tbl>
      <w:tblPr>
        <w:tblW w:w="7288" w:type="dxa"/>
        <w:jc w:val="left"/>
        <w:tblInd w:w="0" w:type="dxa"/>
        <w:tblLayout w:type="fixed"/>
        <w:tblCellMar>
          <w:top w:w="28" w:type="dxa"/>
          <w:left w:w="28" w:type="dxa"/>
          <w:bottom w:w="28" w:type="dxa"/>
          <w:right w:w="28" w:type="dxa"/>
        </w:tblCellMar>
      </w:tblPr>
      <w:tblGrid>
        <w:gridCol w:w="1615"/>
        <w:gridCol w:w="1414"/>
        <w:gridCol w:w="1425"/>
        <w:gridCol w:w="109"/>
        <w:gridCol w:w="109"/>
        <w:gridCol w:w="270"/>
        <w:gridCol w:w="271"/>
        <w:gridCol w:w="447"/>
        <w:gridCol w:w="170"/>
        <w:gridCol w:w="170"/>
        <w:gridCol w:w="170"/>
        <w:gridCol w:w="299"/>
        <w:gridCol w:w="301"/>
        <w:gridCol w:w="518"/>
      </w:tblGrid>
      <w:tr>
        <w:trPr/>
        <w:tc>
          <w:tcPr>
            <w:tcW w:w="161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Statutory federal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21.0 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21.0 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State rate, net of federal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4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5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Foreign rate differential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w:t>
            </w:r>
          </w:p>
        </w:tc>
        <w:tc>
          <w:tcPr>
            <w:tcW w:w="4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0.1 </w:t>
            </w:r>
          </w:p>
        </w:tc>
        <w:tc>
          <w:tcPr>
            <w:tcW w:w="5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Research and development credit, net of reserves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(7.1)</w:t>
            </w:r>
          </w:p>
        </w:tc>
        <w:tc>
          <w:tcPr>
            <w:tcW w:w="4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(18.0)</w:t>
            </w:r>
          </w:p>
        </w:tc>
        <w:tc>
          <w:tcPr>
            <w:tcW w:w="5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Excess tax benefit on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w:t>
            </w:r>
          </w:p>
        </w:tc>
        <w:tc>
          <w:tcPr>
            <w:tcW w:w="4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(0.1)</w:t>
            </w:r>
          </w:p>
        </w:tc>
        <w:tc>
          <w:tcPr>
            <w:tcW w:w="5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Nondeductible officer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4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0.8 </w:t>
            </w:r>
          </w:p>
        </w:tc>
        <w:tc>
          <w:tcPr>
            <w:tcW w:w="5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Nondeductible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0.6 </w:t>
            </w:r>
          </w:p>
        </w:tc>
        <w:tc>
          <w:tcPr>
            <w:tcW w:w="4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0.2 </w:t>
            </w:r>
          </w:p>
        </w:tc>
        <w:tc>
          <w:tcPr>
            <w:tcW w:w="5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Global intangible low-taxed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4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0.2 </w:t>
            </w:r>
          </w:p>
        </w:tc>
        <w:tc>
          <w:tcPr>
            <w:tcW w:w="5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Change in 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0.7 </w:t>
            </w:r>
          </w:p>
        </w:tc>
        <w:tc>
          <w:tcPr>
            <w:tcW w:w="4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5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Change in tax reserves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0.2 </w:t>
            </w:r>
          </w:p>
        </w:tc>
        <w:tc>
          <w:tcPr>
            <w:tcW w:w="4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5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Purchase 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(0.7)</w:t>
            </w:r>
          </w:p>
        </w:tc>
        <w:tc>
          <w:tcPr>
            <w:tcW w:w="4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Divestiture impact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5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(0.2)</w:t>
            </w:r>
          </w:p>
        </w:tc>
        <w:tc>
          <w:tcPr>
            <w:tcW w:w="4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5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19.3 </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12.5 </w:t>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109" name="Frame10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102</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tax effects of temporary differences that give rise to significant portions of the deferred tax assets and deferred tax liabilities at December 31, 2025 and 2024 are as follows:</w:t>
      </w:r>
    </w:p>
    <w:tbl>
      <w:tblPr>
        <w:tblW w:w="5153" w:type="dxa"/>
        <w:jc w:val="left"/>
        <w:tblInd w:w="0" w:type="dxa"/>
        <w:tblLayout w:type="fixed"/>
        <w:tblCellMar>
          <w:top w:w="28" w:type="dxa"/>
          <w:left w:w="28" w:type="dxa"/>
          <w:bottom w:w="28" w:type="dxa"/>
          <w:right w:w="28" w:type="dxa"/>
        </w:tblCellMar>
      </w:tblPr>
      <w:tblGrid>
        <w:gridCol w:w="1188"/>
        <w:gridCol w:w="1046"/>
        <w:gridCol w:w="1050"/>
        <w:gridCol w:w="211"/>
        <w:gridCol w:w="376"/>
        <w:gridCol w:w="109"/>
        <w:gridCol w:w="109"/>
        <w:gridCol w:w="109"/>
        <w:gridCol w:w="109"/>
        <w:gridCol w:w="211"/>
        <w:gridCol w:w="481"/>
        <w:gridCol w:w="154"/>
      </w:tblGrid>
      <w:tr>
        <w:trPr/>
        <w:tc>
          <w:tcPr>
            <w:tcW w:w="118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Helvetica;sans-serif" w:hAnsi="Helvetica;sans-serif"/>
                <w:b/>
                <w:color w:val="000000"/>
                <w:sz w:val="16"/>
              </w:rPr>
              <w:t>December 31,</w:t>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Deferred tax assets:</w:t>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Federal net operating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State net operating loss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Foreign net operating loss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Tax credit carryforwards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Lease liabilities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Capitalized R&amp;D, net of amortization</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Accrued compensation and benefits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Contract liabilities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Accrued expenses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Pension and postretirement plans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Inventory capitalization</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 gross deferred tax assets</w:t>
            </w:r>
            <w:r>
              <w:rPr>
                <w:color w:val="000000"/>
              </w:rPr>
              <w:t xml:space="preserve"> </w:t>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Less valuation allowance</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Deferred tax assets</w:t>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Deferred tax liabilities:</w:t>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Right-of-use assets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Long-term contracts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Intangible assets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Property, plant and equipment, net</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Deferred tax liabilities</w:t>
            </w:r>
            <w:r>
              <w:rPr>
                <w:color w:val="000000"/>
              </w:rPr>
              <w:t xml:space="preserve"> </w:t>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Net deferred tax asset</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of December 31, 2025, and 2024 the Company had U.S. federal net operating loss carryforwards of $15 million and $18 million, respectively, which we anticipate we will be able to utilize prior to their expiration which commences in 2032. The annual utilization of our federal NOL is limited to approximately $3 million pursuant to Section 382 of the Tax Code. Our foreign net operating losses have expirations ranging from 2041 to indefinite. We recorded an additional valuation allowance in Canada of $4 million and $2 million in 2025 and 2024, respectively. As of December 31, 2025 and 2024, we had apportioned state net operating loss carryforwards of $108 million and $105 million, respectively, which are associated with jurisdictions in which we currently file and the Company expects to utilize prior to expiration except for those for which we have recorded a valuation allowance. Our state net operating losses have expirations ranging from 2025 to 2041 and are offset by a valuation allowance of $2 million.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On August 16, 2022, the U.S. government enacted the Inflation Reduction Act of 2022 (the “IRA”) which, among other items, allows a company to purchase transferable tax credits. During 2024, the Company purchased $25 million in tax credits for approximately $23 million in cash. These credits were used to offset the Company’s federal tax liability for 2023.</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On July 4, 2025, the reconciliation bill, commonly referred to as the One Big Beautiful Bill Act (the “OBBBA”), was enacted, which includes a broad range of tax reform provisions. The OBBBA provides for an elective deduction for domestic research and development expenses starting in 2025, a reinstatement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10" name="Frame10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103</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of elective 100% first-year bonus depreciation, and changes to existing international tax provisions. Due to the nature of the tax law changes, the Company has not realized a material impact in the Consolidated Statements of Earnings for the year ended December 31, 2025. For the year ended December 31, 2025 the Company reduced both income taxes payable and deferred tax assets by approximately $66 million as a result of the election to deduct a portion of previously capitalized research and development costs. We will continue to monitor the impact of the OBBBA and the range of potential outcomes, which will depend on our circumstances in each year and anticipated guidance from the U.S. Department of the Treasury.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Cash paid for income taxes, net of refunds, in 2025 consists of the following:</w:t>
      </w:r>
    </w:p>
    <w:tbl>
      <w:tblPr>
        <w:tblW w:w="6388" w:type="dxa"/>
        <w:jc w:val="left"/>
        <w:tblInd w:w="0" w:type="dxa"/>
        <w:tblLayout w:type="fixed"/>
        <w:tblCellMar>
          <w:top w:w="28" w:type="dxa"/>
          <w:left w:w="28" w:type="dxa"/>
          <w:bottom w:w="28" w:type="dxa"/>
          <w:right w:w="28" w:type="dxa"/>
        </w:tblCellMar>
      </w:tblPr>
      <w:tblGrid>
        <w:gridCol w:w="1383"/>
        <w:gridCol w:w="1218"/>
        <w:gridCol w:w="1223"/>
        <w:gridCol w:w="729"/>
        <w:gridCol w:w="1301"/>
        <w:gridCol w:w="534"/>
      </w:tblGrid>
      <w:tr>
        <w:trPr/>
        <w:tc>
          <w:tcPr>
            <w:tcW w:w="1383"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 2025</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Federal</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State and local</w:t>
            </w:r>
          </w:p>
        </w:tc>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Pennsylvania</w:t>
            </w:r>
          </w:p>
        </w:tc>
        <w:tc>
          <w:tcPr>
            <w:tcW w:w="2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New Jersey</w:t>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California</w:t>
            </w:r>
          </w:p>
        </w:tc>
        <w:tc>
          <w:tcPr>
            <w:tcW w:w="2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Cash paid for income taxes, net of refunds</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Cash paid for income taxes, net of refunds, was $71 million, and $45 million in 2024 and 2023, respectively (as previously disclosed, prior to the adoption of ASU 2023-09). </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Tax Uncertainties</w:t>
      </w:r>
    </w:p>
    <w:p>
      <w:pPr>
        <w:pStyle w:val="TextBody"/>
        <w:bidi w:val="0"/>
        <w:spacing w:lineRule="auto" w:line="288" w:before="0" w:after="180"/>
        <w:ind w:left="0" w:right="0" w:firstLine="360"/>
        <w:jc w:val="left"/>
        <w:rPr/>
      </w:pPr>
      <w:r>
        <w:rPr>
          <w:rFonts w:ascii="Helvetica;sans-serif" w:hAnsi="Helvetica;sans-serif"/>
          <w:b w:val="false"/>
          <w:color w:val="231F20"/>
          <w:sz w:val="20"/>
        </w:rPr>
        <w:t xml:space="preserve">The Company maintains reserves for uncertain tax positions related to unrecognized income tax benefits. These reserves involve considerable judgment and estimation and are evaluated by management at least quarterly based on the best information available. </w:t>
      </w:r>
      <w:r>
        <w:rPr>
          <w:rFonts w:ascii="Helvetica;sans-serif" w:hAnsi="Helvetica;sans-serif"/>
          <w:b w:val="false"/>
          <w:color w:val="000000"/>
          <w:sz w:val="20"/>
        </w:rPr>
        <w:t>The Company’s total liability for unrecognized tax benefits as of December 31, 2025, 2024 and 2023 was approximately $52 million, $48 million and $40 million, respectively; all of which will impact the effective tax rate when recognized. Approximately $2 million, $2 million and $2 million as of December 31, 2025, 2024 and 2023, respectively, was recorded within (and as an offset to) deferred tax assets. The table below summarizes the activity associated with our unrecognized tax benefits:</w:t>
      </w:r>
    </w:p>
    <w:tbl>
      <w:tblPr>
        <w:tblW w:w="6791" w:type="dxa"/>
        <w:jc w:val="left"/>
        <w:tblInd w:w="0" w:type="dxa"/>
        <w:tblLayout w:type="fixed"/>
        <w:tblCellMar>
          <w:top w:w="28" w:type="dxa"/>
          <w:left w:w="28" w:type="dxa"/>
          <w:bottom w:w="28" w:type="dxa"/>
          <w:right w:w="28" w:type="dxa"/>
        </w:tblCellMar>
      </w:tblPr>
      <w:tblGrid>
        <w:gridCol w:w="1448"/>
        <w:gridCol w:w="1275"/>
        <w:gridCol w:w="1281"/>
        <w:gridCol w:w="211"/>
        <w:gridCol w:w="376"/>
        <w:gridCol w:w="109"/>
        <w:gridCol w:w="109"/>
        <w:gridCol w:w="109"/>
        <w:gridCol w:w="109"/>
        <w:gridCol w:w="211"/>
        <w:gridCol w:w="376"/>
        <w:gridCol w:w="109"/>
        <w:gridCol w:w="109"/>
        <w:gridCol w:w="109"/>
        <w:gridCol w:w="109"/>
        <w:gridCol w:w="211"/>
        <w:gridCol w:w="376"/>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Balance at January 1,</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Increase related to prior year tax positions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Increase related to current year tax positions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Decreases related to prior year tax positions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Balance at December 31,</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231F20"/>
          <w:sz w:val="20"/>
        </w:rPr>
      </w:pPr>
      <w:r>
        <w:rPr>
          <w:rFonts w:ascii="Helvetica;sans-serif" w:hAnsi="Helvetica;sans-serif"/>
          <w:b w:val="false"/>
          <w:color w:val="231F20"/>
          <w:sz w:val="20"/>
        </w:rPr>
        <w:t xml:space="preserve">The Company is subject to U.S. federal income tax as well as income tax of multiple state and foreign jurisdictions. The Company has substantially concluded all U.S. federal income tax matters for years through the tax year ended December 31, 2018 except as it relates to the net operating loss carryforward and tax credit carryforwards. Substantially all material state and local matters have been concluded for years through the tax year ended December 31, 2017. The Company has substantially concluded all material tax matters in foreign jurisdictions for years through the tax years ending 2018.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As of December 31, 2025, the Company has accumulated undistributed earnings generated by our foreign subsidiaries and most have been taxed in the U.S. as a result of the Tax Cuts and Jobs Act of 2017 (“TCJA”). The TCJA allows for a dividend received deduction for repatriation of foreign earnings. We intend to indefinitely reinvest these earnings. Should the Company’s undistributed earnings from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111" name="Frame1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104</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 xml:space="preserve">investment in non‐U.S. subsidiaries be distributed in the future in the form of dividends or otherwise, the Company may be subject to foreign and domestic income taxes and withholding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12. Debt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Company’s debt consists of the following:</w:t>
      </w:r>
    </w:p>
    <w:tbl>
      <w:tblPr>
        <w:tblW w:w="7658" w:type="dxa"/>
        <w:jc w:val="left"/>
        <w:tblInd w:w="0" w:type="dxa"/>
        <w:tblLayout w:type="fixed"/>
        <w:tblCellMar>
          <w:top w:w="28" w:type="dxa"/>
          <w:left w:w="28" w:type="dxa"/>
          <w:bottom w:w="28" w:type="dxa"/>
          <w:right w:w="28" w:type="dxa"/>
        </w:tblCellMar>
      </w:tblPr>
      <w:tblGrid>
        <w:gridCol w:w="2056"/>
        <w:gridCol w:w="1810"/>
        <w:gridCol w:w="1818"/>
        <w:gridCol w:w="211"/>
        <w:gridCol w:w="481"/>
        <w:gridCol w:w="109"/>
        <w:gridCol w:w="109"/>
        <w:gridCol w:w="109"/>
        <w:gridCol w:w="109"/>
        <w:gridCol w:w="211"/>
        <w:gridCol w:w="481"/>
        <w:gridCol w:w="154"/>
      </w:tblGrid>
      <w:tr>
        <w:trPr/>
        <w:tc>
          <w:tcPr>
            <w:tcW w:w="2056"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w:t>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5684" w:type="dxa"/>
            <w:gridSpan w:val="3"/>
            <w:tcBorders>
              <w:left w:val="single" w:sz="8" w:space="0" w:color="FFFFFF"/>
            </w:tcBorders>
            <w:shd w:fill="CCEEFF" w:val="clear"/>
            <w:tcMar>
              <w:top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2022 Term Loan 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Finance lease and other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Short-term borrowings related to factoring facilities (Note 4)</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 debt principal</w:t>
            </w:r>
            <w:r>
              <w:rPr>
                <w:color w:val="000000"/>
              </w:rPr>
              <w:t xml:space="preserve"> </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Less unamortized debt issuance costs and discounts</w:t>
            </w:r>
          </w:p>
        </w:tc>
        <w:tc>
          <w:tcPr>
            <w:tcW w:w="692" w:type="dxa"/>
            <w:gridSpan w:val="2"/>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54"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 debt, net</w:t>
            </w:r>
            <w:r>
              <w:rPr>
                <w:color w:val="000000"/>
              </w:rPr>
              <w:t xml:space="preserve"> </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Less short-term borrowings and current portion of long-term debt</w:t>
            </w:r>
          </w:p>
        </w:tc>
        <w:tc>
          <w:tcPr>
            <w:tcW w:w="692" w:type="dxa"/>
            <w:gridSpan w:val="2"/>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w:t>
            </w:r>
          </w:p>
        </w:tc>
        <w:tc>
          <w:tcPr>
            <w:tcW w:w="109"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w:t>
            </w:r>
          </w:p>
        </w:tc>
        <w:tc>
          <w:tcPr>
            <w:tcW w:w="154" w:type="dxa"/>
            <w:tcBorders>
              <w:top w:val="single" w:sz="8" w:space="0" w:color="FFFFFF"/>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top w:val="single" w:sz="8" w:space="0" w:color="FFFFFF"/>
              <w:left w:val="single" w:sz="8" w:space="0" w:color="FFFFFF"/>
              <w:bottom w:val="single" w:sz="8" w:space="0" w:color="FFFFFF"/>
            </w:tcBorders>
            <w:shd w:fill="FFFFFF" w:val="clear"/>
            <w:tcMar>
              <w:top w:w="30" w:type="dxa"/>
              <w:bottom w:w="3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 long-term debt</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Term Loan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November 2022, the Company entered into a senior unsecured credit agreement with Bank of America in the amount of $500 million (the “2022 Credit Agreement”) with a maturity of November 29, 2027. The 2022 Credit Agreement provides for a term loan (the “2022 Term Loan A”) of $225 million bearing interest at a variable rate generally based on the Secured Overnight Financing Rate (“SOFR”), plus a spread ranging from 1.48% to 2.10% depending on the leverage ratio, as defined in the 2022 Credit Agreement, or an alternative variable rate based on the higher of the Bank of America prime rate, the federal funds rate, or a rate generally based on the SOFR, in each case subject to an additional basis point spread as defined in the 2022 Credit Agreement. Interest is payable quarterly in arrears. The outstanding balance of the 2022 Term Loan A at December 31, 2025 was $191 million. The fair value of the 2022 Term Loan A was approximately $190 million and $199 million at December 31, 2025 and 2024, respectively; however the Company has the ability to prepay the outstanding principal balance without penalty.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Subsequent to year-end, in January 2026, the Company repaid the remaining outstanding balance of the 2022 Term Loan A in the amount of $191 million. The was no prepayment penalty or other fee associated with prepaying the principal balance.</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Credit Facilities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2022 Credit Agreement provides for a revolving credit facility available for the working capital needs of the Company (the “2022 Revolving Credit Facility”). As of December 31, 2025, the 2022 Revolving Credit Facility had a limit of $275 million. Loans under the 2022 Revolving Credit Facility bear interest at a variable rate generally based on the SOFR, plus a spread ranging from 1.48% to 2.10% depending on the leverage ratio, as defined in the 2022 Credit Agreement, or an alternative variable rate based on the higher of the Bank of America prime rate, the federal funds rate, or a rate generally based on the SOFR, in each case subject to an additional basis point spread as defined in the 2022 Credit Agreement. The Company also pays a commitment fee ranging between 0.20% and 0.35% depending on the Company’s leverage ratio applied to the unused balance of the 2022 Revolving Credit Facility. There was no outstanding balance on the 2022 Revolving Credit Facility as of December 31, 2025 and 2024. The weighted average interest rate on the 2022 Revolving Credit Facility as of December 31, 2024 was 6.72%.</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Subsequent to year-end, in January 2026, the Company terminated the 2022 Credit Agreement and entered into a new senior unsecured credit agreement (the “2026 Credit Agreement”). The 2026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112" name="Frame1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105</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Agreement provides for a revolving credit facility available for working capital requirements of the Company (the “2026 Revolving Credit Facility”). The 2026 Revolving Credit Facility has a limit of $500 million and expires in January 2031. Loans under the 2026 Revolving Credit Facility bear interest at a variable rate generally based on the SOFR, plus a spread ranging from 1.25% to 1.63% depending on the leverage ratio, as defined in the 2026 Credit Agreement, or an alternative variable rate based on the higher of the prime rate, as defined in the 2026 Credit Agreement, the federal funds rate, or a rate generally based on the SOFR, in each case subject to an additional basis point spread as defined in the 2026 Credit Agreement. The Company also pays a commitment fee ranging between 0.15% and 0.30% depending on the Company’s leverage ratio applied to the unused balance of the 2026 Revolving Credit Facility.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Company also maintains uncommitted working capital credit facilities with certain financial institutions in the aggregate of $105 million and $130 million at December 31, 2025 and 2024, respectively (the “Financial Institution Credit Facilities”). The sole purpose of the Financial Institution Credit Facilities is to support standby letter of credit issuances on contracts with customers. The Company had letters of credit outstanding of approximately $54 million and $36 million as of December 31, 2025 and 2024, respectively, which reduces the available capacity of the Financial Institution Credit Facilities by an equal amount.</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Finance Lease and Other</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of December 31, 2025, finance lease and other of $152 million includes approximately $106 million related to finance lease liabilities and $46 million related to our Menomonee Falls, WI manufacturing facility, which has been accounted for as a financing arrangement. Approximately $10 million has been recognized as the current portion of long-term debt for the finance lease liabilities and aforementioned financing arrangement.</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Interest Paid</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Total interest paid associated with our debt was $21 million, $27 million, and $38 million in 2025, 2024 and 2023, respectively. Our effective interest rate was approximately 5.71%, 6.80% and 6.65% for the years ended December 31, 2025, 2024 and 2023, respectively. The interest expense attributable to the amortization of debt issuance costs in 2025, 2024 and 2023 was not material.</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Maturities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Maturities of debt as of December 31, 2025 are as follows:</w:t>
      </w:r>
    </w:p>
    <w:tbl>
      <w:tblPr>
        <w:tblW w:w="3663" w:type="dxa"/>
        <w:jc w:val="left"/>
        <w:tblInd w:w="0" w:type="dxa"/>
        <w:tblLayout w:type="fixed"/>
        <w:tblCellMar>
          <w:top w:w="28" w:type="dxa"/>
          <w:left w:w="28" w:type="dxa"/>
          <w:bottom w:w="28" w:type="dxa"/>
          <w:right w:w="28" w:type="dxa"/>
        </w:tblCellMar>
      </w:tblPr>
      <w:tblGrid>
        <w:gridCol w:w="901"/>
        <w:gridCol w:w="793"/>
        <w:gridCol w:w="796"/>
        <w:gridCol w:w="109"/>
        <w:gridCol w:w="109"/>
        <w:gridCol w:w="109"/>
        <w:gridCol w:w="211"/>
        <w:gridCol w:w="481"/>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Total</w:t>
            </w:r>
          </w:p>
        </w:tc>
      </w:tr>
      <w:tr>
        <w:trPr/>
        <w:tc>
          <w:tcPr>
            <w:tcW w:w="2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principal payments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13. Pension and Other Postretirement Benefits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Retirement Plan Summary Information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Company maintains multiple pension plans, both contributory and non-contributory, covering employees at certain locations. Eligibility requirements for participation in the plans vary and benefits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113" name="Frame1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106</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generally are based on the participant's compensation and years of service, as defined in the respective plan. The Company's funding policy generally is to contribute in accordance with cost accounting standards that affect government contractors, subject to the Tax Code and regulations thereunder. With respect to U.S. qualified pension plans, we intend to contribute annually not less than the required minimum funding thresholds. For all periods presented, the Company made no discretionary pension contributions. Plan assets are invested primarily in collective trust funds, which are primarily invested in bonds (both corporate and U.S. government), U.S. government-sponsored entity instruments, and cash and cash equivalents.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Company also provides postretirement medical benefits for certain retired employees and dependents at certain locations. Participants are eligible for these benefits when they retire from active service and meet the eligibility requirements for the Company's postretirement benefit plans. The Company's contractual arrangements with the U.S. government provide for the recovery of contributions to a Voluntary Employees' Beneficiary Association trust and, for non-funded plans, recovery of claims on a pay-as-you-go basis, subject to the Tax Code and regulations thereunder, with the retiree generally paying a portion of the costs through contributions, deductibles and coinsurance provisions.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Company also maintains certain non-contributory and unfunded supplemental retirement plans. Eligibility for participation in the supplemental retirement plans is limited, and benefits generally are based on the participant's compensation and/or years of service.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April 2024, the Company purchased group annuity contracts to transfer approximately $24 million of gross defined benefit pension plan obligations and related plan assets for certain of its qualified defined benefit pension plans to an insurance company for approximately 700 U.S. retirees and beneficiaries. In June 2024, the Company made lump sum distributions from plan assets for terminated vested participants in certain of its defined pension benefit plans in the amount of approximately $8 million. Settlement charges related to these activities were immaterial.</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tables provide certain information regarding the Company's pension plans as of December 31, 2025 and 2024. In addition to the defined benefit pension plan information shown below, pension and other postretirement benefit plan liabilities on the Consolidated Balance Sheets includes other immaterial postretirement benefit plan and supplemental retirement plan liabilities.</w:t>
      </w:r>
    </w:p>
    <w:tbl>
      <w:tblPr>
        <w:tblW w:w="7453" w:type="dxa"/>
        <w:jc w:val="left"/>
        <w:tblInd w:w="0" w:type="dxa"/>
        <w:tblLayout w:type="fixed"/>
        <w:tblCellMar>
          <w:top w:w="28" w:type="dxa"/>
          <w:left w:w="28" w:type="dxa"/>
          <w:bottom w:w="28" w:type="dxa"/>
          <w:right w:w="28" w:type="dxa"/>
        </w:tblCellMar>
      </w:tblPr>
      <w:tblGrid>
        <w:gridCol w:w="1460"/>
        <w:gridCol w:w="1284"/>
        <w:gridCol w:w="1290"/>
        <w:gridCol w:w="446"/>
        <w:gridCol w:w="230"/>
        <w:gridCol w:w="230"/>
        <w:gridCol w:w="230"/>
        <w:gridCol w:w="230"/>
        <w:gridCol w:w="230"/>
        <w:gridCol w:w="446"/>
        <w:gridCol w:w="230"/>
        <w:gridCol w:w="230"/>
        <w:gridCol w:w="109"/>
        <w:gridCol w:w="109"/>
        <w:gridCol w:w="109"/>
        <w:gridCol w:w="109"/>
        <w:gridCol w:w="109"/>
        <w:gridCol w:w="109"/>
        <w:gridCol w:w="109"/>
        <w:gridCol w:w="154"/>
      </w:tblGrid>
      <w:tr>
        <w:trPr/>
        <w:tc>
          <w:tcPr>
            <w:tcW w:w="146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Defined Benefit Pension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Change in benefit obligation:</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Benefit obligation at beginning of year</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127</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Interest cost</w:t>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Actuarial loss (gain)</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Helvetica;sans-serif" w:hAnsi="Helvetica;sans-serif"/>
                <w:b w:val="false"/>
                <w:color w:val="000000"/>
                <w:sz w:val="20"/>
              </w:rPr>
              <w:t>Benefits paid</w:t>
            </w:r>
            <w:r>
              <w:rPr>
                <w:rFonts w:ascii="Helvetica;sans-serif" w:hAnsi="Helvetica;sans-serif"/>
                <w:b w:val="false"/>
                <w:color w:val="000000"/>
                <w:sz w:val="13"/>
              </w:rPr>
              <w:t>(1)</w:t>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Benefit obligation at end of year</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129</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Change in plan assets:</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Fair value of plan assets at beginning of year</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100</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Actual return on plan assets</w:t>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Employer contributions</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Helvetica;sans-serif" w:hAnsi="Helvetica;sans-serif"/>
                <w:b w:val="false"/>
                <w:color w:val="000000"/>
                <w:sz w:val="20"/>
              </w:rPr>
              <w:t>Benefits paid</w:t>
            </w:r>
            <w:r>
              <w:rPr>
                <w:rFonts w:ascii="Helvetica;sans-serif" w:hAnsi="Helvetica;sans-serif"/>
                <w:b w:val="false"/>
                <w:color w:val="000000"/>
                <w:sz w:val="13"/>
              </w:rPr>
              <w:t>(1)</w:t>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Fair value of plan assets at end of year</w:t>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112</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Funded status of the plans at year end</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________________</w:t>
      </w:r>
    </w:p>
    <w:p>
      <w:pPr>
        <w:pStyle w:val="TextBody"/>
        <w:bidi w:val="0"/>
        <w:spacing w:lineRule="auto" w:line="288" w:before="0" w:after="180"/>
        <w:ind w:left="0" w:right="0" w:hanging="360"/>
        <w:jc w:val="left"/>
        <w:rPr>
          <w:rFonts w:ascii="Helvetica;sans-serif" w:hAnsi="Helvetica;sans-serif"/>
          <w:b w:val="false"/>
          <w:color w:val="000000"/>
          <w:sz w:val="18"/>
        </w:rPr>
      </w:pPr>
      <w:r>
        <w:rPr>
          <w:rFonts w:ascii="Helvetica;sans-serif" w:hAnsi="Helvetica;sans-serif"/>
          <w:b w:val="false"/>
          <w:color w:val="000000"/>
          <w:sz w:val="18"/>
        </w:rPr>
        <w:t>(1)The 2024 amounts include the purchase of group annuity contracts to transfer certain benefit obligations and related plan assets of $24 million to an insurance company and lump sum payments to certain participants of $8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114" name="Frame1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107</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amounts recognized in the Consolidated Balance Sheets as of December 31, 2025 and 2024 consist of:</w:t>
      </w:r>
    </w:p>
    <w:tbl>
      <w:tblPr>
        <w:tblW w:w="5744" w:type="dxa"/>
        <w:jc w:val="left"/>
        <w:tblInd w:w="0" w:type="dxa"/>
        <w:tblLayout w:type="fixed"/>
        <w:tblCellMar>
          <w:top w:w="28" w:type="dxa"/>
          <w:left w:w="28" w:type="dxa"/>
          <w:bottom w:w="28" w:type="dxa"/>
          <w:right w:w="28" w:type="dxa"/>
        </w:tblCellMar>
      </w:tblPr>
      <w:tblGrid>
        <w:gridCol w:w="841"/>
        <w:gridCol w:w="740"/>
        <w:gridCol w:w="744"/>
        <w:gridCol w:w="446"/>
        <w:gridCol w:w="230"/>
        <w:gridCol w:w="230"/>
        <w:gridCol w:w="230"/>
        <w:gridCol w:w="230"/>
        <w:gridCol w:w="230"/>
        <w:gridCol w:w="446"/>
        <w:gridCol w:w="230"/>
        <w:gridCol w:w="230"/>
        <w:gridCol w:w="109"/>
        <w:gridCol w:w="109"/>
        <w:gridCol w:w="109"/>
        <w:gridCol w:w="109"/>
        <w:gridCol w:w="109"/>
        <w:gridCol w:w="109"/>
        <w:gridCol w:w="109"/>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Defined Benefit Pension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Noncurrent assets</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Noncurrent liabilities</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color w:val="000000"/>
                <w:sz w:val="20"/>
              </w:rPr>
              <w:t>Net liability recognized</w:t>
            </w:r>
            <w:r>
              <w:rPr>
                <w:color w:val="000000"/>
              </w:rPr>
              <w:t xml:space="preserve"> </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Amounts recognized in accumulated other comprehensive loss (before taxes) at December 31, 2025 and 2024 consist of:</w:t>
      </w:r>
    </w:p>
    <w:tbl>
      <w:tblPr>
        <w:tblW w:w="9823" w:type="dxa"/>
        <w:jc w:val="left"/>
        <w:tblInd w:w="0" w:type="dxa"/>
        <w:tblLayout w:type="fixed"/>
        <w:tblCellMar>
          <w:top w:w="28" w:type="dxa"/>
          <w:left w:w="28" w:type="dxa"/>
          <w:bottom w:w="28" w:type="dxa"/>
          <w:right w:w="28" w:type="dxa"/>
        </w:tblCellMar>
      </w:tblPr>
      <w:tblGrid>
        <w:gridCol w:w="2314"/>
        <w:gridCol w:w="2041"/>
        <w:gridCol w:w="2049"/>
        <w:gridCol w:w="446"/>
        <w:gridCol w:w="230"/>
        <w:gridCol w:w="230"/>
        <w:gridCol w:w="230"/>
        <w:gridCol w:w="230"/>
        <w:gridCol w:w="230"/>
        <w:gridCol w:w="446"/>
        <w:gridCol w:w="230"/>
        <w:gridCol w:w="230"/>
        <w:gridCol w:w="109"/>
        <w:gridCol w:w="109"/>
        <w:gridCol w:w="109"/>
        <w:gridCol w:w="109"/>
        <w:gridCol w:w="109"/>
        <w:gridCol w:w="109"/>
        <w:gridCol w:w="109"/>
        <w:gridCol w:w="154"/>
      </w:tblGrid>
      <w:tr>
        <w:trPr/>
        <w:tc>
          <w:tcPr>
            <w:tcW w:w="2314"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Defined Benefit Pension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actuarial loss (gain)</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amount recognized in accumulated other comprehensive loss</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aggregate accumulated benefit obligation (“ABO”) for the Company's defined benefit pension plans combined was $119 million and $144 million at December 31, 2025 and 2024, respectively. The ABO represents benefits accrued without assuming future compensation increases to plan participants and is approximately equal to our projected benefit obligation (“PBO”). The table below presents information for the pension plans with an ABO and PBO in excess of the fair value of plan assets at December 31, 2025 and 2024:</w:t>
      </w:r>
    </w:p>
    <w:tbl>
      <w:tblPr>
        <w:tblW w:w="4763" w:type="dxa"/>
        <w:jc w:val="left"/>
        <w:tblInd w:w="0" w:type="dxa"/>
        <w:tblLayout w:type="fixed"/>
        <w:tblCellMar>
          <w:top w:w="28" w:type="dxa"/>
          <w:left w:w="28" w:type="dxa"/>
          <w:bottom w:w="28" w:type="dxa"/>
          <w:right w:w="28" w:type="dxa"/>
        </w:tblCellMar>
      </w:tblPr>
      <w:tblGrid>
        <w:gridCol w:w="1009"/>
        <w:gridCol w:w="888"/>
        <w:gridCol w:w="892"/>
        <w:gridCol w:w="211"/>
        <w:gridCol w:w="481"/>
        <w:gridCol w:w="109"/>
        <w:gridCol w:w="109"/>
        <w:gridCol w:w="109"/>
        <w:gridCol w:w="109"/>
        <w:gridCol w:w="211"/>
        <w:gridCol w:w="481"/>
        <w:gridCol w:w="154"/>
      </w:tblGrid>
      <w:tr>
        <w:trPr/>
        <w:tc>
          <w:tcPr>
            <w:tcW w:w="10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Projected benefit obligation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Accumulated benefit obligation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Fair value of plan assets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summarizes the weighted average actuarial assumptions used to determine our benefit obligations at December 31, 2025 and 2024:</w:t>
      </w:r>
    </w:p>
    <w:tbl>
      <w:tblPr>
        <w:tblW w:w="7122" w:type="dxa"/>
        <w:jc w:val="left"/>
        <w:tblInd w:w="0" w:type="dxa"/>
        <w:tblLayout w:type="fixed"/>
        <w:tblCellMar>
          <w:top w:w="28" w:type="dxa"/>
          <w:left w:w="28" w:type="dxa"/>
          <w:bottom w:w="28" w:type="dxa"/>
          <w:right w:w="28" w:type="dxa"/>
        </w:tblCellMar>
      </w:tblPr>
      <w:tblGrid>
        <w:gridCol w:w="1341"/>
        <w:gridCol w:w="1181"/>
        <w:gridCol w:w="1183"/>
        <w:gridCol w:w="204"/>
        <w:gridCol w:w="204"/>
        <w:gridCol w:w="536"/>
        <w:gridCol w:w="204"/>
        <w:gridCol w:w="204"/>
        <w:gridCol w:w="204"/>
        <w:gridCol w:w="204"/>
        <w:gridCol w:w="204"/>
        <w:gridCol w:w="536"/>
        <w:gridCol w:w="109"/>
        <w:gridCol w:w="109"/>
        <w:gridCol w:w="109"/>
        <w:gridCol w:w="109"/>
        <w:gridCol w:w="109"/>
        <w:gridCol w:w="109"/>
        <w:gridCol w:w="109"/>
        <w:gridCol w:w="154"/>
      </w:tblGrid>
      <w:tr>
        <w:trPr/>
        <w:tc>
          <w:tcPr>
            <w:tcW w:w="134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Defined Benefit Pension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Rate assumptions</w:t>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Discount rate</w:t>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5.2</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5.5</w:t>
            </w:r>
          </w:p>
        </w:tc>
        <w:tc>
          <w:tcPr>
            <w:tcW w:w="5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Expected long-term return on plan assets</w:t>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5.8</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6.4</w:t>
            </w:r>
          </w:p>
        </w:tc>
        <w:tc>
          <w:tcPr>
            <w:tcW w:w="5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following table summarizes the components of net periodic benefit cost for the Company's pension plans for the years ended December 31, 2025, 2024 and 2023. Net actuarial gains and losses are amortized to expense when they exceed the 10% accounting corridor, based on the greater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115" name="Frame1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108</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plan assets or benefit obligations, over the average future lifetime for all plans that are frozen, and over the average remaining service period for active plans.</w:t>
      </w:r>
    </w:p>
    <w:tbl>
      <w:tblPr>
        <w:tblW w:w="6834" w:type="dxa"/>
        <w:jc w:val="left"/>
        <w:tblInd w:w="0" w:type="dxa"/>
        <w:tblLayout w:type="fixed"/>
        <w:tblCellMar>
          <w:top w:w="28" w:type="dxa"/>
          <w:left w:w="28" w:type="dxa"/>
          <w:bottom w:w="28" w:type="dxa"/>
          <w:right w:w="28" w:type="dxa"/>
        </w:tblCellMar>
      </w:tblPr>
      <w:tblGrid>
        <w:gridCol w:w="1079"/>
        <w:gridCol w:w="951"/>
        <w:gridCol w:w="955"/>
        <w:gridCol w:w="217"/>
        <w:gridCol w:w="279"/>
        <w:gridCol w:w="112"/>
        <w:gridCol w:w="112"/>
        <w:gridCol w:w="112"/>
        <w:gridCol w:w="112"/>
        <w:gridCol w:w="217"/>
        <w:gridCol w:w="279"/>
        <w:gridCol w:w="112"/>
        <w:gridCol w:w="112"/>
        <w:gridCol w:w="112"/>
        <w:gridCol w:w="112"/>
        <w:gridCol w:w="217"/>
        <w:gridCol w:w="279"/>
        <w:gridCol w:w="112"/>
        <w:gridCol w:w="109"/>
        <w:gridCol w:w="109"/>
        <w:gridCol w:w="109"/>
        <w:gridCol w:w="109"/>
        <w:gridCol w:w="109"/>
        <w:gridCol w:w="109"/>
        <w:gridCol w:w="109"/>
        <w:gridCol w:w="109"/>
        <w:gridCol w:w="109"/>
        <w:gridCol w:w="109"/>
        <w:gridCol w:w="109"/>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Defined Benefit Pension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Interest cost</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Expected return on plan assets</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Amortization of net actuarial loss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Helvetica;sans-serif" w:hAnsi="Helvetica;sans-serif"/>
                <w:b/>
                <w:color w:val="000000"/>
                <w:sz w:val="20"/>
              </w:rPr>
              <w:t>Net periodic benefit cost</w:t>
            </w:r>
            <w:r>
              <w:rPr>
                <w:color w:val="000000"/>
              </w:rPr>
              <w:t xml:space="preserve">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summarizes the other changes in plan assets and benefit obligations recognized in other comprehensive income for the Company's pension plans for the years ended December 31, 2025, 2024 and 2023:</w:t>
      </w:r>
    </w:p>
    <w:tbl>
      <w:tblPr>
        <w:tblW w:w="8865" w:type="dxa"/>
        <w:jc w:val="left"/>
        <w:tblInd w:w="0" w:type="dxa"/>
        <w:tblLayout w:type="fixed"/>
        <w:tblCellMar>
          <w:top w:w="28" w:type="dxa"/>
          <w:left w:w="28" w:type="dxa"/>
          <w:bottom w:w="28" w:type="dxa"/>
          <w:right w:w="28" w:type="dxa"/>
        </w:tblCellMar>
      </w:tblPr>
      <w:tblGrid>
        <w:gridCol w:w="1719"/>
        <w:gridCol w:w="1515"/>
        <w:gridCol w:w="1521"/>
        <w:gridCol w:w="211"/>
        <w:gridCol w:w="331"/>
        <w:gridCol w:w="109"/>
        <w:gridCol w:w="109"/>
        <w:gridCol w:w="109"/>
        <w:gridCol w:w="109"/>
        <w:gridCol w:w="211"/>
        <w:gridCol w:w="406"/>
        <w:gridCol w:w="109"/>
        <w:gridCol w:w="109"/>
        <w:gridCol w:w="109"/>
        <w:gridCol w:w="109"/>
        <w:gridCol w:w="211"/>
        <w:gridCol w:w="406"/>
        <w:gridCol w:w="109"/>
        <w:gridCol w:w="109"/>
        <w:gridCol w:w="109"/>
        <w:gridCol w:w="109"/>
        <w:gridCol w:w="109"/>
        <w:gridCol w:w="109"/>
        <w:gridCol w:w="109"/>
        <w:gridCol w:w="109"/>
        <w:gridCol w:w="109"/>
        <w:gridCol w:w="109"/>
        <w:gridCol w:w="109"/>
        <w:gridCol w:w="109"/>
        <w:gridCol w:w="154"/>
      </w:tblGrid>
      <w:tr>
        <w:trPr/>
        <w:tc>
          <w:tcPr>
            <w:tcW w:w="171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Defined Benefit Pension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actuarial (gain)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Amortization of net actuarial loss from prior years</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 recognized in other comprehensive income</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summarizes the weighted average actuarial assumptions used to determine our net periodic benefit cost of the pension plans for the years ended December 31, 2025, 2024 and 2023:</w:t>
      </w:r>
    </w:p>
    <w:tbl>
      <w:tblPr>
        <w:tblW w:w="7992" w:type="dxa"/>
        <w:jc w:val="left"/>
        <w:tblInd w:w="0" w:type="dxa"/>
        <w:tblLayout w:type="fixed"/>
        <w:tblCellMar>
          <w:top w:w="28" w:type="dxa"/>
          <w:left w:w="28" w:type="dxa"/>
          <w:bottom w:w="28" w:type="dxa"/>
          <w:right w:w="28" w:type="dxa"/>
        </w:tblCellMar>
      </w:tblPr>
      <w:tblGrid>
        <w:gridCol w:w="1341"/>
        <w:gridCol w:w="1181"/>
        <w:gridCol w:w="1183"/>
        <w:gridCol w:w="218"/>
        <w:gridCol w:w="218"/>
        <w:gridCol w:w="330"/>
        <w:gridCol w:w="126"/>
        <w:gridCol w:w="126"/>
        <w:gridCol w:w="126"/>
        <w:gridCol w:w="188"/>
        <w:gridCol w:w="188"/>
        <w:gridCol w:w="330"/>
        <w:gridCol w:w="126"/>
        <w:gridCol w:w="126"/>
        <w:gridCol w:w="126"/>
        <w:gridCol w:w="188"/>
        <w:gridCol w:w="188"/>
        <w:gridCol w:w="330"/>
        <w:gridCol w:w="109"/>
        <w:gridCol w:w="109"/>
        <w:gridCol w:w="109"/>
        <w:gridCol w:w="109"/>
        <w:gridCol w:w="109"/>
        <w:gridCol w:w="109"/>
        <w:gridCol w:w="109"/>
        <w:gridCol w:w="109"/>
        <w:gridCol w:w="109"/>
        <w:gridCol w:w="109"/>
        <w:gridCol w:w="109"/>
        <w:gridCol w:w="154"/>
      </w:tblGrid>
      <w:tr>
        <w:trPr/>
        <w:tc>
          <w:tcPr>
            <w:tcW w:w="134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Defined Benefit Pension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Rate assumptions</w:t>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Discount rate</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4.8</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5.0</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Expected long-term return on plan assets</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6.5</w:t>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7.2</w:t>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expected long-term return on plan assets assumption represents the average rate that the Company expects to earn over the long-term on the assets of the Company's benefit plans, including those from dividends, interest income and capital appreciation. The assumption has been determined based on expectations regarding future rates of return for the plans' investment portfolio, with consideration given to the allocation of investments by asset class and historical rates of return for each individual asset class.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Pension related expenses, other than service cost, are reflected in other, net on the Consolidated Statements of Earnings.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Plan Assets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Retirement Committee has been authorized by the Company’s management to manage the strategic oversight of our defined benefit plan assets held in trust. The Retirement Committee has adopted an investment policy and provides oversight of a third-party investment manager who reports to the Retirement Committee on a regular basis. The outsourced third-party manager develops investment strategies and makes all of the day to day investment decisions related to the defined benefit plan assets in accordance with the investment policy and target asset allocation targets, therein. Presently all of the plans are governed by a single investment policy and are uniformly invested. As part of the policy statement the Company has implemented a glide path which adjusts the percentage of assets invested in return seeking assets based upon the attainment of specific funding percentages. The non-return seeking assets are invested primarily in bonds with maturities closely matching the anticipated payment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116" name="Frame1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109</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benefits. As the funding percentage increases the glide path reduces the amount of the assets invested in return seeking assets.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table below represents all of the Company's funded pension plans' weighted average asset allocation at December 31, 2025 and 2024 by asset category:</w:t>
      </w:r>
    </w:p>
    <w:tbl>
      <w:tblPr>
        <w:tblW w:w="7177" w:type="dxa"/>
        <w:jc w:val="left"/>
        <w:tblInd w:w="0" w:type="dxa"/>
        <w:tblLayout w:type="fixed"/>
        <w:tblCellMar>
          <w:top w:w="28" w:type="dxa"/>
          <w:left w:w="28" w:type="dxa"/>
          <w:bottom w:w="28" w:type="dxa"/>
          <w:right w:w="28" w:type="dxa"/>
        </w:tblCellMar>
      </w:tblPr>
      <w:tblGrid>
        <w:gridCol w:w="1954"/>
        <w:gridCol w:w="1718"/>
        <w:gridCol w:w="1728"/>
        <w:gridCol w:w="203"/>
        <w:gridCol w:w="203"/>
        <w:gridCol w:w="301"/>
        <w:gridCol w:w="115"/>
        <w:gridCol w:w="115"/>
        <w:gridCol w:w="115"/>
        <w:gridCol w:w="188"/>
        <w:gridCol w:w="188"/>
        <w:gridCol w:w="349"/>
      </w:tblGrid>
      <w:tr>
        <w:trPr/>
        <w:tc>
          <w:tcPr>
            <w:tcW w:w="1954"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Asset Allocation</w:t>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Asset Category</w:t>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Equity securities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3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Debt securities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72 </w:t>
            </w:r>
          </w:p>
        </w:tc>
        <w:tc>
          <w:tcPr>
            <w:tcW w:w="3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primarily cash and cash equivalents, and hedge funds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2" w:space="0" w:color="FFFFFF"/>
              <w:bottom w:val="single" w:sz="2" w:space="0" w:color="FFFFFF"/>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349" w:type="dxa"/>
            <w:tcBorders>
              <w:top w:val="single" w:sz="2" w:space="0" w:color="FFFFFF"/>
              <w:bottom w:val="single" w:sz="2" w:space="0" w:color="FFFFFF"/>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table below presents the target allocation ranges for each major asset category for the Company's pension plans for the years ended December 31, 2025 and 2024:</w:t>
      </w:r>
    </w:p>
    <w:tbl>
      <w:tblPr>
        <w:tblW w:w="8435" w:type="dxa"/>
        <w:jc w:val="left"/>
        <w:tblInd w:w="0" w:type="dxa"/>
        <w:tblLayout w:type="fixed"/>
        <w:tblCellMar>
          <w:top w:w="28" w:type="dxa"/>
          <w:left w:w="28" w:type="dxa"/>
          <w:bottom w:w="28" w:type="dxa"/>
          <w:right w:w="28" w:type="dxa"/>
        </w:tblCellMar>
      </w:tblPr>
      <w:tblGrid>
        <w:gridCol w:w="1932"/>
        <w:gridCol w:w="1698"/>
        <w:gridCol w:w="1709"/>
        <w:gridCol w:w="390"/>
        <w:gridCol w:w="390"/>
        <w:gridCol w:w="390"/>
        <w:gridCol w:w="272"/>
        <w:gridCol w:w="272"/>
        <w:gridCol w:w="272"/>
        <w:gridCol w:w="325"/>
        <w:gridCol w:w="325"/>
        <w:gridCol w:w="460"/>
      </w:tblGrid>
      <w:tr>
        <w:trPr/>
        <w:tc>
          <w:tcPr>
            <w:tcW w:w="1932"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Target Asset Allocation Range</w:t>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Asset Category</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Equity securities</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val="false"/>
                <w:color w:val="000000"/>
                <w:sz w:val="20"/>
              </w:rPr>
            </w:pPr>
            <w:r>
              <w:rPr>
                <w:rFonts w:ascii="Helvetica;sans-serif" w:hAnsi="Helvetica;sans-serif"/>
                <w:b w:val="false"/>
                <w:color w:val="000000"/>
                <w:sz w:val="20"/>
              </w:rPr>
              <w:t>0%</w:t>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val="false"/>
                <w:color w:val="000000"/>
                <w:sz w:val="20"/>
              </w:rPr>
            </w:pPr>
            <w:r>
              <w:rPr>
                <w:rFonts w:ascii="Helvetica;sans-serif" w:hAnsi="Helvetica;sans-serif"/>
                <w:b w:val="false"/>
                <w:color w:val="000000"/>
                <w:sz w:val="20"/>
              </w:rPr>
              <w:t>11% - 19%</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Debt securities</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Helvetica;sans-serif" w:hAnsi="Helvetica;sans-serif"/>
                <w:b w:val="false"/>
                <w:color w:val="000000"/>
                <w:sz w:val="20"/>
              </w:rPr>
            </w:pPr>
            <w:r>
              <w:rPr>
                <w:rFonts w:ascii="Helvetica;sans-serif" w:hAnsi="Helvetica;sans-serif"/>
                <w:b w:val="false"/>
                <w:color w:val="000000"/>
                <w:sz w:val="20"/>
              </w:rPr>
              <w:t>96% - 100%</w:t>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val="false"/>
                <w:color w:val="000000"/>
                <w:sz w:val="20"/>
              </w:rPr>
            </w:pPr>
            <w:r>
              <w:rPr>
                <w:rFonts w:ascii="Helvetica;sans-serif" w:hAnsi="Helvetica;sans-serif"/>
                <w:b w:val="false"/>
                <w:color w:val="000000"/>
                <w:sz w:val="20"/>
              </w:rPr>
              <w:t>75% - 91%</w:t>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Other, primarily cash and cash equivalents and hedge funds</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Helvetica;sans-serif" w:hAnsi="Helvetica;sans-serif"/>
                <w:b w:val="false"/>
                <w:color w:val="000000"/>
                <w:sz w:val="20"/>
              </w:rPr>
            </w:pPr>
            <w:r>
              <w:rPr>
                <w:rFonts w:ascii="Helvetica;sans-serif" w:hAnsi="Helvetica;sans-serif"/>
                <w:b w:val="false"/>
                <w:color w:val="000000"/>
                <w:sz w:val="20"/>
              </w:rPr>
              <w:t>0% - 4%</w:t>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Helvetica;sans-serif" w:hAnsi="Helvetica;sans-serif"/>
                <w:b w:val="false"/>
                <w:color w:val="000000"/>
                <w:sz w:val="20"/>
              </w:rPr>
            </w:pPr>
            <w:r>
              <w:rPr>
                <w:rFonts w:ascii="Helvetica;sans-serif" w:hAnsi="Helvetica;sans-serif"/>
                <w:b w:val="false"/>
                <w:color w:val="000000"/>
                <w:sz w:val="20"/>
              </w:rPr>
              <w:t>0% - 4%</w:t>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tables provides the fair value of plan assets held by our pension plans by asset category and by fair value hierarchy level.</w:t>
      </w:r>
    </w:p>
    <w:tbl>
      <w:tblPr>
        <w:tblW w:w="7335" w:type="dxa"/>
        <w:jc w:val="left"/>
        <w:tblInd w:w="0" w:type="dxa"/>
        <w:tblLayout w:type="fixed"/>
        <w:tblCellMar>
          <w:top w:w="28" w:type="dxa"/>
          <w:left w:w="28" w:type="dxa"/>
          <w:bottom w:w="28" w:type="dxa"/>
          <w:right w:w="28" w:type="dxa"/>
        </w:tblCellMar>
      </w:tblPr>
      <w:tblGrid>
        <w:gridCol w:w="1177"/>
        <w:gridCol w:w="1037"/>
        <w:gridCol w:w="1041"/>
        <w:gridCol w:w="211"/>
        <w:gridCol w:w="406"/>
        <w:gridCol w:w="109"/>
        <w:gridCol w:w="109"/>
        <w:gridCol w:w="109"/>
        <w:gridCol w:w="109"/>
        <w:gridCol w:w="211"/>
        <w:gridCol w:w="481"/>
        <w:gridCol w:w="109"/>
        <w:gridCol w:w="109"/>
        <w:gridCol w:w="109"/>
        <w:gridCol w:w="109"/>
        <w:gridCol w:w="211"/>
        <w:gridCol w:w="406"/>
        <w:gridCol w:w="109"/>
        <w:gridCol w:w="109"/>
        <w:gridCol w:w="109"/>
        <w:gridCol w:w="109"/>
        <w:gridCol w:w="211"/>
        <w:gridCol w:w="481"/>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21"/>
            <w:tcBorders>
              <w:left w:val="single" w:sz="8" w:space="0" w:color="FFFFFF"/>
              <w:right w:val="single" w:sz="8" w:space="0" w:color="FFFFFF"/>
            </w:tcBorders>
            <w:tcMar>
              <w:top w:w="0" w:type="dxa"/>
              <w:bottom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right w:val="single" w:sz="8" w:space="0" w:color="FFFFFF"/>
            </w:tcBorders>
            <w:tcMar>
              <w:top w:w="30" w:type="dxa"/>
              <w:left w:w="0" w:type="dxa"/>
              <w:bottom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3255" w:type="dxa"/>
            <w:gridSpan w:val="3"/>
            <w:tcBorders>
              <w:left w:val="single" w:sz="8" w:space="0" w:color="FFFFFF"/>
            </w:tcBorders>
            <w:shd w:fill="CCEEFF" w:val="clear"/>
            <w:tcMar>
              <w:top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Asset category</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20"/>
              </w:rPr>
            </w:pPr>
            <w:r>
              <w:rPr>
                <w:rFonts w:ascii="Helvetica;sans-serif" w:hAnsi="Helvetica;sans-serif"/>
                <w:b w:val="false"/>
                <w:i/>
                <w:color w:val="000000"/>
                <w:sz w:val="20"/>
              </w:rPr>
              <w:t>Investments measured at fair value:</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Collective trust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FFFFFF"/>
              <w:left w:val="single" w:sz="8" w:space="0" w:color="FFFFFF"/>
              <w:bottom w:val="single" w:sz="8" w:space="0" w:color="FFFFFF"/>
            </w:tcBorders>
            <w:shd w:fill="FFFFFF" w:val="clear"/>
            <w:tcMar>
              <w:top w:w="3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tbl>
      <w:tblPr>
        <w:tblW w:w="7305" w:type="dxa"/>
        <w:jc w:val="left"/>
        <w:tblInd w:w="0" w:type="dxa"/>
        <w:tblLayout w:type="fixed"/>
        <w:tblCellMar>
          <w:top w:w="28" w:type="dxa"/>
          <w:left w:w="28" w:type="dxa"/>
          <w:bottom w:w="28" w:type="dxa"/>
          <w:right w:w="28" w:type="dxa"/>
        </w:tblCellMar>
      </w:tblPr>
      <w:tblGrid>
        <w:gridCol w:w="1177"/>
        <w:gridCol w:w="1037"/>
        <w:gridCol w:w="1041"/>
        <w:gridCol w:w="211"/>
        <w:gridCol w:w="376"/>
        <w:gridCol w:w="109"/>
        <w:gridCol w:w="109"/>
        <w:gridCol w:w="109"/>
        <w:gridCol w:w="109"/>
        <w:gridCol w:w="211"/>
        <w:gridCol w:w="481"/>
        <w:gridCol w:w="109"/>
        <w:gridCol w:w="109"/>
        <w:gridCol w:w="109"/>
        <w:gridCol w:w="109"/>
        <w:gridCol w:w="211"/>
        <w:gridCol w:w="406"/>
        <w:gridCol w:w="109"/>
        <w:gridCol w:w="109"/>
        <w:gridCol w:w="109"/>
        <w:gridCol w:w="109"/>
        <w:gridCol w:w="211"/>
        <w:gridCol w:w="481"/>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21"/>
            <w:tcBorders>
              <w:left w:val="single" w:sz="8" w:space="0" w:color="FFFFFF"/>
              <w:right w:val="single" w:sz="8" w:space="0" w:color="FFFFFF"/>
            </w:tcBorders>
            <w:tcMar>
              <w:top w:w="0" w:type="dxa"/>
              <w:bottom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 2024</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right w:val="single" w:sz="8" w:space="0" w:color="FFFFFF"/>
            </w:tcBorders>
            <w:tcMar>
              <w:top w:w="30" w:type="dxa"/>
              <w:left w:w="0" w:type="dxa"/>
              <w:bottom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3255" w:type="dxa"/>
            <w:gridSpan w:val="3"/>
            <w:tcBorders>
              <w:left w:val="single" w:sz="8" w:space="0" w:color="FFFFFF"/>
            </w:tcBorders>
            <w:shd w:fill="CCEEFF" w:val="clear"/>
            <w:tcMar>
              <w:top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Asset category</w:t>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20"/>
              </w:rPr>
            </w:pPr>
            <w:r>
              <w:rPr>
                <w:rFonts w:ascii="Helvetica;sans-serif" w:hAnsi="Helvetica;sans-serif"/>
                <w:b w:val="false"/>
                <w:i/>
                <w:color w:val="000000"/>
                <w:sz w:val="20"/>
              </w:rPr>
              <w:t>Investments measured at fair value:</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FFFFFF"/>
              <w:left w:val="single" w:sz="8" w:space="0" w:color="FFFFFF"/>
            </w:tcBorders>
            <w:shd w:fill="FFFFFF" w:val="clear"/>
            <w:tcMar>
              <w:top w:w="3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Equity securities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FFFFFF"/>
              <w:left w:val="single" w:sz="8" w:space="0" w:color="FFFFFF"/>
            </w:tcBorders>
            <w:shd w:fill="CCEEFF" w:val="clear"/>
            <w:tcMar>
              <w:top w:w="3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Collective trust funds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FFFFFF"/>
              <w:left w:val="single" w:sz="8" w:space="0" w:color="FFFFFF"/>
              <w:bottom w:val="single" w:sz="8" w:space="0" w:color="FFFFFF"/>
            </w:tcBorders>
            <w:shd w:fill="FFFFFF" w:val="clear"/>
            <w:tcMar>
              <w:top w:w="3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050"/>
                <wp:effectExtent l="0" t="0" r="0" b="0"/>
                <wp:wrapNone/>
                <wp:docPr id="117" name="Frame1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110</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For the year ended December 31, 2026, the Company expects to contribute $6 million to its pension plans.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presents expected pension benefit payments over the next ten years:</w:t>
      </w:r>
    </w:p>
    <w:tbl>
      <w:tblPr>
        <w:tblW w:w="5502" w:type="dxa"/>
        <w:jc w:val="left"/>
        <w:tblInd w:w="0" w:type="dxa"/>
        <w:tblLayout w:type="fixed"/>
        <w:tblCellMar>
          <w:top w:w="28" w:type="dxa"/>
          <w:left w:w="28" w:type="dxa"/>
          <w:bottom w:w="28" w:type="dxa"/>
          <w:right w:w="28" w:type="dxa"/>
        </w:tblCellMar>
      </w:tblPr>
      <w:tblGrid>
        <w:gridCol w:w="794"/>
        <w:gridCol w:w="696"/>
        <w:gridCol w:w="700"/>
        <w:gridCol w:w="109"/>
        <w:gridCol w:w="109"/>
        <w:gridCol w:w="109"/>
        <w:gridCol w:w="894"/>
        <w:gridCol w:w="1147"/>
        <w:gridCol w:w="463"/>
        <w:gridCol w:w="109"/>
        <w:gridCol w:w="109"/>
        <w:gridCol w:w="109"/>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i/>
                <w:color w:val="000000"/>
                <w:sz w:val="16"/>
              </w:rPr>
            </w:pPr>
            <w:r>
              <w:rPr>
                <w:rFonts w:ascii="Helvetica;sans-serif" w:hAnsi="Helvetica;sans-serif"/>
                <w:b w:val="false"/>
                <w:i/>
                <w:color w:val="000000"/>
                <w:sz w:val="16"/>
              </w:rPr>
              <w:t>(Dollars in millions)</w:t>
            </w:r>
          </w:p>
          <w:p>
            <w:pPr>
              <w:pStyle w:val="TableContents"/>
              <w:bidi w:val="0"/>
              <w:spacing w:lineRule="auto" w:line="288" w:before="0" w:after="0"/>
              <w:jc w:val="left"/>
              <w:rPr>
                <w:rFonts w:ascii="Helvetica;sans-serif" w:hAnsi="Helvetica;sans-serif"/>
                <w:b/>
                <w:color w:val="000000"/>
                <w:sz w:val="16"/>
              </w:rPr>
            </w:pPr>
            <w:r>
              <w:rPr>
                <w:rFonts w:ascii="Helvetica;sans-serif" w:hAnsi="Helvetica;sans-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Defined Benefit Pension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2031-2035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Defined Contribution Plans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Company maintains defined contribution plans covering substantially all domestic full-time eligible employees. The Company's contributions to these plans for the years ended December 31, 2025, 2024 and 2023, amounted to $35 million, $31 million, and $28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14. Stock-based Compensation Plans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Company’s 2022 Omnibus Equity Compensation Plan (the “2022 Equity Plan”) allows for grants of stock options, stock appreciation rights, restricted shares, restricted stock units (“RSUs”) and performance-based awards. In May 2024, the 2022 Equity Plan was amended and restated to increase the common stock available for issuance under the plan by 8,100,000 shares and to extend the terms of the plan to expire on the tenth anniversary of the amended and restated plan’s effective date. As of December 31, 2025, there were 9 million shares of the Company’s common stock reserved for future issuances under the 2022 Equity Plan.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In November 2022, in conjunction with the acquisition of RADA Electronic Industries Ltd (“RADA”), the Company assumed 5.4 million stock options. The outstanding stock options were exchanged into options to purchase the Company’s common stock. The assumed stock options are subject to the same terms and conditions as the original awards, including time-based vesting. The options are generally exercisable for 48 months following the date of vesting.</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During 2023, the Company granted equity awards in the form of RSUs and performance-based restricted stock units (“PRSUs”) under the 2022 Equity Plan. The RSUs are subject to annual time-based vesting over a three-year period. The PRSUs are subject to both time and performance-based vesting based upon the achievement of three financial metrics over a three-year period: Relative Total Shareholder Return (“rTSR”), Revenue Growth, and Return on Invested Capital (“ROIC”).</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During 2024 and 2025, the Company granted equity awards in the form of RSUs and PRSUs under the 2022 Equity Plan. The RSUs are subject to annual time-based vesting over a three-year period. The PRSUs are subject to both time and performance-based vesting based upon the achievement of three financial metrics over a three-year period: rTSR, Adjusted Diluted EPS, and ROIC.</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fair value of stock options is measured on the date of the acquisition of RADA using the Black-Scholes option pricing model. The fair value of market condition PRSUs is measured on the date of grant using the Monte Carlo Simulation Model. Expense for time-based awards is recognized on a straight-line basis over the requisite service period. Forfeitures are recognized as they occur.</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In May 2024, the Company established the Employee Stock Purchase Plan (the “ESPP”). The ESPP allows eligible employees to purchase shares of the Company’s stock at 90% of the fair market value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050"/>
                <wp:effectExtent l="0" t="0" r="0" b="0"/>
                <wp:wrapNone/>
                <wp:docPr id="118" name="Frame1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111</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the date of purchase. As of December 31, 2025, there were 2 million shares of the Company’s common stock reserved for future issuances under the ESPP.</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Stock-based compensation, which was recorded in the Consolidated Statements of Earnings within general and administrative expenses, and the related tax benefits recognized for the periods presented consists of the following:</w:t>
      </w:r>
    </w:p>
    <w:tbl>
      <w:tblPr>
        <w:tblW w:w="7841" w:type="dxa"/>
        <w:jc w:val="left"/>
        <w:tblInd w:w="0" w:type="dxa"/>
        <w:tblLayout w:type="fixed"/>
        <w:tblCellMar>
          <w:top w:w="28" w:type="dxa"/>
          <w:left w:w="28" w:type="dxa"/>
          <w:bottom w:w="28" w:type="dxa"/>
          <w:right w:w="28" w:type="dxa"/>
        </w:tblCellMar>
      </w:tblPr>
      <w:tblGrid>
        <w:gridCol w:w="1828"/>
        <w:gridCol w:w="1610"/>
        <w:gridCol w:w="1616"/>
        <w:gridCol w:w="211"/>
        <w:gridCol w:w="376"/>
        <w:gridCol w:w="109"/>
        <w:gridCol w:w="109"/>
        <w:gridCol w:w="109"/>
        <w:gridCol w:w="109"/>
        <w:gridCol w:w="211"/>
        <w:gridCol w:w="376"/>
        <w:gridCol w:w="109"/>
        <w:gridCol w:w="109"/>
        <w:gridCol w:w="109"/>
        <w:gridCol w:w="109"/>
        <w:gridCol w:w="211"/>
        <w:gridCol w:w="376"/>
        <w:gridCol w:w="154"/>
      </w:tblGrid>
      <w:tr>
        <w:trPr/>
        <w:tc>
          <w:tcPr>
            <w:tcW w:w="1828"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Tax benefits recognized from stock-based compensation</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Stock Options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shows a summary of all option activity under the 2022 Equity Plan for the year ended December 31, 2025:</w:t>
      </w:r>
    </w:p>
    <w:tbl>
      <w:tblPr>
        <w:tblW w:w="10205" w:type="dxa"/>
        <w:jc w:val="left"/>
        <w:tblInd w:w="0" w:type="dxa"/>
        <w:tblLayout w:type="fixed"/>
        <w:tblCellMar>
          <w:top w:w="28" w:type="dxa"/>
          <w:left w:w="28" w:type="dxa"/>
          <w:bottom w:w="28" w:type="dxa"/>
          <w:right w:w="28" w:type="dxa"/>
        </w:tblCellMar>
      </w:tblPr>
      <w:tblGrid>
        <w:gridCol w:w="962"/>
        <w:gridCol w:w="844"/>
        <w:gridCol w:w="848"/>
        <w:gridCol w:w="378"/>
        <w:gridCol w:w="346"/>
        <w:gridCol w:w="348"/>
        <w:gridCol w:w="109"/>
        <w:gridCol w:w="109"/>
        <w:gridCol w:w="109"/>
        <w:gridCol w:w="422"/>
        <w:gridCol w:w="1295"/>
        <w:gridCol w:w="218"/>
        <w:gridCol w:w="109"/>
        <w:gridCol w:w="109"/>
        <w:gridCol w:w="109"/>
        <w:gridCol w:w="709"/>
        <w:gridCol w:w="709"/>
        <w:gridCol w:w="711"/>
        <w:gridCol w:w="109"/>
        <w:gridCol w:w="109"/>
        <w:gridCol w:w="109"/>
        <w:gridCol w:w="405"/>
        <w:gridCol w:w="723"/>
        <w:gridCol w:w="306"/>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Number of Shares</w:t>
            </w:r>
          </w:p>
          <w:p>
            <w:pPr>
              <w:pStyle w:val="TableContents"/>
              <w:bidi w:val="0"/>
              <w:spacing w:lineRule="auto" w:line="288" w:before="0" w:after="0"/>
              <w:jc w:val="center"/>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Weighted Average Remaining Contractual Term</w:t>
            </w:r>
          </w:p>
          <w:p>
            <w:pPr>
              <w:pStyle w:val="TableContents"/>
              <w:bidi w:val="0"/>
              <w:spacing w:lineRule="auto" w:line="288" w:before="0" w:after="0"/>
              <w:jc w:val="center"/>
              <w:rPr>
                <w:rFonts w:ascii="Helvetica;sans-serif" w:hAnsi="Helvetica;sans-serif"/>
                <w:b w:val="false"/>
                <w:i/>
                <w:color w:val="000000"/>
                <w:sz w:val="16"/>
              </w:rPr>
            </w:pPr>
            <w:r>
              <w:rPr>
                <w:rFonts w:ascii="Helvetica;sans-serif" w:hAnsi="Helvetica;sans-serif"/>
                <w:b w:val="false"/>
                <w:i/>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Aggregate Intrinsic Value</w:t>
            </w:r>
          </w:p>
          <w:p>
            <w:pPr>
              <w:pStyle w:val="TableContents"/>
              <w:bidi w:val="0"/>
              <w:spacing w:lineRule="auto" w:line="288" w:before="0" w:after="0"/>
              <w:jc w:val="center"/>
              <w:rPr>
                <w:rFonts w:ascii="Helvetica;sans-serif" w:hAnsi="Helvetica;sans-serif"/>
                <w:b w:val="false"/>
                <w:i/>
                <w:color w:val="000000"/>
                <w:sz w:val="16"/>
              </w:rPr>
            </w:pPr>
            <w:r>
              <w:rPr>
                <w:rFonts w:ascii="Helvetica;sans-serif" w:hAnsi="Helvetica;sans-serif"/>
                <w:b w:val="false"/>
                <w:i/>
                <w:color w:val="000000"/>
                <w:sz w:val="16"/>
              </w:rPr>
              <w:t>(Dollars in millions)</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Outstanding as of January 1, 2025</w:t>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10.39 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Exercised</w:t>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(0.36)</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10.28 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(0.02)</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Outstanding as of December 31, 2025</w:t>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10.42 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Exercisable as of December 31, 2025</w:t>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Vested and expected to vest as of December 31, 2025</w:t>
            </w:r>
          </w:p>
        </w:tc>
        <w:tc>
          <w:tcPr>
            <w:tcW w:w="72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1.19 </w:t>
            </w:r>
          </w:p>
        </w:tc>
        <w:tc>
          <w:tcPr>
            <w:tcW w:w="34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9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10.42 </w:t>
            </w:r>
          </w:p>
        </w:tc>
        <w:tc>
          <w:tcPr>
            <w:tcW w:w="21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2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30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There were no stock options granted or assumed during 2025. As of December 31, 2025, total compensation expense not yet recognized related to unvested options was approximately $1 million, which is expected to be recognized over a weighted average period of less than one year. The total intrinsic value of stock options exercised during the year ended December 31, 2025, was $11 million.</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RSUs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shows a summary of all RSU activity under the 2022 Equity Plan for the year ended December 31, 2025:</w:t>
      </w:r>
    </w:p>
    <w:tbl>
      <w:tblPr>
        <w:tblW w:w="8456" w:type="dxa"/>
        <w:jc w:val="left"/>
        <w:tblInd w:w="0" w:type="dxa"/>
        <w:tblLayout w:type="fixed"/>
        <w:tblCellMar>
          <w:top w:w="28" w:type="dxa"/>
          <w:left w:w="28" w:type="dxa"/>
          <w:bottom w:w="28" w:type="dxa"/>
          <w:right w:w="28" w:type="dxa"/>
        </w:tblCellMar>
      </w:tblPr>
      <w:tblGrid>
        <w:gridCol w:w="1188"/>
        <w:gridCol w:w="1047"/>
        <w:gridCol w:w="1050"/>
        <w:gridCol w:w="509"/>
        <w:gridCol w:w="509"/>
        <w:gridCol w:w="511"/>
        <w:gridCol w:w="109"/>
        <w:gridCol w:w="109"/>
        <w:gridCol w:w="109"/>
        <w:gridCol w:w="692"/>
        <w:gridCol w:w="2118"/>
        <w:gridCol w:w="505"/>
      </w:tblGrid>
      <w:tr>
        <w:trPr/>
        <w:tc>
          <w:tcPr>
            <w:tcW w:w="11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Number of Shares</w:t>
            </w:r>
          </w:p>
          <w:p>
            <w:pPr>
              <w:pStyle w:val="TableContents"/>
              <w:bidi w:val="0"/>
              <w:spacing w:lineRule="auto" w:line="288" w:before="0" w:after="0"/>
              <w:jc w:val="center"/>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Weighted Average Grant Date Fair Value</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Unvested as of January 1, 2025</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16.89 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0.46 </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33.23 </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Vested</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(0.73)</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15.18 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24.91 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Unvested as of December 31, 2025</w:t>
            </w:r>
          </w:p>
        </w:tc>
        <w:tc>
          <w:tcPr>
            <w:tcW w:w="101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1.01 </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25.39 </w:t>
            </w:r>
          </w:p>
        </w:tc>
        <w:tc>
          <w:tcPr>
            <w:tcW w:w="5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of December 31, 2025, total compensation expense not yet recognized related to unvested RSUs was approximately $12 million, which is expected to be recognized over a weighted average period of 2 years. The fair value of RSUs that vested in 2025 was $25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050"/>
                <wp:effectExtent l="0" t="0" r="0" b="0"/>
                <wp:wrapNone/>
                <wp:docPr id="119" name="Frame1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112</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PRSUs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shows a summary of all PRSU activity under the 2022 Equity Plan for the year ended December 31, 2025:</w:t>
      </w:r>
    </w:p>
    <w:tbl>
      <w:tblPr>
        <w:tblW w:w="8456" w:type="dxa"/>
        <w:jc w:val="left"/>
        <w:tblInd w:w="0" w:type="dxa"/>
        <w:tblLayout w:type="fixed"/>
        <w:tblCellMar>
          <w:top w:w="28" w:type="dxa"/>
          <w:left w:w="28" w:type="dxa"/>
          <w:bottom w:w="28" w:type="dxa"/>
          <w:right w:w="28" w:type="dxa"/>
        </w:tblCellMar>
      </w:tblPr>
      <w:tblGrid>
        <w:gridCol w:w="1188"/>
        <w:gridCol w:w="1047"/>
        <w:gridCol w:w="1050"/>
        <w:gridCol w:w="509"/>
        <w:gridCol w:w="509"/>
        <w:gridCol w:w="511"/>
        <w:gridCol w:w="109"/>
        <w:gridCol w:w="109"/>
        <w:gridCol w:w="109"/>
        <w:gridCol w:w="692"/>
        <w:gridCol w:w="2118"/>
        <w:gridCol w:w="505"/>
      </w:tblGrid>
      <w:tr>
        <w:trPr/>
        <w:tc>
          <w:tcPr>
            <w:tcW w:w="11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Number of Shares</w:t>
            </w:r>
          </w:p>
          <w:p>
            <w:pPr>
              <w:pStyle w:val="TableContents"/>
              <w:bidi w:val="0"/>
              <w:spacing w:lineRule="auto" w:line="288" w:before="0" w:after="0"/>
              <w:jc w:val="center"/>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Weighted Average Grant Date Fair Value</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Unvested as of January 1, 2025</w:t>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16.19 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0.28 </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37.96 </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Vested</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(0.99)</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10.25 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(0.04)</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25.61 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Performance adjustments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0.39 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10.68 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Unvested as of December 31, 2025</w:t>
            </w:r>
          </w:p>
        </w:tc>
        <w:tc>
          <w:tcPr>
            <w:tcW w:w="101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1.15 </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21.74 </w:t>
            </w:r>
          </w:p>
        </w:tc>
        <w:tc>
          <w:tcPr>
            <w:tcW w:w="5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Monte Carlo Model assumptions used in valuing market condition PRSUs during the periods presented are set forth in the following table:</w:t>
      </w:r>
    </w:p>
    <w:tbl>
      <w:tblPr>
        <w:tblW w:w="6318" w:type="dxa"/>
        <w:jc w:val="left"/>
        <w:tblInd w:w="0" w:type="dxa"/>
        <w:tblLayout w:type="fixed"/>
        <w:tblCellMar>
          <w:top w:w="28" w:type="dxa"/>
          <w:left w:w="28" w:type="dxa"/>
          <w:bottom w:w="28" w:type="dxa"/>
          <w:right w:w="28" w:type="dxa"/>
        </w:tblCellMar>
      </w:tblPr>
      <w:tblGrid>
        <w:gridCol w:w="791"/>
        <w:gridCol w:w="696"/>
        <w:gridCol w:w="703"/>
        <w:gridCol w:w="211"/>
        <w:gridCol w:w="646"/>
        <w:gridCol w:w="286"/>
        <w:gridCol w:w="109"/>
        <w:gridCol w:w="109"/>
        <w:gridCol w:w="109"/>
        <w:gridCol w:w="211"/>
        <w:gridCol w:w="646"/>
        <w:gridCol w:w="286"/>
        <w:gridCol w:w="109"/>
        <w:gridCol w:w="109"/>
        <w:gridCol w:w="109"/>
        <w:gridCol w:w="211"/>
        <w:gridCol w:w="646"/>
        <w:gridCol w:w="331"/>
      </w:tblGrid>
      <w:tr>
        <w:trPr/>
        <w:tc>
          <w:tcPr>
            <w:tcW w:w="7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 date stock price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32.71 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21.51 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14.74 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Expected volatility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51.2 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Risk-free interest rate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Expected dividend yield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of December 31, 2025, total compensation expense not yet recognized related to unvested PRSUs was approximately $12 million, which is expected to be recognized over a weighted average period of 2 years. The fair value of PRSUs that vested in 2025 was $19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15. Earnings Per Share, Stock Repurchases, and Dividends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EPS</w:t>
      </w:r>
    </w:p>
    <w:tbl>
      <w:tblPr>
        <w:tblW w:w="8217" w:type="dxa"/>
        <w:jc w:val="left"/>
        <w:tblInd w:w="0" w:type="dxa"/>
        <w:tblLayout w:type="fixed"/>
        <w:tblCellMar>
          <w:top w:w="28" w:type="dxa"/>
          <w:left w:w="28" w:type="dxa"/>
          <w:bottom w:w="28" w:type="dxa"/>
          <w:right w:w="28" w:type="dxa"/>
        </w:tblCellMar>
      </w:tblPr>
      <w:tblGrid>
        <w:gridCol w:w="1787"/>
        <w:gridCol w:w="1571"/>
        <w:gridCol w:w="1577"/>
        <w:gridCol w:w="211"/>
        <w:gridCol w:w="541"/>
        <w:gridCol w:w="109"/>
        <w:gridCol w:w="109"/>
        <w:gridCol w:w="109"/>
        <w:gridCol w:w="109"/>
        <w:gridCol w:w="211"/>
        <w:gridCol w:w="541"/>
        <w:gridCol w:w="109"/>
        <w:gridCol w:w="109"/>
        <w:gridCol w:w="109"/>
        <w:gridCol w:w="109"/>
        <w:gridCol w:w="211"/>
        <w:gridCol w:w="541"/>
        <w:gridCol w:w="154"/>
      </w:tblGrid>
      <w:tr>
        <w:trPr/>
        <w:tc>
          <w:tcPr>
            <w:tcW w:w="1787"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per share amounts)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Net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 weighted average number of shares outstanding</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Impact of dilutive stock-based awards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 weighted average number of shares outstanding</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 earnings per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 earnings per share</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0.80 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0.64 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computation of diluted EPS includes the dilutive effect of outstanding stock-based compensation awards (which primarily consist of employee stock options, RSUs and PRSUs).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Stock Repurchases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On February 20, 2025, the Company announced that its Board of Directors (the “Board”) approved a stock repurchase program that allows the Company to purchase up to $75 million of its outstanding common stock through March 4, 2027, subject to market conditions. As of December 31, 2025,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050"/>
                <wp:effectExtent l="0" t="0" r="0" b="0"/>
                <wp:wrapNone/>
                <wp:docPr id="120" name="Frame1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113</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Company has repurchased approximately $35 million under the program. The Company retires its common stock upon repurchase with the excess over par value allocated to additional paid-in capital.</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Dividends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Company declared and paid a quarterly dividend of $.09 per share of its common stock each quarter during 2025. Subsequent to quarter end, the Company’s Board declared a cash dividend of $.09 per share of common stock payable on March 24, 2026 to stockholders of record as of the close of business on March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16. Commitments and Contingencies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Commitments</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The Company’s commitments are primarily related to our lease agreements, purchase obligations, and credit agreements. See </w:t>
      </w:r>
      <w:r>
        <w:rPr>
          <w:rFonts w:ascii="Helvetica;sans-serif" w:hAnsi="Helvetica;sans-serif"/>
          <w:b w:val="false"/>
          <w:i/>
          <w:color w:val="000000"/>
          <w:sz w:val="20"/>
        </w:rPr>
        <w:t>Note 10</w:t>
      </w:r>
      <w:r>
        <w:rPr>
          <w:rFonts w:ascii="Helvetica;sans-serif" w:hAnsi="Helvetica;sans-serif"/>
          <w:b w:val="false"/>
          <w:color w:val="000000"/>
          <w:sz w:val="20"/>
        </w:rPr>
        <w:t xml:space="preserve">: </w:t>
      </w:r>
      <w:r>
        <w:rPr>
          <w:rFonts w:ascii="Helvetica;sans-serif" w:hAnsi="Helvetica;sans-serif"/>
          <w:b w:val="false"/>
          <w:i/>
          <w:color w:val="000000"/>
          <w:sz w:val="20"/>
        </w:rPr>
        <w:t>Leases</w:t>
      </w:r>
      <w:r>
        <w:rPr>
          <w:color w:val="000000"/>
        </w:rPr>
        <w:t xml:space="preserve"> </w:t>
      </w:r>
      <w:r>
        <w:rPr>
          <w:rFonts w:ascii="Helvetica;sans-serif" w:hAnsi="Helvetica;sans-serif"/>
          <w:b w:val="false"/>
          <w:color w:val="000000"/>
          <w:sz w:val="20"/>
        </w:rPr>
        <w:t xml:space="preserve">and </w:t>
      </w:r>
      <w:r>
        <w:rPr>
          <w:rFonts w:ascii="Helvetica;sans-serif" w:hAnsi="Helvetica;sans-serif"/>
          <w:b w:val="false"/>
          <w:i/>
          <w:color w:val="000000"/>
          <w:sz w:val="20"/>
        </w:rPr>
        <w:t>Note 12</w:t>
      </w:r>
      <w:r>
        <w:rPr>
          <w:rFonts w:ascii="Helvetica;sans-serif" w:hAnsi="Helvetica;sans-serif"/>
          <w:b w:val="false"/>
          <w:color w:val="000000"/>
          <w:sz w:val="20"/>
        </w:rPr>
        <w:t xml:space="preserve">: </w:t>
      </w:r>
      <w:r>
        <w:rPr>
          <w:rFonts w:ascii="Helvetica;sans-serif" w:hAnsi="Helvetica;sans-serif"/>
          <w:b w:val="false"/>
          <w:i/>
          <w:color w:val="000000"/>
          <w:sz w:val="20"/>
        </w:rPr>
        <w:t>Debt</w:t>
      </w:r>
      <w:r>
        <w:rPr>
          <w:color w:val="000000"/>
        </w:rPr>
        <w:t xml:space="preserve"> </w:t>
      </w:r>
      <w:r>
        <w:rPr>
          <w:rFonts w:ascii="Helvetica;sans-serif" w:hAnsi="Helvetica;sans-serif"/>
          <w:b w:val="false"/>
          <w:color w:val="000000"/>
          <w:sz w:val="20"/>
        </w:rPr>
        <w:t>for additional information on our leases and credit agreements.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Contingencies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From time to time, we are subject to certain legal proceedings and claims in the ordinary course of business. These matters are subject to many uncertainties, and it is possible that some of these matters ultimately could be decided, resolved or settled in a manner adverse to us. Although the precise amount of liability that may result from these matters is not ascertainable, the Company believes that any amounts exceeding the Company's recorded accruals should not materially adversely affect the Company's financial condition or liquidity. It is possible, however, that the ultimate resolution of those matters could result in a material adverse effect on the Company's results of operations and/or cash flows from operating activities for a particular reporting period. We establish reserves for specific legal matters when we determine that the likelihood of an unfavorable outcome is probable, and the loss is reasonably estimable. The Company reviews the developments in contingencies that could affect the amount of the reserves that have been previously recorded. The Company adjusts provisions and changes to disclosures accordingly to reflect the impact of negotiations, settlements, rulings, advice of legal counsel, and updated information. Significant judgment is required to determine both the probability and the estimated amount of any potential losses.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As a government contractor, with customers including the U.S. government as well as various state and local government entities, the Company may be subject to audits, investigations and claims with respect to its contract performance, pricing, costs, cost allocations and procurement practices. Additionally, amounts billed under such contracts, including direct and indirect costs, are subject to potential adjustments before final settlement.</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Management believes that adequate provisions for such potential audits, investigations, claims and contract adjustments, if any, have been made in the Consolidated Financial Statements.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Restructuring costs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engage in targeted restructuring initiatives in order to rationalize headcount and align our operations in a more strategic and cost-efficient structure. In connection with these restructuring initiatives, we recorded charges totaling $2 million, $8 million and $11 million for the years ended December 31, 2025, 2024 and 2023, respectively. These restructuring initiatives were within our ASC segment and were substantially completed as of December 31, 2025. Costs incurred were related to employee termination and severance costs, as well as costs related to discontinuing product lines or closing down of locations. Charges were recorded within other operating expenses, net,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050"/>
                <wp:effectExtent l="0" t="0" r="0" b="0"/>
                <wp:wrapNone/>
                <wp:docPr id="121" name="Frame1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114</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Consolidated Statements of Earnings. See the table below for a breakout of restructuring costs by nature of cost incurred:</w:t>
      </w:r>
    </w:p>
    <w:tbl>
      <w:tblPr>
        <w:tblW w:w="4556" w:type="dxa"/>
        <w:jc w:val="left"/>
        <w:tblInd w:w="0" w:type="dxa"/>
        <w:tblLayout w:type="fixed"/>
        <w:tblCellMar>
          <w:top w:w="28" w:type="dxa"/>
          <w:left w:w="28" w:type="dxa"/>
          <w:bottom w:w="28" w:type="dxa"/>
          <w:right w:w="28" w:type="dxa"/>
        </w:tblCellMar>
      </w:tblPr>
      <w:tblGrid>
        <w:gridCol w:w="716"/>
        <w:gridCol w:w="630"/>
        <w:gridCol w:w="633"/>
        <w:gridCol w:w="211"/>
        <w:gridCol w:w="271"/>
        <w:gridCol w:w="109"/>
        <w:gridCol w:w="109"/>
        <w:gridCol w:w="109"/>
        <w:gridCol w:w="109"/>
        <w:gridCol w:w="211"/>
        <w:gridCol w:w="271"/>
        <w:gridCol w:w="109"/>
        <w:gridCol w:w="109"/>
        <w:gridCol w:w="109"/>
        <w:gridCol w:w="109"/>
        <w:gridCol w:w="211"/>
        <w:gridCol w:w="376"/>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Year Ended December 31,</w:t>
            </w:r>
          </w:p>
        </w:tc>
      </w:tr>
      <w:tr>
        <w:trPr/>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right w:val="single" w:sz="8" w:space="0" w:color="FFFFFF"/>
            </w:tcBorders>
            <w:tcMar>
              <w:top w:w="30" w:type="dxa"/>
              <w:left w:w="0" w:type="dxa"/>
              <w:bottom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Severance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Facility abandonment</w:t>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is a summary of changes in the restructuring provision balance during the years ended December 31, 2025 and 2024:</w:t>
      </w:r>
    </w:p>
    <w:tbl>
      <w:tblPr>
        <w:tblW w:w="3620" w:type="dxa"/>
        <w:jc w:val="left"/>
        <w:tblInd w:w="0" w:type="dxa"/>
        <w:tblLayout w:type="fixed"/>
        <w:tblCellMar>
          <w:top w:w="28" w:type="dxa"/>
          <w:left w:w="28" w:type="dxa"/>
          <w:bottom w:w="28" w:type="dxa"/>
          <w:right w:w="28" w:type="dxa"/>
        </w:tblCellMar>
      </w:tblPr>
      <w:tblGrid>
        <w:gridCol w:w="1041"/>
        <w:gridCol w:w="917"/>
        <w:gridCol w:w="921"/>
        <w:gridCol w:w="211"/>
        <w:gridCol w:w="376"/>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Balance at January 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Additional provision</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Reversal and utilization</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Balance at December 31, 2024</w:t>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Additional provision</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Reversal and utilization</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Balance at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Product Warranties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Product warranty costs generally are accrued in proportion to product revenue realized in conjunction with our over time revenue recognition policy. Product warranty expense is recognized based on the term of the product warranty, generally one year to three years, and the related estimated costs, considering historical claims expense. Accrued warranty costs are reduced as these costs are incurred and as the warranty period expires, and otherwise may be modified as specific product performance issues are identified and resolved. The following is a summary of changes in the product warranty balances during the years ended December 31, 2025 and 2024:</w:t>
      </w:r>
    </w:p>
    <w:tbl>
      <w:tblPr>
        <w:tblW w:w="3620" w:type="dxa"/>
        <w:jc w:val="left"/>
        <w:tblInd w:w="0" w:type="dxa"/>
        <w:tblLayout w:type="fixed"/>
        <w:tblCellMar>
          <w:top w:w="28" w:type="dxa"/>
          <w:left w:w="28" w:type="dxa"/>
          <w:bottom w:w="28" w:type="dxa"/>
          <w:right w:w="28" w:type="dxa"/>
        </w:tblCellMar>
      </w:tblPr>
      <w:tblGrid>
        <w:gridCol w:w="1041"/>
        <w:gridCol w:w="917"/>
        <w:gridCol w:w="921"/>
        <w:gridCol w:w="211"/>
        <w:gridCol w:w="376"/>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Balance at January 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Additional provision</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Reversal and utilization</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Balance at December 31,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Additional provision</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Reversal and utilization</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Balance at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17. Related Party Transactions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Although we operate largely independently from Leonardo S.p.A., our indirect majority stockholder, and the amended and restated proxy agreement contains limitations on services that we may provide to and receive from Leonardo S.p.A. and its affiliates, we have historically provided, and expect to continue to provide, certain services to Leonardo S.p.A. and its affiliates to support its U.S. operations (aside from us). These services include financial, tax, trade compliance, marketing and communications and legal.</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Company also has related party sales and purchases with the indirect majority stockholder and its other affiliates that occur in the regular course of business. Related party sales are included in revenues and were $29 million, $30 million and $40 million for the years ended December 31, 2025,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050"/>
                <wp:effectExtent l="0" t="0" r="0" b="0"/>
                <wp:wrapNone/>
                <wp:docPr id="122" name="Frame1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115</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and 2023, respectively. Related party purchases are included in cost of revenues and were $7 million, $7 million and $4 million for the years ended December 31, 2025, 2024 and 2023, respectively. The receivables with the indirect majority stockholder and its other affiliates of $5 million and $19 million, respectively, and payables of $5 million and $4 million, respectively, as of December 31, 2025 and 2024, are included in accounts receivable, net and accounts payable in our Consolidated Balance Sheets. In addition, there was a related party balance in contract assets of $16 million and $12 million, respectively, as of December 31, 2025 and 2024.</w:t>
      </w:r>
    </w:p>
    <w:p>
      <w:pPr>
        <w:pStyle w:val="TextBody"/>
        <w:bidi w:val="0"/>
        <w:spacing w:lineRule="auto" w:line="288" w:before="0" w:after="180"/>
        <w:ind w:left="0" w:right="0" w:firstLine="360"/>
        <w:jc w:val="left"/>
        <w:rPr/>
      </w:pPr>
      <w:r>
        <w:rPr>
          <w:rFonts w:ascii="Helvetica;sans-serif" w:hAnsi="Helvetica;sans-serif"/>
          <w:b w:val="false"/>
          <w:color w:val="000000"/>
          <w:sz w:val="20"/>
        </w:rPr>
        <w:t>The Company entered into a Tax Allocation Agreement with US Holding, dated as of November 16, 2020. See</w:t>
      </w:r>
      <w:r>
        <w:rPr>
          <w:color w:val="000000"/>
        </w:rPr>
        <w:t xml:space="preserve"> </w:t>
      </w:r>
      <w:r>
        <w:rPr>
          <w:rFonts w:ascii="Helvetica;sans-serif" w:hAnsi="Helvetica;sans-serif"/>
          <w:b w:val="false"/>
          <w:i/>
          <w:color w:val="000000"/>
          <w:sz w:val="20"/>
        </w:rPr>
        <w:t>Note 1:</w:t>
      </w:r>
      <w:r>
        <w:rPr>
          <w:color w:val="000000"/>
        </w:rPr>
        <w:t xml:space="preserve"> </w:t>
      </w:r>
      <w:r>
        <w:rPr>
          <w:rFonts w:ascii="Helvetica;sans-serif" w:hAnsi="Helvetica;sans-serif"/>
          <w:b w:val="false"/>
          <w:i/>
          <w:color w:val="000000"/>
          <w:sz w:val="20"/>
        </w:rPr>
        <w:t xml:space="preserve">Summary of Significant Accounting Policies </w:t>
      </w:r>
      <w:r>
        <w:rPr>
          <w:rFonts w:ascii="Helvetica;sans-serif" w:hAnsi="Helvetica;sans-serif"/>
          <w:b w:val="false"/>
          <w:color w:val="000000"/>
          <w:sz w:val="20"/>
        </w:rPr>
        <w:t>for more information.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Company has an investment in the preferred stock of a private company and holds two board seats in the investee. Related party sales to this company were $6 million for the year ended December 31, 2025. The Company also had $6 million of related party balances in contract assets with this company at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Note 18. Segment Information</w:t>
      </w:r>
    </w:p>
    <w:p>
      <w:pPr>
        <w:pStyle w:val="TextBody"/>
        <w:bidi w:val="0"/>
        <w:spacing w:lineRule="auto" w:line="288" w:before="0" w:after="180"/>
        <w:ind w:left="0" w:right="0" w:firstLine="360"/>
        <w:jc w:val="left"/>
        <w:rPr/>
      </w:pPr>
      <w:r>
        <w:rPr>
          <w:rFonts w:ascii="Helvetica;sans-serif" w:hAnsi="Helvetica;sans-serif"/>
          <w:b w:val="false"/>
          <w:color w:val="000000"/>
          <w:sz w:val="20"/>
        </w:rPr>
        <w:t xml:space="preserve">Operating segments represent components of an enterprise for which separate financial information is available that is regularly reviewed by the CODM in determining how to allocate resources and assess performance. Our Chief Executive Officer is our CODM. The Company’s operating and reportable segments consist of ASC and IMS. All other operations, which consists primarily of DRS corporate headquarters and certain non-operating subsidiaries of the Company, are grouped in Corporate &amp; Eliminations. See </w:t>
      </w:r>
      <w:r>
        <w:rPr>
          <w:rFonts w:ascii="Helvetica;sans-serif" w:hAnsi="Helvetica;sans-serif"/>
          <w:b w:val="false"/>
          <w:i/>
          <w:color w:val="000000"/>
          <w:sz w:val="20"/>
        </w:rPr>
        <w:t xml:space="preserve">Note 1: Summary of Significant Accounting Policies </w:t>
      </w:r>
      <w:r>
        <w:rPr>
          <w:rFonts w:ascii="Helvetica;sans-serif" w:hAnsi="Helvetica;sans-serif"/>
          <w:b w:val="false"/>
          <w:color w:val="000000"/>
          <w:sz w:val="20"/>
        </w:rPr>
        <w:t>for a description of our reportable segments.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CODM primarily uses operating earnings to manage the Company and allocate resources. Operating earnings is used to facilitate a comparison of the ordinary, ongoing and customary course of our operations on a consistent basis from period to period and provide an additional understanding of factors and trends affecting our business segments.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Certain information related to our segments for the years ended December 31, 2025, 2024 and 2023, is presented in the following tables. Consistent accounting policies have been applied by all segments within the Company, within all reporting periods. Intersegment sales are generally transferred at cost to the buying segment, and the sourcing segment does not recognize a profit. Such intercompany operating earnings is eliminated in consolidation, so that the Company’s total revenues and operating earnings reflect only those transactions with external customers.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Revenues, expenses, and operating earnings by segment and the reconciliation to earnings before taxes for the years ended December 31, 2025, 2024 and 2023, consists of the following:</w:t>
      </w:r>
    </w:p>
    <w:tbl>
      <w:tblPr>
        <w:tblW w:w="5876" w:type="dxa"/>
        <w:jc w:val="left"/>
        <w:tblInd w:w="0" w:type="dxa"/>
        <w:tblLayout w:type="fixed"/>
        <w:tblCellMar>
          <w:top w:w="28" w:type="dxa"/>
          <w:left w:w="28" w:type="dxa"/>
          <w:bottom w:w="28" w:type="dxa"/>
          <w:right w:w="28" w:type="dxa"/>
        </w:tblCellMar>
      </w:tblPr>
      <w:tblGrid>
        <w:gridCol w:w="824"/>
        <w:gridCol w:w="726"/>
        <w:gridCol w:w="729"/>
        <w:gridCol w:w="211"/>
        <w:gridCol w:w="646"/>
        <w:gridCol w:w="109"/>
        <w:gridCol w:w="109"/>
        <w:gridCol w:w="109"/>
        <w:gridCol w:w="109"/>
        <w:gridCol w:w="211"/>
        <w:gridCol w:w="646"/>
        <w:gridCol w:w="109"/>
        <w:gridCol w:w="109"/>
        <w:gridCol w:w="109"/>
        <w:gridCol w:w="109"/>
        <w:gridCol w:w="211"/>
        <w:gridCol w:w="646"/>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Revenues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Corporate &amp; Eliminations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 revenues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050"/>
                <wp:effectExtent l="0" t="0" r="0" b="0"/>
                <wp:wrapNone/>
                <wp:docPr id="123" name="Frame1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116</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tbl>
      <w:tblPr>
        <w:tblW w:w="9536" w:type="dxa"/>
        <w:jc w:val="left"/>
        <w:tblInd w:w="0" w:type="dxa"/>
        <w:tblLayout w:type="fixed"/>
        <w:tblCellMar>
          <w:top w:w="28" w:type="dxa"/>
          <w:left w:w="28" w:type="dxa"/>
          <w:bottom w:w="28" w:type="dxa"/>
          <w:right w:w="28" w:type="dxa"/>
        </w:tblCellMar>
      </w:tblPr>
      <w:tblGrid>
        <w:gridCol w:w="2150"/>
        <w:gridCol w:w="1891"/>
        <w:gridCol w:w="1898"/>
        <w:gridCol w:w="211"/>
        <w:gridCol w:w="646"/>
        <w:gridCol w:w="109"/>
        <w:gridCol w:w="109"/>
        <w:gridCol w:w="109"/>
        <w:gridCol w:w="109"/>
        <w:gridCol w:w="211"/>
        <w:gridCol w:w="646"/>
        <w:gridCol w:w="109"/>
        <w:gridCol w:w="109"/>
        <w:gridCol w:w="109"/>
        <w:gridCol w:w="109"/>
        <w:gridCol w:w="211"/>
        <w:gridCol w:w="646"/>
        <w:gridCol w:w="154"/>
      </w:tblGrid>
      <w:tr>
        <w:trPr/>
        <w:tc>
          <w:tcPr>
            <w:tcW w:w="2150"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Cost of revenues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ASC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IMS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Corporate &amp; Eliminations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Total cost of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General and administrative</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ASC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IMS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Corporate &amp; Eliminations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Total 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Company-funded independent research and development</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ASC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IMS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Corporate &amp; Eliminations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Total company-funded independent research and development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Amortization of acquired intangible assets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ASC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IMS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Corporate &amp; Eliminations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Total amortization of acquired intangible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Other segment items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ASC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IMS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Corporate &amp; Eliminations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 other segment items</w:t>
            </w:r>
            <w:r>
              <w:rPr>
                <w:rFonts w:ascii="Helvetica;sans-serif" w:hAnsi="Helvetica;sans-serif"/>
                <w:b/>
                <w:color w:val="000000"/>
                <w:sz w:val="13"/>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Operating earnings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ASC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IMS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Corporate &amp; Eliminations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Total operating earnings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Other,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Earnings before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Helvetica;sans-serif" w:hAnsi="Helvetica;sans-serif"/>
          <w:b w:val="false"/>
          <w:color w:val="000000"/>
          <w:sz w:val="18"/>
        </w:rPr>
      </w:pPr>
      <w:r>
        <w:rPr>
          <w:rFonts w:ascii="Helvetica;sans-serif" w:hAnsi="Helvetica;sans-serif"/>
          <w:b w:val="false"/>
          <w:color w:val="000000"/>
          <w:sz w:val="18"/>
        </w:rPr>
        <w:t>________________</w:t>
      </w:r>
    </w:p>
    <w:p>
      <w:pPr>
        <w:pStyle w:val="TextBody"/>
        <w:bidi w:val="0"/>
        <w:spacing w:lineRule="auto" w:line="288" w:before="0" w:after="180"/>
        <w:ind w:left="0" w:right="0" w:hanging="360"/>
        <w:jc w:val="left"/>
        <w:rPr>
          <w:rFonts w:ascii="Helvetica;sans-serif" w:hAnsi="Helvetica;sans-serif"/>
          <w:b w:val="false"/>
          <w:color w:val="000000"/>
          <w:sz w:val="18"/>
        </w:rPr>
      </w:pPr>
      <w:r>
        <w:rPr>
          <w:rFonts w:ascii="Helvetica;sans-serif" w:hAnsi="Helvetica;sans-serif"/>
          <w:b w:val="false"/>
          <w:color w:val="000000"/>
          <w:sz w:val="18"/>
        </w:rPr>
        <w:t>(1)Includes ASC restructuring costs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050"/>
                <wp:effectExtent l="0" t="0" r="0" b="0"/>
                <wp:wrapNone/>
                <wp:docPr id="124" name="Frame1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117</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LEONARDO DRS, INC.    </w:t>
      </w:r>
    </w:p>
    <w:p>
      <w:pPr>
        <w:pStyle w:val="TextBody"/>
        <w:bidi w:val="0"/>
        <w:spacing w:lineRule="auto" w:line="288" w:before="0" w:after="180"/>
        <w:jc w:val="center"/>
        <w:rPr/>
      </w:pPr>
      <w:r>
        <w:rPr>
          <w:rFonts w:ascii="Helvetica;sans-serif" w:hAnsi="Helvetica;sans-serif"/>
          <w:b/>
          <w:color w:val="000000"/>
          <w:sz w:val="20"/>
        </w:rPr>
        <w:t>NOTES TO CONSOLIDATED FINANCIAL STATEMENTS (CONTINUED)</w:t>
      </w:r>
      <w:r>
        <w:rPr>
          <w:color w:val="000000"/>
        </w:rPr>
        <w:t xml:space="preserve">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Total intersegment revenues by segment for the years ended December 31, 2025, 2024 and 2023, consists of the following:</w:t>
      </w:r>
    </w:p>
    <w:tbl>
      <w:tblPr>
        <w:tblW w:w="5607" w:type="dxa"/>
        <w:jc w:val="left"/>
        <w:tblInd w:w="0" w:type="dxa"/>
        <w:tblLayout w:type="fixed"/>
        <w:tblCellMar>
          <w:top w:w="28" w:type="dxa"/>
          <w:left w:w="28" w:type="dxa"/>
          <w:bottom w:w="28" w:type="dxa"/>
          <w:right w:w="28" w:type="dxa"/>
        </w:tblCellMar>
      </w:tblPr>
      <w:tblGrid>
        <w:gridCol w:w="1020"/>
        <w:gridCol w:w="898"/>
        <w:gridCol w:w="902"/>
        <w:gridCol w:w="211"/>
        <w:gridCol w:w="376"/>
        <w:gridCol w:w="109"/>
        <w:gridCol w:w="109"/>
        <w:gridCol w:w="109"/>
        <w:gridCol w:w="109"/>
        <w:gridCol w:w="211"/>
        <w:gridCol w:w="376"/>
        <w:gridCol w:w="109"/>
        <w:gridCol w:w="109"/>
        <w:gridCol w:w="109"/>
        <w:gridCol w:w="109"/>
        <w:gridCol w:w="211"/>
        <w:gridCol w:w="376"/>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 intersegment revenues</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Depreciation by segment for the years ended December 31, 2025, 2024 and 2023, consists of the following:</w:t>
      </w:r>
    </w:p>
    <w:tbl>
      <w:tblPr>
        <w:tblW w:w="4646" w:type="dxa"/>
        <w:jc w:val="left"/>
        <w:tblInd w:w="0" w:type="dxa"/>
        <w:tblLayout w:type="fixed"/>
        <w:tblCellMar>
          <w:top w:w="28" w:type="dxa"/>
          <w:left w:w="28" w:type="dxa"/>
          <w:bottom w:w="28" w:type="dxa"/>
          <w:right w:w="28" w:type="dxa"/>
        </w:tblCellMar>
      </w:tblPr>
      <w:tblGrid>
        <w:gridCol w:w="672"/>
        <w:gridCol w:w="592"/>
        <w:gridCol w:w="595"/>
        <w:gridCol w:w="211"/>
        <w:gridCol w:w="376"/>
        <w:gridCol w:w="109"/>
        <w:gridCol w:w="109"/>
        <w:gridCol w:w="109"/>
        <w:gridCol w:w="109"/>
        <w:gridCol w:w="211"/>
        <w:gridCol w:w="376"/>
        <w:gridCol w:w="109"/>
        <w:gridCol w:w="109"/>
        <w:gridCol w:w="109"/>
        <w:gridCol w:w="109"/>
        <w:gridCol w:w="211"/>
        <w:gridCol w:w="376"/>
        <w:gridCol w:w="154"/>
      </w:tblGrid>
      <w:tr>
        <w:trPr/>
        <w:tc>
          <w:tcPr>
            <w:tcW w:w="67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 depreciation</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Total assets by segment as of December 31, 2025 and 2024, consists of the following:</w:t>
      </w:r>
    </w:p>
    <w:tbl>
      <w:tblPr>
        <w:tblW w:w="4583" w:type="dxa"/>
        <w:jc w:val="left"/>
        <w:tblInd w:w="0" w:type="dxa"/>
        <w:tblLayout w:type="fixed"/>
        <w:tblCellMar>
          <w:top w:w="28" w:type="dxa"/>
          <w:left w:w="28" w:type="dxa"/>
          <w:bottom w:w="28" w:type="dxa"/>
          <w:right w:w="28" w:type="dxa"/>
        </w:tblCellMar>
      </w:tblPr>
      <w:tblGrid>
        <w:gridCol w:w="824"/>
        <w:gridCol w:w="726"/>
        <w:gridCol w:w="729"/>
        <w:gridCol w:w="211"/>
        <w:gridCol w:w="646"/>
        <w:gridCol w:w="109"/>
        <w:gridCol w:w="109"/>
        <w:gridCol w:w="109"/>
        <w:gridCol w:w="109"/>
        <w:gridCol w:w="211"/>
        <w:gridCol w:w="646"/>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(Dollars in millions)</w:t>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ASC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2,249 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IMS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Corporate &amp; Eliminations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Helvetica;sans-serif" w:hAnsi="Helvetica;sans-serif"/>
                <w:b/>
                <w:color w:val="000000"/>
                <w:sz w:val="20"/>
              </w:rPr>
              <w:t>Total assets</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4,486 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050"/>
                <wp:effectExtent l="0" t="0" r="0" b="0"/>
                <wp:wrapNone/>
                <wp:docPr id="125" name="Frame1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9. CHANGES IN AND DISAGREEMENTS WITH ACCOUNTANTS ON ACCOUNTING AND FINANCIAL DISCLOSURE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Helvetica;sans-serif" w:hAnsi="Helvetica;sans-serif"/>
          <w:b/>
          <w:color w:val="000000"/>
          <w:sz w:val="20"/>
        </w:rPr>
        <w:t>ITEM 9A</w:t>
      </w:r>
      <w:r>
        <w:rPr>
          <w:rFonts w:ascii="Helvetica;sans-serif" w:hAnsi="Helvetica;sans-serif"/>
          <w:b w:val="false"/>
          <w:color w:val="000000"/>
          <w:sz w:val="20"/>
        </w:rPr>
        <w:t xml:space="preserve">. </w:t>
      </w:r>
      <w:r>
        <w:rPr>
          <w:rFonts w:ascii="Helvetica;sans-serif" w:hAnsi="Helvetica;sans-serif"/>
          <w:b/>
          <w:color w:val="000000"/>
          <w:sz w:val="20"/>
        </w:rPr>
        <w:t>CONTROLS AND PROCEDURES</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Evaluation of Disclosure Controls and Procedures</w:t>
      </w:r>
    </w:p>
    <w:p>
      <w:pPr>
        <w:pStyle w:val="TextBody"/>
        <w:bidi w:val="0"/>
        <w:spacing w:lineRule="auto" w:line="288" w:before="0" w:after="180"/>
        <w:ind w:left="0" w:right="0" w:firstLine="360"/>
        <w:jc w:val="left"/>
        <w:rPr/>
      </w:pPr>
      <w:r>
        <w:rPr>
          <w:rFonts w:ascii="Helvetica;sans-serif" w:hAnsi="Helvetica;sans-serif"/>
          <w:b w:val="false"/>
          <w:color w:val="000000"/>
          <w:sz w:val="20"/>
        </w:rPr>
        <w:t>As required by Rule 13a-15 under the Securities Exchange Act of 1934</w:t>
      </w:r>
      <w:r>
        <w:rPr>
          <w:rFonts w:ascii="Helvetica;sans-serif" w:hAnsi="Helvetica;sans-serif"/>
          <w:b w:val="false"/>
          <w:i/>
          <w:color w:val="000000"/>
          <w:sz w:val="20"/>
        </w:rPr>
        <w:t xml:space="preserve">, </w:t>
      </w:r>
      <w:r>
        <w:rPr>
          <w:rFonts w:ascii="Helvetica;sans-serif" w:hAnsi="Helvetica;sans-serif"/>
          <w:b w:val="false"/>
          <w:color w:val="000000"/>
          <w:sz w:val="20"/>
        </w:rPr>
        <w:t>our Chief Executive Officer and Chief Financial Officer have evaluated our disclosure controls and procedures as of December 31, 2025 and determined these disclosure controls and procedures are effective to ensure that information required to be disclosed in reports filed or submitted under the Exchange Act is accumulated and communicated to management as appropriate to allow timely decisions regarding required disclosure.</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Management’s Report on Internal Control Over Financial Reporting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management is responsible for establishing and maintaining adequate internal control over financial reporting. Our management conducted an assessment of the effectiveness of our internal control over financial reporting as of December 31, 2025. This assessment was based on the criteria set forth by the Committee of Sponsoring Organizations of the Treadway Commission in Internal Control-Integrated Framework (2013 framework). Based on this assessment, management concluded that our internal control over financial reporting was effective as of December 31, 2025.</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Due to the inherent limitations, internal control systems can provide only reasonable assurance with respect to financial statement preparation and presentation and may not prevent or detect financial statement misstatements. Also, projections of any evaluation of internal control effectiveness to future periods are subject to the risk that existing controls may become inadequate because of changing conditions, or that the degree of compliance with existing policies and procedures may deteriorate.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Ernst &amp; Young LLP, our independent registered public accounting firm, audited our consolidated financial statements included in this Annual Report and our internal control over financial reporting, and the firm’s report on our internal control over financial reporting is included herein.</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Changes in Internal Control Over Financial Reporting</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There were no changes in our internal control over financial reporting identified in connection with the evaluation required by Rules 13a-15(d) and 15d-15(d) of the Exchange Act that occurred during the quarter ended December 31, 2025, that have materially affected, or are reasonably likely to materially affect, our internal control over financial reporting.</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050"/>
                <wp:effectExtent l="0" t="0" r="0" b="0"/>
                <wp:wrapNone/>
                <wp:docPr id="126" name="Frame1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119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Report of Independent Registered Public Accounting Firm</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To the Stockholders and the Board of Directors of Leonardo DRS, Inc.</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Opinion on Internal Control Over Financial Reporting</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We have audited Leonardo DRS, Inc.’s internal control over financial reporting as of December 31, 2025, based on criteria established in Internal Control—Integrated Framework issued by the Committee of Sponsoring Organizations of the Treadway Commission (2013 framework) (the COSO criteria). In our opinion, Leonardo DRS, Inc. (the Company) maintained, in all material respects, effective internal control over financial reporting as of December 31, 2025, based on the COSO criteria.</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We also have audited, in accordance with the standards of the Public Company Accounting Oversight Board (United States) (PCAOB), the consolidated balance sheets of the Company as of December 31, 2025 and 2024, the related consolidated statements of earnings, comprehensive income, stockholders' equity and cash flows for each of the three years in the period ended December 31, 2025, and the related notes and our report dated February 26, 2026 expressed an unqualified opinion thereon.</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Basis for Opinion</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Definition and Limitations of Internal Control Over Financial Reporting</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050"/>
                <wp:effectExtent l="0" t="0" r="0" b="0"/>
                <wp:wrapNone/>
                <wp:docPr id="127" name="Frame1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 xml:space="preserve">/s/ Ernst &amp; Young LLP </w:t>
      </w:r>
    </w:p>
    <w:p>
      <w:pPr>
        <w:pStyle w:val="TextBody"/>
        <w:bidi w:val="0"/>
        <w:spacing w:lineRule="auto" w:line="288" w:before="0" w:after="60"/>
        <w:jc w:val="left"/>
        <w:rPr>
          <w:rFonts w:ascii="Helvetica;sans-serif" w:hAnsi="Helvetica;sans-serif"/>
          <w:b w:val="false"/>
          <w:color w:val="000000"/>
          <w:sz w:val="20"/>
        </w:rPr>
      </w:pPr>
      <w:r>
        <w:rPr>
          <w:rFonts w:ascii="Helvetica;sans-serif" w:hAnsi="Helvetica;sans-serif"/>
          <w:b w:val="false"/>
          <w:color w:val="000000"/>
          <w:sz w:val="20"/>
        </w:rPr>
        <w:t>Tysons, Virginia</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February 26,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050"/>
                <wp:effectExtent l="0" t="0" r="0" b="0"/>
                <wp:wrapNone/>
                <wp:docPr id="128" name="Frame1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9B. OTHER INFORMATION</w:t>
      </w:r>
    </w:p>
    <w:p>
      <w:pPr>
        <w:pStyle w:val="TextBody"/>
        <w:bidi w:val="0"/>
        <w:spacing w:lineRule="auto" w:line="288" w:before="0" w:after="180"/>
        <w:ind w:left="0" w:right="0" w:firstLine="360"/>
        <w:jc w:val="left"/>
        <w:rPr>
          <w:rFonts w:ascii="Helvetica;sans-serif" w:hAnsi="Helvetica;sans-serif"/>
          <w:b/>
          <w:i/>
          <w:color w:val="000000"/>
          <w:sz w:val="20"/>
        </w:rPr>
      </w:pPr>
      <w:r>
        <w:rPr>
          <w:rFonts w:ascii="Helvetica;sans-serif" w:hAnsi="Helvetica;sans-serif"/>
          <w:b/>
          <w:i/>
          <w:color w:val="000000"/>
          <w:sz w:val="20"/>
        </w:rPr>
        <w:t>Securities Trading Plans of Directors and Executive Officers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During the three months ended December 31, 2025, none of our directors or officers (as defined in Rule 16a-1(f) of the Exchange Act) adopted, modified or terminated a “Rule 10b5-1 trading arrangement” or a “non-Rule 10b5-1 trading arrangement” as such terms are defined under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Helvetica;sans-serif" w:hAnsi="Helvetica;sans-serif"/>
          <w:b/>
          <w:color w:val="000000"/>
          <w:sz w:val="20"/>
        </w:rPr>
        <w:t>ITEM 9C</w:t>
      </w:r>
      <w:r>
        <w:rPr>
          <w:rFonts w:ascii="Helvetica;sans-serif" w:hAnsi="Helvetica;sans-serif"/>
          <w:b w:val="false"/>
          <w:color w:val="000000"/>
          <w:sz w:val="20"/>
        </w:rPr>
        <w:t xml:space="preserve">. </w:t>
      </w:r>
      <w:r>
        <w:rPr>
          <w:rFonts w:ascii="Helvetica;sans-serif" w:hAnsi="Helvetica;sans-serif"/>
          <w:b/>
          <w:color w:val="000000"/>
          <w:sz w:val="20"/>
        </w:rPr>
        <w:t>DISCLOSURE REGARDING FOREIGN JURISDICTIONS THAT PREVENT INSPECTIONS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050"/>
                <wp:effectExtent l="0" t="0" r="0" b="0"/>
                <wp:wrapNone/>
                <wp:docPr id="129" name="Frame1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10. DIRECTORS, EXECUTIVE OFFICERS AND CORPORATE GOVERNANCE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The information required by Item 10 regarding our directors and corporate governance matters is incorporated by reference herein to the Proxy Statement sections entitled “Directors and Corporate Governance.” The information required by Item 10 regarding our executive officers appears as a supplementary item following Item 4 under Part I of this Annual Report. The information required by Item 10 regarding compliance with Section 16(a) of the Exchange Act, is incorporated by reference herein to the Proxy Statement section entitled “Delinquent Section 16(a) Reports.” </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We have adopted a Code of Business Conduct and Ethics that applies to our executive officers, including our Principal Executive Officer, our Principal Financial Officer and our Principal Accounting Officer, which can be found on our website at http://investors.leonardodrs.com. We will post any amendment to or waiver from the provisions of the Code of Business Conduct and Ethics that applies to the executive officers above on the same website and will provide it to stockholders free of charge upon written request by contacting Leonardo DRS, Inc., at 2345 Crystal Drive, Suite 1000, Arlington, Virginia 22202.</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information required by Item 10 regarding insider trading policies and procedures is incorporated by reference herein to the Proxy Statement section entitled “Insider Trading Policy.” In addition, our Insider Trading Policy is filed as Exhibit 19 to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11. EXECUTIVE COMPENSATION</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information required by Item 11 is incorporated by reference herein to the Proxy Statement sections entitled “Non-Employee Director Compensation,” “Compensation Discussion and Analysis,” “Executive Compensation,” “Compensation Committee Interlocks and Insider Participation” and “Compensation Committee Report.” Notwithstanding anything indicating the contrary set forth in this Annual Report, the “Compensation Committee Report” section of the Proxy Statement shall be deemed to be “furnished” not “filed” for purposes of the Exchange Act,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12. SECURITY OWNERSHIP OF CERTAIN BENEFICIAL OWNERS AND MANAGEMENT AND RELATED STOCKHOLDER MATTERS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information required by Item 12 is incorporated by reference herein to the Proxy Statement sections entitled “Stock Ownership of Management Table,” “Compensation Discussion and Analysis,” “Executive Compensation,” “Equity Compensation Plan Information” and “Persons Owning More than 5% of Leonardo DRS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13. CERTAIN RELATIONSHIPS AND RELATED TRANSACTIONS, AND DIRECTOR INDEPENDENCE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information required by Item 13 is incorporated by reference herein to the Proxy Statement sections entitled “Certain Relationships and Related Party Transactions” and “Director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14. PRINCIPAL ACCOUNTANT FEES AND SERVICES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information required by Item 14 is incorporated by reference herein to the Proxy Statement section entitled “Fees Paid to Auditor.”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050"/>
                <wp:effectExtent l="0" t="0" r="0" b="0"/>
                <wp:wrapNone/>
                <wp:docPr id="130" name="Frame1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ITEM 15. EXHIBITS AND FINANCIAL STATEMENT SCHEDULES</w:t>
      </w:r>
    </w:p>
    <w:p>
      <w:pPr>
        <w:pStyle w:val="TextBody"/>
        <w:bidi w:val="0"/>
        <w:spacing w:lineRule="auto" w:line="288" w:before="0" w:after="180"/>
        <w:ind w:left="0" w:right="0" w:firstLine="360"/>
        <w:jc w:val="left"/>
        <w:rPr/>
      </w:pPr>
      <w:r>
        <w:rPr>
          <w:rFonts w:ascii="Helvetica;sans-serif" w:hAnsi="Helvetica;sans-serif"/>
          <w:b/>
          <w:color w:val="000000"/>
          <w:sz w:val="20"/>
        </w:rPr>
        <w:t xml:space="preserve">1. </w:t>
      </w:r>
      <w:hyperlink w:anchor="i4df40665b18f4d65a64872f9a7ba15b6_79">
        <w:r>
          <w:rPr>
            <w:rStyle w:val="InternetLink"/>
          </w:rPr>
          <w:t>Consolidated Financial Statements</w:t>
        </w:r>
      </w:hyperlink>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Consolidated Statements of Earnings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Consolidated Statements of Comprehensive Income</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Consolidated Balance Sheets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Consolidated Statements of Cash Flows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Consolidated Statements of Stockholders’ Equity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Notes to Consolidated Financial Statements (1 to 18)</w:t>
      </w: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2. Financial Statement Schedules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All schedules are omitted because they are not applicable, not required or the information is included in the Consolidated Financial Statements or the related notes thereto.</w:t>
      </w:r>
    </w:p>
    <w:p>
      <w:pPr>
        <w:pStyle w:val="TextBody"/>
        <w:bidi w:val="0"/>
        <w:spacing w:lineRule="auto" w:line="288" w:before="0" w:after="180"/>
        <w:ind w:left="0" w:right="0" w:firstLine="360"/>
        <w:jc w:val="left"/>
        <w:rPr>
          <w:rFonts w:ascii="Helvetica;sans-serif" w:hAnsi="Helvetica;sans-serif"/>
          <w:b/>
          <w:color w:val="000000"/>
          <w:sz w:val="20"/>
        </w:rPr>
      </w:pPr>
      <w:r>
        <w:rPr>
          <w:rFonts w:ascii="Helvetica;sans-serif" w:hAnsi="Helvetica;sans-serif"/>
          <w:b/>
          <w:color w:val="000000"/>
          <w:sz w:val="20"/>
        </w:rPr>
        <w:t>3. Index to Exhibits - Leonardo DRS</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Exhibits listed below, which have been filed with the SEC pursuant to the Securities Act of 1933, and which were filed as noted below, are hereby incorporated by reference and made a part of this report with the effect as if filed herewith.</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Exhibits.</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768"/>
        <w:gridCol w:w="2645"/>
        <w:gridCol w:w="371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1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Exhibit Description</w:t>
            </w:r>
          </w:p>
        </w:tc>
      </w:tr>
      <w:tr>
        <w:trPr/>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9"/>
              </w:rPr>
            </w:pPr>
            <w:r>
              <w:rPr>
                <w:rFonts w:ascii="Helvetica;sans-serif" w:hAnsi="Helvetica;sans-serif"/>
                <w:b w:val="false"/>
                <w:color w:val="000000"/>
                <w:sz w:val="19"/>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Helvetica;sans-serif" w:hAnsi="Helvetica;sans-serif"/>
                  <w:b w:val="false"/>
                  <w:color w:val="0000FF"/>
                  <w:sz w:val="19"/>
                  <w:u w:val="single"/>
                </w:rPr>
                <w:t>Stock Purchase Agreement, dated as of March 21, 2022, by and among SES Government Solutions, Inc., SES S.A., DRS Defense Solutions, LLC and DRS Global Enterprise Solutions, Inc. and Leonardo DRS, Inc.</w:t>
              </w:r>
            </w:hyperlink>
            <w:r>
              <w:rPr>
                <w:color w:val="000000"/>
              </w:rPr>
              <w:t xml:space="preserve"> </w:t>
            </w:r>
            <w:r>
              <w:rPr>
                <w:rFonts w:ascii="Helvetica;sans-serif" w:hAnsi="Helvetica;sans-serif"/>
                <w:b w:val="false"/>
                <w:color w:val="000000"/>
                <w:sz w:val="19"/>
              </w:rPr>
              <w:t>(incorporated by reference to Exhibit 2.1 to the Company’s Quarterly Report on Form 10-Q filed on May 16, 2022)</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9"/>
              </w:rPr>
            </w:pPr>
            <w:r>
              <w:rPr>
                <w:rFonts w:ascii="Helvetica;sans-serif" w:hAnsi="Helvetica;sans-serif"/>
                <w:b w:val="false"/>
                <w:color w:val="000000"/>
                <w:sz w:val="19"/>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Helvetica;sans-serif" w:hAnsi="Helvetica;sans-serif"/>
                  <w:b w:val="false"/>
                  <w:color w:val="0000FF"/>
                  <w:sz w:val="19"/>
                  <w:u w:val="single"/>
                </w:rPr>
                <w:t>Agreement and Plan of Merger, dated as of June 21, 2022, by among RADA Electronic Industries LTD., Leonardo DRS, Inc. and Blackstart LTD</w:t>
              </w:r>
            </w:hyperlink>
            <w:r>
              <w:rPr>
                <w:color w:val="000000"/>
              </w:rPr>
              <w:t xml:space="preserve"> </w:t>
            </w:r>
            <w:r>
              <w:rPr>
                <w:rFonts w:ascii="Helvetica;sans-serif" w:hAnsi="Helvetica;sans-serif"/>
                <w:b w:val="false"/>
                <w:color w:val="000000"/>
                <w:sz w:val="19"/>
              </w:rPr>
              <w:t>(incorporated by reference to Exhibit 2.1 to the Company’s Quarterly Report on Form 10-Q filed on May 16, 2022)</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9"/>
              </w:rPr>
            </w:pPr>
            <w:r>
              <w:rPr>
                <w:rFonts w:ascii="Helvetica;sans-serif" w:hAnsi="Helvetica;sans-serif"/>
                <w:b w:val="false"/>
                <w:color w:val="000000"/>
                <w:sz w:val="19"/>
              </w:rPr>
              <w:t>2.2(a)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Helvetica;sans-serif" w:hAnsi="Helvetica;sans-serif"/>
                  <w:b w:val="false"/>
                  <w:color w:val="0000FF"/>
                  <w:sz w:val="19"/>
                  <w:u w:val="single"/>
                </w:rPr>
                <w:t>Certain Waivers to and Amendments of the Agreement and Plan of Merger, dated June 21, 2022, by and among RADA Electronic Industries LTD., Leonardo DRS, Inc. and Blackstart LTD, effective August 25, 2022</w:t>
              </w:r>
            </w:hyperlink>
            <w:r>
              <w:rPr>
                <w:color w:val="000000"/>
              </w:rPr>
              <w:t xml:space="preserve"> </w:t>
            </w:r>
            <w:r>
              <w:rPr>
                <w:rFonts w:ascii="Helvetica;sans-serif" w:hAnsi="Helvetica;sans-serif"/>
                <w:b w:val="false"/>
                <w:color w:val="000000"/>
                <w:sz w:val="19"/>
              </w:rPr>
              <w:t>(incorporated by reference to Exhibit 2.1(a) of the Company’s Registration Statement on Form S-4 filed on September 2, 2022)</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9"/>
              </w:rPr>
            </w:pPr>
            <w:r>
              <w:rPr>
                <w:rFonts w:ascii="Helvetica;sans-serif" w:hAnsi="Helvetica;sans-serif"/>
                <w:b w:val="false"/>
                <w:color w:val="000000"/>
                <w:sz w:val="19"/>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Helvetica;sans-serif" w:hAnsi="Helvetica;sans-serif"/>
                  <w:b w:val="false"/>
                  <w:color w:val="0000FF"/>
                  <w:sz w:val="19"/>
                  <w:u w:val="single"/>
                </w:rPr>
                <w:t xml:space="preserve">Third Amended and Restated Certificate of Incorporation of Leonardo DRS, Inc., as in effect </w:t>
              </w:r>
            </w:hyperlink>
            <w:r>
              <w:rPr>
                <w:rFonts w:ascii="Helvetica;sans-serif" w:hAnsi="Helvetica;sans-serif"/>
                <w:b w:val="false"/>
                <w:color w:val="000000"/>
                <w:sz w:val="19"/>
              </w:rPr>
              <w:t>(incorporated by reference to Exhibit 3.1 to the Company’s Current Report on Form 8-K filed on June 5, 2025)</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9"/>
              </w:rPr>
            </w:pPr>
            <w:r>
              <w:rPr>
                <w:rFonts w:ascii="Helvetica;sans-serif" w:hAnsi="Helvetica;sans-serif"/>
                <w:b w:val="false"/>
                <w:color w:val="000000"/>
                <w:sz w:val="19"/>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Helvetica;sans-serif" w:hAnsi="Helvetica;sans-serif"/>
                  <w:b w:val="false"/>
                  <w:color w:val="0000FF"/>
                  <w:sz w:val="19"/>
                  <w:u w:val="single"/>
                </w:rPr>
                <w:t>Fifth Amended and Restated Bylaws of Leonardo DRS, Inc., as in effect</w:t>
              </w:r>
            </w:hyperlink>
            <w:r>
              <w:rPr>
                <w:color w:val="000000"/>
              </w:rPr>
              <w:t xml:space="preserve"> </w:t>
            </w:r>
            <w:r>
              <w:rPr>
                <w:rFonts w:ascii="Helvetica;sans-serif" w:hAnsi="Helvetica;sans-serif"/>
                <w:b w:val="false"/>
                <w:color w:val="000000"/>
                <w:sz w:val="19"/>
              </w:rPr>
              <w:t>(incorporated by reference to Exhibit 3.2 to the Company’s Current Report on Form 8-K filed on June 5, 2025)</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9"/>
              </w:rPr>
            </w:pPr>
            <w:r>
              <w:rPr>
                <w:rFonts w:ascii="Helvetica;sans-serif" w:hAnsi="Helvetica;sans-serif"/>
                <w:b w:val="false"/>
                <w:color w:val="000000"/>
                <w:sz w:val="19"/>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4descriptionofregis.htm">
              <w:r>
                <w:rPr>
                  <w:rStyle w:val="InternetLink"/>
                  <w:rFonts w:ascii="Helvetica;sans-serif" w:hAnsi="Helvetica;sans-serif"/>
                  <w:b w:val="false"/>
                  <w:color w:val="0000FF"/>
                  <w:sz w:val="19"/>
                  <w:u w:val="single"/>
                </w:rPr>
                <w:t>Description of Leonardo DRS, Inc. Securities</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9"/>
              </w:rPr>
            </w:pPr>
            <w:r>
              <w:rPr>
                <w:rFonts w:ascii="Helvetica;sans-serif" w:hAnsi="Helvetica;sans-serif"/>
                <w:b w:val="false"/>
                <w:color w:val="000000"/>
                <w:sz w:val="19"/>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
              <w:r>
                <w:rPr>
                  <w:rStyle w:val="InternetLink"/>
                  <w:rFonts w:ascii="Helvetica;sans-serif" w:hAnsi="Helvetica;sans-serif"/>
                  <w:b w:val="false"/>
                  <w:color w:val="0000FF"/>
                  <w:sz w:val="19"/>
                  <w:u w:val="single"/>
                </w:rPr>
                <w:t>Tax Allocation Agreement, dated as of November 16, 2020, by and among Leonardo US Holding, Inc., Leonardo DRS, Inc. and the other signatories thereto</w:t>
              </w:r>
            </w:hyperlink>
            <w:r>
              <w:rPr>
                <w:color w:val="000000"/>
              </w:rPr>
              <w:t xml:space="preserve"> </w:t>
            </w:r>
            <w:r>
              <w:rPr>
                <w:rFonts w:ascii="Helvetica;sans-serif" w:hAnsi="Helvetica;sans-serif"/>
                <w:b w:val="false"/>
                <w:color w:val="000000"/>
                <w:sz w:val="19"/>
              </w:rPr>
              <w:t>(incorporated by reference to Exhibit 10.5 to the Company’s Registration Statement on Form S-1 filed on February 26, 2021)</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Helvetica;sans-serif" w:hAnsi="Helvetica;sans-serif"/>
                  <w:b w:val="false"/>
                  <w:color w:val="000080"/>
                  <w:sz w:val="19"/>
                  <w:u w:val="single"/>
                </w:rPr>
                <w:t>Trademark License Agreement, dated as of January 1, 2021, by and between Leonardo DRS, Inc. and Leonardo – Societ</w:t>
              </w:r>
            </w:hyperlink>
            <w:hyperlink r:id="rId10">
              <w:r>
                <w:rPr>
                  <w:rStyle w:val="InternetLink"/>
                  <w:rFonts w:ascii="Helvetica;sans-serif" w:hAnsi="Helvetica;sans-serif"/>
                  <w:b w:val="false"/>
                  <w:color w:val="000080"/>
                  <w:sz w:val="19"/>
                  <w:u w:val="single"/>
                </w:rPr>
                <w:t>à</w:t>
              </w:r>
            </w:hyperlink>
            <w:hyperlink r:id="rId11">
              <w:r>
                <w:rPr>
                  <w:rStyle w:val="InternetLink"/>
                  <w:rFonts w:ascii="Helvetica;sans-serif" w:hAnsi="Helvetica;sans-serif"/>
                  <w:b w:val="false"/>
                  <w:color w:val="000080"/>
                  <w:sz w:val="19"/>
                  <w:u w:val="single"/>
                </w:rPr>
                <w:t xml:space="preserve"> per azioni</w:t>
              </w:r>
            </w:hyperlink>
            <w:r>
              <w:rPr>
                <w:color w:val="000000"/>
              </w:rPr>
              <w:t xml:space="preserve"> </w:t>
            </w:r>
            <w:r>
              <w:rPr>
                <w:rFonts w:ascii="Helvetica;sans-serif" w:hAnsi="Helvetica;sans-serif"/>
                <w:b w:val="false"/>
                <w:color w:val="000000"/>
                <w:sz w:val="19"/>
              </w:rPr>
              <w:t>(incorporated by reference to Exhibit 10.6 to the Company’s POS AM on Form S-1 filed on June 11, 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050"/>
                <wp:effectExtent l="0" t="0" r="0" b="0"/>
                <wp:wrapNone/>
                <wp:docPr id="131" name="Frame1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124</w:t>
                      </w:r>
                    </w:p>
                  </w:txbxContent>
                </v:textbox>
                <w10:wrap type="none"/>
              </v:rect>
            </w:pict>
          </mc:Fallback>
        </mc:AlternateConten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25"/>
        <w:gridCol w:w="199"/>
        <w:gridCol w:w="202"/>
        <w:gridCol w:w="109"/>
        <w:gridCol w:w="109"/>
        <w:gridCol w:w="109"/>
        <w:gridCol w:w="2806"/>
        <w:gridCol w:w="2661"/>
        <w:gridCol w:w="3785"/>
      </w:tblGrid>
      <w:tr>
        <w:trPr/>
        <w:tc>
          <w:tcPr>
            <w:tcW w:w="22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3785" w:type="dxa"/>
            <w:tcBorders/>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Helvetica;sans-serif" w:hAnsi="Helvetica;sans-serif"/>
                  <w:b w:val="false"/>
                  <w:color w:val="0000FF"/>
                  <w:sz w:val="19"/>
                  <w:u w:val="single"/>
                </w:rPr>
                <w:t>First Amendment to Tax Allocation Agreement, dated November 16, 2020, by and among Leonardo US Holding, Inc., Leonardo DRS, Inc. and Leonardo Aircraft, Inc., effective July 28, 2022</w:t>
              </w:r>
            </w:hyperlink>
            <w:r>
              <w:rPr>
                <w:color w:val="000000"/>
              </w:rPr>
              <w:t xml:space="preserve"> </w:t>
            </w:r>
            <w:r>
              <w:rPr>
                <w:rFonts w:ascii="Helvetica;sans-serif" w:hAnsi="Helvetica;sans-serif"/>
                <w:b w:val="false"/>
                <w:color w:val="000000"/>
                <w:sz w:val="19"/>
              </w:rPr>
              <w:t>(incorporated by reference to Exhibit 10.6 to the Company’s Registration Statement on Form S-4 filed on August 3, 2022)</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Helvetica;sans-serif" w:hAnsi="Helvetica;sans-serif"/>
                  <w:b w:val="false"/>
                  <w:color w:val="0000FF"/>
                  <w:sz w:val="19"/>
                  <w:u w:val="single"/>
                </w:rPr>
                <w:t>Second Amendment to Tax Allocation Agreement, dated November 16, 2020, by and among Leonardo US Holding, Inc., Leonardo DRS, Inc. and Leonardo Aircraft, Inc., effective July 29, 2022</w:t>
              </w:r>
            </w:hyperlink>
            <w:r>
              <w:rPr>
                <w:color w:val="000000"/>
              </w:rPr>
              <w:t xml:space="preserve"> </w:t>
            </w:r>
            <w:r>
              <w:rPr>
                <w:rFonts w:ascii="Helvetica;sans-serif" w:hAnsi="Helvetica;sans-serif"/>
                <w:b w:val="false"/>
                <w:color w:val="000000"/>
                <w:sz w:val="19"/>
              </w:rPr>
              <w:t>(incorporated by reference to Exhibit 10.7 to the Company’s Registration Statement on Form S-4 filed on August 3, 2022)</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Helvetica;sans-serif" w:hAnsi="Helvetica;sans-serif"/>
                  <w:b w:val="false"/>
                  <w:color w:val="0000FF"/>
                  <w:sz w:val="19"/>
                  <w:u w:val="single"/>
                </w:rPr>
                <w:t>Amended and Restated Proxy Agreement, dated as of March 1, 2025, by and among Leonardo DRS, Inc., the individual Proxy Holders signatories thereto, Leonardo US Holding, Inc., Leonardo – Società per azioni and the U.S. Department of Defense</w:t>
              </w:r>
            </w:hyperlink>
            <w:hyperlink r:id="rId15">
              <w:r>
                <w:rPr>
                  <w:rStyle w:val="InternetLink"/>
                  <w:rFonts w:ascii="Helvetica;sans-serif" w:hAnsi="Helvetica;sans-serif"/>
                  <w:b w:val="false"/>
                  <w:color w:val="0000FF"/>
                  <w:sz w:val="20"/>
                  <w:u w:val="single"/>
                </w:rPr>
                <w:t>,</w:t>
              </w:r>
            </w:hyperlink>
            <w:hyperlink r:id="rId16">
              <w:r>
                <w:rPr>
                  <w:rStyle w:val="InternetLink"/>
                  <w:color w:val="0000FF"/>
                </w:rPr>
                <w:t xml:space="preserve"> </w:t>
              </w:r>
            </w:hyperlink>
            <w:r>
              <w:rPr>
                <w:rFonts w:ascii="Helvetica;sans-serif" w:hAnsi="Helvetica;sans-serif"/>
                <w:b w:val="false"/>
                <w:color w:val="000000"/>
                <w:sz w:val="19"/>
              </w:rPr>
              <w:t>(incorporated by reference to Exhibit 10.1 to the Company’s Current Report on Form 8-K filed on March 12, 2025)</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Helvetica;sans-serif" w:hAnsi="Helvetica;sans-serif"/>
                  <w:b w:val="false"/>
                  <w:color w:val="0000FF"/>
                  <w:sz w:val="19"/>
                  <w:u w:val="single"/>
                </w:rPr>
                <w:t>Registration Rights Agreement, dated as of November 28, 2022, by and among Leonardo DRS, Inc., Leonardo S.P.A. and Leonardo US Holdings, Inc.</w:t>
              </w:r>
            </w:hyperlink>
            <w:r>
              <w:rPr>
                <w:color w:val="000000"/>
              </w:rPr>
              <w:t xml:space="preserve"> </w:t>
            </w:r>
            <w:r>
              <w:rPr>
                <w:rFonts w:ascii="Helvetica;sans-serif" w:hAnsi="Helvetica;sans-serif"/>
                <w:b w:val="false"/>
                <w:color w:val="000000"/>
                <w:sz w:val="19"/>
              </w:rPr>
              <w:t>(incorporated by reference to Exhibit 10.1 to the Company’s Current Report on Form 8-K12B filed on November 28, 2022)</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Helvetica;sans-serif" w:hAnsi="Helvetica;sans-serif"/>
                  <w:b w:val="false"/>
                  <w:color w:val="0000FF"/>
                  <w:sz w:val="19"/>
                  <w:u w:val="single"/>
                </w:rPr>
                <w:t>Amended and Restated Cooperation Agreement, dated as of June 18, 2025, by and among Leonardo DRS, Inc., Leonardo S.P.A. and Leonardo US Holdings, Inc.</w:t>
              </w:r>
            </w:hyperlink>
            <w:r>
              <w:rPr>
                <w:color w:val="000000"/>
              </w:rPr>
              <w:t xml:space="preserve"> </w:t>
            </w:r>
            <w:r>
              <w:rPr>
                <w:rFonts w:ascii="Helvetica;sans-serif" w:hAnsi="Helvetica;sans-serif"/>
                <w:b w:val="false"/>
                <w:color w:val="000000"/>
                <w:sz w:val="19"/>
              </w:rPr>
              <w:t>(incorporated by reference to Exhibit 10.1 to the Company’s Quarterly Report on Form 10-Q filed on July 30, 2025)</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Helvetica;sans-serif" w:hAnsi="Helvetica;sans-serif"/>
                  <w:b w:val="false"/>
                  <w:color w:val="0000FF"/>
                  <w:sz w:val="19"/>
                  <w:u w:val="single"/>
                </w:rPr>
                <w:t>Credit Agreement dated as of November 29, 2022, by and among Leonardo DRS, Inc. referred to therein, each of the lenders identified therein and Bank of America, N.A., as administrative agent</w:t>
              </w:r>
            </w:hyperlink>
            <w:r>
              <w:rPr>
                <w:color w:val="000000"/>
              </w:rPr>
              <w:t xml:space="preserve"> </w:t>
            </w:r>
            <w:r>
              <w:rPr>
                <w:rFonts w:ascii="Helvetica;sans-serif" w:hAnsi="Helvetica;sans-serif"/>
                <w:b w:val="false"/>
                <w:color w:val="000000"/>
                <w:sz w:val="19"/>
              </w:rPr>
              <w:t>(incorporated by reference to Exhibit 10.1 to the Company’s Current Report on Form 8-K filed on November 29, 2022)</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Helvetica;sans-serif" w:hAnsi="Helvetica;sans-serif"/>
                  <w:b w:val="false"/>
                  <w:color w:val="000080"/>
                  <w:sz w:val="19"/>
                  <w:u w:val="single"/>
                </w:rPr>
                <w:t>Credit Agreement, dated as of January 28, 2026</w:t>
              </w:r>
            </w:hyperlink>
            <w:hyperlink r:id="rId21">
              <w:r>
                <w:rPr>
                  <w:rStyle w:val="InternetLink"/>
                  <w:rFonts w:ascii="Helvetica;sans-serif" w:hAnsi="Helvetica;sans-serif"/>
                  <w:b w:val="false"/>
                  <w:color w:val="000080"/>
                  <w:sz w:val="19"/>
                  <w:u w:val="single"/>
                </w:rPr>
                <w:t>,</w:t>
              </w:r>
            </w:hyperlink>
            <w:hyperlink r:id="rId22">
              <w:r>
                <w:rPr>
                  <w:rStyle w:val="InternetLink"/>
                  <w:rFonts w:ascii="Helvetica;sans-serif" w:hAnsi="Helvetica;sans-serif"/>
                  <w:b w:val="false"/>
                  <w:color w:val="000080"/>
                  <w:sz w:val="19"/>
                  <w:u w:val="single"/>
                </w:rPr>
                <w:t xml:space="preserve"> by and among Leonardo DRS, Inc., certain subsidiaries of Leonardo DRS, Inc. referred to therein, each of the lenders identified therein and JPMorgan Chase Bank, N.A., as administrative agent</w:t>
              </w:r>
            </w:hyperlink>
            <w:r>
              <w:rPr>
                <w:color w:val="000000"/>
              </w:rPr>
              <w:t xml:space="preserve"> </w:t>
            </w:r>
            <w:r>
              <w:rPr>
                <w:rFonts w:ascii="Helvetica;sans-serif" w:hAnsi="Helvetica;sans-serif"/>
                <w:b w:val="false"/>
                <w:color w:val="000000"/>
                <w:sz w:val="19"/>
              </w:rPr>
              <w:t>(incorporated by reference to Exhibit 10.1 to the Company’s Current Report on Form 8-K filed on January 28, 2026)</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Helvetica;sans-serif" w:hAnsi="Helvetica;sans-serif"/>
                  <w:b w:val="false"/>
                  <w:color w:val="0000FF"/>
                  <w:sz w:val="19"/>
                  <w:u w:val="single"/>
                </w:rPr>
                <w:t>Employment Agreement, dated as of November 22, 2022, by and between Leonardo DRS, Inc. and William J. Lynn III</w:t>
              </w:r>
            </w:hyperlink>
            <w:r>
              <w:rPr>
                <w:color w:val="000000"/>
              </w:rPr>
              <w:t xml:space="preserve"> </w:t>
            </w:r>
            <w:r>
              <w:rPr>
                <w:rFonts w:ascii="Helvetica;sans-serif" w:hAnsi="Helvetica;sans-serif"/>
                <w:b w:val="false"/>
                <w:color w:val="000000"/>
                <w:sz w:val="19"/>
              </w:rPr>
              <w:t>(incorporated by reference to Exhibit 10.5 of the Company’s Current Report on Form 8-K12B filed on November 28, 2022)</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Helvetica;sans-serif" w:hAnsi="Helvetica;sans-serif"/>
                  <w:b w:val="false"/>
                  <w:color w:val="0000FF"/>
                  <w:sz w:val="20"/>
                  <w:u w:val="single"/>
                </w:rPr>
                <w:t>Employment Agreement, dated as of October 27, 2025, by and between Leonardo DRS, Inc. and John Baylouny</w:t>
              </w:r>
            </w:hyperlink>
            <w:r>
              <w:rPr>
                <w:color w:val="000000"/>
              </w:rPr>
              <w:t xml:space="preserve"> </w:t>
            </w:r>
            <w:r>
              <w:rPr>
                <w:rFonts w:ascii="Helvetica;sans-serif" w:hAnsi="Helvetica;sans-serif"/>
                <w:b w:val="false"/>
                <w:color w:val="000000"/>
                <w:sz w:val="20"/>
              </w:rPr>
              <w:t>(incorporated by reference to Exhibit 10.1 of the Company’s Current Report on Form 8-K filed on October 29, 2025)</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Helvetica;sans-serif" w:hAnsi="Helvetica;sans-serif"/>
                  <w:b w:val="false"/>
                  <w:color w:val="000080"/>
                  <w:sz w:val="19"/>
                  <w:u w:val="single"/>
                </w:rPr>
                <w:t>T</w:t>
              </w:r>
            </w:hyperlink>
            <w:hyperlink r:id="rId26">
              <w:r>
                <w:rPr>
                  <w:rStyle w:val="InternetLink"/>
                  <w:rFonts w:ascii="Helvetica;sans-serif" w:hAnsi="Helvetica;sans-serif"/>
                  <w:b w:val="false"/>
                  <w:color w:val="000080"/>
                  <w:sz w:val="19"/>
                  <w:u w:val="single"/>
                </w:rPr>
                <w:t>ransition Separation Plan</w:t>
              </w:r>
            </w:hyperlink>
            <w:hyperlink r:id="rId27">
              <w:r>
                <w:rPr>
                  <w:rStyle w:val="InternetLink"/>
                  <w:rFonts w:ascii="Helvetica;sans-serif" w:hAnsi="Helvetica;sans-serif"/>
                  <w:b w:val="false"/>
                  <w:color w:val="000080"/>
                  <w:sz w:val="19"/>
                  <w:u w:val="single"/>
                </w:rPr>
                <w:t xml:space="preserve">, dated as of October 27, 2025, by and </w:t>
              </w:r>
            </w:hyperlink>
            <w:hyperlink r:id="rId28">
              <w:r>
                <w:rPr>
                  <w:rStyle w:val="InternetLink"/>
                  <w:rFonts w:ascii="Helvetica;sans-serif" w:hAnsi="Helvetica;sans-serif"/>
                  <w:b w:val="false"/>
                  <w:color w:val="000080"/>
                  <w:sz w:val="19"/>
                  <w:u w:val="single"/>
                </w:rPr>
                <w:t>between Leonardo DRS, Inc.</w:t>
              </w:r>
            </w:hyperlink>
            <w:hyperlink r:id="rId29">
              <w:r>
                <w:rPr>
                  <w:rStyle w:val="InternetLink"/>
                  <w:rFonts w:ascii="Helvetica;sans-serif" w:hAnsi="Helvetica;sans-serif"/>
                  <w:b w:val="false"/>
                  <w:color w:val="000080"/>
                  <w:sz w:val="19"/>
                  <w:u w:val="single"/>
                </w:rPr>
                <w:t xml:space="preserve"> and William J. Lynn III</w:t>
              </w:r>
            </w:hyperlink>
            <w:r>
              <w:rPr>
                <w:color w:val="000000"/>
              </w:rPr>
              <w:t xml:space="preserve"> </w:t>
            </w:r>
            <w:r>
              <w:rPr>
                <w:rFonts w:ascii="Helvetica;sans-serif" w:hAnsi="Helvetica;sans-serif"/>
                <w:b w:val="false"/>
                <w:color w:val="000000"/>
                <w:sz w:val="19"/>
              </w:rPr>
              <w:t>(incorporated by reference to Exhibit 10.2 of the Company’s Current Report on Form 8-K filed on October 29, 2025)</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Helvetica;sans-serif" w:hAnsi="Helvetica;sans-serif"/>
                  <w:b w:val="false"/>
                  <w:color w:val="0000FF"/>
                  <w:sz w:val="19"/>
                  <w:u w:val="single"/>
                </w:rPr>
                <w:t>Leonardo DRS Incentive Compensation Plan</w:t>
              </w:r>
            </w:hyperlink>
            <w:r>
              <w:rPr>
                <w:color w:val="000000"/>
              </w:rPr>
              <w:t xml:space="preserve"> </w:t>
            </w:r>
            <w:r>
              <w:rPr>
                <w:rFonts w:ascii="Helvetica;sans-serif" w:hAnsi="Helvetica;sans-serif"/>
                <w:b w:val="false"/>
                <w:color w:val="000000"/>
                <w:sz w:val="19"/>
              </w:rPr>
              <w:t>(incorporated by reference to Exhibit 10.11 of the Company’s Annual Report on Form 10-K for the year ended December 31, 2022)</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Helvetica;sans-serif" w:hAnsi="Helvetica;sans-serif"/>
                  <w:b w:val="false"/>
                  <w:color w:val="0000FF"/>
                  <w:sz w:val="19"/>
                  <w:u w:val="single"/>
                </w:rPr>
                <w:t>Leonardo DRS Long-Term Incentive Plan</w:t>
              </w:r>
            </w:hyperlink>
            <w:r>
              <w:rPr>
                <w:color w:val="000000"/>
              </w:rPr>
              <w:t xml:space="preserve"> </w:t>
            </w:r>
            <w:r>
              <w:rPr>
                <w:rFonts w:ascii="Helvetica;sans-serif" w:hAnsi="Helvetica;sans-serif"/>
                <w:b w:val="false"/>
                <w:color w:val="000000"/>
                <w:sz w:val="19"/>
              </w:rPr>
              <w:t>(incorporated by reference to Exhibit 10.12 of the Company’s Annual Report on Form 10-K for the year ended December 31, 2022)</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Helvetica;sans-serif" w:hAnsi="Helvetica;sans-serif"/>
                  <w:b w:val="false"/>
                  <w:color w:val="0000FF"/>
                  <w:sz w:val="19"/>
                  <w:u w:val="single"/>
                </w:rPr>
                <w:t>Leonardo DRS, Inc. Executive Severance Plan</w:t>
              </w:r>
            </w:hyperlink>
            <w:r>
              <w:rPr>
                <w:color w:val="000000"/>
              </w:rPr>
              <w:t xml:space="preserve"> </w:t>
            </w:r>
            <w:r>
              <w:rPr>
                <w:rFonts w:ascii="Helvetica;sans-serif" w:hAnsi="Helvetica;sans-serif"/>
                <w:b w:val="false"/>
                <w:color w:val="000000"/>
                <w:sz w:val="19"/>
              </w:rPr>
              <w:t>(incorporated by reference to Exhibit 10.13 of the Company’s Annual Report on Form 10-K for the year ended December 31, 2022)</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Helvetica;sans-serif" w:hAnsi="Helvetica;sans-serif"/>
                  <w:b w:val="false"/>
                  <w:color w:val="0000FF"/>
                  <w:sz w:val="19"/>
                  <w:u w:val="single"/>
                </w:rPr>
                <w:t>Leonardo DRS, Inc. 2022 Omnibus Equity Compensation Plan</w:t>
              </w:r>
            </w:hyperlink>
            <w:r>
              <w:rPr>
                <w:color w:val="000000"/>
              </w:rPr>
              <w:t xml:space="preserve"> </w:t>
            </w:r>
            <w:r>
              <w:rPr>
                <w:rFonts w:ascii="Helvetica;sans-serif" w:hAnsi="Helvetica;sans-serif"/>
                <w:b w:val="false"/>
                <w:color w:val="000000"/>
                <w:sz w:val="19"/>
              </w:rPr>
              <w:t>(incorporated by reference to Exhibit 10.1 of the Company’s Registration Statement on Form S-8 dated November 28, 2022)</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Helvetica;sans-serif" w:hAnsi="Helvetica;sans-serif"/>
                  <w:b w:val="false"/>
                  <w:color w:val="0000FF"/>
                  <w:sz w:val="19"/>
                  <w:u w:val="single"/>
                </w:rPr>
                <w:t>Form of Restricted Stock Unit Award Agreement</w:t>
              </w:r>
            </w:hyperlink>
            <w:r>
              <w:rPr>
                <w:color w:val="000000"/>
              </w:rPr>
              <w:t xml:space="preserve"> </w:t>
            </w:r>
            <w:r>
              <w:rPr>
                <w:rFonts w:ascii="Helvetica;sans-serif" w:hAnsi="Helvetica;sans-serif"/>
                <w:b w:val="false"/>
                <w:color w:val="000000"/>
                <w:sz w:val="19"/>
              </w:rPr>
              <w:t>(incorporated by reference to Exhibit 10.2 of the Company’s Registration Statement on Form S-8 dated November 28, 2022)</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Helvetica;sans-serif" w:hAnsi="Helvetica;sans-serif"/>
                  <w:b w:val="false"/>
                  <w:color w:val="0000FF"/>
                  <w:sz w:val="19"/>
                  <w:u w:val="single"/>
                </w:rPr>
                <w:t>Form of Director Indemnification Agreement</w:t>
              </w:r>
            </w:hyperlink>
            <w:r>
              <w:rPr>
                <w:color w:val="000000"/>
              </w:rPr>
              <w:t xml:space="preserve"> </w:t>
            </w:r>
            <w:r>
              <w:rPr>
                <w:rFonts w:ascii="Helvetica;sans-serif" w:hAnsi="Helvetica;sans-serif"/>
                <w:b w:val="false"/>
                <w:color w:val="000000"/>
                <w:sz w:val="19"/>
              </w:rPr>
              <w:t>(incorporated by reference to Exhibit 10.13 of the Company’s Registration Statement on Form S-1 filed on February 26, 2021)</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Helvetica;sans-serif" w:hAnsi="Helvetica;sans-serif"/>
                  <w:b w:val="false"/>
                  <w:color w:val="0000FF"/>
                  <w:sz w:val="19"/>
                  <w:u w:val="single"/>
                </w:rPr>
                <w:t>Form of Performance Restricted Stock Unit Agreement</w:t>
              </w:r>
            </w:hyperlink>
            <w:r>
              <w:rPr>
                <w:color w:val="000000"/>
              </w:rPr>
              <w:t xml:space="preserve"> </w:t>
            </w:r>
            <w:r>
              <w:rPr>
                <w:rFonts w:ascii="Helvetica;sans-serif" w:hAnsi="Helvetica;sans-serif"/>
                <w:b w:val="false"/>
                <w:color w:val="000000"/>
                <w:sz w:val="19"/>
              </w:rPr>
              <w:t>(incorporated by reference to Exhibit 10.3 of the Company’s Registration Statement on Form S-8 dated November 28, 2022)</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Helvetica;sans-serif" w:hAnsi="Helvetica;sans-serif"/>
                  <w:b w:val="false"/>
                  <w:color w:val="0000FF"/>
                  <w:sz w:val="19"/>
                  <w:u w:val="single"/>
                </w:rPr>
                <w:t>Form of Restricted Stock Unit Award Agreement (2023)</w:t>
              </w:r>
            </w:hyperlink>
            <w:r>
              <w:rPr>
                <w:color w:val="000000"/>
              </w:rPr>
              <w:t xml:space="preserve"> </w:t>
            </w:r>
            <w:r>
              <w:rPr>
                <w:rFonts w:ascii="Helvetica;sans-serif" w:hAnsi="Helvetica;sans-serif"/>
                <w:b w:val="false"/>
                <w:color w:val="000000"/>
                <w:sz w:val="19"/>
              </w:rPr>
              <w:t>(incorporated by reference to Exhibit 10.1 of the Company’s Quarterly Report on Form 10-Q for the quarter ended June 30, 2023)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050"/>
                <wp:effectExtent l="0" t="0" r="0" b="0"/>
                <wp:wrapNone/>
                <wp:docPr id="132" name="Frame1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125</w:t>
                      </w:r>
                    </w:p>
                  </w:txbxContent>
                </v:textbox>
                <w10:wrap type="none"/>
              </v:rect>
            </w:pict>
          </mc:Fallback>
        </mc:AlternateConten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60"/>
        <w:gridCol w:w="229"/>
        <w:gridCol w:w="231"/>
        <w:gridCol w:w="109"/>
        <w:gridCol w:w="109"/>
        <w:gridCol w:w="109"/>
        <w:gridCol w:w="2797"/>
        <w:gridCol w:w="2626"/>
        <w:gridCol w:w="3735"/>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3735"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Helvetica;sans-serif" w:hAnsi="Helvetica;sans-serif"/>
                  <w:b w:val="false"/>
                  <w:color w:val="0000FF"/>
                  <w:sz w:val="19"/>
                  <w:u w:val="single"/>
                </w:rPr>
                <w:t>Form of Performance Restricted Stock Unit Award Agreement (2023)</w:t>
              </w:r>
            </w:hyperlink>
            <w:r>
              <w:rPr>
                <w:color w:val="000000"/>
              </w:rPr>
              <w:t xml:space="preserve"> </w:t>
            </w:r>
            <w:r>
              <w:rPr>
                <w:rFonts w:ascii="Helvetica;sans-serif" w:hAnsi="Helvetica;sans-serif"/>
                <w:b w:val="false"/>
                <w:color w:val="000000"/>
                <w:sz w:val="19"/>
              </w:rPr>
              <w:t>(incorporated by reference to Exhibit 10.2 of the Company’s Quarterly Report on Form 10-Q for the quarter ended June 30, 2023)</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Helvetica;sans-serif" w:hAnsi="Helvetica;sans-serif"/>
                  <w:b w:val="false"/>
                  <w:color w:val="0000FF"/>
                  <w:sz w:val="19"/>
                  <w:u w:val="single"/>
                </w:rPr>
                <w:t>Form of Director Restricted Stock Unit Award Agreement (2023)</w:t>
              </w:r>
            </w:hyperlink>
            <w:r>
              <w:rPr>
                <w:color w:val="000000"/>
              </w:rPr>
              <w:t xml:space="preserve"> </w:t>
            </w:r>
            <w:r>
              <w:rPr>
                <w:rFonts w:ascii="Helvetica;sans-serif" w:hAnsi="Helvetica;sans-serif"/>
                <w:b w:val="false"/>
                <w:color w:val="000000"/>
                <w:sz w:val="19"/>
              </w:rPr>
              <w:t>(incorporated by reference to Exhibit 10.3 of the Company’s Quarterly Report on Form 10-Q for the quarter ended June 30, 2023)</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Helvetica;sans-serif" w:hAnsi="Helvetica;sans-serif"/>
                  <w:b w:val="false"/>
                  <w:color w:val="0000FF"/>
                  <w:sz w:val="19"/>
                  <w:u w:val="single"/>
                </w:rPr>
                <w:t>Leonardo DRS, Inc. Employee Stock Purchase Plan</w:t>
              </w:r>
            </w:hyperlink>
            <w:r>
              <w:rPr>
                <w:color w:val="000000"/>
              </w:rPr>
              <w:t xml:space="preserve"> </w:t>
            </w:r>
            <w:r>
              <w:rPr>
                <w:rFonts w:ascii="Helvetica;sans-serif" w:hAnsi="Helvetica;sans-serif"/>
                <w:b w:val="false"/>
                <w:color w:val="000000"/>
                <w:sz w:val="19"/>
              </w:rPr>
              <w:t>(incorporated by reference to Exhibit 10.1 to the Company’s Current Report on Form 8-K filed on May 16, 2024)</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Helvetica;sans-serif" w:hAnsi="Helvetica;sans-serif"/>
                  <w:b w:val="false"/>
                  <w:color w:val="0000FF"/>
                  <w:sz w:val="19"/>
                  <w:u w:val="single"/>
                </w:rPr>
                <w:t>Leonardo DRS, Inc. 2022 Omnibus Equity Compensation Plan (amended and restated effective May 15, 2024)</w:t>
              </w:r>
            </w:hyperlink>
            <w:r>
              <w:rPr>
                <w:color w:val="000000"/>
              </w:rPr>
              <w:t xml:space="preserve"> </w:t>
            </w:r>
            <w:r>
              <w:rPr>
                <w:rFonts w:ascii="Helvetica;sans-serif" w:hAnsi="Helvetica;sans-serif"/>
                <w:b w:val="false"/>
                <w:color w:val="000000"/>
                <w:sz w:val="19"/>
              </w:rPr>
              <w:t>(incorporated by reference to Exhibit 10.1 to the Company’s Registration Statement on Form S-8 dated May 17, 2024)</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Helvetica;sans-serif" w:hAnsi="Helvetica;sans-serif"/>
                  <w:b w:val="false"/>
                  <w:color w:val="0000FF"/>
                  <w:sz w:val="19"/>
                  <w:u w:val="single"/>
                </w:rPr>
                <w:t>Insider Trading Policy, effective as of February 10, 2025</w:t>
              </w:r>
            </w:hyperlink>
            <w:r>
              <w:rPr>
                <w:color w:val="000000"/>
              </w:rPr>
              <w:t xml:space="preserve"> </w:t>
            </w:r>
            <w:r>
              <w:rPr>
                <w:rFonts w:ascii="Helvetica;sans-serif" w:hAnsi="Helvetica;sans-serif"/>
                <w:b w:val="false"/>
                <w:color w:val="000000"/>
                <w:sz w:val="19"/>
              </w:rPr>
              <w:t>(incorporated by reference to Exhibit 19 of the Company’s Annual Report on Form 10-K for the year ended December 31, 2024)</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9"/>
              </w:rPr>
            </w:pPr>
            <w:r>
              <w:rPr>
                <w:rFonts w:ascii="Helvetica;sans-serif" w:hAnsi="Helvetica;sans-serif"/>
                <w:b w:val="false"/>
                <w:color w:val="000000"/>
                <w:sz w:val="19"/>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2025.htm">
              <w:r>
                <w:rPr>
                  <w:rStyle w:val="InternetLink"/>
                  <w:rFonts w:ascii="Helvetica;sans-serif" w:hAnsi="Helvetica;sans-serif"/>
                  <w:b w:val="false"/>
                  <w:color w:val="0000FF"/>
                  <w:sz w:val="19"/>
                  <w:u w:val="single"/>
                </w:rPr>
                <w:t>Subsidiaries</w:t>
              </w:r>
            </w:hyperlink>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9"/>
              </w:rPr>
            </w:pPr>
            <w:r>
              <w:rPr>
                <w:rFonts w:ascii="Helvetica;sans-serif" w:hAnsi="Helvetica;sans-serif"/>
                <w:b w:val="false"/>
                <w:color w:val="000000"/>
                <w:sz w:val="19"/>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_eyconsent-form1.htm">
              <w:r>
                <w:rPr>
                  <w:rStyle w:val="InternetLink"/>
                  <w:rFonts w:ascii="Helvetica;sans-serif" w:hAnsi="Helvetica;sans-serif"/>
                  <w:b w:val="false"/>
                  <w:color w:val="0000FF"/>
                  <w:sz w:val="19"/>
                  <w:u w:val="single"/>
                </w:rPr>
                <w:t>Consent of Independent Registered Public Accounting Firm</w:t>
              </w:r>
            </w:hyperlink>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9"/>
              </w:rPr>
            </w:pPr>
            <w:r>
              <w:rPr>
                <w:rFonts w:ascii="Helvetica;sans-serif" w:hAnsi="Helvetica;sans-serif"/>
                <w:b w:val="false"/>
                <w:color w:val="000000"/>
                <w:sz w:val="19"/>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_2025xceocertifi.htm">
              <w:r>
                <w:rPr>
                  <w:rStyle w:val="InternetLink"/>
                  <w:rFonts w:ascii="Helvetica;sans-serif" w:hAnsi="Helvetica;sans-serif"/>
                  <w:b w:val="false"/>
                  <w:color w:val="0000FF"/>
                  <w:sz w:val="19"/>
                  <w:u w:val="single"/>
                </w:rPr>
                <w:t>Certification by principal executive officer pursuant to Rule 13a-14(a) or 15d-14(a) under the Securities Exchange Act of 1934, as adopted pursuant to Section 302 of the Sarbanes-Oxley Act of 2002</w:t>
              </w:r>
            </w:hyperlink>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9"/>
              </w:rPr>
            </w:pPr>
            <w:r>
              <w:rPr>
                <w:rFonts w:ascii="Helvetica;sans-serif" w:hAnsi="Helvetica;sans-serif"/>
                <w:b w:val="false"/>
                <w:color w:val="000000"/>
                <w:sz w:val="19"/>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_2025xcfocertifi.htm">
              <w:r>
                <w:rPr>
                  <w:rStyle w:val="InternetLink"/>
                  <w:rFonts w:ascii="Helvetica;sans-serif" w:hAnsi="Helvetica;sans-serif"/>
                  <w:b w:val="false"/>
                  <w:color w:val="0000FF"/>
                  <w:sz w:val="19"/>
                  <w:u w:val="single"/>
                </w:rPr>
                <w:t>Certification by principal financial officer pursuant to Rule 13a-14(a) or 15d-14(a) under the Securities Exchange Act of 1934, as adopted pursuant to Section 302 of the Sarbanes-Oxley Act of 2002</w:t>
              </w:r>
            </w:hyperlink>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9"/>
              </w:rPr>
            </w:pPr>
            <w:r>
              <w:rPr>
                <w:rFonts w:ascii="Helvetica;sans-serif" w:hAnsi="Helvetica;sans-serif"/>
                <w:b w:val="false"/>
                <w:color w:val="000000"/>
                <w:sz w:val="19"/>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_2025xceocertifi.htm">
              <w:r>
                <w:rPr>
                  <w:rStyle w:val="InternetLink"/>
                  <w:rFonts w:ascii="Helvetica;sans-serif" w:hAnsi="Helvetica;sans-serif"/>
                  <w:b w:val="false"/>
                  <w:color w:val="0000FF"/>
                  <w:sz w:val="19"/>
                  <w:u w:val="single"/>
                </w:rPr>
                <w:t>Certification by principal executive officer pursuant to 18 U.S.C. Section 1350, as adopted pursuant to Section 906 of the Sarbanes-Oxley Act of 2002</w:t>
              </w:r>
            </w:hyperlink>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9"/>
              </w:rPr>
            </w:pPr>
            <w:r>
              <w:rPr>
                <w:rFonts w:ascii="Helvetica;sans-serif" w:hAnsi="Helvetica;sans-serif"/>
                <w:b w:val="false"/>
                <w:color w:val="000000"/>
                <w:sz w:val="19"/>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_2025xcfocertifi.htm">
              <w:r>
                <w:rPr>
                  <w:rStyle w:val="InternetLink"/>
                  <w:rFonts w:ascii="Helvetica;sans-serif" w:hAnsi="Helvetica;sans-serif"/>
                  <w:b w:val="false"/>
                  <w:color w:val="0000FF"/>
                  <w:sz w:val="19"/>
                  <w:u w:val="single"/>
                </w:rPr>
                <w:t>Certification by principal financial officer pursuant to 18 U.S.C. Section 1350, as adopted pursuant to Section 906 of the Sarbanes-Oxley Act of 2002</w:t>
              </w:r>
            </w:hyperlink>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Helvetica;sans-serif" w:hAnsi="Helvetica;sans-serif"/>
                  <w:b w:val="false"/>
                  <w:color w:val="0000FF"/>
                  <w:sz w:val="19"/>
                  <w:u w:val="single"/>
                </w:rPr>
                <w:t>Leonardo DRS, Inc. Incentive-Based Compensation Recoupment Policy, effective October 2, 2023</w:t>
              </w:r>
            </w:hyperlink>
            <w:r>
              <w:rPr>
                <w:color w:val="000000"/>
              </w:rPr>
              <w:t xml:space="preserve"> </w:t>
            </w:r>
            <w:r>
              <w:rPr>
                <w:rFonts w:ascii="Helvetica;sans-serif" w:hAnsi="Helvetica;sans-serif"/>
                <w:b w:val="false"/>
                <w:color w:val="000000"/>
                <w:sz w:val="19"/>
              </w:rPr>
              <w:t>(incorporated by reference to Exhibit 99.1 of the Company’s Quarterly Report on Form 10-Q for the quarter ended September 30, 2023)</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XBRL Instance Document - the instance document does not appear on the Interactive Data File because its XBRL tags are embedded within the Inline XBRL document</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XBRL Taxonomy Extension Schema Document</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XBRL Taxonomy Extension Calculation Linkbase Document</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XBRL Taxonomy Extension Definition Linkbase Document</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XBRL Taxonomy Extension Label Linkbase Document</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XBRL Taxonomy Extension Presentation Linkbase Document</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9"/>
              </w:rPr>
            </w:pPr>
            <w:r>
              <w:rPr>
                <w:rFonts w:ascii="Helvetica;sans-serif" w:hAnsi="Helvetica;sans-serif"/>
                <w:b w:val="false"/>
                <w:color w:val="000000"/>
                <w:sz w:val="19"/>
              </w:rPr>
              <w:t>Cover Page Interactive Data File (formatted as Inline XBRL and contained in Exhibit 101)</w:t>
            </w:r>
          </w:p>
        </w:tc>
      </w:tr>
    </w:tbl>
    <w:p>
      <w:pPr>
        <w:pStyle w:val="TextBody"/>
        <w:bidi w:val="0"/>
        <w:spacing w:lineRule="auto" w:line="288" w:before="0" w:after="0"/>
        <w:ind w:left="0" w:right="0" w:hanging="360"/>
        <w:jc w:val="left"/>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bidi w:val="0"/>
        <w:spacing w:lineRule="auto" w:line="288" w:before="0" w:after="0"/>
        <w:ind w:left="0" w:right="0" w:hanging="360"/>
        <w:jc w:val="left"/>
        <w:rPr/>
      </w:pPr>
      <w:r>
        <w:rPr>
          <w:color w:val="000000"/>
        </w:rPr>
        <w:t>†</w:t>
      </w:r>
      <w:r>
        <w:rPr>
          <w:rFonts w:ascii="Helvetica;sans-serif" w:hAnsi="Helvetica;sans-serif"/>
          <w:b w:val="false"/>
          <w:color w:val="000000"/>
          <w:sz w:val="18"/>
        </w:rPr>
        <w:t>Identifies each management contract or compensatory plan or arrangement.</w:t>
      </w:r>
    </w:p>
    <w:p>
      <w:pPr>
        <w:pStyle w:val="TextBody"/>
        <w:bidi w:val="0"/>
        <w:spacing w:lineRule="auto" w:line="288" w:before="0" w:after="180"/>
        <w:ind w:left="0" w:right="0" w:hanging="360"/>
        <w:jc w:val="left"/>
        <w:rPr>
          <w:rFonts w:ascii="Helvetica;sans-serif" w:hAnsi="Helvetica;sans-serif"/>
          <w:b w:val="false"/>
          <w:color w:val="000000"/>
          <w:sz w:val="18"/>
        </w:rPr>
      </w:pPr>
      <w:r>
        <w:rPr>
          <w:rFonts w:ascii="Helvetica;sans-serif" w:hAnsi="Helvetica;sans-serif"/>
          <w:b w:val="false"/>
          <w:color w:val="000000"/>
          <w:sz w:val="18"/>
        </w:rPr>
        <w:t>*    Identifies each exhibit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Helvetica;sans-serif" w:hAnsi="Helvetica;sans-serif"/>
          <w:b/>
          <w:color w:val="000000"/>
          <w:sz w:val="20"/>
        </w:rPr>
      </w:pPr>
      <w:r>
        <w:rPr>
          <w:rFonts w:ascii="Helvetica;sans-serif" w:hAnsi="Helvetica;sans-serif"/>
          <w:b/>
          <w:color w:val="000000"/>
          <w:sz w:val="20"/>
        </w:rPr>
        <w:t>ITEM 16. FORM 10-K SUMMARY</w:t>
      </w:r>
    </w:p>
    <w:p>
      <w:pPr>
        <w:pStyle w:val="TextBody"/>
        <w:bidi w:val="0"/>
        <w:spacing w:lineRule="auto" w:line="288" w:before="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050"/>
                <wp:effectExtent l="0" t="0" r="0" b="0"/>
                <wp:wrapNone/>
                <wp:docPr id="133" name="Frame1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SIGNATURES</w:t>
      </w:r>
    </w:p>
    <w:p>
      <w:pPr>
        <w:pStyle w:val="TextBody"/>
        <w:bidi w:val="0"/>
        <w:spacing w:lineRule="auto" w:line="276" w:before="0" w:after="0"/>
        <w:jc w:val="left"/>
        <w:rPr>
          <w:rFonts w:ascii="Helvetica;sans-serif" w:hAnsi="Helvetica;sans-serif"/>
          <w:b w:val="false"/>
          <w:color w:val="000000"/>
          <w:sz w:val="20"/>
        </w:rPr>
      </w:pPr>
      <w:r>
        <w:rPr>
          <w:rFonts w:ascii="Helvetica;sans-serif" w:hAnsi="Helvetica;sans-serif"/>
          <w:b w:val="false"/>
          <w:color w:val="000000"/>
          <w:sz w:val="20"/>
        </w:rPr>
        <w:t>Pursuant to the requirements of Section 13 or 15(d) of the Securities Exchange Act of 1934, the registrant has duly caused this report to be signed on its behalf by the undersigned, thereunto duly authorized as of February 25, 2026.</w:t>
      </w:r>
    </w:p>
    <w:p>
      <w:pPr>
        <w:pStyle w:val="TextBody"/>
        <w:bidi w:val="0"/>
        <w:spacing w:before="0" w:after="180"/>
        <w:ind w:left="0" w:right="0" w:firstLine="360"/>
        <w:jc w:val="left"/>
        <w:rPr/>
      </w:pPr>
      <w:r>
        <w:rPr/>
      </w:r>
    </w:p>
    <w:tbl>
      <w:tblPr>
        <w:tblW w:w="3736" w:type="dxa"/>
        <w:jc w:val="right"/>
        <w:tblInd w:w="0" w:type="dxa"/>
        <w:tblLayout w:type="fixed"/>
        <w:tblCellMar>
          <w:top w:w="28" w:type="dxa"/>
          <w:left w:w="28" w:type="dxa"/>
          <w:bottom w:w="28" w:type="dxa"/>
          <w:right w:w="28" w:type="dxa"/>
        </w:tblCellMar>
      </w:tblPr>
      <w:tblGrid>
        <w:gridCol w:w="386"/>
        <w:gridCol w:w="340"/>
        <w:gridCol w:w="340"/>
        <w:gridCol w:w="778"/>
        <w:gridCol w:w="778"/>
        <w:gridCol w:w="1114"/>
      </w:tblGrid>
      <w:tr>
        <w:trPr/>
        <w:tc>
          <w:tcPr>
            <w:tcW w:w="3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373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LEONARDO DRS, INC.</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/s/ John Baylouny</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Name: John Baylouny</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Title: Chief Executive Officer</w:t>
            </w:r>
          </w:p>
        </w:tc>
      </w:tr>
    </w:tbl>
    <w:p>
      <w:pPr>
        <w:pStyle w:val="TextBody"/>
        <w:bidi w:val="0"/>
        <w:spacing w:before="0" w:after="180"/>
        <w:jc w:val="center"/>
        <w:rPr/>
      </w:pPr>
      <w:r>
        <w:rPr/>
      </w:r>
    </w:p>
    <w:p>
      <w:pPr>
        <w:pStyle w:val="TextBody"/>
        <w:bidi w:val="0"/>
        <w:spacing w:lineRule="auto" w:line="276" w:before="0" w:after="0"/>
        <w:jc w:val="left"/>
        <w:rPr>
          <w:rFonts w:ascii="Helvetica;sans-serif" w:hAnsi="Helvetica;sans-serif"/>
          <w:b w:val="false"/>
          <w:color w:val="000000"/>
          <w:sz w:val="20"/>
        </w:rPr>
      </w:pPr>
      <w:r>
        <w:rPr>
          <w:rFonts w:ascii="Helvetica;sans-serif" w:hAnsi="Helvetica;sans-serif"/>
          <w:b w:val="false"/>
          <w:color w:val="000000"/>
          <w:sz w:val="20"/>
        </w:rPr>
        <w:t>Pursuant to the requirements of the Securities Exchange Act of 1934, this report has been signed on February 25, 2026 by the following persons on behalf of the registrant in the capacities indicated.</w:t>
      </w:r>
    </w:p>
    <w:tbl>
      <w:tblPr>
        <w:tblW w:w="8620" w:type="dxa"/>
        <w:jc w:val="left"/>
        <w:tblInd w:w="0" w:type="dxa"/>
        <w:tblLayout w:type="fixed"/>
        <w:tblCellMar>
          <w:top w:w="28" w:type="dxa"/>
          <w:left w:w="28" w:type="dxa"/>
          <w:bottom w:w="28" w:type="dxa"/>
          <w:right w:w="28" w:type="dxa"/>
        </w:tblCellMar>
      </w:tblPr>
      <w:tblGrid>
        <w:gridCol w:w="1292"/>
        <w:gridCol w:w="1135"/>
        <w:gridCol w:w="1142"/>
        <w:gridCol w:w="109"/>
        <w:gridCol w:w="109"/>
        <w:gridCol w:w="109"/>
        <w:gridCol w:w="1379"/>
        <w:gridCol w:w="1379"/>
        <w:gridCol w:w="1966"/>
      </w:tblGrid>
      <w:tr>
        <w:trPr/>
        <w:tc>
          <w:tcPr>
            <w:tcW w:w="129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Title</w:t>
            </w:r>
          </w:p>
        </w:tc>
      </w:tr>
      <w:tr>
        <w:trPr/>
        <w:tc>
          <w:tcPr>
            <w:tcW w:w="35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/s/ John Baylouny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Director, Chief Executive Officer</w:t>
            </w:r>
          </w:p>
          <w:p>
            <w:pPr>
              <w:pStyle w:val="TableContents"/>
              <w:bidi w:val="0"/>
              <w:spacing w:lineRule="auto" w:line="276" w:before="0" w:after="0"/>
              <w:jc w:val="center"/>
              <w:rPr>
                <w:rFonts w:ascii="Helvetica;sans-serif" w:hAnsi="Helvetica;sans-serif"/>
                <w:b w:val="false"/>
                <w:color w:val="000000"/>
                <w:sz w:val="20"/>
              </w:rPr>
            </w:pPr>
            <w:r>
              <w:rPr>
                <w:rFonts w:ascii="Helvetica;sans-serif" w:hAnsi="Helvetica;sans-serif"/>
                <w:b w:val="false"/>
                <w:color w:val="000000"/>
                <w:sz w:val="20"/>
              </w:rPr>
              <w:t>(Principal Executive Officer)</w:t>
            </w:r>
          </w:p>
        </w:tc>
      </w:tr>
      <w:tr>
        <w:trPr/>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John Baylouny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 xml:space="preserve">/s/ Michael D. Dippold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Executive Vice President and Chief Financial Officer</w:t>
            </w:r>
          </w:p>
          <w:p>
            <w:pPr>
              <w:pStyle w:val="TableContents"/>
              <w:bidi w:val="0"/>
              <w:spacing w:lineRule="auto" w:line="276" w:before="0" w:after="0"/>
              <w:jc w:val="center"/>
              <w:rPr>
                <w:rFonts w:ascii="Helvetica;sans-serif" w:hAnsi="Helvetica;sans-serif"/>
                <w:b w:val="false"/>
                <w:color w:val="000000"/>
                <w:sz w:val="20"/>
              </w:rPr>
            </w:pPr>
            <w:r>
              <w:rPr>
                <w:rFonts w:ascii="Helvetica;sans-serif" w:hAnsi="Helvetica;sans-serif"/>
                <w:b w:val="false"/>
                <w:color w:val="000000"/>
                <w:sz w:val="20"/>
              </w:rPr>
              <w:t>(Principal Financial Officer)</w:t>
            </w:r>
          </w:p>
        </w:tc>
      </w:tr>
      <w:tr>
        <w:trPr/>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 xml:space="preserve">Michael D. Dippold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/s/ Pamela J. Morrow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Senior Vice President and Controller</w:t>
              <w:br/>
              <w:t>(Principal Accounting Officer)</w:t>
            </w:r>
          </w:p>
        </w:tc>
      </w:tr>
      <w:tr>
        <w:trPr/>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Pamela J. Morrow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/s/ Louis R. Brothers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r>
      <w:tr>
        <w:trPr/>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Louis R. Brothers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/s/ David W. Carey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r>
      <w:tr>
        <w:trPr/>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David W. Carey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/s/ General George W. Casey, Jr. (Ret.)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r>
      <w:tr>
        <w:trPr/>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General George W. Casey, Jr. (Ret.)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/s/ Kenneth J. Krieg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r>
      <w:tr>
        <w:trPr/>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Kenneth J. Krieg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/s/ Eric C. Salzman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r>
      <w:tr>
        <w:trPr/>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Eric C. Salzman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/s/ Frances F. Townsend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r>
      <w:tr>
        <w:trPr/>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Frances F. Townsend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/s/ Gail Baker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r>
      <w:tr>
        <w:trPr/>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Gail Baker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/s/ Mary E. Gallagher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Director</w:t>
            </w:r>
          </w:p>
        </w:tc>
      </w:tr>
      <w:tr>
        <w:trPr/>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20"/>
              </w:rPr>
            </w:pPr>
            <w:r>
              <w:rPr>
                <w:rFonts w:ascii="Helvetica;sans-serif" w:hAnsi="Helvetica;sans-serif"/>
                <w:b w:val="false"/>
                <w:color w:val="000000"/>
                <w:sz w:val="20"/>
              </w:rPr>
              <w:t>Mary E. Gallagher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050"/>
                <wp:effectExtent l="0" t="0" r="0" b="0"/>
                <wp:wrapNone/>
                <wp:docPr id="134" name="Frame1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127</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DESCRIPTION OF THE REGISTRANT’S SECURITIES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REGISTERED PURSUANT TO SECTION 12 OF THE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left"/>
        <w:rPr/>
      </w:pPr>
      <w:r>
        <w:rPr/>
      </w:r>
    </w:p>
    <w:p>
      <w:pPr>
        <w:pStyle w:val="TextBody"/>
        <w:bidi w:val="0"/>
        <w:spacing w:lineRule="auto" w:line="240" w:before="240" w:after="240"/>
        <w:jc w:val="left"/>
        <w:rPr>
          <w:rFonts w:ascii="Times New Roman;serif" w:hAnsi="Times New Roman;serif"/>
          <w:b w:val="false"/>
          <w:i/>
          <w:color w:val="000000"/>
          <w:sz w:val="24"/>
        </w:rPr>
      </w:pPr>
      <w:r>
        <w:rPr>
          <w:rFonts w:ascii="Times New Roman;serif" w:hAnsi="Times New Roman;serif"/>
          <w:b w:val="false"/>
          <w:i/>
          <w:color w:val="000000"/>
          <w:sz w:val="24"/>
        </w:rPr>
        <w:t>The following summary of the capital stock of Leonardo DRS, Inc. does not purport to be complete and is qualified in its entirety by reference to our third amended and restated certificate of incorporation (as amended, the “Charter”), fifth amended and restated bylaws (as amended, the “Bylaws”), and the Proxy Agreement (as described below), each of which are incorporated by reference as an exhibit to the Annual Report on Form 10-K of which this Exhibit is a part, and certain provisions of Delaware law. Unless the context requires otherwise, all references to “we”, “us,” “our” “Company” and “DRS” in this section refer solely to Leonardo DRS, Inc. and not to our subsidiaries.</w:t>
      </w:r>
    </w:p>
    <w:p>
      <w:pPr>
        <w:pStyle w:val="TextBody"/>
        <w:bidi w:val="0"/>
        <w:spacing w:lineRule="auto" w:line="240" w:before="240" w:after="240"/>
        <w:jc w:val="left"/>
        <w:rPr>
          <w:rFonts w:ascii="Times New Roman;serif" w:hAnsi="Times New Roman;serif"/>
          <w:b/>
          <w:color w:val="000000"/>
          <w:sz w:val="24"/>
        </w:rPr>
      </w:pPr>
      <w:r>
        <w:rPr>
          <w:rFonts w:ascii="Times New Roman;serif" w:hAnsi="Times New Roman;serif"/>
          <w:b/>
          <w:color w:val="000000"/>
          <w:sz w:val="24"/>
        </w:rPr>
        <w:t>General</w: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Under our Charter, our authorized capital stock consists of 350,000,000 shares of common stock, par value $0.01 per share, and 10,000,000 shares of undesignated preferred stock, par value $0.01 per share. All outstanding shares of DRS common stock are duly authorized, validly issued, fully paid and non-assessable.</w:t>
      </w:r>
    </w:p>
    <w:p>
      <w:pPr>
        <w:pStyle w:val="TextBody"/>
        <w:bidi w:val="0"/>
        <w:spacing w:lineRule="auto" w:line="240" w:before="240" w:after="240"/>
        <w:jc w:val="left"/>
        <w:rPr>
          <w:rFonts w:ascii="Times New Roman;serif" w:hAnsi="Times New Roman;serif"/>
          <w:b/>
          <w:color w:val="000000"/>
          <w:sz w:val="24"/>
        </w:rPr>
      </w:pPr>
      <w:r>
        <w:rPr>
          <w:rFonts w:ascii="Times New Roman;serif" w:hAnsi="Times New Roman;serif"/>
          <w:b/>
          <w:color w:val="000000"/>
          <w:sz w:val="24"/>
        </w:rPr>
        <w:t>Common Stock</w: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All shares of our common stock have identical rights and privileges. Holders of common stock are entitled:</w:t>
      </w:r>
    </w:p>
    <w:p>
      <w:pPr>
        <w:pStyle w:val="TextBody"/>
        <w:bidi w:val="0"/>
        <w:spacing w:lineRule="auto" w:line="240" w:before="240" w:after="283"/>
        <w:ind w:left="0" w:right="0" w:hanging="360"/>
        <w:jc w:val="left"/>
        <w:rPr/>
      </w:pPr>
      <w:r>
        <w:rPr>
          <w:color w:val="000000"/>
        </w:rPr>
        <w:t>•</w:t>
      </w:r>
      <w:r>
        <w:rPr>
          <w:rFonts w:ascii="Times New Roman;serif" w:hAnsi="Times New Roman;serif"/>
          <w:b w:val="false"/>
          <w:color w:val="000000"/>
          <w:sz w:val="24"/>
        </w:rPr>
        <w:t>to cast one vote for each share held of record on all matters submitted to a vote of our stockholders;</w:t>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4"/>
        </w:rPr>
        <w:t>to receive, on a pro rata basis, dividends and distributions, if any, that our board of directors (our “Board”) may declare out of legally available funds, subject to preferences that may be applicable to preferred stock, if any, then outstanding; and</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4"/>
        </w:rPr>
        <w:t>upon our liquidation, dissolution or winding up, to share equally and ratably in any assets remaining after the payment of all debt and other liabilities, subject to the prior rights, if any, of holders of any outstanding shares of preferred stock.</w: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The holders of our common stock have no preemptive, cumulative voting, subscription, conversion, redemption or sinking fund rights. The common stock is not subject to future calls or assessments by us. The rights and privileges of holders of our common stock are subject to any series of preferred stock that we may issue in the future, as described below.</w:t>
      </w:r>
    </w:p>
    <w:p>
      <w:pPr>
        <w:pStyle w:val="TextBody"/>
        <w:bidi w:val="0"/>
        <w:spacing w:lineRule="auto" w:line="240" w:before="240" w:after="240"/>
        <w:jc w:val="left"/>
        <w:rPr>
          <w:rFonts w:ascii="Times New Roman;serif" w:hAnsi="Times New Roman;serif"/>
          <w:b/>
          <w:color w:val="000000"/>
          <w:sz w:val="24"/>
        </w:rPr>
      </w:pPr>
      <w:r>
        <w:rPr>
          <w:rFonts w:ascii="Times New Roman;serif" w:hAnsi="Times New Roman;serif"/>
          <w:b/>
          <w:color w:val="000000"/>
          <w:sz w:val="24"/>
        </w:rPr>
        <w:t>Preferred Stock </w: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Our Charter authorizes our Board, without further stockholder action, to provide for the issuance of up to 10,000,000 shares of preferred stock in one or more series, and to fix the voting powers, designations, preferences and the relative participating, optional or other special rights and qualifications, limitations and restrictions of each series, including, without limitation, dividend rights, dividend rates, conversion rights, voting rights, terms of redemption, liquidation preferences and the number of shares constituting any series. Because the Board has the power to establish the preferences and rights of the shares of any additional series of preferred stock, it may afford holders of any preferred stock preferences, powers and rights, including voting and dividend rights, senior to the rights of holders of our common stock, which could adversely affect the holders of the common stock and could delay, discourage or prevent a takeover of us even if a change of control of DRS would be beneficial to the interests of our stockholders.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left"/>
        <w:rPr>
          <w:rFonts w:ascii="Times New Roman;serif" w:hAnsi="Times New Roman;serif"/>
          <w:b/>
          <w:color w:val="000000"/>
          <w:sz w:val="24"/>
        </w:rPr>
      </w:pPr>
      <w:r>
        <w:rPr>
          <w:rFonts w:ascii="Times New Roman;serif" w:hAnsi="Times New Roman;serif"/>
          <w:b/>
          <w:color w:val="000000"/>
          <w:sz w:val="24"/>
        </w:rPr>
        <w:t>Authorized but Unissued Capital Stock</w: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The Delaware General Corporation Law (“DGCL”) does not generally require stockholder approval for the issuance of authorized shares. These additional shares may be used for a variety of corporate purposes, including future public offerings, to raise additional capital or to facilitate acquisitions. However, the listing requirements of the Nasdaq, which would apply so long as the common stock remains listed on the Nasdaq, require stockholder approval of certain issuances equal to or exceeding 20% of the then-outstanding voting power or then-outstanding number of shares of common stock. In addition, under the Amended and Restated Cooperation Agreement dated as of June 18, 2025, by and among Leonardo DRS, Inc., Leonardo - Società per azioni (“Leonardo S.p.A.”) and Leonardo US Holding, LLC (“US Holding”), the creation or issuance of any class or series of our capital stock (including designation of any preferred stock) or acquisition of any capital stock (including stock buy-backs, redemptions or other reductions of capital), or securities convertible into or exchangeable or exercisable for capital stock or equity-linked securities by us or any of our subsidiaries requires US Holding’s consent, subject to certain exceptions.</w:t>
      </w:r>
    </w:p>
    <w:p>
      <w:pPr>
        <w:pStyle w:val="TextBody"/>
        <w:bidi w:val="0"/>
        <w:spacing w:lineRule="auto" w:line="240" w:before="240" w:after="240"/>
        <w:jc w:val="left"/>
        <w:rPr>
          <w:rFonts w:ascii="Times New Roman;serif" w:hAnsi="Times New Roman;serif"/>
          <w:b/>
          <w:color w:val="000000"/>
          <w:sz w:val="24"/>
        </w:rPr>
      </w:pPr>
      <w:r>
        <w:rPr>
          <w:rFonts w:ascii="Times New Roman;serif" w:hAnsi="Times New Roman;serif"/>
          <w:b/>
          <w:color w:val="000000"/>
          <w:sz w:val="24"/>
        </w:rPr>
        <w:t>Registration Rights</w: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On November 28, 2022, we entered into a registration rights agreement with Leonardo S.p.A. and US Holding (the “Registration Rights Agreement”). The Registration Rights Agreement, among other things, provides Leonardo S.p.A. and its affiliates with customary demand, shelf and piggy-back registration rights to facilitate a public offering from time to time of our common stock held by US Holding.</w:t>
      </w:r>
    </w:p>
    <w:p>
      <w:pPr>
        <w:pStyle w:val="TextBody"/>
        <w:bidi w:val="0"/>
        <w:spacing w:lineRule="auto" w:line="240" w:before="240" w:after="240"/>
        <w:jc w:val="left"/>
        <w:rPr>
          <w:rFonts w:ascii="Times New Roman;serif" w:hAnsi="Times New Roman;serif"/>
          <w:b/>
          <w:color w:val="000000"/>
          <w:sz w:val="24"/>
        </w:rPr>
      </w:pPr>
      <w:r>
        <w:rPr>
          <w:rFonts w:ascii="Times New Roman;serif" w:hAnsi="Times New Roman;serif"/>
          <w:b/>
          <w:color w:val="000000"/>
          <w:sz w:val="24"/>
        </w:rPr>
        <w:t>Annual Stockholders Meeting</w: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Our Bylaws provide that annual stockholders meetings may be held at a date, time and place, if any, as exclusively selected by our Board. To the extent permitted under applicable law, we may conduct meetings by remote communications, including by webcast.</w:t>
      </w:r>
    </w:p>
    <w:p>
      <w:pPr>
        <w:pStyle w:val="TextBody"/>
        <w:bidi w:val="0"/>
        <w:spacing w:lineRule="auto" w:line="240" w:before="240" w:after="240"/>
        <w:jc w:val="left"/>
        <w:rPr>
          <w:rFonts w:ascii="Times New Roman;serif" w:hAnsi="Times New Roman;serif"/>
          <w:b/>
          <w:color w:val="000000"/>
          <w:sz w:val="24"/>
        </w:rPr>
      </w:pPr>
      <w:r>
        <w:rPr>
          <w:rFonts w:ascii="Times New Roman;serif" w:hAnsi="Times New Roman;serif"/>
          <w:b/>
          <w:color w:val="000000"/>
          <w:sz w:val="24"/>
        </w:rPr>
        <w:t>Voting</w: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The affirmative vote of a plurality of the shares of our common stock present, in person or by proxy, at the meeting and entitled to vote on the election of directors decide the election of any directors, and the affirmative vote of a majority of the shares of our common stock present, in person or by proxy, at the meeting and entitled to vote at any annual or special meeting of stockholders decide all other matters voted on by stockholders, unless the question is one upon which, by express provision of law, under our Charter, or under our Bylaws, a different vote is required, in which case such provision controls. Stockholders do not have the right to cumulate their votes for the election of directors.</w:t>
      </w:r>
    </w:p>
    <w:p>
      <w:pPr>
        <w:pStyle w:val="TextBody"/>
        <w:bidi w:val="0"/>
        <w:spacing w:lineRule="auto" w:line="240" w:before="240" w:after="240"/>
        <w:jc w:val="left"/>
        <w:rPr>
          <w:rFonts w:ascii="Times New Roman;serif" w:hAnsi="Times New Roman;serif"/>
          <w:b/>
          <w:color w:val="000000"/>
          <w:sz w:val="24"/>
        </w:rPr>
      </w:pPr>
      <w:r>
        <w:rPr>
          <w:rFonts w:ascii="Times New Roman;serif" w:hAnsi="Times New Roman;serif"/>
          <w:b/>
          <w:color w:val="000000"/>
          <w:sz w:val="24"/>
        </w:rPr>
        <w:t>Proxy Agreement</w: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We have entered into an Amended and Restated Proxy Agreement (the “Proxy Agreement”) with the individual proxy holders that are signatories thereto, US Holding, Leonardo S.p.A. and the U.S. Department of Defense (the “DoD”).</w: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The Proxy Agreement requires the appointment of five proxy holders, who must be independent from prior affiliation with Leonardo S.p.A. and its subsidiaries (including US Holding and us) and maintain adequate security clearance, to vote the shares of our common stock owned directly or indirectly by Leonardo S.p.A. Proxy holders are appointed by US Holding after consultation with Leonardo S.p.A. and approval by DCSA and serve for staggered three-year terms. The proxy holders may vote for or consent to certain specified matters only with the express written approval of US Holding and may vote for or consent to all other matters in their sole and </w:t>
      </w:r>
    </w:p>
    <w:p>
      <w:pPr>
        <w:pStyle w:val="TextBody"/>
        <w:bidi w:val="0"/>
        <w:spacing w:before="0" w:after="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absolute discretion. In particular, the proxy holders, in their capacity as directors, may only vote to declare or suspend dividends after prior consultation with US Holding so long as the Proxy Agreement with the DoD is in effect. The Proxy Agreement contains a number of other provisions which are intended to restrict the ability of Leonardo S.p.A. to control our operations. </w:t>
      </w:r>
    </w:p>
    <w:p>
      <w:pPr>
        <w:pStyle w:val="TextBody"/>
        <w:bidi w:val="0"/>
        <w:spacing w:lineRule="auto" w:line="240" w:before="240" w:after="240"/>
        <w:jc w:val="left"/>
        <w:rPr>
          <w:rFonts w:ascii="Times New Roman;serif" w:hAnsi="Times New Roman;serif"/>
          <w:b/>
          <w:i/>
          <w:color w:val="000000"/>
          <w:sz w:val="24"/>
        </w:rPr>
      </w:pPr>
      <w:r>
        <w:rPr>
          <w:rFonts w:ascii="Times New Roman;serif" w:hAnsi="Times New Roman;serif"/>
          <w:b/>
          <w:i/>
          <w:color w:val="000000"/>
          <w:sz w:val="24"/>
        </w:rPr>
        <w:t>Board Designation Rights</w: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Pursuant to the Proxy Agreement, Leonardo S.p.A., US Holding, DCSA and the proxy holders have specified Board designation and/or approval and other rights. The Proxy Agreement requires that our Board include the five proxy holders appointed by US Holding after consultation with Leonardo S.p.A. and approval by DCSA. The Proxy Agreement also requires our Board to include four additional directors consisting of our chief executive officer and three additional candidates proposed by US Holding in reasonable consultation with the nominating and corporate governance committee, subject to approval of DCSA in certain circumstances.</w:t>
      </w:r>
    </w:p>
    <w:p>
      <w:pPr>
        <w:pStyle w:val="TextBody"/>
        <w:bidi w:val="0"/>
        <w:spacing w:lineRule="auto" w:line="240" w:before="240" w:after="240"/>
        <w:jc w:val="left"/>
        <w:rPr>
          <w:rFonts w:ascii="Times New Roman;serif" w:hAnsi="Times New Roman;serif"/>
          <w:b/>
          <w:i/>
          <w:color w:val="000000"/>
          <w:sz w:val="24"/>
        </w:rPr>
      </w:pPr>
      <w:r>
        <w:rPr>
          <w:rFonts w:ascii="Times New Roman;serif" w:hAnsi="Times New Roman;serif"/>
          <w:b/>
          <w:i/>
          <w:color w:val="000000"/>
          <w:sz w:val="24"/>
        </w:rPr>
        <w:t>Removal of Directors</w: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Our Bylaws provide that, for so long as the Proxy Agreement is in effect, directors may be removed pursuant to the terms set forth in the Proxy Agreement. During their terms, proxy holders may only be removed (i) for acts in violation of the Proxy Agreement upon petition by US Holding to DCSA which may be granted or denied by DCSA in its sole discretion or (ii) for gross negligence or willful misconduct. The proxy holders may remove any non-proxy holder director from our Board by majority vote and after consultation with US Holding.</w:t>
      </w:r>
    </w:p>
    <w:p>
      <w:pPr>
        <w:pStyle w:val="TextBody"/>
        <w:bidi w:val="0"/>
        <w:spacing w:lineRule="auto" w:line="240" w:before="240" w:after="240"/>
        <w:jc w:val="left"/>
        <w:rPr>
          <w:rFonts w:ascii="Times New Roman;serif" w:hAnsi="Times New Roman;serif"/>
          <w:b/>
          <w:color w:val="000000"/>
          <w:sz w:val="24"/>
        </w:rPr>
      </w:pPr>
      <w:r>
        <w:rPr>
          <w:rFonts w:ascii="Times New Roman;serif" w:hAnsi="Times New Roman;serif"/>
          <w:b/>
          <w:color w:val="000000"/>
          <w:sz w:val="24"/>
        </w:rPr>
        <w:t>Anti-Takeover Effects of Our Charter and Bylaws</w: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The provisions of our Charter and Bylaws summarized below may have an anti-takeover effect and may delay, defer or prevent a tender offer or takeover attempt that a stockholder might consider to be in its best interests, including an attempt that might result in the receipt of a premium over the market price for the shares. These provisions are also designed, in part, to encourage persons seeking to acquire control of us to first negotiate with our Board, which could result in an improvement of their terms.</w:t>
      </w:r>
    </w:p>
    <w:p>
      <w:pPr>
        <w:pStyle w:val="TextBody"/>
        <w:bidi w:val="0"/>
        <w:spacing w:lineRule="auto" w:line="240" w:before="240" w:after="240"/>
        <w:jc w:val="left"/>
        <w:rPr>
          <w:rFonts w:ascii="Times New Roman;serif" w:hAnsi="Times New Roman;serif"/>
          <w:b/>
          <w:i/>
          <w:color w:val="000000"/>
          <w:sz w:val="24"/>
        </w:rPr>
      </w:pPr>
      <w:r>
        <w:rPr>
          <w:rFonts w:ascii="Times New Roman;serif" w:hAnsi="Times New Roman;serif"/>
          <w:b/>
          <w:i/>
          <w:color w:val="000000"/>
          <w:sz w:val="24"/>
        </w:rPr>
        <w:t>Authorized but Unissued Shares of Common Stock</w: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Our shares of authorized and unissued common stock are available for future issuance without additional stockholder approval. While our authorized and unissued shares are not designed to deter or prevent a change of control, under some circumstances we could use the additional shares to create voting impediments or to frustrate persons seeking to effect a takeover or otherwise gain control by, for example, issuing those shares in private placements to purchasers who might side with our Board in opposing a hostile takeover bid.</w:t>
      </w:r>
    </w:p>
    <w:p>
      <w:pPr>
        <w:pStyle w:val="TextBody"/>
        <w:bidi w:val="0"/>
        <w:spacing w:lineRule="auto" w:line="240" w:before="240" w:after="240"/>
        <w:jc w:val="left"/>
        <w:rPr>
          <w:rFonts w:ascii="Times New Roman;serif" w:hAnsi="Times New Roman;serif"/>
          <w:b/>
          <w:i/>
          <w:color w:val="000000"/>
          <w:sz w:val="24"/>
        </w:rPr>
      </w:pPr>
      <w:r>
        <w:rPr>
          <w:rFonts w:ascii="Times New Roman;serif" w:hAnsi="Times New Roman;serif"/>
          <w:b/>
          <w:i/>
          <w:color w:val="000000"/>
          <w:sz w:val="24"/>
        </w:rPr>
        <w:t>Authorized but Unissued Shares of Preferred Stock</w: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The Charter contains provisions that permit our Board to issue, without any further vote or action by the stockholders, up to 10,000,000 shares of preferred stock in one or more series and, with respect to each such series, to fix the voting powers, designations, preferences and the relative participating, optional or other special rights and qualifications, limitations and restrictions of each series, including, without limitation, dividend rights, dividend rates, conversion rights, voting rights, terms of redemption, liquidation preferences and the number of shares constituting any series. The existence of authorized but unissued preferred stock could reduce our attractiveness as a target for an unsolicited takeover bid since we could, for example, issue shares of preferred stock to parties who might oppose such a takeover bid or shares that contain terms the potential acquirer may find unattractive. This may have the effect of delaying or preventing a change of control, may discourage bids for the common stock at a premium over the market price </w:t>
      </w:r>
    </w:p>
    <w:p>
      <w:pPr>
        <w:pStyle w:val="TextBody"/>
        <w:bidi w:val="0"/>
        <w:spacing w:before="0" w:after="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of the common stock, and may adversely affect the market price of, and the voting and other rights of the holders of, our common stock.</w:t>
      </w:r>
    </w:p>
    <w:p>
      <w:pPr>
        <w:pStyle w:val="TextBody"/>
        <w:bidi w:val="0"/>
        <w:spacing w:lineRule="auto" w:line="240" w:before="240" w:after="240"/>
        <w:jc w:val="left"/>
        <w:rPr>
          <w:rFonts w:ascii="Times New Roman;serif" w:hAnsi="Times New Roman;serif"/>
          <w:b/>
          <w:i/>
          <w:color w:val="000000"/>
          <w:sz w:val="24"/>
        </w:rPr>
      </w:pPr>
      <w:r>
        <w:rPr>
          <w:rFonts w:ascii="Times New Roman;serif" w:hAnsi="Times New Roman;serif"/>
          <w:b/>
          <w:i/>
          <w:color w:val="000000"/>
          <w:sz w:val="24"/>
        </w:rPr>
        <w:t>Special Meetings of Stockholders</w: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Our Charter provides that a special meeting of stockholders may be called only by the chairman of our Board or chief executive officer or by a resolution adopted by a majority of our Board. Special meetings may also be called by our corporate secretary at the request of the holders of at least a majority of the outstanding shares of our common stock until the later of the termination of the Proxy Agreement and such date as Leonardo S.p.A. is no longer required under the International Financial Reporting Standards (the “IFRS”) to consolidate the financial statements of DRS with its financial results. Thereafter, stockholders will not be permitted to call a special meeting of stockholders.</w:t>
      </w:r>
    </w:p>
    <w:p>
      <w:pPr>
        <w:pStyle w:val="TextBody"/>
        <w:bidi w:val="0"/>
        <w:spacing w:lineRule="auto" w:line="240" w:before="240" w:after="240"/>
        <w:jc w:val="left"/>
        <w:rPr>
          <w:rFonts w:ascii="Times New Roman;serif" w:hAnsi="Times New Roman;serif"/>
          <w:b/>
          <w:i/>
          <w:color w:val="000000"/>
          <w:sz w:val="24"/>
        </w:rPr>
      </w:pPr>
      <w:r>
        <w:rPr>
          <w:rFonts w:ascii="Times New Roman;serif" w:hAnsi="Times New Roman;serif"/>
          <w:b/>
          <w:i/>
          <w:color w:val="000000"/>
          <w:sz w:val="24"/>
        </w:rPr>
        <w:t>Stockholders Advance Notice Procedure</w: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Our Bylaws establish an advance notice procedure for stockholders to make nominations of candidates for election as directors or to bring other business before an annual meeting of our stockholders. The Bylaws provide that any stockholders wishing to nominate persons for election as directors at, or bring other business before, an annual meeting must deliver to our corporate secretary a written notice of the stockholder’s intention to do so. These provisions may have the effect of precluding the conduct of certain business at a meeting if the proper procedures are not followed. We expect that these provisions may also discourage or deter a potential acquirer from conducting a solicitation of proxies to elect the acquirer’s own slate of directors or otherwise attempting to obtain control of our Company. To be timely, the stockholder’s notice must be delivered to our corporate secretary at our principal executive offices not less than 90 days nor more than 120 days before the first anniversary date of the annual meeting for the preceding year; provided, however, that in the event that the annual meeting is set for a date that is more than 30 days before or delayed by more than 60 days after the first anniversary date of the preceding year’s annual meeting, a stockholder’s notice must be delivered to our corporate secretary not later than the later of (x) the close of business on the 90th day prior to the meeting or (y) the close of business on the 10th day following the day on which a public announcement of the date of the meeting is first made by us.</w:t>
      </w:r>
    </w:p>
    <w:p>
      <w:pPr>
        <w:pStyle w:val="TextBody"/>
        <w:bidi w:val="0"/>
        <w:spacing w:lineRule="auto" w:line="240" w:before="240" w:after="240"/>
        <w:jc w:val="left"/>
        <w:rPr>
          <w:rFonts w:ascii="Times New Roman;serif" w:hAnsi="Times New Roman;serif"/>
          <w:b/>
          <w:i/>
          <w:color w:val="000000"/>
          <w:sz w:val="24"/>
        </w:rPr>
      </w:pPr>
      <w:r>
        <w:rPr>
          <w:rFonts w:ascii="Times New Roman;serif" w:hAnsi="Times New Roman;serif"/>
          <w:b/>
          <w:i/>
          <w:color w:val="000000"/>
          <w:sz w:val="24"/>
        </w:rPr>
        <w:t>No Stockholders Action by Written Consent</w: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Our Charter provides that stockholders action may be taken only at an annual meeting or special meeting of stockholders, provided that, until the later of the termination of the Proxy Agreement and such date as Leonardo S.p.A. is no longer required under IFRS to consolidate the financial statements of DRS with its financial results, stockholders action may be taken by written consent in lieu of a meeting.</w:t>
      </w:r>
    </w:p>
    <w:p>
      <w:pPr>
        <w:pStyle w:val="TextBody"/>
        <w:bidi w:val="0"/>
        <w:spacing w:lineRule="auto" w:line="240" w:before="240" w:after="240"/>
        <w:jc w:val="left"/>
        <w:rPr>
          <w:rFonts w:ascii="Times New Roman;serif" w:hAnsi="Times New Roman;serif"/>
          <w:b/>
          <w:i/>
          <w:color w:val="000000"/>
          <w:sz w:val="24"/>
        </w:rPr>
      </w:pPr>
      <w:r>
        <w:rPr>
          <w:rFonts w:ascii="Times New Roman;serif" w:hAnsi="Times New Roman;serif"/>
          <w:b/>
          <w:i/>
          <w:color w:val="000000"/>
          <w:sz w:val="24"/>
        </w:rPr>
        <w:t>Amendments to Charter and Bylaws</w: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Our Charter provides that our Charter may be amended by both the affirmative vote of a majority of our Board and the affirmative vote of the holders of a majority of the outstanding shares of our common stock then entitled to vote at any annual or special meeting of stockholders.</w: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In addition, our Bylaws may be amended, altered or repealed, or new bylaws may be adopted, by the affirmative vote of a majority of the Board, or by the affirmative vote of the holders of at least a majority of the outstanding shares of our common stock then entitled to vote at any annual or special meeting of stockholders.</w: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These provisions make it more difficult for any person to remove or amend any provisions in our Charter and Bylaws that may have an anti-takeover effect.</w:t>
      </w:r>
    </w:p>
    <w:p>
      <w:pPr>
        <w:pStyle w:val="TextBody"/>
        <w:bidi w:val="0"/>
        <w:spacing w:before="0" w:after="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left"/>
        <w:rPr>
          <w:rFonts w:ascii="Times New Roman;serif" w:hAnsi="Times New Roman;serif"/>
          <w:b/>
          <w:i/>
          <w:color w:val="000000"/>
          <w:sz w:val="24"/>
        </w:rPr>
      </w:pPr>
      <w:r>
        <w:rPr>
          <w:rFonts w:ascii="Times New Roman;serif" w:hAnsi="Times New Roman;serif"/>
          <w:b/>
          <w:i/>
          <w:color w:val="000000"/>
          <w:sz w:val="24"/>
        </w:rPr>
        <w:t>Delaware Anti-Takeover Law</w: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In general, Section 203 of the DGCL prohibits a publicly held Delaware corporation from engaging in a business combination, such as mergers, sales and leases of assets, issuances of securities and similar transactions by the corporation or a subsidiary with an interested stockholder including a person or group who beneficially owns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Section 203 permits corporations, in their certificate of incorporation, to opt out of the protections of Section 203. Our Charter generally excepts Leonardo S.p.A. and its affiliates, including US Holding, and their direct and indirect transferees of our stock and any affiliate of any such transferee, from the definition of interested stockholder for purposes of Section 203 of the DGCL until the occurrence of a transaction in which Leonardo S.p.A. or its affiliates, including US Holding, cease to collectively, as applicable, beneficially own at least 15% of the voting power of our outstanding voting stock.</w:t>
      </w:r>
    </w:p>
    <w:p>
      <w:pPr>
        <w:pStyle w:val="TextBody"/>
        <w:bidi w:val="0"/>
        <w:spacing w:lineRule="auto" w:line="240" w:before="240" w:after="240"/>
        <w:jc w:val="left"/>
        <w:rPr>
          <w:rFonts w:ascii="Times New Roman;serif" w:hAnsi="Times New Roman;serif"/>
          <w:b/>
          <w:color w:val="000000"/>
          <w:sz w:val="24"/>
        </w:rPr>
      </w:pPr>
      <w:r>
        <w:rPr>
          <w:rFonts w:ascii="Times New Roman;serif" w:hAnsi="Times New Roman;serif"/>
          <w:b/>
          <w:color w:val="000000"/>
          <w:sz w:val="24"/>
        </w:rPr>
        <w:t>Limitations on Liability and Indemnification</w: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Our Charter contains provisions relating to the liability of directors and officers. These provisions provide that a director or officer shall not be liable to us or our stockholders for monetary damages for breach of fiduciary duty as a director or officer, except to the extent such exemption from liability or limitation thereof is not permitted under the DGCL.</w: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The principal effect of the limitation on liability provision is that a stockholder will be unable to prosecute an action for monetary damages against a director or officer unless the stockholder can demonstrate a basis for liability for which indemnification is not available under the DGCL. These provisions, however, should not limit or eliminate our rights or any stockholder’s rights to seek non-monetary relief, such as an injunction or rescission, in the event of a breach of director’s or officer’s fiduciary duty. These provisions will not alter a director’s or officer’s liability under federal securities laws. The inclusion of this provision in our Charter may discourage or deter stockholders or management from bringing a lawsuit against directors or officers for a breach of their fiduciary duties, even though such an action, if successful, might otherwise have benefited us and our stockholders. In addition, your investment may be adversely affected to the extent we pay costs of settlement and damage awards against directors and officers pursuant to these indemnification provisions.</w: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Our Charter and our Bylaws require us to indemnify and advance expenses to our directors and officers to the fullest extent not prohibited by the DGCL and other applicable law, except in the case of a proceeding instituted by the director or officer without the approval of DRS. Our Charter and our Bylaws provide that we are required to indemnify our directors and officers, to the fullest extent permitted by law, for all judgments, fines, settlements, legal fees and other expenses incurred in connection with pending or threatened legal proceedings because of the director’s or officer’s positions with us or another entity that the director or officer serves at our request, subject to various conditions, and to advance funds to our directors and officers to enable them to defend against such proceedings. To receive indemnification, the director or officer must have been successful in the legal proceeding or have acted in good faith and in what was reasonably believed to be a lawful manner in our best interest and, with respect to any criminal proceeding, have had no reasonable cause to believe his or her conduct was unlawful.</w:t>
      </w:r>
    </w:p>
    <w:p>
      <w:pPr>
        <w:pStyle w:val="TextBody"/>
        <w:bidi w:val="0"/>
        <w:spacing w:lineRule="auto" w:line="240" w:before="240" w:after="240"/>
        <w:jc w:val="left"/>
        <w:rPr>
          <w:rFonts w:ascii="Times New Roman;serif" w:hAnsi="Times New Roman;serif"/>
          <w:b/>
          <w:color w:val="000000"/>
          <w:sz w:val="24"/>
        </w:rPr>
      </w:pPr>
      <w:r>
        <w:rPr>
          <w:rFonts w:ascii="Times New Roman;serif" w:hAnsi="Times New Roman;serif"/>
          <w:b/>
          <w:color w:val="000000"/>
          <w:sz w:val="24"/>
        </w:rPr>
        <w:t>Corporate Opportunities</w: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Our Charter provides that we, on our behalf and on behalf of our subsidiaries, renounce any interest or expectancy in, or in being offered an opportunity to participate in, potential transactions, matters or business opportunities (each, a “corporate opportunity”) that are from </w:t>
      </w:r>
    </w:p>
    <w:p>
      <w:pPr>
        <w:pStyle w:val="TextBody"/>
        <w:bidi w:val="0"/>
        <w:spacing w:before="0" w:after="0"/>
        <w:jc w:val="righ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time to time presented to Leonardo S.p.A. or any of its officers, directors, employees, agents, stockholders, members, partners, affiliates or subsidiaries (other than us and our subsidiaries), with the exception of the proxy holders, even if the opportunity is one that we or our subsidiaries might reasonably be deemed to have pursued or had the ability or desire to pursue if granted the opportunity to do so. Neither Leonardo S.p.A. nor any of its officers, directors, employees, agents, stockholders, members, partners, affiliates or subsidiaries, with the exception of the proxy holders, will be liable to us or any of our subsidiaries for breach of any fiduciary or other duty by reason of the fact that such person pursues or acquires such corporate opportunity, directs such corporate opportunity to another person or fails to present such corporate opportunity, or information regarding such corporate opportunity, to us or our subsidiaries. To the fullest extent permitted by law, by becoming a stockholder in our company, stockholders will be deemed to have notice of and consented to this provision of our Charter.</w:t>
      </w:r>
    </w:p>
    <w:p>
      <w:pPr>
        <w:pStyle w:val="TextBody"/>
        <w:bidi w:val="0"/>
        <w:spacing w:lineRule="auto" w:line="240" w:before="240" w:after="240"/>
        <w:jc w:val="left"/>
        <w:rPr>
          <w:rFonts w:ascii="Times New Roman;serif" w:hAnsi="Times New Roman;serif"/>
          <w:b/>
          <w:color w:val="000000"/>
          <w:sz w:val="24"/>
        </w:rPr>
      </w:pPr>
      <w:r>
        <w:rPr>
          <w:rFonts w:ascii="Times New Roman;serif" w:hAnsi="Times New Roman;serif"/>
          <w:b/>
          <w:color w:val="000000"/>
          <w:sz w:val="24"/>
        </w:rPr>
        <w:t>Choice of Forum</w: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Our Charter provides that, unless we consent in writing to the selection of an alternate forum, the Court of Chancery of the State of Delaware will, to the fullest extent provided by law, be the sole and exclusive forum for (i) any derivative action or proceeding brought on our behalf, (ii) any action asserting a claim of breach of a fiduciary duty owed to us or our stockholders by any of our directors, officers, other employees, agents or stockholders, (iii) any action asserting a claim against us arising under the DGCL or as to which the DGCL confers jurisdiction on the Court of Chancery of the State of Delaware (including, without limitation, any action asserting a claim arising out of or pursuant to our Bylaws) or (iv) any action asserting a claim against us that is governed by the internal affairs doctrine. The foregoing provision does not apply to claims arising under the Securities Act, the Exchange Act, or other federal securities laws for which there is exclusive federal or concurrent federal and state jurisdiction. Our stockholders cannot waive compliance with the federal securities laws and the rules and regulations thereunder. Furthermore, unless we select or consent to the selection of an alternative forum, our Charter provides that the federal district courts of the United States of America will be the exclusive forum for the resolution of any complaint asserting a cause of action arising under the Securities Act. To the fullest extent permitted by law, by becoming a stockholder in our company, you will be deemed to have notice of and have consented to the provisions of our Charter related to choice of forum.</w:t>
      </w:r>
    </w:p>
    <w:p>
      <w:pPr>
        <w:pStyle w:val="TextBody"/>
        <w:bidi w:val="0"/>
        <w:spacing w:lineRule="auto" w:line="240" w:before="240" w:after="240"/>
        <w:jc w:val="left"/>
        <w:rPr>
          <w:rFonts w:ascii="Times New Roman;serif" w:hAnsi="Times New Roman;serif"/>
          <w:b/>
          <w:color w:val="000000"/>
          <w:sz w:val="24"/>
        </w:rPr>
      </w:pPr>
      <w:r>
        <w:rPr>
          <w:rFonts w:ascii="Times New Roman;serif" w:hAnsi="Times New Roman;serif"/>
          <w:b/>
          <w:color w:val="000000"/>
          <w:sz w:val="24"/>
        </w:rPr>
        <w:t>Market Listing</w: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Our common stock is listed on the Nasdaq under the symbol “DRS”. </w:t>
      </w:r>
    </w:p>
    <w:p>
      <w:pPr>
        <w:pStyle w:val="TextBody"/>
        <w:bidi w:val="0"/>
        <w:spacing w:lineRule="auto" w:line="240" w:before="240" w:after="240"/>
        <w:jc w:val="left"/>
        <w:rPr/>
      </w:pPr>
      <w:r>
        <w:rPr>
          <w:rFonts w:ascii="Times New Roman;serif" w:hAnsi="Times New Roman;serif"/>
          <w:b/>
          <w:color w:val="000000"/>
          <w:sz w:val="24"/>
        </w:rPr>
        <w:t>Transfer Agent and Registrar</w:t>
      </w:r>
      <w:r>
        <w:rPr>
          <w:color w:val="000000"/>
        </w:rPr>
        <w:t> </w: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The transfer agent and registrar for our common stock is Equiniti Trust Company, LLC.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lineRule="auto" w:line="240" w:before="0" w:after="160"/>
        <w:jc w:val="center"/>
        <w:rPr>
          <w:rFonts w:ascii="Times New Roman;serif" w:hAnsi="Times New Roman;serif"/>
          <w:b/>
          <w:color w:val="000000"/>
          <w:sz w:val="20"/>
        </w:rPr>
      </w:pPr>
      <w:r>
        <w:rPr>
          <w:rFonts w:ascii="Times New Roman;serif" w:hAnsi="Times New Roman;serif"/>
          <w:b/>
          <w:color w:val="000000"/>
          <w:sz w:val="20"/>
        </w:rPr>
        <w:t>SUBSIDIARIES OF LEONARDO DRS, INC.</w:t>
      </w:r>
    </w:p>
    <w:tbl>
      <w:tblPr>
        <w:tblW w:w="7434" w:type="dxa"/>
        <w:jc w:val="left"/>
        <w:tblInd w:w="0" w:type="dxa"/>
        <w:tblLayout w:type="fixed"/>
        <w:tblCellMar>
          <w:top w:w="28" w:type="dxa"/>
          <w:left w:w="28" w:type="dxa"/>
          <w:bottom w:w="28" w:type="dxa"/>
          <w:right w:w="28" w:type="dxa"/>
        </w:tblCellMar>
      </w:tblPr>
      <w:tblGrid>
        <w:gridCol w:w="619"/>
        <w:gridCol w:w="544"/>
        <w:gridCol w:w="544"/>
        <w:gridCol w:w="544"/>
        <w:gridCol w:w="544"/>
        <w:gridCol w:w="548"/>
        <w:gridCol w:w="109"/>
        <w:gridCol w:w="109"/>
        <w:gridCol w:w="109"/>
        <w:gridCol w:w="109"/>
        <w:gridCol w:w="109"/>
        <w:gridCol w:w="109"/>
        <w:gridCol w:w="109"/>
        <w:gridCol w:w="109"/>
        <w:gridCol w:w="109"/>
        <w:gridCol w:w="304"/>
        <w:gridCol w:w="304"/>
        <w:gridCol w:w="304"/>
        <w:gridCol w:w="304"/>
        <w:gridCol w:w="304"/>
        <w:gridCol w:w="304"/>
        <w:gridCol w:w="304"/>
        <w:gridCol w:w="304"/>
        <w:gridCol w:w="30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Company Name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State/Country of Incorporation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3083683 Nova Scotia Limited</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Nova Scotia, Canada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Daylight Defense,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Daylight Solutions, Inc.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DRS Advanced ISR,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DRS Defense Solutions,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DRS Environmental Systems, Inc.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DRS Homeland Security Solutions, Inc.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DRS International, Inc.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DRS Naval Power Systems, Inc.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DRS Network &amp; Imaging Systems,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DRS Signal Solutions, Inc.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DRS Surveillance Support Systems, Inc.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DRS Sustainment Systems, Inc.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DRS Systems Management,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DRS Systems, Inc.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DRS Technologies Canada, Inc.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DRS Technologies Canada, Ltd.</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Ontario, Canada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DRS Training &amp; Control Systems,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DRS Unmanned Technologies, Inc.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Engineered Coil Company</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Engineered Support Systems, Inc.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ESSI Resources,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Laurel Technologies Partnership</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Leonardo DRS United Kingdom LTD.</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England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Oto Melara North America,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Pivotal Power Inc.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Nova Scotia, Canada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DRS RADA Technologies Ltd.</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Israel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RADA Innovations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RADA Sensors Inc.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RADA Technologies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Tech-Sym, LLC</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T-S Holding Corporation</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0"/>
        <w:jc w:val="center"/>
        <w:rPr>
          <w:rFonts w:ascii="Helvetica;sans-serif" w:hAnsi="Helvetica;sans-serif"/>
          <w:b/>
          <w:color w:val="333333"/>
          <w:sz w:val="20"/>
          <w:shd w:fill="FFFFFF" w:val="clear"/>
        </w:rPr>
      </w:pPr>
      <w:r>
        <w:rPr>
          <w:rFonts w:ascii="Helvetica;sans-serif" w:hAnsi="Helvetica;sans-serif"/>
          <w:b/>
          <w:color w:val="333333"/>
          <w:sz w:val="20"/>
          <w:shd w:fill="FFFFFF" w:val="clear"/>
        </w:rPr>
        <w:t>Consent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Helvetica;sans-serif" w:hAnsi="Helvetica;sans-serif"/>
          <w:b w:val="false"/>
          <w:color w:val="333333"/>
          <w:sz w:val="20"/>
          <w:shd w:fill="FFFFFF" w:val="clear"/>
        </w:rPr>
      </w:pPr>
      <w:r>
        <w:rPr>
          <w:rFonts w:ascii="Helvetica;sans-serif" w:hAnsi="Helvetica;sans-serif"/>
          <w:b w:val="false"/>
          <w:color w:val="333333"/>
          <w:sz w:val="20"/>
          <w:shd w:fill="FFFFFF" w:val="clear"/>
        </w:rPr>
        <w:t>We consent to the incorporation by reference of our reports dated February 26, 2026, with respect to the consolidated financial statements of Leonardo DRS, Inc. and the effectiveness of internal control over financial reporting of Leonardo DRS, Inc., included in this Annual Report (Form 10-K) for the year ended December 31, 2025 in the following Registration Statements:</w:t>
      </w:r>
    </w:p>
    <w:p>
      <w:pPr>
        <w:pStyle w:val="TextBody"/>
        <w:bidi w:val="0"/>
        <w:spacing w:before="0" w:after="0"/>
        <w:jc w:val="both"/>
        <w:rPr/>
      </w:pPr>
      <w:r>
        <w:rPr/>
      </w:r>
    </w:p>
    <w:p>
      <w:pPr>
        <w:pStyle w:val="TextBody"/>
        <w:bidi w:val="0"/>
        <w:spacing w:lineRule="auto" w:line="268" w:before="0" w:after="0"/>
        <w:ind w:left="0" w:right="0" w:hanging="360"/>
        <w:jc w:val="left"/>
        <w:rPr/>
      </w:pPr>
      <w:r>
        <w:rPr>
          <w:color w:val="333333"/>
          <w:shd w:fill="FFFFFF" w:val="clear"/>
        </w:rPr>
        <w:t>•</w:t>
      </w:r>
      <w:r>
        <w:rPr>
          <w:rFonts w:ascii="Helvetica;sans-serif" w:hAnsi="Helvetica;sans-serif"/>
          <w:b w:val="false"/>
          <w:color w:val="333333"/>
          <w:sz w:val="20"/>
          <w:shd w:fill="FFFFFF" w:val="clear"/>
        </w:rPr>
        <w:t xml:space="preserve">Form S-8 (No. 333-268575) pertaining to the Leonardo DRS, Inc. 2022 Omnibus Equity Compensation Plan; </w:t>
      </w:r>
    </w:p>
    <w:p>
      <w:pPr>
        <w:pStyle w:val="TextBody"/>
        <w:bidi w:val="0"/>
        <w:spacing w:lineRule="auto" w:line="268" w:before="0" w:after="0"/>
        <w:ind w:left="0" w:right="0" w:hanging="360"/>
        <w:jc w:val="left"/>
        <w:rPr/>
      </w:pPr>
      <w:r>
        <w:rPr>
          <w:color w:val="333333"/>
          <w:shd w:fill="FFFFFF" w:val="clear"/>
        </w:rPr>
        <w:t>•</w:t>
      </w:r>
      <w:r>
        <w:rPr>
          <w:rFonts w:ascii="Helvetica;sans-serif" w:hAnsi="Helvetica;sans-serif"/>
          <w:b w:val="false"/>
          <w:color w:val="333333"/>
          <w:sz w:val="20"/>
          <w:shd w:fill="FFFFFF" w:val="clear"/>
        </w:rPr>
        <w:t>Form S-3 (No. 333-275572) and related Prospectus of Leonardo DRS, Inc.;</w:t>
      </w:r>
    </w:p>
    <w:p>
      <w:pPr>
        <w:pStyle w:val="TextBody"/>
        <w:bidi w:val="0"/>
        <w:spacing w:lineRule="auto" w:line="268" w:before="0" w:after="0"/>
        <w:ind w:left="0" w:right="0" w:hanging="360"/>
        <w:jc w:val="left"/>
        <w:rPr/>
      </w:pPr>
      <w:r>
        <w:rPr>
          <w:color w:val="333333"/>
          <w:shd w:fill="FFFFFF" w:val="clear"/>
        </w:rPr>
        <w:t>•</w:t>
      </w:r>
      <w:r>
        <w:rPr>
          <w:rFonts w:ascii="Helvetica;sans-serif" w:hAnsi="Helvetica;sans-serif"/>
          <w:b w:val="false"/>
          <w:color w:val="333333"/>
          <w:sz w:val="20"/>
          <w:shd w:fill="FFFFFF" w:val="clear"/>
        </w:rPr>
        <w:t>Form S-8 (No. 333-279493) pertaining to the Leonardo DRS, Inc. 2022 Omnibus Equity Compensation Plan (Amended and Restated Effective May 15, 2024); and</w:t>
      </w:r>
    </w:p>
    <w:p>
      <w:pPr>
        <w:pStyle w:val="TextBody"/>
        <w:bidi w:val="0"/>
        <w:spacing w:lineRule="auto" w:line="268" w:before="0" w:after="0"/>
        <w:ind w:left="0" w:right="0" w:hanging="360"/>
        <w:jc w:val="left"/>
        <w:rPr/>
      </w:pPr>
      <w:r>
        <w:rPr>
          <w:color w:val="333333"/>
          <w:shd w:fill="FFFFFF" w:val="clear"/>
        </w:rPr>
        <w:t>•</w:t>
      </w:r>
      <w:r>
        <w:rPr>
          <w:rFonts w:ascii="Helvetica;sans-serif" w:hAnsi="Helvetica;sans-serif"/>
          <w:b w:val="false"/>
          <w:color w:val="333333"/>
          <w:sz w:val="20"/>
          <w:shd w:fill="FFFFFF" w:val="clear"/>
        </w:rPr>
        <w:t>Form S-8 (No. 333-279496) pertaining to the Leonardo DRS, Inc. Employee Stock Purchase Plan.</w:t>
      </w:r>
    </w:p>
    <w:p>
      <w:pPr>
        <w:pStyle w:val="TextBody"/>
        <w:bidi w:val="0"/>
        <w:spacing w:before="0" w:after="0"/>
        <w:jc w:val="both"/>
        <w:rPr/>
      </w:pPr>
      <w:r>
        <w:rPr/>
      </w:r>
    </w:p>
    <w:p>
      <w:pPr>
        <w:pStyle w:val="TextBody"/>
        <w:bidi w:val="0"/>
        <w:spacing w:lineRule="auto" w:line="268" w:before="0" w:after="0"/>
        <w:jc w:val="left"/>
        <w:rPr>
          <w:rFonts w:ascii="Helvetica;sans-serif" w:hAnsi="Helvetica;sans-serif"/>
          <w:b w:val="false"/>
          <w:color w:val="333333"/>
          <w:sz w:val="20"/>
          <w:shd w:fill="FFFFFF" w:val="clear"/>
        </w:rPr>
      </w:pPr>
      <w:r>
        <w:rPr>
          <w:rFonts w:ascii="Helvetica;sans-serif" w:hAnsi="Helvetica;sans-serif"/>
          <w:b w:val="false"/>
          <w:color w:val="333333"/>
          <w:sz w:val="20"/>
          <w:shd w:fill="FFFFFF" w:val="clear"/>
        </w:rPr>
        <w:t>/s/ Ernst &amp; Young LLP</w:t>
      </w:r>
    </w:p>
    <w:p>
      <w:pPr>
        <w:pStyle w:val="TextBody"/>
        <w:bidi w:val="0"/>
        <w:spacing w:before="0" w:after="0"/>
        <w:jc w:val="left"/>
        <w:rPr/>
      </w:pPr>
      <w:r>
        <w:rPr/>
      </w:r>
    </w:p>
    <w:p>
      <w:pPr>
        <w:pStyle w:val="TextBody"/>
        <w:bidi w:val="0"/>
        <w:spacing w:lineRule="auto" w:line="268" w:before="0" w:after="0"/>
        <w:jc w:val="left"/>
        <w:rPr>
          <w:rFonts w:ascii="Helvetica;sans-serif" w:hAnsi="Helvetica;sans-serif"/>
          <w:b w:val="false"/>
          <w:color w:val="333333"/>
          <w:sz w:val="20"/>
          <w:shd w:fill="FFFFFF" w:val="clear"/>
        </w:rPr>
      </w:pPr>
      <w:r>
        <w:rPr>
          <w:rFonts w:ascii="Helvetica;sans-serif" w:hAnsi="Helvetica;sans-serif"/>
          <w:b w:val="false"/>
          <w:color w:val="333333"/>
          <w:sz w:val="20"/>
          <w:shd w:fill="FFFFFF" w:val="clear"/>
        </w:rPr>
        <w:t>Tysons, Virginia</w:t>
      </w:r>
    </w:p>
    <w:p>
      <w:pPr>
        <w:pStyle w:val="TextBody"/>
        <w:bidi w:val="0"/>
        <w:spacing w:lineRule="auto" w:line="268" w:before="0" w:after="0"/>
        <w:jc w:val="left"/>
        <w:rPr>
          <w:rFonts w:ascii="Helvetica;sans-serif" w:hAnsi="Helvetica;sans-serif"/>
          <w:b w:val="false"/>
          <w:color w:val="333333"/>
          <w:sz w:val="20"/>
          <w:shd w:fill="FFFFFF" w:val="clear"/>
        </w:rPr>
      </w:pPr>
      <w:r>
        <w:rPr>
          <w:rFonts w:ascii="Helvetica;sans-serif" w:hAnsi="Helvetica;sans-serif"/>
          <w:b w:val="false"/>
          <w:color w:val="333333"/>
          <w:sz w:val="20"/>
          <w:shd w:fill="FFFFFF" w:val="clear"/>
        </w:rPr>
        <w:t>February 26, 2026</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Certification of Principal Executive Officer</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Pursuant to Exchange Act Rule 13a-14(a)/15d-14(a) as</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Adopted Pursuant to Section 302 of the Sarbanes-Oxley Act of 2002</w:t>
      </w:r>
    </w:p>
    <w:p>
      <w:pPr>
        <w:pStyle w:val="TextBody"/>
        <w:bidi w:val="0"/>
        <w:spacing w:before="17" w:after="283"/>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 John Baylouny, certify that:</w:t>
      </w:r>
    </w:p>
    <w:p>
      <w:pPr>
        <w:pStyle w:val="TextBody"/>
        <w:bidi w:val="0"/>
        <w:spacing w:before="4" w:after="283"/>
        <w:jc w:val="left"/>
        <w:rPr/>
      </w:pPr>
      <w:r>
        <w:rPr/>
      </w:r>
    </w:p>
    <w:p>
      <w:pPr>
        <w:pStyle w:val="TextBody"/>
        <w:bidi w:val="0"/>
        <w:spacing w:lineRule="auto" w:line="240" w:before="0" w:after="0"/>
        <w:ind w:left="0" w:right="0" w:hanging="442"/>
        <w:jc w:val="both"/>
        <w:rPr>
          <w:rFonts w:ascii="Times New Roman;serif" w:hAnsi="Times New Roman;serif"/>
          <w:b w:val="false"/>
          <w:color w:val="000000"/>
          <w:sz w:val="18"/>
        </w:rPr>
      </w:pPr>
      <w:r>
        <w:rPr>
          <w:rFonts w:ascii="Times New Roman;serif" w:hAnsi="Times New Roman;serif"/>
          <w:b w:val="false"/>
          <w:color w:val="000000"/>
          <w:sz w:val="18"/>
        </w:rPr>
        <w:t>1.    I have reviewed this Annual Report on Form 10-K for the year ended December 31, 2025 of Leonardo DRS, Inc.;</w:t>
      </w:r>
    </w:p>
    <w:p>
      <w:pPr>
        <w:pStyle w:val="TextBody"/>
        <w:bidi w:val="0"/>
        <w:spacing w:before="4" w:after="283"/>
        <w:jc w:val="left"/>
        <w:rPr/>
      </w:pPr>
      <w:r>
        <w:rPr/>
      </w:r>
    </w:p>
    <w:p>
      <w:pPr>
        <w:pStyle w:val="TextBody"/>
        <w:bidi w:val="0"/>
        <w:spacing w:lineRule="auto" w:line="240" w:before="0" w:after="0"/>
        <w:ind w:left="0" w:right="0" w:hanging="442"/>
        <w:jc w:val="both"/>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3" w:after="283"/>
        <w:jc w:val="left"/>
        <w:rPr/>
      </w:pPr>
      <w:r>
        <w:rPr/>
      </w:r>
    </w:p>
    <w:p>
      <w:pPr>
        <w:pStyle w:val="TextBody"/>
        <w:bidi w:val="0"/>
        <w:spacing w:lineRule="auto" w:line="240" w:before="0" w:after="0"/>
        <w:ind w:left="0" w:right="0" w:hanging="442"/>
        <w:jc w:val="both"/>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4" w:after="283"/>
        <w:jc w:val="left"/>
        <w:rPr/>
      </w:pPr>
      <w:r>
        <w:rPr/>
      </w:r>
    </w:p>
    <w:p>
      <w:pPr>
        <w:pStyle w:val="TextBody"/>
        <w:bidi w:val="0"/>
        <w:spacing w:lineRule="auto" w:line="240" w:before="0" w:after="0"/>
        <w:ind w:left="0" w:right="0" w:hanging="442"/>
        <w:jc w:val="both"/>
        <w:rPr>
          <w:rFonts w:ascii="Times New Roman;serif" w:hAnsi="Times New Roman;serif"/>
          <w:b w:val="false"/>
          <w:color w:val="000000"/>
          <w:sz w:val="18"/>
        </w:rPr>
      </w:pPr>
      <w:r>
        <w:rPr>
          <w:rFonts w:ascii="Times New Roman;serif" w:hAnsi="Times New Roman;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4" w:after="283"/>
        <w:jc w:val="left"/>
        <w:rPr/>
      </w:pPr>
      <w:r>
        <w:rPr/>
      </w:r>
    </w:p>
    <w:p>
      <w:pPr>
        <w:pStyle w:val="TextBody"/>
        <w:bidi w:val="0"/>
        <w:spacing w:lineRule="auto" w:line="240" w:before="0" w:after="0"/>
        <w:ind w:left="0" w:right="0" w:hanging="551"/>
        <w:jc w:val="left"/>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4" w:after="283"/>
        <w:jc w:val="left"/>
        <w:rPr/>
      </w:pPr>
      <w:r>
        <w:rPr/>
      </w:r>
    </w:p>
    <w:p>
      <w:pPr>
        <w:pStyle w:val="TextBody"/>
        <w:bidi w:val="0"/>
        <w:spacing w:lineRule="auto" w:line="240" w:before="0" w:after="0"/>
        <w:ind w:left="0" w:right="0" w:hanging="530"/>
        <w:jc w:val="left"/>
        <w:rPr>
          <w:rFonts w:ascii="Times New Roman;serif" w:hAnsi="Times New Roman;serif"/>
          <w:b w:val="false"/>
          <w:color w:val="000000"/>
          <w:sz w:val="18"/>
        </w:rPr>
      </w:pPr>
      <w:r>
        <w:rPr>
          <w:rFonts w:ascii="Times New Roman;serif" w:hAnsi="Times New Roman;serif"/>
          <w:b w:val="false"/>
          <w:color w:val="000000"/>
          <w:sz w:val="18"/>
        </w:rPr>
        <w:t>b.        Designated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7" w:after="283"/>
        <w:jc w:val="left"/>
        <w:rPr/>
      </w:pPr>
      <w:r>
        <w:rPr/>
      </w:r>
    </w:p>
    <w:p>
      <w:pPr>
        <w:pStyle w:val="TextBody"/>
        <w:bidi w:val="0"/>
        <w:spacing w:lineRule="auto" w:line="273" w:before="0" w:after="0"/>
        <w:ind w:left="0" w:right="0" w:hanging="551"/>
        <w:jc w:val="left"/>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 w:after="283"/>
        <w:jc w:val="left"/>
        <w:rPr/>
      </w:pPr>
      <w:r>
        <w:rPr/>
      </w:r>
    </w:p>
    <w:p>
      <w:pPr>
        <w:pStyle w:val="TextBody"/>
        <w:bidi w:val="0"/>
        <w:spacing w:lineRule="auto" w:line="240" w:before="0" w:after="0"/>
        <w:ind w:left="0" w:right="0" w:hanging="551"/>
        <w:jc w:val="left"/>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 w:after="283"/>
        <w:jc w:val="left"/>
        <w:rPr/>
      </w:pPr>
      <w:r>
        <w:rPr/>
      </w:r>
    </w:p>
    <w:p>
      <w:pPr>
        <w:pStyle w:val="TextBody"/>
        <w:bidi w:val="0"/>
        <w:spacing w:lineRule="auto" w:line="273" w:before="0" w:after="0"/>
        <w:ind w:left="0" w:right="0" w:hanging="442"/>
        <w:jc w:val="left"/>
        <w:rPr>
          <w:rFonts w:ascii="Times New Roman;serif" w:hAnsi="Times New Roman;serif"/>
          <w:b w:val="false"/>
          <w:color w:val="000000"/>
          <w:sz w:val="18"/>
        </w:rPr>
      </w:pPr>
      <w:r>
        <w:rPr>
          <w:rFonts w:ascii="Times New Roman;serif" w:hAnsi="Times New Roman;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84" w:after="283"/>
        <w:ind w:left="0" w:right="0" w:hanging="551"/>
        <w:jc w:val="left"/>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 w:after="283"/>
        <w:jc w:val="left"/>
        <w:rPr/>
      </w:pPr>
      <w:r>
        <w:rPr/>
      </w:r>
    </w:p>
    <w:p>
      <w:pPr>
        <w:pStyle w:val="TextBody"/>
        <w:bidi w:val="0"/>
        <w:spacing w:lineRule="auto" w:line="240" w:before="0" w:after="0"/>
        <w:ind w:left="0" w:right="0" w:hanging="551"/>
        <w:jc w:val="left"/>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15" w:after="283"/>
        <w:jc w:val="left"/>
        <w:rPr/>
      </w:pPr>
      <w:r>
        <w:rPr/>
      </w:r>
    </w:p>
    <w:p>
      <w:pPr>
        <w:pStyle w:val="TextBody"/>
        <w:bidi w:val="0"/>
        <w:spacing w:before="15" w:after="283"/>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February 25, 2026</w:t>
      </w:r>
    </w:p>
    <w:p>
      <w:pPr>
        <w:pStyle w:val="TextBody"/>
        <w:bidi w:val="0"/>
        <w:spacing w:before="0" w:after="0"/>
        <w:jc w:val="left"/>
        <w:rPr/>
      </w:pPr>
      <w:r>
        <w:rPr/>
      </w:r>
    </w:p>
    <w:tbl>
      <w:tblPr>
        <w:tblW w:w="2204" w:type="dxa"/>
        <w:jc w:val="left"/>
        <w:tblInd w:w="0" w:type="dxa"/>
        <w:tblLayout w:type="fixed"/>
        <w:tblCellMar>
          <w:top w:w="28" w:type="dxa"/>
          <w:left w:w="28" w:type="dxa"/>
          <w:bottom w:w="28" w:type="dxa"/>
          <w:right w:w="28" w:type="dxa"/>
        </w:tblCellMar>
      </w:tblPr>
      <w:tblGrid>
        <w:gridCol w:w="704"/>
        <w:gridCol w:w="619"/>
        <w:gridCol w:w="881"/>
      </w:tblGrid>
      <w:tr>
        <w:trPr/>
        <w:tc>
          <w:tcPr>
            <w:tcW w:w="70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Baylouny</w:t>
            </w:r>
          </w:p>
        </w:tc>
      </w:tr>
      <w:tr>
        <w:trPr/>
        <w:tc>
          <w:tcPr>
            <w:tcW w:w="2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Baylouny</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22" w:after="283"/>
        <w:ind w:left="0" w:right="0" w:firstLine="439"/>
        <w:jc w:val="left"/>
        <w:rPr>
          <w:rFonts w:ascii="Times New Roman;serif" w:hAnsi="Times New Roman;serif"/>
          <w:b/>
          <w:color w:val="000000"/>
          <w:sz w:val="18"/>
        </w:rPr>
      </w:pPr>
      <w:r>
        <w:rPr>
          <w:rFonts w:ascii="Times New Roman;serif" w:hAnsi="Times New Roman;serif"/>
          <w:b/>
          <w:color w:val="000000"/>
          <w:sz w:val="18"/>
        </w:rPr>
        <w:t>Certification of Principal Financial Officer Pursuant to Exchange Act Rule 13a-14(a)/15d-14(a) as</w:t>
      </w:r>
    </w:p>
    <w:p>
      <w:pPr>
        <w:pStyle w:val="TextBody"/>
        <w:bidi w:val="0"/>
        <w:spacing w:lineRule="auto" w:line="273" w:before="0" w:after="0"/>
        <w:ind w:left="0" w:right="0" w:firstLine="2039"/>
        <w:jc w:val="left"/>
        <w:rPr>
          <w:rFonts w:ascii="Times New Roman;serif" w:hAnsi="Times New Roman;serif"/>
          <w:b/>
          <w:color w:val="000000"/>
          <w:sz w:val="18"/>
        </w:rPr>
      </w:pPr>
      <w:r>
        <w:rPr>
          <w:rFonts w:ascii="Times New Roman;serif" w:hAnsi="Times New Roman;serif"/>
          <w:b/>
          <w:color w:val="000000"/>
          <w:sz w:val="18"/>
        </w:rPr>
        <w:t>Adopted Pursuant to Section 302 of the Sarbanes-Oxley Act of 2002</w:t>
      </w:r>
    </w:p>
    <w:p>
      <w:pPr>
        <w:pStyle w:val="TextBody"/>
        <w:bidi w:val="0"/>
        <w:spacing w:before="6" w:after="283"/>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 Michael D. Dippold, certify that:</w:t>
      </w:r>
    </w:p>
    <w:p>
      <w:pPr>
        <w:pStyle w:val="TextBody"/>
        <w:bidi w:val="0"/>
        <w:spacing w:lineRule="auto" w:line="240" w:before="124" w:after="283"/>
        <w:ind w:left="0" w:right="0" w:hanging="442"/>
        <w:jc w:val="left"/>
        <w:rPr>
          <w:rFonts w:ascii="Times New Roman;serif" w:hAnsi="Times New Roman;serif"/>
          <w:b w:val="false"/>
          <w:color w:val="000000"/>
          <w:sz w:val="18"/>
        </w:rPr>
      </w:pPr>
      <w:r>
        <w:rPr>
          <w:rFonts w:ascii="Times New Roman;serif" w:hAnsi="Times New Roman;serif"/>
          <w:b w:val="false"/>
          <w:color w:val="000000"/>
          <w:sz w:val="18"/>
        </w:rPr>
        <w:t>1.I have reviewed this Annual Report on Form 10-K for the year ended December 31, 2025 of Leonardo DRS, Inc.;</w:t>
      </w:r>
    </w:p>
    <w:p>
      <w:pPr>
        <w:pStyle w:val="TextBody"/>
        <w:bidi w:val="0"/>
        <w:spacing w:lineRule="auto" w:line="240" w:before="129" w:after="283"/>
        <w:ind w:left="0" w:right="0" w:hanging="442"/>
        <w:jc w:val="both"/>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117" w:after="283"/>
        <w:ind w:left="0" w:right="0" w:hanging="442"/>
        <w:jc w:val="both"/>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124" w:after="283"/>
        <w:ind w:left="0" w:right="0" w:hanging="442"/>
        <w:jc w:val="both"/>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124" w:after="283"/>
        <w:ind w:left="0" w:right="0" w:hanging="551"/>
        <w:jc w:val="left"/>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124" w:after="283"/>
        <w:ind w:left="0" w:right="0" w:hanging="552"/>
        <w:jc w:val="left"/>
        <w:rPr>
          <w:rFonts w:ascii="Times New Roman;serif" w:hAnsi="Times New Roman;serif"/>
          <w:b w:val="false"/>
          <w:color w:val="000000"/>
          <w:sz w:val="18"/>
        </w:rPr>
      </w:pPr>
      <w:r>
        <w:rPr>
          <w:rFonts w:ascii="Times New Roman;serif" w:hAnsi="Times New Roman;serif"/>
          <w:b w:val="false"/>
          <w:color w:val="000000"/>
          <w:sz w:val="18"/>
        </w:rPr>
        <w:t>b.Designated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30" w:after="283"/>
        <w:ind w:left="0" w:right="0" w:hanging="552"/>
        <w:jc w:val="both"/>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119" w:after="283"/>
        <w:ind w:left="0" w:right="0" w:hanging="552"/>
        <w:jc w:val="left"/>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121" w:after="283"/>
        <w:ind w:left="0" w:right="0" w:hanging="442"/>
        <w:jc w:val="both"/>
        <w:rPr>
          <w:rFonts w:ascii="Times New Roman;serif" w:hAnsi="Times New Roman;serif"/>
          <w:b w:val="false"/>
          <w:color w:val="000000"/>
          <w:sz w:val="18"/>
        </w:rPr>
      </w:pPr>
      <w:r>
        <w:rPr>
          <w:rFonts w:ascii="Times New Roman;serif" w:hAnsi="Times New Roman;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83" w:after="283"/>
        <w:ind w:left="0" w:right="0" w:hanging="551"/>
        <w:jc w:val="left"/>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121" w:after="283"/>
        <w:ind w:left="0" w:right="0" w:hanging="552"/>
        <w:jc w:val="left"/>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9" w:after="283"/>
        <w:jc w:val="left"/>
        <w:rPr/>
      </w:pPr>
      <w:r>
        <w:rPr/>
      </w:r>
    </w:p>
    <w:p>
      <w:pPr>
        <w:pStyle w:val="TextBody"/>
        <w:bidi w:val="0"/>
        <w:spacing w:before="9" w:after="283"/>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February 25, 2026</w:t>
      </w:r>
    </w:p>
    <w:p>
      <w:pPr>
        <w:pStyle w:val="TextBody"/>
        <w:bidi w:val="0"/>
        <w:spacing w:before="0" w:after="0"/>
        <w:jc w:val="left"/>
        <w:rPr/>
      </w:pPr>
      <w:r>
        <w:rPr/>
      </w:r>
    </w:p>
    <w:tbl>
      <w:tblPr>
        <w:tblW w:w="3055" w:type="dxa"/>
        <w:jc w:val="left"/>
        <w:tblInd w:w="0" w:type="dxa"/>
        <w:tblLayout w:type="fixed"/>
        <w:tblCellMar>
          <w:top w:w="28" w:type="dxa"/>
          <w:left w:w="28" w:type="dxa"/>
          <w:bottom w:w="28" w:type="dxa"/>
          <w:right w:w="28" w:type="dxa"/>
        </w:tblCellMar>
      </w:tblPr>
      <w:tblGrid>
        <w:gridCol w:w="768"/>
        <w:gridCol w:w="673"/>
        <w:gridCol w:w="673"/>
        <w:gridCol w:w="273"/>
        <w:gridCol w:w="273"/>
        <w:gridCol w:w="395"/>
      </w:tblGrid>
      <w:tr>
        <w:trPr/>
        <w:tc>
          <w:tcPr>
            <w:tcW w:w="76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055"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Michael D. Dippold</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Michael D. Dippold</w:t>
            </w:r>
          </w:p>
        </w:tc>
        <w:tc>
          <w:tcPr>
            <w:tcW w:w="94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4"/>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1" w:after="283"/>
              <w:ind w:left="0" w:right="0" w:hanging="4"/>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c>
          <w:tcPr>
            <w:tcW w:w="941" w:type="dxa"/>
            <w:gridSpan w:val="3"/>
            <w:tcBorders/>
            <w:tcMar>
              <w:top w:w="0" w:type="dxa"/>
              <w:left w:w="0" w:type="dxa"/>
              <w:bottom w:w="0" w:type="dxa"/>
              <w:right w:w="0" w:type="dxa"/>
            </w:tcMar>
            <w:vAlign w:val="center"/>
          </w:tcPr>
          <w:p>
            <w:pPr>
              <w:pStyle w:val="TableContents"/>
              <w:bidi w:val="0"/>
              <w:spacing w:before="0" w:after="283"/>
              <w:ind w:left="0" w:right="0" w:hanging="4"/>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1" w:after="283"/>
              <w:ind w:left="0" w:right="0" w:hanging="4"/>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 w:after="283"/>
        <w:ind w:left="0" w:right="0" w:hanging="4"/>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 w:after="283"/>
        <w:jc w:val="left"/>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Certification of Principal Executive Officer </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Pursuant to 18 U.S.C. Section 1350 as </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Adopted Pursuant to Section 906 of the Sarbanes-Oxley Act of 2002</w:t>
      </w:r>
    </w:p>
    <w:p>
      <w:pPr>
        <w:pStyle w:val="TextBody"/>
        <w:bidi w:val="0"/>
        <w:spacing w:before="15" w:after="283"/>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 connection with the Annual Report of Leonardo DRS, Inc. (the “Company”) on Form 10-K for the period ended December 31, 2025, as filed with the Securities and Exchange Commission (the “Report”), the undersigned, as the Chief Executive Officer of the Company, hereby certifies pursuant to 18 U.S.C. Section 1350, as adopted pursuant to Section 906 of the Sarbanes-Oxley Act of 2002, that to his knowledge: </w:t>
      </w:r>
    </w:p>
    <w:p>
      <w:pPr>
        <w:pStyle w:val="TextBody"/>
        <w:bidi w:val="0"/>
        <w:spacing w:before="4" w:after="283"/>
        <w:jc w:val="left"/>
        <w:rPr/>
      </w:pPr>
      <w:r>
        <w:rPr/>
      </w:r>
    </w:p>
    <w:p>
      <w:pPr>
        <w:pStyle w:val="TextBody"/>
        <w:bidi w:val="0"/>
        <w:spacing w:lineRule="auto" w:line="240" w:before="0" w:after="0"/>
        <w:ind w:left="0" w:right="0" w:hanging="442"/>
        <w:jc w:val="both"/>
        <w:rPr>
          <w:rFonts w:ascii="Times New Roman;serif" w:hAnsi="Times New Roman;serif"/>
          <w:b w:val="false"/>
          <w:color w:val="000000"/>
          <w:sz w:val="18"/>
        </w:rPr>
      </w:pPr>
      <w:r>
        <w:rPr>
          <w:rFonts w:ascii="Times New Roman;serif" w:hAnsi="Times New Roman;serif"/>
          <w:b w:val="false"/>
          <w:color w:val="000000"/>
          <w:sz w:val="18"/>
        </w:rPr>
        <w:t>1.    The Report, which this statement accompanies fully complies with the requirements of Section 13(a) or 15(d) of the Securities Exchange Act of 1934; and</w:t>
      </w:r>
    </w:p>
    <w:p>
      <w:pPr>
        <w:pStyle w:val="TextBody"/>
        <w:bidi w:val="0"/>
        <w:spacing w:before="4" w:after="283"/>
        <w:jc w:val="left"/>
        <w:rPr/>
      </w:pPr>
      <w:r>
        <w:rPr/>
      </w:r>
    </w:p>
    <w:p>
      <w:pPr>
        <w:pStyle w:val="TextBody"/>
        <w:bidi w:val="0"/>
        <w:spacing w:lineRule="auto" w:line="240" w:before="0" w:after="0"/>
        <w:ind w:left="0" w:right="0" w:hanging="442"/>
        <w:jc w:val="both"/>
        <w:rPr>
          <w:rFonts w:ascii="Times New Roman;serif" w:hAnsi="Times New Roman;serif"/>
          <w:b w:val="false"/>
          <w:color w:val="000000"/>
          <w:sz w:val="18"/>
        </w:rPr>
      </w:pPr>
      <w:r>
        <w:rPr>
          <w:rFonts w:ascii="Times New Roman;serif" w:hAnsi="Times New Roman;serif"/>
          <w:b w:val="false"/>
          <w:color w:val="000000"/>
          <w:sz w:val="18"/>
        </w:rPr>
        <w:t>2.    The information contained in the Report fairly presents, in all material respects, the financial condition and results of operations of the Company.</w:t>
      </w:r>
    </w:p>
    <w:p>
      <w:pPr>
        <w:pStyle w:val="TextBody"/>
        <w:bidi w:val="0"/>
        <w:spacing w:before="3"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February 25, 2026</w:t>
      </w:r>
    </w:p>
    <w:p>
      <w:pPr>
        <w:pStyle w:val="TextBody"/>
        <w:bidi w:val="0"/>
        <w:spacing w:before="0" w:after="2"/>
        <w:jc w:val="left"/>
        <w:rPr/>
      </w:pPr>
      <w:r>
        <w:rPr/>
      </w:r>
    </w:p>
    <w:tbl>
      <w:tblPr>
        <w:tblW w:w="2205" w:type="dxa"/>
        <w:jc w:val="left"/>
        <w:tblInd w:w="0" w:type="dxa"/>
        <w:tblLayout w:type="fixed"/>
        <w:tblCellMar>
          <w:top w:w="28" w:type="dxa"/>
          <w:left w:w="28" w:type="dxa"/>
          <w:bottom w:w="28" w:type="dxa"/>
          <w:right w:w="28" w:type="dxa"/>
        </w:tblCellMar>
      </w:tblPr>
      <w:tblGrid>
        <w:gridCol w:w="707"/>
        <w:gridCol w:w="619"/>
        <w:gridCol w:w="879"/>
      </w:tblGrid>
      <w:tr>
        <w:trPr/>
        <w:tc>
          <w:tcPr>
            <w:tcW w:w="70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John Baylouny</w:t>
            </w:r>
          </w:p>
        </w:tc>
      </w:tr>
      <w:tr>
        <w:trPr/>
        <w:tc>
          <w:tcPr>
            <w:tcW w:w="2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Baylouny</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0" w:after="0"/>
        <w:ind w:left="0" w:right="0" w:firstLine="720"/>
        <w:jc w:val="left"/>
        <w:rPr/>
      </w:pPr>
      <w:r>
        <w:rPr/>
      </w:r>
    </w:p>
    <w:p>
      <w:pPr>
        <w:pStyle w:val="TextBody"/>
        <w:bidi w:val="0"/>
        <w:spacing w:before="0" w:after="200"/>
        <w:jc w:val="left"/>
        <w:rPr/>
      </w:pPr>
      <w:r>
        <w:rPr/>
      </w:r>
    </w:p>
    <w:p>
      <w:pPr>
        <w:pStyle w:val="TextBody"/>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This written statement accompanies the Report pursuant to Section 906 of the Sarbanes-Oxley Act of 2002 and shall not, except to the extent required by the Sarbanes-Oxley Act of 2002, be deemed filed by the Company for purposes of Section 18 of the Securities Exchange Act of 1934.</w:t>
      </w:r>
    </w:p>
    <w:p>
      <w:pPr>
        <w:pStyle w:val="TextBody"/>
        <w:bidi w:val="0"/>
        <w:spacing w:lineRule="auto" w:line="319" w:before="0" w:after="200"/>
        <w:jc w:val="left"/>
        <w:rPr>
          <w:rFonts w:ascii="Times New Roman;serif" w:hAnsi="Times New Roman;serif"/>
          <w:b w:val="false"/>
          <w:color w:val="000000"/>
          <w:sz w:val="18"/>
        </w:rPr>
      </w:pPr>
      <w:r>
        <w:rPr>
          <w:rFonts w:ascii="Times New Roman;serif" w:hAnsi="Times New Roman;serif"/>
          <w:b w:val="false"/>
          <w:color w:val="000000"/>
          <w:sz w:val="18"/>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46" w:after="283"/>
        <w:jc w:val="center"/>
        <w:rPr>
          <w:rFonts w:ascii="Times New Roman;serif" w:hAnsi="Times New Roman;serif"/>
          <w:b/>
          <w:color w:val="000000"/>
          <w:sz w:val="18"/>
        </w:rPr>
      </w:pPr>
      <w:r>
        <w:rPr>
          <w:rFonts w:ascii="Times New Roman;serif" w:hAnsi="Times New Roman;serif"/>
          <w:b/>
          <w:color w:val="000000"/>
          <w:sz w:val="18"/>
        </w:rPr>
        <w:t>Certification of Principal Financial Officer Pursuant to 18 U.S.C. Section 1350 as</w:t>
      </w:r>
    </w:p>
    <w:p>
      <w:pPr>
        <w:pStyle w:val="TextBody"/>
        <w:bidi w:val="0"/>
        <w:spacing w:lineRule="auto" w:line="240" w:before="2" w:after="283"/>
        <w:jc w:val="center"/>
        <w:rPr>
          <w:rFonts w:ascii="Times New Roman;serif" w:hAnsi="Times New Roman;serif"/>
          <w:b/>
          <w:color w:val="000000"/>
          <w:sz w:val="18"/>
        </w:rPr>
      </w:pPr>
      <w:r>
        <w:rPr>
          <w:rFonts w:ascii="Times New Roman;serif" w:hAnsi="Times New Roman;serif"/>
          <w:b/>
          <w:color w:val="000000"/>
          <w:sz w:val="18"/>
        </w:rPr>
        <w:t>Adopted Pursuant to Section 906 of the Sarbanes-Oxley Act of 2002</w:t>
      </w:r>
    </w:p>
    <w:p>
      <w:pPr>
        <w:pStyle w:val="TextBody"/>
        <w:bidi w:val="0"/>
        <w:spacing w:before="4" w:after="283"/>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 connection with the Annual Report of Leonardo DRS, Inc. (the “Company”) on Form 10-K for the period ended December 31, 2025, as filed with the Securities and Exchange Commission (the “Report”), the undersigned, as the Chief Financial Officer of the Company, hereby certifies pursuant to 18 U.S.C. Section 1350, as adopted pursuant to Section 906 of the Sarbanes-Oxley Act of 2002, that to his knowledge: </w:t>
      </w:r>
    </w:p>
    <w:p>
      <w:pPr>
        <w:pStyle w:val="TextBody"/>
        <w:bidi w:val="0"/>
        <w:spacing w:lineRule="auto" w:line="240" w:before="124" w:after="283"/>
        <w:ind w:left="0" w:right="0" w:hanging="442"/>
        <w:jc w:val="left"/>
        <w:rPr>
          <w:rFonts w:ascii="Times New Roman;serif" w:hAnsi="Times New Roman;serif"/>
          <w:b w:val="false"/>
          <w:color w:val="000000"/>
          <w:sz w:val="18"/>
        </w:rPr>
      </w:pPr>
      <w:r>
        <w:rPr>
          <w:rFonts w:ascii="Times New Roman;serif" w:hAnsi="Times New Roman;serif"/>
          <w:b w:val="false"/>
          <w:color w:val="000000"/>
          <w:sz w:val="18"/>
        </w:rPr>
        <w:t>1.The Report, which this statement accompanies fully complies with the requirements of Section 13(a) or 15(d) of the Securities Exchange Act of 1934; and</w:t>
      </w:r>
    </w:p>
    <w:p>
      <w:pPr>
        <w:pStyle w:val="TextBody"/>
        <w:bidi w:val="0"/>
        <w:spacing w:lineRule="auto" w:line="240" w:before="124" w:after="283"/>
        <w:ind w:left="0" w:right="0" w:hanging="442"/>
        <w:jc w:val="left"/>
        <w:rPr>
          <w:rFonts w:ascii="Times New Roman;serif" w:hAnsi="Times New Roman;serif"/>
          <w:b w:val="false"/>
          <w:color w:val="000000"/>
          <w:sz w:val="18"/>
        </w:rPr>
      </w:pPr>
      <w:r>
        <w:rPr>
          <w:rFonts w:ascii="Times New Roman;serif" w:hAnsi="Times New Roman;serif"/>
          <w:b w:val="false"/>
          <w:color w:val="000000"/>
          <w:sz w:val="18"/>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February 25, 2026</w:t>
      </w:r>
    </w:p>
    <w:p>
      <w:pPr>
        <w:pStyle w:val="TextBody"/>
        <w:bidi w:val="0"/>
        <w:spacing w:before="2" w:after="283"/>
        <w:jc w:val="left"/>
        <w:rPr/>
      </w:pPr>
      <w:r>
        <w:rPr/>
      </w:r>
    </w:p>
    <w:tbl>
      <w:tblPr>
        <w:tblW w:w="2160" w:type="dxa"/>
        <w:jc w:val="left"/>
        <w:tblInd w:w="0" w:type="dxa"/>
        <w:tblLayout w:type="fixed"/>
        <w:tblCellMar>
          <w:top w:w="28" w:type="dxa"/>
          <w:left w:w="28" w:type="dxa"/>
          <w:bottom w:w="28" w:type="dxa"/>
          <w:right w:w="28" w:type="dxa"/>
        </w:tblCellMar>
      </w:tblPr>
      <w:tblGrid>
        <w:gridCol w:w="690"/>
        <w:gridCol w:w="607"/>
        <w:gridCol w:w="863"/>
      </w:tblGrid>
      <w:tr>
        <w:trPr/>
        <w:tc>
          <w:tcPr>
            <w:tcW w:w="69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2" w:after="283"/>
              <w:jc w:val="left"/>
              <w:rPr/>
            </w:pPr>
            <w:r>
              <w:rPr/>
            </w:r>
          </w:p>
          <w:p>
            <w:pPr>
              <w:pStyle w:val="TableContents"/>
              <w:bidi w:val="0"/>
              <w:spacing w:before="2" w:after="283"/>
              <w:jc w:val="left"/>
              <w:rPr/>
            </w:pPr>
            <w:r>
              <w:rPr/>
            </w:r>
          </w:p>
          <w:p>
            <w:pPr>
              <w:pStyle w:val="TableContents"/>
              <w:bidi w:val="0"/>
              <w:spacing w:lineRule="auto" w:line="240" w:before="2" w:after="283"/>
              <w:jc w:val="left"/>
              <w:rPr>
                <w:rFonts w:ascii="Times New Roman;serif" w:hAnsi="Times New Roman;serif"/>
                <w:b w:val="false"/>
                <w:color w:val="000000"/>
                <w:sz w:val="18"/>
              </w:rPr>
            </w:pPr>
            <w:r>
              <w:rPr>
                <w:rFonts w:ascii="Times New Roman;serif" w:hAnsi="Times New Roman;serif"/>
                <w:b w:val="false"/>
                <w:color w:val="000000"/>
                <w:sz w:val="18"/>
              </w:rPr>
              <w:t>/s/ Michael D. Dippold</w:t>
            </w:r>
          </w:p>
        </w:tc>
      </w:tr>
      <w:tr>
        <w:trPr/>
        <w:tc>
          <w:tcPr>
            <w:tcW w:w="2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Michael D. Dippold</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2"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p>
            <w:pPr>
              <w:pStyle w:val="TableContents"/>
              <w:bidi w:val="0"/>
              <w:spacing w:lineRule="auto" w:line="240" w:before="2"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 w:after="283"/>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This written statement accompanies the Report pursuant to Section 906 of the Sarbanes-Oxley Act of 2002 and shall not, except</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 the extent required by the Sarbanes-Oxley Act of 2002, be deemed filed by the Company for purposes of Section 18 of the</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Exchange Act of 1934.</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 signed original of this written statement required by Section 906 has been provided to the Company and will be retained by</w:t>
      </w:r>
    </w:p>
    <w:p>
      <w:pPr>
        <w:pStyle w:val="TextBody"/>
        <w:bidi w:val="0"/>
        <w:spacing w:lineRule="auto" w:line="240"/>
        <w:jc w:val="left"/>
        <w:rPr>
          <w:rFonts w:ascii="Times New Roman;serif" w:hAnsi="Times New Roman;serif"/>
          <w:b w:val="false"/>
          <w:color w:val="000000"/>
          <w:sz w:val="18"/>
        </w:rPr>
      </w:pPr>
      <w:r>
        <w:rPr>
          <w:rFonts w:ascii="Times New Roman;serif" w:hAnsi="Times New Roman;serif"/>
          <w:b w:val="false"/>
          <w:color w:val="000000"/>
          <w:sz w:val="18"/>
        </w:rPr>
        <w:t>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w:altName w:val="Arial"/>
    <w:charset w:val="01"/>
    <w:family w:val="auto"/>
    <w:pitch w:val="default"/>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33756/000162828022014481/executionversion-xprojectg.htm" TargetMode="External"/><Relationship Id="rId4" Type="http://schemas.openxmlformats.org/officeDocument/2006/relationships/hyperlink" Target="https://www.sec.gov/Archives/edgar/data/1833756/000162828022017550/exhibit21-8xk.htm" TargetMode="External"/><Relationship Id="rId5" Type="http://schemas.openxmlformats.org/officeDocument/2006/relationships/hyperlink" Target="https://www.sec.gov/Archives/edgar/data/1833756/000162828022024236/exhibit21a-sx4a1.htm" TargetMode="External"/><Relationship Id="rId6" Type="http://schemas.openxmlformats.org/officeDocument/2006/relationships/hyperlink" Target="https://www.sec.gov/Archives/edgar/data/1833756/000162828025029664/exhibit31-amendedandrestat.htm" TargetMode="External"/><Relationship Id="rId7" Type="http://schemas.openxmlformats.org/officeDocument/2006/relationships/hyperlink" Target="https://www.sec.gov/Archives/edgar/data/1833756/000162828025029664/exhibit32-fifthamendedandr.htm" TargetMode="External"/><Relationship Id="rId8" Type="http://schemas.openxmlformats.org/officeDocument/2006/relationships/hyperlink" Target="https://www.sec.gov/Archives/edgar/data/1833756/000162828021003412/exhibit105-sx1.htm" TargetMode="External"/><Relationship Id="rId9" Type="http://schemas.openxmlformats.org/officeDocument/2006/relationships/hyperlink" Target="https://www.sec.gov/Archives/edgar/data/1833756/000162828021012079/exhibit106-posam1.htm" TargetMode="External"/><Relationship Id="rId10" Type="http://schemas.openxmlformats.org/officeDocument/2006/relationships/hyperlink" Target="https://www.sec.gov/Archives/edgar/data/1833756/000162828021012079/exhibit106-posam1.htm" TargetMode="External"/><Relationship Id="rId11" Type="http://schemas.openxmlformats.org/officeDocument/2006/relationships/hyperlink" Target="https://www.sec.gov/Archives/edgar/data/1833756/000162828021012079/exhibit106-posam1.htm" TargetMode="External"/><Relationship Id="rId12" Type="http://schemas.openxmlformats.org/officeDocument/2006/relationships/hyperlink" Target="https://www.sec.gov/Archives/edgar/data/1833756/000162828022020637/exhibit106-sx4.htm" TargetMode="External"/><Relationship Id="rId13" Type="http://schemas.openxmlformats.org/officeDocument/2006/relationships/hyperlink" Target="https://www.sec.gov/Archives/edgar/data/1833756/000162828022020637/exhibit107-sx4.htm" TargetMode="External"/><Relationship Id="rId14" Type="http://schemas.openxmlformats.org/officeDocument/2006/relationships/hyperlink" Target="https://www.sec.gov/Archives/edgar/data/1833756/000162828025012341/exhibit101-leonardodrsprox.htm" TargetMode="External"/><Relationship Id="rId15" Type="http://schemas.openxmlformats.org/officeDocument/2006/relationships/hyperlink" Target="https://www.sec.gov/Archives/edgar/data/1833756/000162828025012341/exhibit101-leonardodrsprox.htm" TargetMode="External"/><Relationship Id="rId16" Type="http://schemas.openxmlformats.org/officeDocument/2006/relationships/hyperlink" Target="https://www.sec.gov/Archives/edgar/data/1833756/000162828025012341/exhibit101-leonardodrsprox.htm" TargetMode="External"/><Relationship Id="rId17" Type="http://schemas.openxmlformats.org/officeDocument/2006/relationships/hyperlink" Target="https://www.sec.gov/Archives/edgar/data/1833756/000162828022030896/exhibit101-8xk112822.htm" TargetMode="External"/><Relationship Id="rId18" Type="http://schemas.openxmlformats.org/officeDocument/2006/relationships/hyperlink" Target="https://www.sec.gov/Archives/edgar/data/1833756/000162828025036706/exhibit101cooperationagree.htm" TargetMode="External"/><Relationship Id="rId19" Type="http://schemas.openxmlformats.org/officeDocument/2006/relationships/hyperlink" Target="https://www.sec.gov/Archives/edgar/data/1833756/000162828022030952/exhibit101-8xk11292022.htm" TargetMode="External"/><Relationship Id="rId20" Type="http://schemas.openxmlformats.org/officeDocument/2006/relationships/hyperlink" Target="https://www.sec.gov/Archives/edgar/data/1833756/000183375626000007/leonardodrs-revolvingcredi.htm" TargetMode="External"/><Relationship Id="rId21" Type="http://schemas.openxmlformats.org/officeDocument/2006/relationships/hyperlink" Target="https://www.sec.gov/Archives/edgar/data/1833756/000183375626000007/leonardodrs-revolvingcredi.htm" TargetMode="External"/><Relationship Id="rId22" Type="http://schemas.openxmlformats.org/officeDocument/2006/relationships/hyperlink" Target="https://www.sec.gov/Archives/edgar/data/1833756/000183375626000007/leonardodrs-revolvingcredi.htm" TargetMode="External"/><Relationship Id="rId23" Type="http://schemas.openxmlformats.org/officeDocument/2006/relationships/hyperlink" Target="https://www.sec.gov/Archives/edgar/data/1833756/000162828022030896/exhibit105-8xk112822.htm" TargetMode="External"/><Relationship Id="rId24" Type="http://schemas.openxmlformats.org/officeDocument/2006/relationships/hyperlink" Target="https://www.sec.gov/Archives/edgar/data/1833756/000183375625000008/exhibit101102725.htm" TargetMode="External"/><Relationship Id="rId25" Type="http://schemas.openxmlformats.org/officeDocument/2006/relationships/hyperlink" Target="https://www.sec.gov/Archives/edgar/data/1833756/000183375625000008/exhibit102102725.htm" TargetMode="External"/><Relationship Id="rId26" Type="http://schemas.openxmlformats.org/officeDocument/2006/relationships/hyperlink" Target="https://www.sec.gov/Archives/edgar/data/1833756/000183375625000008/exhibit102102725.htm" TargetMode="External"/><Relationship Id="rId27" Type="http://schemas.openxmlformats.org/officeDocument/2006/relationships/hyperlink" Target="https://www.sec.gov/Archives/edgar/data/1833756/000183375625000008/exhibit102102725.htm" TargetMode="External"/><Relationship Id="rId28" Type="http://schemas.openxmlformats.org/officeDocument/2006/relationships/hyperlink" Target="https://www.sec.gov/Archives/edgar/data/1833756/000183375625000008/exhibit102102725.htm" TargetMode="External"/><Relationship Id="rId29" Type="http://schemas.openxmlformats.org/officeDocument/2006/relationships/hyperlink" Target="https://www.sec.gov/Archives/edgar/data/1833756/000183375625000008/exhibit102102725.htm" TargetMode="External"/><Relationship Id="rId30" Type="http://schemas.openxmlformats.org/officeDocument/2006/relationships/hyperlink" Target="https://www.sec.gov/Archives/edgar/data/1833756/000162828023009545/exhibit1011_drsxincentivec.htm" TargetMode="External"/><Relationship Id="rId31" Type="http://schemas.openxmlformats.org/officeDocument/2006/relationships/hyperlink" Target="https://www.sec.gov/Archives/edgar/data/1833756/000162828023009545/exhibit1012_drs-longtermin.htm" TargetMode="External"/><Relationship Id="rId32" Type="http://schemas.openxmlformats.org/officeDocument/2006/relationships/hyperlink" Target="https://www.sec.gov/Archives/edgar/data/1833756/000162828023009545/exhibit1013_drs-executives.htm" TargetMode="External"/><Relationship Id="rId33" Type="http://schemas.openxmlformats.org/officeDocument/2006/relationships/hyperlink" Target="https://www.sec.gov/Archives/edgar/data/1833756/000162828022030915/exhibit101-sx8.htm" TargetMode="External"/><Relationship Id="rId34" Type="http://schemas.openxmlformats.org/officeDocument/2006/relationships/hyperlink" Target="https://www.sec.gov/Archives/edgar/data/1833756/000162828022030915/exhibit102-sx8.htm" TargetMode="External"/><Relationship Id="rId35" Type="http://schemas.openxmlformats.org/officeDocument/2006/relationships/hyperlink" Target="https://www.sec.gov/Archives/edgar/data/1833756/000162828021003412/exhibit1013-sx1.htm" TargetMode="External"/><Relationship Id="rId36" Type="http://schemas.openxmlformats.org/officeDocument/2006/relationships/hyperlink" Target="https://www.sec.gov/Archives/edgar/data/1833756/000162828022030915/exhibit103-sx8.htm" TargetMode="External"/><Relationship Id="rId37" Type="http://schemas.openxmlformats.org/officeDocument/2006/relationships/hyperlink" Target="https://www.sec.gov/Archives/edgar/data/1833756/000162828023026772/a101_leonardodrs-2023res.htm" TargetMode="External"/><Relationship Id="rId38" Type="http://schemas.openxmlformats.org/officeDocument/2006/relationships/hyperlink" Target="https://www.sec.gov/Archives/edgar/data/1833756/000162828023026772/a102_leonardodrs-2023per.htm" TargetMode="External"/><Relationship Id="rId39" Type="http://schemas.openxmlformats.org/officeDocument/2006/relationships/hyperlink" Target="https://www.sec.gov/Archives/edgar/data/1833756/000162828023026772/a103_leonardodrs-2023dir.htm" TargetMode="External"/><Relationship Id="rId40" Type="http://schemas.openxmlformats.org/officeDocument/2006/relationships/hyperlink" Target="https://www.sec.gov/Archives/edgar/data/1833756/000162828024023788/exhibit101.htm" TargetMode="External"/><Relationship Id="rId41" Type="http://schemas.openxmlformats.org/officeDocument/2006/relationships/hyperlink" Target="https://www.sec.gov/Archives/edgar/data/1833756/000162828024024033/exhibit101amendedecp.htm" TargetMode="External"/><Relationship Id="rId42" Type="http://schemas.openxmlformats.org/officeDocument/2006/relationships/hyperlink" Target="https://www.sec.gov/Archives/edgar/data/1833756/000162828025009248/exhibit19_insidertradingpo.htm" TargetMode="External"/><Relationship Id="rId43" Type="http://schemas.openxmlformats.org/officeDocument/2006/relationships/hyperlink" Target="https://www.sec.gov/Archives/edgar/data/1833756/000162828023036429/exhibit991-leonardodrsinci.htm" TargetMode="External"/><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71715</Words>
  <Characters>403213</Characters>
  <CharactersWithSpaces>471815</CharactersWithSpaces>
  <Paragraphs>4856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