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7208.xml.htm"/>
      <w:bookmarkStart w:id="1" w:name="kswkform4_17908872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TOWNSEND FRANCES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LEONARDO DRS,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CRYSTAL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Leonardo DRS, Inc.</w:t>
              </w:r>
            </w:hyperlink>
            <w:r>
              <w:rPr/>
              <w:t xml:space="preserve"> [ </w:t>
            </w:r>
            <w:r>
              <w:rPr>
                <w:rFonts w:ascii="Times;serif" w:hAnsi="Times;serif"/>
                <w:color w:val="0000FF"/>
                <w:sz w:val="24"/>
                <w:shd w:fill="FFFFFF" w:val="clear"/>
              </w:rPr>
              <w:t>DRS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36,894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were granted on April 1, 2026, under the Issuer's 2022 Omnibus Equity Compensation Plan. The RSUs vested quarterly on April 1, 2026, June 30, 2026 and September 30, 2026. The remaining RSUs will vest quarterly on December 31, 2026, subject to the Reporting Person's continued service as a member of the Issuer's Board of Directors through such date. The number of RSUs that vested on each of April 1, 2026, June 30, 2026 and September 30, 2026, were rounded down to the nearest whole number of RSUs and the remaining RSUs shall vest on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Oriana D. Pietrangelo,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0306" TargetMode="External"/><Relationship Id="rId5" Type="http://schemas.openxmlformats.org/officeDocument/2006/relationships/hyperlink" Target="http://www.sec.gov/cgi-bin/browse-edgar?action=getcompany&amp;CIK=00018337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3715</Characters>
  <CharactersWithSpaces>4335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